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C99B9" w14:textId="77777777" w:rsidR="000D4229" w:rsidRDefault="00861064">
      <w:pPr>
        <w:rPr>
          <w:rFonts w:ascii="Book Antiqua" w:hAnsi="Book Antiqua"/>
          <w:b/>
          <w:sz w:val="28"/>
          <w:szCs w:val="28"/>
        </w:rPr>
      </w:pPr>
      <w:r>
        <w:rPr>
          <w:rFonts w:ascii="Book Antiqua" w:hAnsi="Book Antiqua"/>
          <w:b/>
          <w:sz w:val="28"/>
          <w:szCs w:val="28"/>
        </w:rPr>
        <w:t>PENINGKATAN PENGETAHUAN DAN MENGASAH KEMAMPUAN ANGGOTA UKM PERADILAN SEMU FAKULTAS HUKUM UNPATTI</w:t>
      </w:r>
    </w:p>
    <w:p w14:paraId="50A21876" w14:textId="77777777" w:rsidR="007F675F" w:rsidRDefault="00861064">
      <w:pPr>
        <w:rPr>
          <w:rFonts w:ascii="Book Antiqua" w:hAnsi="Book Antiqua"/>
          <w:b/>
          <w:vertAlign w:val="superscript"/>
        </w:rPr>
      </w:pPr>
      <w:r>
        <w:rPr>
          <w:rFonts w:ascii="Book Antiqua" w:hAnsi="Book Antiqua"/>
          <w:b/>
        </w:rPr>
        <w:t>Patrick Corputty</w:t>
      </w:r>
      <w:r>
        <w:rPr>
          <w:rFonts w:ascii="Book Antiqua" w:hAnsi="Book Antiqua"/>
          <w:b/>
          <w:vertAlign w:val="superscript"/>
        </w:rPr>
        <w:t xml:space="preserve">1, </w:t>
      </w:r>
      <w:r>
        <w:rPr>
          <w:rFonts w:ascii="Book Antiqua" w:hAnsi="Book Antiqua"/>
          <w:b/>
        </w:rPr>
        <w:t>Astuti Nur Fadillah M</w:t>
      </w:r>
      <w:r>
        <w:rPr>
          <w:rFonts w:ascii="Book Antiqua" w:hAnsi="Book Antiqua"/>
          <w:b/>
          <w:vertAlign w:val="superscript"/>
        </w:rPr>
        <w:t>2</w:t>
      </w:r>
      <w:r w:rsidR="00EF68F1">
        <w:rPr>
          <w:rFonts w:ascii="Book Antiqua" w:hAnsi="Book Antiqua"/>
          <w:b/>
          <w:vertAlign w:val="superscript"/>
        </w:rPr>
        <w:t>*</w:t>
      </w:r>
    </w:p>
    <w:p w14:paraId="759140EE" w14:textId="77777777" w:rsidR="00427024" w:rsidRDefault="00EF68F1" w:rsidP="00427024">
      <w:pPr>
        <w:spacing w:after="0" w:line="240" w:lineRule="auto"/>
        <w:rPr>
          <w:rFonts w:ascii="Book Antiqua" w:hAnsi="Book Antiqua"/>
          <w:bCs/>
          <w:sz w:val="18"/>
          <w:szCs w:val="24"/>
        </w:rPr>
      </w:pPr>
      <w:r>
        <w:rPr>
          <w:rFonts w:ascii="Book Antiqua" w:hAnsi="Book Antiqua"/>
          <w:b/>
          <w:vertAlign w:val="superscript"/>
        </w:rPr>
        <w:t>1</w:t>
      </w:r>
      <w:proofErr w:type="gramStart"/>
      <w:r>
        <w:rPr>
          <w:rFonts w:ascii="Book Antiqua" w:hAnsi="Book Antiqua"/>
          <w:b/>
          <w:vertAlign w:val="superscript"/>
        </w:rPr>
        <w:t>,2,</w:t>
      </w:r>
      <w:r w:rsidR="00427024" w:rsidRPr="00103A7B">
        <w:rPr>
          <w:rFonts w:ascii="Book Antiqua" w:hAnsi="Book Antiqua"/>
          <w:bCs/>
          <w:sz w:val="18"/>
          <w:szCs w:val="24"/>
        </w:rPr>
        <w:t>Fakultas</w:t>
      </w:r>
      <w:proofErr w:type="gramEnd"/>
      <w:r w:rsidR="00427024" w:rsidRPr="00103A7B">
        <w:rPr>
          <w:rFonts w:ascii="Book Antiqua" w:hAnsi="Book Antiqua"/>
          <w:bCs/>
          <w:sz w:val="18"/>
          <w:szCs w:val="24"/>
        </w:rPr>
        <w:t xml:space="preserve"> Hukum Universitas Pattimura</w:t>
      </w:r>
      <w:r w:rsidR="00427024" w:rsidRPr="00103A7B">
        <w:rPr>
          <w:rFonts w:ascii="Book Antiqua" w:hAnsi="Book Antiqua"/>
          <w:bCs/>
          <w:sz w:val="18"/>
          <w:szCs w:val="24"/>
          <w:lang w:val="id-ID"/>
        </w:rPr>
        <w:t>,</w:t>
      </w:r>
      <w:r w:rsidR="00427024" w:rsidRPr="00103A7B">
        <w:rPr>
          <w:rFonts w:ascii="Book Antiqua" w:hAnsi="Book Antiqua"/>
          <w:bCs/>
          <w:sz w:val="18"/>
          <w:szCs w:val="24"/>
        </w:rPr>
        <w:t xml:space="preserve"> Ambon, Indonesia</w:t>
      </w:r>
    </w:p>
    <w:p w14:paraId="6074D109" w14:textId="77777777" w:rsidR="00427024" w:rsidRPr="00427024" w:rsidRDefault="00427024" w:rsidP="00427024">
      <w:pPr>
        <w:spacing w:after="0" w:line="240" w:lineRule="auto"/>
        <w:rPr>
          <w:rFonts w:ascii="Book Antiqua" w:hAnsi="Book Antiqua"/>
          <w:b/>
        </w:rPr>
      </w:pPr>
      <w:r>
        <w:rPr>
          <w:rFonts w:ascii="Book Antiqua" w:hAnsi="Book Antiqua"/>
          <w:bCs/>
          <w:sz w:val="18"/>
          <w:szCs w:val="24"/>
        </w:rPr>
        <w:t>astutifadillah@gmail.com</w:t>
      </w:r>
    </w:p>
    <w:p w14:paraId="7C8439BB" w14:textId="77777777" w:rsidR="007F675F" w:rsidRDefault="007F675F">
      <w:pPr>
        <w:rPr>
          <w:rFonts w:ascii="Times New Roman" w:hAnsi="Times New Roman" w:cs="Times New Roman"/>
          <w:b/>
        </w:rPr>
      </w:pPr>
    </w:p>
    <w:p w14:paraId="77A7B79C" w14:textId="77777777" w:rsidR="00427024" w:rsidRDefault="00427024">
      <w:pPr>
        <w:rPr>
          <w:rFonts w:ascii="Book Antiqua" w:hAnsi="Book Antiqua" w:cs="Times New Roman"/>
          <w:b/>
        </w:rPr>
      </w:pPr>
      <w:r w:rsidRPr="00427024">
        <w:rPr>
          <w:rFonts w:ascii="Book Antiqua" w:hAnsi="Book Antiqua" w:cs="Times New Roman"/>
          <w:b/>
        </w:rPr>
        <w:t>Abstract</w:t>
      </w:r>
    </w:p>
    <w:p w14:paraId="46FB26E8" w14:textId="77777777" w:rsidR="002B3900" w:rsidRPr="002B3900" w:rsidRDefault="00427024" w:rsidP="002B3900">
      <w:pPr>
        <w:pStyle w:val="HTMLPreformatted"/>
        <w:rPr>
          <w:rFonts w:ascii="Book Antiqua" w:hAnsi="Book Antiqua"/>
          <w:color w:val="202124"/>
        </w:rPr>
      </w:pPr>
      <w:r w:rsidRPr="002B3900">
        <w:rPr>
          <w:rFonts w:ascii="Book Antiqua" w:hAnsi="Book Antiqua"/>
          <w:b/>
          <w:i/>
          <w:color w:val="365F91" w:themeColor="accent1" w:themeShade="BF"/>
        </w:rPr>
        <w:t xml:space="preserve">Introduction: </w:t>
      </w:r>
      <w:r w:rsidR="002B3900" w:rsidRPr="002B3900">
        <w:rPr>
          <w:rStyle w:val="y2iqfc"/>
          <w:rFonts w:ascii="Book Antiqua" w:hAnsi="Book Antiqua"/>
          <w:color w:val="202124"/>
          <w:lang w:val="en"/>
        </w:rPr>
        <w:t>UKM is a place to develop interests, talents and certain skills that they do not get in the classroom in general. One of the Student Activity Units within the scope of the Faculty of Law, University of Pattimura is the Moot Court UKM. Improving the knowledge and abilities of UKM members is not only obtained in the lecture hall, positive activities outside the classroom including discussions, seminars and other activities can be a reference to improve students' own abilities.</w:t>
      </w:r>
    </w:p>
    <w:p w14:paraId="2CDEE192" w14:textId="369105DA" w:rsidR="00861064" w:rsidRDefault="00427024" w:rsidP="00337732">
      <w:pPr>
        <w:pStyle w:val="HTMLPreformatted"/>
        <w:jc w:val="both"/>
        <w:rPr>
          <w:rFonts w:ascii="Book Antiqua" w:hAnsi="Book Antiqua"/>
          <w:b/>
          <w:bCs/>
          <w:i/>
        </w:rPr>
      </w:pPr>
      <w:r w:rsidRPr="00337732">
        <w:rPr>
          <w:rFonts w:ascii="Book Antiqua" w:hAnsi="Book Antiqua"/>
          <w:b/>
          <w:i/>
          <w:color w:val="365F91" w:themeColor="accent1" w:themeShade="BF"/>
        </w:rPr>
        <w:t>Purposes of the Research</w:t>
      </w:r>
      <w:r w:rsidRPr="00337732">
        <w:rPr>
          <w:rFonts w:ascii="Book Antiqua" w:hAnsi="Book Antiqua"/>
          <w:b/>
          <w:bCs/>
          <w:i/>
          <w:color w:val="365F91" w:themeColor="accent1" w:themeShade="BF"/>
        </w:rPr>
        <w:t xml:space="preserve">: </w:t>
      </w:r>
      <w:r w:rsidRPr="00337732">
        <w:rPr>
          <w:rFonts w:ascii="Book Antiqua" w:hAnsi="Book Antiqua"/>
          <w:b/>
          <w:bCs/>
          <w:i/>
        </w:rPr>
        <w:t xml:space="preserve"> </w:t>
      </w:r>
      <w:r w:rsidR="00337732" w:rsidRPr="00337732">
        <w:rPr>
          <w:rStyle w:val="y2iqfc"/>
          <w:rFonts w:ascii="Book Antiqua" w:hAnsi="Book Antiqua"/>
          <w:color w:val="202124"/>
          <w:lang w:val="en"/>
        </w:rPr>
        <w:t xml:space="preserve">The purpose of this article is to provide a brief description of the Student Activity Unit, namely the Motu Judicial UKM which is within the scope of the Faculty of Law, University of Pattimura. </w:t>
      </w:r>
      <w:proofErr w:type="gramStart"/>
      <w:r w:rsidR="00337732" w:rsidRPr="00337732">
        <w:rPr>
          <w:rStyle w:val="y2iqfc"/>
          <w:rFonts w:ascii="Book Antiqua" w:hAnsi="Book Antiqua"/>
          <w:color w:val="202124"/>
          <w:lang w:val="en"/>
        </w:rPr>
        <w:t>Describes competency improvement activities, namely strengthening the understanding of students/UKM members regarding the Criminal Code, known as the Criminal Code.</w:t>
      </w:r>
      <w:proofErr w:type="gramEnd"/>
    </w:p>
    <w:p w14:paraId="367E284B" w14:textId="77777777" w:rsidR="00337732" w:rsidRPr="00337732" w:rsidRDefault="00427024" w:rsidP="00337732">
      <w:pPr>
        <w:pStyle w:val="HTMLPreformatted"/>
        <w:rPr>
          <w:rFonts w:ascii="Book Antiqua" w:hAnsi="Book Antiqua"/>
          <w:color w:val="202124"/>
        </w:rPr>
      </w:pPr>
      <w:r w:rsidRPr="00337732">
        <w:rPr>
          <w:rFonts w:ascii="Book Antiqua" w:hAnsi="Book Antiqua"/>
          <w:b/>
          <w:i/>
          <w:color w:val="365F91" w:themeColor="accent1" w:themeShade="BF"/>
        </w:rPr>
        <w:t>Methods</w:t>
      </w:r>
      <w:r w:rsidRPr="00337732">
        <w:rPr>
          <w:rFonts w:ascii="Book Antiqua" w:hAnsi="Book Antiqua"/>
          <w:b/>
          <w:bCs/>
          <w:i/>
          <w:color w:val="365F91" w:themeColor="accent1" w:themeShade="BF"/>
        </w:rPr>
        <w:t xml:space="preserve">: </w:t>
      </w:r>
      <w:r w:rsidR="00337732" w:rsidRPr="00337732">
        <w:rPr>
          <w:rStyle w:val="y2iqfc"/>
          <w:rFonts w:ascii="Book Antiqua" w:hAnsi="Book Antiqua"/>
          <w:color w:val="202124"/>
          <w:lang w:val="en"/>
        </w:rPr>
        <w:t xml:space="preserve">The activity was carried out at the Faculty of Law, Pattimura University. The first thing to do is to build communication with the management of the Motu Judicial UKM. On the day the activity is carried out, the activity begins with being opened by the SME supervisor, </w:t>
      </w:r>
      <w:proofErr w:type="gramStart"/>
      <w:r w:rsidR="00337732" w:rsidRPr="00337732">
        <w:rPr>
          <w:rStyle w:val="y2iqfc"/>
          <w:rFonts w:ascii="Book Antiqua" w:hAnsi="Book Antiqua"/>
          <w:color w:val="202124"/>
          <w:lang w:val="en"/>
        </w:rPr>
        <w:t>then</w:t>
      </w:r>
      <w:proofErr w:type="gramEnd"/>
      <w:r w:rsidR="00337732" w:rsidRPr="00337732">
        <w:rPr>
          <w:rStyle w:val="y2iqfc"/>
          <w:rFonts w:ascii="Book Antiqua" w:hAnsi="Book Antiqua"/>
          <w:color w:val="202124"/>
          <w:lang w:val="en"/>
        </w:rPr>
        <w:t xml:space="preserve"> the activity is guided by a moderator to guide throughout the activity. The material was presented by the resource person by means of lectures and opened a discussion session with the participants</w:t>
      </w:r>
    </w:p>
    <w:p w14:paraId="46D5DFE8" w14:textId="77777777" w:rsidR="00337732" w:rsidRPr="00337732" w:rsidRDefault="00427024" w:rsidP="00337732">
      <w:pPr>
        <w:pStyle w:val="HTMLPreformatted"/>
        <w:jc w:val="both"/>
        <w:rPr>
          <w:rFonts w:ascii="Book Antiqua" w:hAnsi="Book Antiqua"/>
          <w:color w:val="202124"/>
        </w:rPr>
      </w:pPr>
      <w:r w:rsidRPr="00337732">
        <w:rPr>
          <w:rFonts w:ascii="Book Antiqua" w:hAnsi="Book Antiqua"/>
          <w:b/>
          <w:i/>
          <w:color w:val="365F91" w:themeColor="accent1" w:themeShade="BF"/>
        </w:rPr>
        <w:t>Results / Findings / Novelty of the Research</w:t>
      </w:r>
      <w:r w:rsidRPr="00337732">
        <w:rPr>
          <w:rFonts w:ascii="Book Antiqua" w:hAnsi="Book Antiqua"/>
          <w:b/>
          <w:bCs/>
          <w:i/>
          <w:color w:val="365F91" w:themeColor="accent1" w:themeShade="BF"/>
        </w:rPr>
        <w:t>:</w:t>
      </w:r>
      <w:r w:rsidRPr="00337732">
        <w:rPr>
          <w:rFonts w:ascii="Book Antiqua" w:hAnsi="Book Antiqua"/>
          <w:b/>
          <w:bCs/>
          <w:i/>
        </w:rPr>
        <w:t xml:space="preserve"> </w:t>
      </w:r>
      <w:r w:rsidR="00337732" w:rsidRPr="00337732">
        <w:rPr>
          <w:rFonts w:ascii="Book Antiqua" w:hAnsi="Book Antiqua"/>
          <w:color w:val="202124"/>
          <w:lang w:val="en"/>
        </w:rPr>
        <w:t>After carrying out this activity, it can be seen that it is difficult for a student to obtain and manage information on current legal developments related to criminal acts and even criminal liability. That increasing understanding and honing skills in the legal field is carried out regularly, so that if they participate in competitions and even go directly to the community, they will become competent practitioners and academics</w:t>
      </w:r>
    </w:p>
    <w:p w14:paraId="4130EAB1" w14:textId="77777777" w:rsidR="00427024" w:rsidRPr="00337732" w:rsidRDefault="00427024" w:rsidP="00337732">
      <w:pPr>
        <w:spacing w:after="0" w:line="240" w:lineRule="auto"/>
        <w:ind w:right="-108"/>
        <w:jc w:val="both"/>
        <w:rPr>
          <w:rFonts w:ascii="Book Antiqua" w:hAnsi="Book Antiqua"/>
          <w:bCs/>
          <w:i/>
          <w:sz w:val="20"/>
          <w:szCs w:val="20"/>
        </w:rPr>
      </w:pPr>
    </w:p>
    <w:p w14:paraId="0CA85A0D" w14:textId="77777777" w:rsidR="00200E6E" w:rsidRPr="00D274F3" w:rsidRDefault="00200E6E" w:rsidP="00682D3A">
      <w:pPr>
        <w:spacing w:after="0" w:line="240" w:lineRule="auto"/>
        <w:ind w:right="-108"/>
        <w:jc w:val="both"/>
        <w:rPr>
          <w:rFonts w:ascii="Book Antiqua" w:hAnsi="Book Antiqua"/>
          <w:i/>
          <w:color w:val="FF0000"/>
          <w:sz w:val="20"/>
        </w:rPr>
      </w:pPr>
    </w:p>
    <w:p w14:paraId="31935EB8" w14:textId="77777777" w:rsidR="005A53F6" w:rsidRPr="00B97A25" w:rsidRDefault="005A53F6" w:rsidP="00682D3A">
      <w:pPr>
        <w:spacing w:after="0" w:line="240" w:lineRule="auto"/>
        <w:ind w:right="-108"/>
        <w:jc w:val="both"/>
        <w:rPr>
          <w:rFonts w:ascii="Book Antiqua" w:hAnsi="Book Antiqua"/>
          <w:b/>
          <w:bCs/>
          <w:sz w:val="20"/>
        </w:rPr>
      </w:pPr>
      <w:r w:rsidRPr="00B97A25">
        <w:rPr>
          <w:rFonts w:ascii="Book Antiqua" w:hAnsi="Book Antiqua"/>
          <w:b/>
          <w:bCs/>
          <w:sz w:val="20"/>
        </w:rPr>
        <w:t>Abstrak</w:t>
      </w:r>
    </w:p>
    <w:p w14:paraId="7DA582F2" w14:textId="6C36739D" w:rsidR="005A53F6" w:rsidRPr="00B97A25" w:rsidRDefault="005A53F6" w:rsidP="00682D3A">
      <w:pPr>
        <w:spacing w:after="0" w:line="240" w:lineRule="auto"/>
        <w:ind w:right="-108"/>
        <w:jc w:val="both"/>
        <w:rPr>
          <w:rFonts w:ascii="Book Antiqua" w:hAnsi="Book Antiqua"/>
          <w:b/>
          <w:bCs/>
          <w:sz w:val="20"/>
        </w:rPr>
      </w:pPr>
      <w:r w:rsidRPr="00B97A25">
        <w:rPr>
          <w:rFonts w:ascii="Book Antiqua" w:hAnsi="Book Antiqua"/>
          <w:b/>
          <w:bCs/>
          <w:color w:val="365F91" w:themeColor="accent1" w:themeShade="BF"/>
          <w:sz w:val="20"/>
        </w:rPr>
        <w:t xml:space="preserve">Latar Belakang: </w:t>
      </w:r>
      <w:r w:rsidR="00B42137" w:rsidRPr="004D0A8F">
        <w:rPr>
          <w:rFonts w:ascii="Book Antiqua" w:hAnsi="Book Antiqua"/>
          <w:bCs/>
          <w:color w:val="000000" w:themeColor="text1"/>
          <w:sz w:val="20"/>
        </w:rPr>
        <w:t xml:space="preserve">UKM merupakan wadah untuk mengembangkan minat, bakat dan keahlian-keahlian tertentu yang tidak mereka dapatkan di dalam kelas pada umumnya. </w:t>
      </w:r>
      <w:proofErr w:type="gramStart"/>
      <w:r w:rsidR="00B42137" w:rsidRPr="004D0A8F">
        <w:rPr>
          <w:rFonts w:ascii="Book Antiqua" w:hAnsi="Book Antiqua"/>
          <w:bCs/>
          <w:color w:val="000000" w:themeColor="text1"/>
          <w:sz w:val="20"/>
        </w:rPr>
        <w:t>Salah satu Unit Kegiatan Mahasiswa yang berada dalam lingkup Fakultas Hukum Universitas Pattimura adalah UKM Peradilan Semu</w:t>
      </w:r>
      <w:r w:rsidR="00B42137">
        <w:rPr>
          <w:rFonts w:ascii="Book Antiqua" w:hAnsi="Book Antiqua"/>
          <w:bCs/>
          <w:color w:val="000000" w:themeColor="text1"/>
        </w:rPr>
        <w:t>.</w:t>
      </w:r>
      <w:proofErr w:type="gramEnd"/>
      <w:r w:rsidR="00B42137">
        <w:rPr>
          <w:rFonts w:ascii="Book Antiqua" w:hAnsi="Book Antiqua"/>
          <w:bCs/>
          <w:color w:val="000000" w:themeColor="text1"/>
        </w:rPr>
        <w:t xml:space="preserve"> </w:t>
      </w:r>
      <w:proofErr w:type="gramStart"/>
      <w:r w:rsidR="00EB2497">
        <w:rPr>
          <w:rFonts w:ascii="Book Antiqua" w:hAnsi="Book Antiqua"/>
          <w:bCs/>
          <w:color w:val="000000" w:themeColor="text1"/>
        </w:rPr>
        <w:t xml:space="preserve">Peningkatan pengetahuan dan kemampuan anggota UKM tidak hanya didapat dalam ruang kuliah, kegiatan-kegiatan </w:t>
      </w:r>
      <w:r w:rsidR="00794317">
        <w:rPr>
          <w:rFonts w:ascii="Book Antiqua" w:hAnsi="Book Antiqua"/>
          <w:bCs/>
          <w:color w:val="000000" w:themeColor="text1"/>
        </w:rPr>
        <w:t>positif diluar kelas diantaranya diskusi, seminar dan kegiatan lainnya dapat menjadi referensi untuk meningkatkan kemampuan mahasiswa itu sendiri</w:t>
      </w:r>
      <w:r w:rsidR="002B3900">
        <w:rPr>
          <w:rFonts w:ascii="Book Antiqua" w:hAnsi="Book Antiqua"/>
          <w:bCs/>
          <w:color w:val="000000" w:themeColor="text1"/>
        </w:rPr>
        <w:t>.</w:t>
      </w:r>
      <w:proofErr w:type="gramEnd"/>
      <w:r w:rsidR="00EB2497">
        <w:rPr>
          <w:rFonts w:ascii="Book Antiqua" w:hAnsi="Book Antiqua"/>
          <w:bCs/>
          <w:color w:val="000000" w:themeColor="text1"/>
        </w:rPr>
        <w:t xml:space="preserve"> </w:t>
      </w:r>
    </w:p>
    <w:p w14:paraId="519D7067" w14:textId="7B1A8AED" w:rsidR="00711ED9" w:rsidRPr="00711ED9" w:rsidRDefault="005A53F6" w:rsidP="00711ED9">
      <w:pPr>
        <w:pStyle w:val="Default"/>
        <w:jc w:val="both"/>
        <w:rPr>
          <w:rFonts w:ascii="Book Antiqua" w:hAnsi="Book Antiqua"/>
          <w:sz w:val="20"/>
          <w:szCs w:val="20"/>
        </w:rPr>
      </w:pPr>
      <w:r w:rsidRPr="00B97A25">
        <w:rPr>
          <w:rFonts w:ascii="Book Antiqua" w:hAnsi="Book Antiqua"/>
          <w:b/>
          <w:bCs/>
          <w:color w:val="365F91" w:themeColor="accent1" w:themeShade="BF"/>
          <w:sz w:val="20"/>
        </w:rPr>
        <w:t xml:space="preserve">Tujuan Pengabdian: </w:t>
      </w:r>
      <w:r w:rsidR="004D0A8F">
        <w:rPr>
          <w:rFonts w:ascii="Book Antiqua" w:hAnsi="Book Antiqua"/>
          <w:b/>
          <w:bCs/>
          <w:color w:val="365F91" w:themeColor="accent1" w:themeShade="BF"/>
          <w:sz w:val="20"/>
        </w:rPr>
        <w:t xml:space="preserve"> </w:t>
      </w:r>
      <w:r w:rsidR="004D0A8F">
        <w:rPr>
          <w:rFonts w:ascii="Book Antiqua" w:hAnsi="Book Antiqua"/>
          <w:sz w:val="20"/>
        </w:rPr>
        <w:t xml:space="preserve">Adapun tujuan dari artikel ini untuk memberikan sedikit gambaran tentang Unit Kegiatan Mahasiswa yakni UKM Peradilan Semu yang berada pada lingkup Fakultas Hukum Universitas Pattimura. </w:t>
      </w:r>
      <w:proofErr w:type="gramStart"/>
      <w:r w:rsidR="004D0A8F" w:rsidRPr="004D0A8F">
        <w:rPr>
          <w:rFonts w:ascii="Book Antiqua" w:hAnsi="Book Antiqua"/>
          <w:bCs/>
          <w:color w:val="000000" w:themeColor="text1"/>
          <w:sz w:val="20"/>
          <w:szCs w:val="20"/>
        </w:rPr>
        <w:t xml:space="preserve">Menggambarkan kegiatan peningkatan kompetensi </w:t>
      </w:r>
      <w:r w:rsidR="00794317">
        <w:rPr>
          <w:rFonts w:ascii="Book Antiqua" w:hAnsi="Book Antiqua"/>
          <w:bCs/>
          <w:color w:val="000000" w:themeColor="text1"/>
          <w:sz w:val="20"/>
          <w:szCs w:val="20"/>
        </w:rPr>
        <w:t>yakni</w:t>
      </w:r>
      <w:r w:rsidR="004D0A8F" w:rsidRPr="004D0A8F">
        <w:rPr>
          <w:rFonts w:ascii="Book Antiqua" w:hAnsi="Book Antiqua"/>
          <w:bCs/>
          <w:color w:val="000000" w:themeColor="text1"/>
          <w:sz w:val="20"/>
          <w:szCs w:val="20"/>
        </w:rPr>
        <w:t xml:space="preserve"> penguatan terkait pemahaman mahasiswa/anggota UKM terkait Kitab Undang-Undang Hukum Pidana yang dikenal dengan KUHP</w:t>
      </w:r>
      <w:r w:rsidR="004D0A8F">
        <w:rPr>
          <w:rFonts w:ascii="Book Antiqua" w:hAnsi="Book Antiqua"/>
          <w:bCs/>
          <w:color w:val="000000" w:themeColor="text1"/>
          <w:sz w:val="20"/>
          <w:szCs w:val="20"/>
        </w:rPr>
        <w:t>.</w:t>
      </w:r>
      <w:proofErr w:type="gramEnd"/>
    </w:p>
    <w:p w14:paraId="1FEE0E3D" w14:textId="0F323630" w:rsidR="00711ED9" w:rsidRPr="00711ED9" w:rsidRDefault="005A53F6" w:rsidP="00711ED9">
      <w:pPr>
        <w:spacing w:after="120" w:line="240" w:lineRule="auto"/>
        <w:jc w:val="both"/>
        <w:rPr>
          <w:rFonts w:ascii="Book Antiqua" w:hAnsi="Book Antiqua" w:cs="Calibri"/>
          <w:color w:val="000000" w:themeColor="text1"/>
          <w:sz w:val="20"/>
          <w:szCs w:val="20"/>
        </w:rPr>
      </w:pPr>
      <w:r w:rsidRPr="00B97A25">
        <w:rPr>
          <w:rFonts w:ascii="Book Antiqua" w:hAnsi="Book Antiqua"/>
          <w:b/>
          <w:bCs/>
          <w:color w:val="365F91" w:themeColor="accent1" w:themeShade="BF"/>
          <w:sz w:val="20"/>
        </w:rPr>
        <w:t xml:space="preserve">Metode Pengabdian: </w:t>
      </w:r>
      <w:r w:rsidR="00794317" w:rsidRPr="006E40C1">
        <w:rPr>
          <w:rFonts w:ascii="Book Antiqua" w:hAnsi="Book Antiqua" w:cs="TimesNewRomanPS-BoldMT"/>
          <w:bCs/>
          <w:sz w:val="20"/>
        </w:rPr>
        <w:t xml:space="preserve">Kegiatan dilaksanakan di Fakultas Hukum Universitas Pattimura. </w:t>
      </w:r>
      <w:proofErr w:type="gramStart"/>
      <w:r w:rsidR="00794317" w:rsidRPr="006E40C1">
        <w:rPr>
          <w:rFonts w:ascii="Book Antiqua" w:hAnsi="Book Antiqua" w:cs="Calibri"/>
          <w:color w:val="000000" w:themeColor="text1"/>
          <w:sz w:val="20"/>
          <w:szCs w:val="24"/>
        </w:rPr>
        <w:t>Adapun hal yang pertama dilakukan adalah membangun komunikasi dengan para pengurus UKM Peradilan Semu.</w:t>
      </w:r>
      <w:proofErr w:type="gramEnd"/>
      <w:r w:rsidR="00794317" w:rsidRPr="006E40C1">
        <w:rPr>
          <w:rFonts w:ascii="Book Antiqua" w:hAnsi="Book Antiqua" w:cs="Calibri"/>
          <w:color w:val="000000" w:themeColor="text1"/>
          <w:sz w:val="20"/>
          <w:szCs w:val="24"/>
        </w:rPr>
        <w:t xml:space="preserve"> </w:t>
      </w:r>
      <w:proofErr w:type="gramStart"/>
      <w:r w:rsidR="00794317" w:rsidRPr="006E40C1">
        <w:rPr>
          <w:rFonts w:ascii="Book Antiqua" w:hAnsi="Book Antiqua" w:cs="TimesNewRomanPS-BoldMT"/>
          <w:bCs/>
          <w:sz w:val="20"/>
        </w:rPr>
        <w:t>Pada hari kegiatan dilaksanakan, kegiatan dimulai dengan dibuka oleh pembina UKM, selanjutnya kegiatan dipandu oleh moderator untuk memandu sepanjang kegiatan berlangsung.</w:t>
      </w:r>
      <w:proofErr w:type="gramEnd"/>
      <w:r w:rsidR="00794317" w:rsidRPr="006E40C1">
        <w:rPr>
          <w:rFonts w:ascii="Book Antiqua" w:hAnsi="Book Antiqua" w:cs="TimesNewRomanPS-BoldMT"/>
          <w:bCs/>
          <w:sz w:val="20"/>
        </w:rPr>
        <w:t xml:space="preserve"> Materi dibawakan oleh narasumber dengan </w:t>
      </w:r>
      <w:proofErr w:type="gramStart"/>
      <w:r w:rsidR="00794317" w:rsidRPr="006E40C1">
        <w:rPr>
          <w:rFonts w:ascii="Book Antiqua" w:hAnsi="Book Antiqua" w:cs="TimesNewRomanPS-BoldMT"/>
          <w:bCs/>
          <w:sz w:val="20"/>
        </w:rPr>
        <w:t>cara</w:t>
      </w:r>
      <w:proofErr w:type="gramEnd"/>
      <w:r w:rsidR="00794317" w:rsidRPr="006E40C1">
        <w:rPr>
          <w:rFonts w:ascii="Book Antiqua" w:hAnsi="Book Antiqua" w:cs="TimesNewRomanPS-BoldMT"/>
          <w:bCs/>
          <w:sz w:val="20"/>
        </w:rPr>
        <w:t xml:space="preserve"> ceramah dan membuka sesi diskusi dengan para peserta</w:t>
      </w:r>
      <w:r w:rsidR="00337732">
        <w:rPr>
          <w:rFonts w:ascii="Book Antiqua" w:hAnsi="Book Antiqua" w:cs="TimesNewRomanPS-BoldMT"/>
          <w:bCs/>
          <w:sz w:val="20"/>
        </w:rPr>
        <w:t>.</w:t>
      </w:r>
    </w:p>
    <w:p w14:paraId="77F4CD14" w14:textId="570C879F" w:rsidR="00682D3A" w:rsidRPr="006E40C1" w:rsidRDefault="005A53F6" w:rsidP="006E40C1">
      <w:pPr>
        <w:spacing w:after="0" w:line="240" w:lineRule="auto"/>
        <w:ind w:right="-108"/>
        <w:jc w:val="both"/>
        <w:rPr>
          <w:rFonts w:ascii="Book Antiqua" w:hAnsi="Book Antiqua"/>
          <w:bCs/>
          <w:sz w:val="20"/>
        </w:rPr>
      </w:pPr>
      <w:r w:rsidRPr="00B97A25">
        <w:rPr>
          <w:rFonts w:ascii="Book Antiqua" w:hAnsi="Book Antiqua"/>
          <w:b/>
          <w:bCs/>
          <w:color w:val="365F91" w:themeColor="accent1" w:themeShade="BF"/>
          <w:sz w:val="20"/>
        </w:rPr>
        <w:lastRenderedPageBreak/>
        <w:t>Hasil/Temuan Pengabdian:</w:t>
      </w:r>
      <w:r w:rsidRPr="00B97A25">
        <w:rPr>
          <w:rFonts w:ascii="Book Antiqua" w:hAnsi="Book Antiqua"/>
          <w:b/>
          <w:bCs/>
          <w:sz w:val="20"/>
        </w:rPr>
        <w:t xml:space="preserve"> </w:t>
      </w:r>
      <w:r w:rsidR="00C07F6D" w:rsidRPr="006E40C1">
        <w:rPr>
          <w:rFonts w:ascii="Book Antiqua" w:hAnsi="Book Antiqua"/>
          <w:bCs/>
          <w:sz w:val="20"/>
        </w:rPr>
        <w:t>Se</w:t>
      </w:r>
      <w:r w:rsidR="006E40C1">
        <w:rPr>
          <w:rFonts w:ascii="Book Antiqua" w:hAnsi="Book Antiqua"/>
          <w:bCs/>
          <w:sz w:val="20"/>
        </w:rPr>
        <w:t xml:space="preserve">telah melakukan kegiatan ini dapat diketahui bahwa </w:t>
      </w:r>
      <w:r w:rsidR="006E40C1" w:rsidRPr="006E40C1">
        <w:rPr>
          <w:rFonts w:ascii="Book Antiqua" w:hAnsi="Book Antiqua" w:cs="Calibri"/>
          <w:color w:val="000000" w:themeColor="text1"/>
          <w:sz w:val="20"/>
          <w:szCs w:val="24"/>
        </w:rPr>
        <w:t>tidaklah sulit untuk seorang mahasiswa untuk mendapat serta mengelola informasi</w:t>
      </w:r>
      <w:r w:rsidR="006E40C1">
        <w:rPr>
          <w:rFonts w:ascii="Book Antiqua" w:hAnsi="Book Antiqua" w:cs="Calibri"/>
          <w:color w:val="000000" w:themeColor="text1"/>
          <w:sz w:val="20"/>
          <w:szCs w:val="24"/>
        </w:rPr>
        <w:t xml:space="preserve"> terkait perkembangan hukum saat ini </w:t>
      </w:r>
      <w:r w:rsidR="006E40C1">
        <w:rPr>
          <w:rFonts w:ascii="Book Antiqua" w:hAnsi="Book Antiqua" w:cs="Calibri"/>
          <w:color w:val="000000" w:themeColor="text1"/>
          <w:szCs w:val="24"/>
        </w:rPr>
        <w:t xml:space="preserve">terkait tindak pidana bahkan juga pertanggungjawaban pidana. Bahwa peningkatan pemahaman dan mengasah kemampuan di bidang hukum ini harus dilakukan secara berkala, sehingga jika mereka mengikuti kompetisi bahkan terjun langsung kemasyarakat, mereka </w:t>
      </w:r>
      <w:proofErr w:type="gramStart"/>
      <w:r w:rsidR="006E40C1">
        <w:rPr>
          <w:rFonts w:ascii="Book Antiqua" w:hAnsi="Book Antiqua" w:cs="Calibri"/>
          <w:color w:val="000000" w:themeColor="text1"/>
          <w:szCs w:val="24"/>
        </w:rPr>
        <w:t>akan</w:t>
      </w:r>
      <w:proofErr w:type="gramEnd"/>
      <w:r w:rsidR="006E40C1">
        <w:rPr>
          <w:rFonts w:ascii="Book Antiqua" w:hAnsi="Book Antiqua" w:cs="Calibri"/>
          <w:color w:val="000000" w:themeColor="text1"/>
          <w:szCs w:val="24"/>
        </w:rPr>
        <w:t xml:space="preserve"> menjadi praktisi dan akademisi yang berkompeten.</w:t>
      </w:r>
    </w:p>
    <w:p w14:paraId="056C62AB" w14:textId="77777777" w:rsidR="00682D3A" w:rsidRPr="00D56156" w:rsidRDefault="00682D3A" w:rsidP="00682D3A">
      <w:pPr>
        <w:numPr>
          <w:ilvl w:val="0"/>
          <w:numId w:val="1"/>
        </w:numPr>
        <w:spacing w:after="120" w:line="240" w:lineRule="auto"/>
        <w:ind w:left="284" w:hanging="284"/>
        <w:rPr>
          <w:rFonts w:ascii="Book Antiqua" w:hAnsi="Book Antiqua"/>
          <w:b/>
          <w:bCs/>
          <w:color w:val="8064A2" w:themeColor="accent4"/>
          <w:lang w:val="id-ID"/>
        </w:rPr>
      </w:pPr>
      <w:r w:rsidRPr="00D56156">
        <w:rPr>
          <w:rFonts w:ascii="Book Antiqua" w:hAnsi="Book Antiqua"/>
          <w:b/>
          <w:bCs/>
          <w:color w:val="FF0000"/>
        </w:rPr>
        <w:t>Pendahuluan</w:t>
      </w:r>
      <w:r w:rsidRPr="00D56156">
        <w:rPr>
          <w:rFonts w:ascii="Book Antiqua" w:hAnsi="Book Antiqua"/>
          <w:b/>
          <w:bCs/>
          <w:color w:val="8064A2" w:themeColor="accent4"/>
          <w:lang w:val="id-ID"/>
        </w:rPr>
        <w:t xml:space="preserve"> </w:t>
      </w:r>
    </w:p>
    <w:p w14:paraId="2A11EAE7" w14:textId="77777777" w:rsidR="00F6257F" w:rsidRPr="00D56156" w:rsidRDefault="00FB0A18" w:rsidP="009C1D25">
      <w:pPr>
        <w:spacing w:after="120" w:line="240" w:lineRule="auto"/>
        <w:ind w:firstLine="567"/>
        <w:jc w:val="both"/>
        <w:rPr>
          <w:rFonts w:ascii="Book Antiqua" w:hAnsi="Book Antiqua"/>
          <w:bCs/>
          <w:color w:val="000000" w:themeColor="text1"/>
        </w:rPr>
      </w:pPr>
      <w:r w:rsidRPr="00D56156">
        <w:rPr>
          <w:rFonts w:ascii="Book Antiqua" w:hAnsi="Book Antiqua"/>
          <w:bCs/>
          <w:color w:val="000000" w:themeColor="text1"/>
        </w:rPr>
        <w:t xml:space="preserve">Unit Kegiatan Mahasiswa </w:t>
      </w:r>
      <w:r w:rsidR="003D5073" w:rsidRPr="00D56156">
        <w:rPr>
          <w:rFonts w:ascii="Book Antiqua" w:hAnsi="Book Antiqua"/>
          <w:bCs/>
          <w:color w:val="000000" w:themeColor="text1"/>
        </w:rPr>
        <w:t xml:space="preserve">(selanjutnya disebut </w:t>
      </w:r>
      <w:r w:rsidRPr="00D56156">
        <w:rPr>
          <w:rFonts w:ascii="Book Antiqua" w:hAnsi="Book Antiqua"/>
          <w:bCs/>
          <w:color w:val="000000" w:themeColor="text1"/>
        </w:rPr>
        <w:t>UKM</w:t>
      </w:r>
      <w:r w:rsidR="003D5073" w:rsidRPr="00D56156">
        <w:rPr>
          <w:rFonts w:ascii="Book Antiqua" w:hAnsi="Book Antiqua"/>
          <w:bCs/>
          <w:color w:val="000000" w:themeColor="text1"/>
        </w:rPr>
        <w:t>)</w:t>
      </w:r>
      <w:r w:rsidRPr="00D56156">
        <w:rPr>
          <w:rFonts w:ascii="Book Antiqua" w:hAnsi="Book Antiqua"/>
          <w:bCs/>
          <w:color w:val="000000" w:themeColor="text1"/>
        </w:rPr>
        <w:t xml:space="preserve"> merupakan wadah kegiatan kemahasiswaan yang dilakukan di luar kelas.  UKM</w:t>
      </w:r>
      <w:r w:rsidR="009C1D25" w:rsidRPr="00D56156">
        <w:rPr>
          <w:rFonts w:ascii="Book Antiqua" w:hAnsi="Book Antiqua"/>
          <w:bCs/>
          <w:color w:val="000000" w:themeColor="text1"/>
        </w:rPr>
        <w:t xml:space="preserve"> merupakan w</w:t>
      </w:r>
      <w:r w:rsidR="00086313" w:rsidRPr="00D56156">
        <w:rPr>
          <w:rFonts w:ascii="Book Antiqua" w:hAnsi="Book Antiqua"/>
          <w:bCs/>
          <w:color w:val="000000" w:themeColor="text1"/>
        </w:rPr>
        <w:t>a</w:t>
      </w:r>
      <w:r w:rsidR="009C1D25" w:rsidRPr="00D56156">
        <w:rPr>
          <w:rFonts w:ascii="Book Antiqua" w:hAnsi="Book Antiqua"/>
          <w:bCs/>
          <w:color w:val="000000" w:themeColor="text1"/>
        </w:rPr>
        <w:t xml:space="preserve">dah untuk mengembangkan minat, bakat dan keahlian-keahlian tertentu yang tidak mereka dapatkan di dalam kelas pada umumnya. UKM kerap kali mengahasilkan prestasi-prestasi baik tingkat nasional maupun internasional. Sehingga </w:t>
      </w:r>
      <w:proofErr w:type="gramStart"/>
      <w:r w:rsidR="009C1D25" w:rsidRPr="00D56156">
        <w:rPr>
          <w:rFonts w:ascii="Book Antiqua" w:hAnsi="Book Antiqua"/>
          <w:bCs/>
          <w:color w:val="000000" w:themeColor="text1"/>
        </w:rPr>
        <w:t>prestasi  yang</w:t>
      </w:r>
      <w:proofErr w:type="gramEnd"/>
      <w:r w:rsidR="009C1D25" w:rsidRPr="00D56156">
        <w:rPr>
          <w:rFonts w:ascii="Book Antiqua" w:hAnsi="Book Antiqua"/>
          <w:bCs/>
          <w:color w:val="000000" w:themeColor="text1"/>
        </w:rPr>
        <w:t xml:space="preserve"> membanggakan ini banyak membantu untuk mendongkrak ranking Universitas</w:t>
      </w:r>
      <w:r w:rsidR="003D5073" w:rsidRPr="00D56156">
        <w:rPr>
          <w:rFonts w:ascii="Book Antiqua" w:hAnsi="Book Antiqua"/>
          <w:bCs/>
          <w:color w:val="000000" w:themeColor="text1"/>
        </w:rPr>
        <w:t xml:space="preserve"> itu sendiri. Salah satu Unit Kegiatan Mahasiswa yang berada dalam lingkup Fakultas Hukum Universitas Pattimura adalah UKM Peradilan Semu.</w:t>
      </w:r>
      <w:r w:rsidR="00C94B83" w:rsidRPr="00D56156">
        <w:rPr>
          <w:rFonts w:ascii="Book Antiqua" w:hAnsi="Book Antiqua"/>
          <w:bCs/>
          <w:color w:val="000000" w:themeColor="text1"/>
        </w:rPr>
        <w:t xml:space="preserve"> </w:t>
      </w:r>
    </w:p>
    <w:p w14:paraId="0C6D5CEA" w14:textId="5F3C6C88" w:rsidR="00FA76BF" w:rsidRPr="00D56156" w:rsidRDefault="00C94B83" w:rsidP="0058386E">
      <w:pPr>
        <w:spacing w:after="120" w:line="240" w:lineRule="auto"/>
        <w:ind w:firstLine="567"/>
        <w:jc w:val="both"/>
        <w:rPr>
          <w:rFonts w:ascii="Book Antiqua" w:hAnsi="Book Antiqua"/>
          <w:bCs/>
          <w:color w:val="000000" w:themeColor="text1"/>
        </w:rPr>
      </w:pPr>
      <w:r w:rsidRPr="00D56156">
        <w:rPr>
          <w:rFonts w:ascii="Book Antiqua" w:hAnsi="Book Antiqua"/>
          <w:bCs/>
          <w:color w:val="000000" w:themeColor="text1"/>
        </w:rPr>
        <w:t>UKM kerap kali mengadakan kegiatan untuk meningkatkan kompetensi pada setiap anggotanya. Salah satunya dengan mengadakan kegiatan untuk meningkatkan pengetahuan dan mengasah kemampuan anggota UKM Peradilan Semu, pengetahuan perkembangan hukum pidana di Indonesia menjadi salah satu kajian ilmu yang dikaji.</w:t>
      </w:r>
      <w:r w:rsidR="00C43242" w:rsidRPr="00D56156">
        <w:rPr>
          <w:rFonts w:ascii="Book Antiqua" w:hAnsi="Book Antiqua"/>
          <w:bCs/>
          <w:color w:val="000000" w:themeColor="text1"/>
        </w:rPr>
        <w:t xml:space="preserve"> Perkembangan hukum Indonesia merupakan pengharapan menciptakan hukum yang menjiwai bangsa.</w:t>
      </w:r>
      <w:r w:rsidR="00C43242" w:rsidRPr="00D56156">
        <w:rPr>
          <w:rStyle w:val="FootnoteReference"/>
          <w:rFonts w:ascii="Book Antiqua" w:hAnsi="Book Antiqua"/>
          <w:bCs/>
          <w:color w:val="000000" w:themeColor="text1"/>
        </w:rPr>
        <w:footnoteReference w:id="1"/>
      </w:r>
      <w:r w:rsidR="0058386E" w:rsidRPr="00D56156">
        <w:rPr>
          <w:rFonts w:ascii="Book Antiqua" w:hAnsi="Book Antiqua"/>
          <w:bCs/>
          <w:color w:val="000000" w:themeColor="text1"/>
        </w:rPr>
        <w:t xml:space="preserve"> </w:t>
      </w:r>
    </w:p>
    <w:p w14:paraId="6F9D3ADC" w14:textId="77777777" w:rsidR="002B6300" w:rsidRPr="00D56156" w:rsidRDefault="00335C81" w:rsidP="002B6300">
      <w:pPr>
        <w:spacing w:after="120" w:line="240" w:lineRule="auto"/>
        <w:ind w:firstLine="567"/>
        <w:jc w:val="both"/>
        <w:rPr>
          <w:rFonts w:ascii="Book Antiqua" w:hAnsi="Book Antiqua"/>
          <w:bCs/>
          <w:color w:val="000000" w:themeColor="text1"/>
        </w:rPr>
      </w:pPr>
      <w:r w:rsidRPr="00D56156">
        <w:rPr>
          <w:rFonts w:ascii="Book Antiqua" w:hAnsi="Book Antiqua"/>
          <w:bCs/>
          <w:color w:val="000000" w:themeColor="text1"/>
        </w:rPr>
        <w:t>Salah satu hal yang sering menjadi perhatian dalam kegiatan peningkatan kompetensi adalah penguatan terkait pemahaman mahasiswa/anggota UKM terkait</w:t>
      </w:r>
      <w:r w:rsidR="002B6300" w:rsidRPr="00D56156">
        <w:rPr>
          <w:rFonts w:ascii="Book Antiqua" w:hAnsi="Book Antiqua"/>
          <w:bCs/>
          <w:color w:val="000000" w:themeColor="text1"/>
        </w:rPr>
        <w:t xml:space="preserve"> </w:t>
      </w:r>
      <w:r w:rsidRPr="00D56156">
        <w:rPr>
          <w:rFonts w:ascii="Book Antiqua" w:hAnsi="Book Antiqua"/>
          <w:bCs/>
          <w:color w:val="000000" w:themeColor="text1"/>
        </w:rPr>
        <w:t>Kitab Undang-Undang Hukum Pidana yang dikenal dengan KUHP</w:t>
      </w:r>
      <w:r w:rsidR="002B6300" w:rsidRPr="00D56156">
        <w:rPr>
          <w:rFonts w:ascii="Book Antiqua" w:hAnsi="Book Antiqua"/>
          <w:bCs/>
          <w:color w:val="000000" w:themeColor="text1"/>
        </w:rPr>
        <w:t>. KUHP</w:t>
      </w:r>
      <w:r w:rsidRPr="00D56156">
        <w:rPr>
          <w:rFonts w:ascii="Book Antiqua" w:hAnsi="Book Antiqua"/>
          <w:bCs/>
          <w:color w:val="000000" w:themeColor="text1"/>
        </w:rPr>
        <w:t xml:space="preserve"> merupakan suatu aturan kodifikasi dalam hukum pidana yang seharusnya memuat semua aturan tindak pidana di dalamnya, akan tetapi hal itu tidak mungkin karena seiring dengan perkembangan jaman akan timbul perbuatan-perbuatan (tindak pidana) baru yang belum diatur dalam KUHP.</w:t>
      </w:r>
      <w:r w:rsidRPr="00D56156">
        <w:rPr>
          <w:rStyle w:val="FootnoteReference"/>
          <w:rFonts w:ascii="Book Antiqua" w:hAnsi="Book Antiqua"/>
          <w:bCs/>
          <w:color w:val="000000" w:themeColor="text1"/>
        </w:rPr>
        <w:footnoteReference w:id="2"/>
      </w:r>
      <w:r w:rsidRPr="00D56156">
        <w:rPr>
          <w:rFonts w:ascii="Book Antiqua" w:hAnsi="Book Antiqua"/>
          <w:bCs/>
          <w:color w:val="000000" w:themeColor="text1"/>
        </w:rPr>
        <w:t xml:space="preserve"> KUHP ini mempunyai nama asli </w:t>
      </w:r>
      <w:r w:rsidRPr="00D56156">
        <w:rPr>
          <w:rFonts w:ascii="Book Antiqua" w:hAnsi="Book Antiqua"/>
          <w:bCs/>
          <w:i/>
          <w:color w:val="000000" w:themeColor="text1"/>
        </w:rPr>
        <w:t>Wetboek van Strafrecht voor Nederlandsch Indie</w:t>
      </w:r>
      <w:r w:rsidRPr="00D56156">
        <w:rPr>
          <w:rFonts w:ascii="Book Antiqua" w:hAnsi="Book Antiqua"/>
          <w:bCs/>
          <w:color w:val="000000" w:themeColor="text1"/>
        </w:rPr>
        <w:t xml:space="preserve"> (WvSNI) yang diberlakukan di Indonesia pertama kali dengan </w:t>
      </w:r>
      <w:r w:rsidRPr="00D56156">
        <w:rPr>
          <w:rFonts w:ascii="Book Antiqua" w:hAnsi="Book Antiqua"/>
          <w:bCs/>
          <w:i/>
          <w:color w:val="000000" w:themeColor="text1"/>
        </w:rPr>
        <w:t>Koninklijk Besluit</w:t>
      </w:r>
      <w:r w:rsidRPr="00D56156">
        <w:rPr>
          <w:rFonts w:ascii="Book Antiqua" w:hAnsi="Book Antiqua"/>
          <w:bCs/>
          <w:color w:val="000000" w:themeColor="text1"/>
        </w:rPr>
        <w:t xml:space="preserve"> (Titah Raja) Nomor 33 15 Oktober 1915 dan mulai diberlakukan sejak tanggal 1 Januari 1918. WvSNI merupakan turunan dari WvS negeri Belanda yang dibuat pada tahun 1881 dan diberlakukan di negara Belanda pada tahun 1886. Walaupun WvSNI notabene turunan (copy) dari WvS Belanda, namun pemerintah kolonial pada saat itu menerapkan asas konkordansi (penyesuaian) bagi pemberlakuan WvS di negara jajahannya. Beberapa pasal dihapuskan dan disesuaikan dengan kondisi dan misi kolonialisme Belanda atas wilayah Indonesia.</w:t>
      </w:r>
      <w:r w:rsidRPr="00D56156">
        <w:rPr>
          <w:rStyle w:val="FootnoteReference"/>
          <w:rFonts w:ascii="Book Antiqua" w:hAnsi="Book Antiqua"/>
          <w:bCs/>
          <w:color w:val="000000" w:themeColor="text1"/>
        </w:rPr>
        <w:footnoteReference w:id="3"/>
      </w:r>
      <w:r w:rsidRPr="00D56156">
        <w:rPr>
          <w:rFonts w:ascii="Book Antiqua" w:hAnsi="Book Antiqua"/>
          <w:bCs/>
          <w:color w:val="000000" w:themeColor="text1"/>
        </w:rPr>
        <w:t xml:space="preserve"> Menilik Kitab Undang-undang Hukum Pidana sebagai kodifikasi hukum pidana terdapat pokok bahasan yang sangat krusial yakni, pidana, tindak pidana, pertanggung jawaban pidana.</w:t>
      </w:r>
    </w:p>
    <w:p w14:paraId="5A922AF0" w14:textId="39363508" w:rsidR="00967CE6" w:rsidRPr="00D56156" w:rsidRDefault="00C43242" w:rsidP="002B6300">
      <w:pPr>
        <w:spacing w:after="120" w:line="240" w:lineRule="auto"/>
        <w:ind w:firstLine="567"/>
        <w:jc w:val="both"/>
        <w:rPr>
          <w:rFonts w:ascii="Book Antiqua" w:hAnsi="Book Antiqua"/>
          <w:bCs/>
          <w:color w:val="000000" w:themeColor="text1"/>
        </w:rPr>
      </w:pPr>
      <w:r w:rsidRPr="00D56156">
        <w:rPr>
          <w:rFonts w:ascii="Book Antiqua" w:hAnsi="Book Antiqua"/>
          <w:bCs/>
          <w:color w:val="000000" w:themeColor="text1"/>
        </w:rPr>
        <w:t xml:space="preserve">Hukum pidana merupakan hukum yang bersifat publik. </w:t>
      </w:r>
      <w:r w:rsidR="00967CE6" w:rsidRPr="00D56156">
        <w:rPr>
          <w:rFonts w:ascii="Book Antiqua" w:hAnsi="Book Antiqua"/>
          <w:bCs/>
          <w:color w:val="000000" w:themeColor="text1"/>
        </w:rPr>
        <w:t xml:space="preserve">Van Hamel mengartikan hukum pidana sebagai keseluruhan dasar dan aturan yang dianut oleh Negara dalam kewajibannya </w:t>
      </w:r>
      <w:r w:rsidR="00967CE6" w:rsidRPr="00D56156">
        <w:rPr>
          <w:rFonts w:ascii="Book Antiqua" w:hAnsi="Book Antiqua"/>
          <w:bCs/>
          <w:color w:val="000000" w:themeColor="text1"/>
        </w:rPr>
        <w:lastRenderedPageBreak/>
        <w:t xml:space="preserve">untuk menegakkan hukum, yakni dengan melarang apa yang bertentangan dengan hukum dan mengenakan suatu </w:t>
      </w:r>
      <w:proofErr w:type="gramStart"/>
      <w:r w:rsidR="00967CE6" w:rsidRPr="00D56156">
        <w:rPr>
          <w:rFonts w:ascii="Book Antiqua" w:hAnsi="Book Antiqua"/>
          <w:bCs/>
          <w:color w:val="000000" w:themeColor="text1"/>
        </w:rPr>
        <w:t>nestapa  (</w:t>
      </w:r>
      <w:proofErr w:type="gramEnd"/>
      <w:r w:rsidR="00967CE6" w:rsidRPr="00D56156">
        <w:rPr>
          <w:rFonts w:ascii="Book Antiqua" w:hAnsi="Book Antiqua"/>
          <w:bCs/>
          <w:color w:val="000000" w:themeColor="text1"/>
        </w:rPr>
        <w:t xml:space="preserve">penderitaan) kepada yang melanggar larangan tersebut. Menurut Simon hukum pidana merupakan a. keseluruhan larangan atau perintah yang oleh negara diancam dengan nestapa yaitu suatu “pidana” apabila tidak ditaati, b. keseluruhan peraturan yang menetapkan syarat-syarat untuk penjatuhan pidana dan c. keselurahan ketentuanyang memberikan dasar untuk penjatuhan dan penerapan pidana. </w:t>
      </w:r>
      <w:r w:rsidR="00967CE6" w:rsidRPr="00D56156">
        <w:rPr>
          <w:rStyle w:val="FootnoteReference"/>
          <w:rFonts w:ascii="Book Antiqua" w:hAnsi="Book Antiqua"/>
          <w:bCs/>
          <w:color w:val="000000" w:themeColor="text1"/>
        </w:rPr>
        <w:footnoteReference w:id="4"/>
      </w:r>
    </w:p>
    <w:p w14:paraId="18918E54" w14:textId="3C7E958F" w:rsidR="00FC527D" w:rsidRPr="00FB0A18" w:rsidRDefault="00FC527D" w:rsidP="00335C81">
      <w:pPr>
        <w:spacing w:after="120" w:line="240" w:lineRule="auto"/>
        <w:ind w:firstLine="567"/>
        <w:jc w:val="both"/>
        <w:rPr>
          <w:rFonts w:ascii="Book Antiqua" w:hAnsi="Book Antiqua"/>
          <w:bCs/>
          <w:color w:val="000000" w:themeColor="text1"/>
          <w:sz w:val="24"/>
        </w:rPr>
      </w:pPr>
    </w:p>
    <w:p w14:paraId="230DDF05" w14:textId="77777777" w:rsidR="00E107FF" w:rsidRPr="00D56156" w:rsidRDefault="00E107FF" w:rsidP="00E107FF">
      <w:pPr>
        <w:numPr>
          <w:ilvl w:val="0"/>
          <w:numId w:val="1"/>
        </w:numPr>
        <w:spacing w:after="120" w:line="240" w:lineRule="auto"/>
        <w:ind w:left="284" w:hanging="284"/>
        <w:rPr>
          <w:rFonts w:ascii="Book Antiqua" w:hAnsi="Book Antiqua"/>
          <w:b/>
          <w:bCs/>
          <w:color w:val="FF0000"/>
          <w:lang w:val="id-ID"/>
        </w:rPr>
      </w:pPr>
      <w:r w:rsidRPr="00D56156">
        <w:rPr>
          <w:rFonts w:ascii="Book Antiqua" w:hAnsi="Book Antiqua"/>
          <w:b/>
          <w:bCs/>
          <w:color w:val="FF0000"/>
        </w:rPr>
        <w:t>Metode Pengabdian</w:t>
      </w:r>
    </w:p>
    <w:p w14:paraId="663186A0" w14:textId="6636A3C7" w:rsidR="00861064" w:rsidRPr="0060715F" w:rsidRDefault="0060715F" w:rsidP="00F6257F">
      <w:pPr>
        <w:autoSpaceDE w:val="0"/>
        <w:autoSpaceDN w:val="0"/>
        <w:adjustRightInd w:val="0"/>
        <w:spacing w:after="0" w:line="240" w:lineRule="auto"/>
        <w:ind w:firstLine="567"/>
        <w:jc w:val="both"/>
        <w:rPr>
          <w:rFonts w:ascii="Book Antiqua" w:hAnsi="Book Antiqua" w:cs="Calibri"/>
          <w:color w:val="000000" w:themeColor="text1"/>
        </w:rPr>
      </w:pPr>
      <w:r w:rsidRPr="0060715F">
        <w:rPr>
          <w:rFonts w:ascii="Book Antiqua" w:hAnsi="Book Antiqua" w:cs="Calibri"/>
          <w:color w:val="000000" w:themeColor="text1"/>
          <w:szCs w:val="24"/>
        </w:rPr>
        <w:t xml:space="preserve">Sehubungan dengan akan diadakannya salah satu program kerja pada Unit Kegiatan </w:t>
      </w:r>
      <w:proofErr w:type="gramStart"/>
      <w:r w:rsidRPr="0060715F">
        <w:rPr>
          <w:rFonts w:ascii="Book Antiqua" w:hAnsi="Book Antiqua" w:cs="Calibri"/>
          <w:color w:val="000000" w:themeColor="text1"/>
          <w:szCs w:val="24"/>
        </w:rPr>
        <w:t>Mahasiswa  (</w:t>
      </w:r>
      <w:proofErr w:type="gramEnd"/>
      <w:r w:rsidRPr="0060715F">
        <w:rPr>
          <w:rFonts w:ascii="Book Antiqua" w:hAnsi="Book Antiqua" w:cs="Calibri"/>
          <w:color w:val="000000" w:themeColor="text1"/>
          <w:szCs w:val="24"/>
        </w:rPr>
        <w:t xml:space="preserve">UKM) Peradilan Semu Fakultas Hukum Universitas Pattimura (Selanjutnya disebut FH Unpatti). Maka, pembina dari UKM Peradilan Semu FH Unpatti melakukan koordinasi dengan para narasumber dalam hal ini para penulis untuk mengisi kegiatan tersebut. </w:t>
      </w:r>
      <w:r w:rsidR="00770905">
        <w:rPr>
          <w:rFonts w:ascii="Book Antiqua" w:hAnsi="Book Antiqua" w:cs="Calibri"/>
          <w:color w:val="000000" w:themeColor="text1"/>
          <w:szCs w:val="24"/>
        </w:rPr>
        <w:t>Adapun h</w:t>
      </w:r>
      <w:r w:rsidRPr="0060715F">
        <w:rPr>
          <w:rFonts w:ascii="Book Antiqua" w:hAnsi="Book Antiqua" w:cs="Calibri"/>
          <w:color w:val="000000" w:themeColor="text1"/>
          <w:szCs w:val="24"/>
        </w:rPr>
        <w:t xml:space="preserve">al yang pertama dilakukan adalah membangun komunikasi dengan para pengurus UKM Peradilan Semu, sehingga dari hasil diskusi tersebut para pengurus mengusung tema kegiatan </w:t>
      </w:r>
      <w:r w:rsidRPr="0060715F">
        <w:rPr>
          <w:rFonts w:ascii="Book Antiqua" w:hAnsi="Book Antiqua" w:cs="TimesNewRomanPS-BoldMT"/>
          <w:bCs/>
        </w:rPr>
        <w:t>Meningkatkan Pengetahuan dan Mengasah Kemampuan</w:t>
      </w:r>
      <w:r>
        <w:rPr>
          <w:rFonts w:ascii="Book Antiqua" w:hAnsi="Book Antiqua" w:cs="TimesNewRomanPS-BoldMT"/>
          <w:bCs/>
        </w:rPr>
        <w:t xml:space="preserve">  </w:t>
      </w:r>
      <w:r>
        <w:rPr>
          <w:rFonts w:ascii="Book Antiqua" w:hAnsi="Book Antiqua" w:cs="Times New Roman"/>
          <w:bCs/>
        </w:rPr>
        <w:t>Mahasiswa</w:t>
      </w:r>
      <w:r w:rsidRPr="0060715F">
        <w:rPr>
          <w:rFonts w:ascii="Book Antiqua" w:hAnsi="Book Antiqua" w:cs="Times New Roman"/>
          <w:bCs/>
        </w:rPr>
        <w:t xml:space="preserve"> Hukum terkait Hukum </w:t>
      </w:r>
      <w:r w:rsidRPr="0060715F">
        <w:rPr>
          <w:rFonts w:ascii="Book Antiqua" w:hAnsi="Book Antiqua" w:cs="TimesNewRomanPS-BoldMT"/>
          <w:bCs/>
        </w:rPr>
        <w:t>Pidana</w:t>
      </w:r>
      <w:r>
        <w:rPr>
          <w:rFonts w:ascii="Book Antiqua" w:hAnsi="Book Antiqua" w:cs="TimesNewRomanPS-BoldMT"/>
          <w:bCs/>
        </w:rPr>
        <w:t xml:space="preserve"> dengan Topik Tindak Pidana, Pertanggungjawaban Pidana, Pidana dan Pemidanaan. Setelah itu para </w:t>
      </w:r>
      <w:r w:rsidR="00A25ECF">
        <w:rPr>
          <w:rFonts w:ascii="Book Antiqua" w:hAnsi="Book Antiqua" w:cs="TimesNewRomanPS-BoldMT"/>
          <w:bCs/>
        </w:rPr>
        <w:t>pengurus UKM menetapkan jadwal pelaksanaan kegiatan tersebut. Pada hari kegiatan dilaksanakan, kegiatan dimulai dengan dibuka oleh pembina UKM, selanjutnya kegiatan dipandu oleh moderator untuk memandu sepanjang kegiatan</w:t>
      </w:r>
      <w:r w:rsidR="00091342">
        <w:rPr>
          <w:rFonts w:ascii="Book Antiqua" w:hAnsi="Book Antiqua" w:cs="TimesNewRomanPS-BoldMT"/>
          <w:bCs/>
        </w:rPr>
        <w:t xml:space="preserve"> berlangsung. Materi d</w:t>
      </w:r>
      <w:r w:rsidR="00F6257F">
        <w:rPr>
          <w:rFonts w:ascii="Book Antiqua" w:hAnsi="Book Antiqua" w:cs="TimesNewRomanPS-BoldMT"/>
          <w:bCs/>
        </w:rPr>
        <w:t>ibawakan oleh narasumber dengan cara ceramah dan membuka sesi diskusi dengan para peserta.</w:t>
      </w:r>
    </w:p>
    <w:p w14:paraId="150690BA" w14:textId="77777777" w:rsidR="00107D68" w:rsidRDefault="00107D68" w:rsidP="00576CD1">
      <w:pPr>
        <w:pStyle w:val="ListParagraph"/>
        <w:spacing w:after="120" w:line="240" w:lineRule="auto"/>
        <w:ind w:left="0" w:firstLine="567"/>
        <w:jc w:val="both"/>
        <w:rPr>
          <w:rFonts w:ascii="Book Antiqua" w:hAnsi="Book Antiqua" w:cs="Calibri"/>
          <w:color w:val="000000" w:themeColor="text1"/>
          <w:szCs w:val="24"/>
        </w:rPr>
      </w:pPr>
    </w:p>
    <w:p w14:paraId="37EAF8ED" w14:textId="77777777" w:rsidR="00AC3659" w:rsidRDefault="00AC3659" w:rsidP="00576CD1">
      <w:pPr>
        <w:pStyle w:val="ListParagraph"/>
        <w:spacing w:after="120" w:line="240" w:lineRule="auto"/>
        <w:ind w:left="0" w:firstLine="567"/>
        <w:jc w:val="both"/>
        <w:rPr>
          <w:rFonts w:ascii="Book Antiqua" w:hAnsi="Book Antiqua"/>
          <w:b/>
          <w:bCs/>
          <w:color w:val="FF0000"/>
          <w:sz w:val="24"/>
        </w:rPr>
      </w:pPr>
    </w:p>
    <w:p w14:paraId="4C5C6F45" w14:textId="77777777" w:rsidR="00AC3659" w:rsidRPr="00D56156" w:rsidRDefault="009836F7" w:rsidP="009836F7">
      <w:pPr>
        <w:pStyle w:val="ListParagraph"/>
        <w:spacing w:after="120" w:line="240" w:lineRule="auto"/>
        <w:ind w:left="284" w:hanging="284"/>
        <w:jc w:val="both"/>
        <w:rPr>
          <w:rFonts w:ascii="Book Antiqua" w:hAnsi="Book Antiqua" w:cs="Calibri"/>
          <w:color w:val="000000" w:themeColor="text1"/>
        </w:rPr>
      </w:pPr>
      <w:r w:rsidRPr="00D56156">
        <w:rPr>
          <w:rFonts w:ascii="Book Antiqua" w:hAnsi="Book Antiqua"/>
          <w:b/>
          <w:bCs/>
          <w:color w:val="FF0000"/>
        </w:rPr>
        <w:t xml:space="preserve">3. </w:t>
      </w:r>
      <w:r w:rsidR="00AC3659" w:rsidRPr="00D56156">
        <w:rPr>
          <w:rFonts w:ascii="Book Antiqua" w:hAnsi="Book Antiqua"/>
          <w:b/>
          <w:bCs/>
          <w:color w:val="FF0000"/>
        </w:rPr>
        <w:t>Hasil Dan Pembahasan</w:t>
      </w:r>
    </w:p>
    <w:p w14:paraId="1125755F" w14:textId="77777777" w:rsidR="00E415D5" w:rsidRPr="00D56156" w:rsidRDefault="00E415D5" w:rsidP="00E415D5">
      <w:pPr>
        <w:spacing w:after="120" w:line="240" w:lineRule="auto"/>
        <w:jc w:val="both"/>
        <w:rPr>
          <w:rFonts w:ascii="Book Antiqua" w:hAnsi="Book Antiqua" w:cs="Calibri"/>
          <w:b/>
          <w:color w:val="000000" w:themeColor="text1"/>
        </w:rPr>
      </w:pPr>
      <w:r w:rsidRPr="00D56156">
        <w:rPr>
          <w:rFonts w:ascii="Book Antiqua" w:hAnsi="Book Antiqua" w:cs="Calibri"/>
          <w:b/>
          <w:color w:val="000000" w:themeColor="text1"/>
        </w:rPr>
        <w:t xml:space="preserve">3.1 </w:t>
      </w:r>
      <w:r w:rsidR="00FA76BF" w:rsidRPr="00D56156">
        <w:rPr>
          <w:rFonts w:ascii="Book Antiqua" w:hAnsi="Book Antiqua" w:cs="Calibri"/>
          <w:b/>
          <w:color w:val="000000" w:themeColor="text1"/>
        </w:rPr>
        <w:t>Tindak Pidana, Pertanggungjawaban Pidana, Pidana dan Pemidanaan.</w:t>
      </w:r>
    </w:p>
    <w:p w14:paraId="6514860A" w14:textId="77777777" w:rsidR="00F634D5" w:rsidRPr="006C06CC" w:rsidRDefault="00F634D5" w:rsidP="00F634D5">
      <w:pPr>
        <w:pStyle w:val="ListParagraph"/>
        <w:spacing w:after="120" w:line="240" w:lineRule="auto"/>
        <w:ind w:left="0" w:firstLine="567"/>
        <w:jc w:val="both"/>
        <w:rPr>
          <w:rFonts w:ascii="Book Antiqua" w:hAnsi="Book Antiqua" w:cs="Calibri"/>
          <w:color w:val="000000" w:themeColor="text1"/>
          <w:szCs w:val="24"/>
        </w:rPr>
      </w:pPr>
      <w:r>
        <w:rPr>
          <w:rFonts w:ascii="Book Antiqua" w:hAnsi="Book Antiqua" w:cs="Calibri"/>
          <w:color w:val="000000" w:themeColor="text1"/>
          <w:szCs w:val="24"/>
        </w:rPr>
        <w:t>Perbuatan pidana menurut sistem KUHP kita dibagi atas kejahatan (</w:t>
      </w:r>
      <w:r w:rsidRPr="00EF68F1">
        <w:rPr>
          <w:rFonts w:ascii="Book Antiqua" w:hAnsi="Book Antiqua" w:cs="Calibri"/>
          <w:i/>
          <w:color w:val="000000" w:themeColor="text1"/>
          <w:szCs w:val="24"/>
        </w:rPr>
        <w:t>misdriven</w:t>
      </w:r>
      <w:r>
        <w:rPr>
          <w:rFonts w:ascii="Book Antiqua" w:hAnsi="Book Antiqua" w:cs="Calibri"/>
          <w:color w:val="000000" w:themeColor="text1"/>
          <w:szCs w:val="24"/>
        </w:rPr>
        <w:t>) dan pelanggaran (</w:t>
      </w:r>
      <w:r w:rsidRPr="00EF68F1">
        <w:rPr>
          <w:rFonts w:ascii="Book Antiqua" w:hAnsi="Book Antiqua" w:cs="Calibri"/>
          <w:i/>
          <w:color w:val="000000" w:themeColor="text1"/>
          <w:szCs w:val="24"/>
        </w:rPr>
        <w:t>overtredingen</w:t>
      </w:r>
      <w:r>
        <w:rPr>
          <w:rFonts w:ascii="Book Antiqua" w:hAnsi="Book Antiqua" w:cs="Calibri"/>
          <w:color w:val="000000" w:themeColor="text1"/>
          <w:szCs w:val="24"/>
        </w:rPr>
        <w:t xml:space="preserve">). </w:t>
      </w:r>
      <w:r>
        <w:rPr>
          <w:rStyle w:val="FootnoteReference"/>
          <w:rFonts w:ascii="Book Antiqua" w:hAnsi="Book Antiqua" w:cs="Calibri"/>
          <w:color w:val="000000" w:themeColor="text1"/>
          <w:szCs w:val="24"/>
        </w:rPr>
        <w:footnoteReference w:id="5"/>
      </w:r>
      <w:r>
        <w:rPr>
          <w:rFonts w:ascii="Book Antiqua" w:hAnsi="Book Antiqua" w:cs="Calibri"/>
          <w:color w:val="000000" w:themeColor="text1"/>
          <w:szCs w:val="24"/>
        </w:rPr>
        <w:t xml:space="preserve"> Dasar adanya tindak pidana adalah asas legalitas, sedangkan dasar dapat dipidananya pembuat adalah asas kesalahan. Ini artinya bahwa pembuat pidana tindak pidana hanya akan dipidana jika ia mempunyai kesalahan dalam melakukan tindak pidana tersebut. Kapan seseorang dikatakan mempunyai kesalahan. Ini artinya bahwa pembuat tindak pidana hanya akan dipidana jika ia </w:t>
      </w:r>
      <w:proofErr w:type="gramStart"/>
      <w:r>
        <w:rPr>
          <w:rFonts w:ascii="Book Antiqua" w:hAnsi="Book Antiqua" w:cs="Calibri"/>
          <w:color w:val="000000" w:themeColor="text1"/>
          <w:szCs w:val="24"/>
        </w:rPr>
        <w:t>mempunyai  kesalahan</w:t>
      </w:r>
      <w:proofErr w:type="gramEnd"/>
      <w:r>
        <w:rPr>
          <w:rFonts w:ascii="Book Antiqua" w:hAnsi="Book Antiqua" w:cs="Calibri"/>
          <w:color w:val="000000" w:themeColor="text1"/>
          <w:szCs w:val="24"/>
        </w:rPr>
        <w:t xml:space="preserve"> dalam melakukan tindak pidana tersebut.</w:t>
      </w:r>
      <w:r>
        <w:rPr>
          <w:rStyle w:val="FootnoteReference"/>
          <w:rFonts w:ascii="Book Antiqua" w:hAnsi="Book Antiqua" w:cs="Calibri"/>
          <w:color w:val="000000" w:themeColor="text1"/>
          <w:szCs w:val="24"/>
        </w:rPr>
        <w:footnoteReference w:id="6"/>
      </w:r>
      <w:r>
        <w:rPr>
          <w:rFonts w:ascii="Book Antiqua" w:hAnsi="Book Antiqua" w:cs="Calibri"/>
          <w:color w:val="000000" w:themeColor="text1"/>
          <w:szCs w:val="24"/>
        </w:rPr>
        <w:t xml:space="preserve"> </w:t>
      </w:r>
    </w:p>
    <w:p w14:paraId="5F67273D" w14:textId="77777777" w:rsidR="00091150" w:rsidRDefault="006B1B16" w:rsidP="00091150">
      <w:pPr>
        <w:spacing w:after="120" w:line="240" w:lineRule="auto"/>
        <w:ind w:firstLine="567"/>
        <w:jc w:val="both"/>
        <w:rPr>
          <w:rFonts w:ascii="Book Antiqua" w:hAnsi="Book Antiqua" w:cs="Calibri"/>
          <w:i/>
          <w:color w:val="000000" w:themeColor="text1"/>
          <w:szCs w:val="24"/>
        </w:rPr>
      </w:pPr>
      <w:r>
        <w:rPr>
          <w:rFonts w:ascii="Book Antiqua" w:hAnsi="Book Antiqua" w:cs="Calibri"/>
          <w:color w:val="000000" w:themeColor="text1"/>
          <w:szCs w:val="24"/>
        </w:rPr>
        <w:t>Tindak pidana merupakan terjemahaan dari bahasa Belanda “</w:t>
      </w:r>
      <w:r w:rsidRPr="006B1B16">
        <w:rPr>
          <w:rFonts w:ascii="Book Antiqua" w:hAnsi="Book Antiqua" w:cs="Calibri"/>
          <w:i/>
          <w:color w:val="000000" w:themeColor="text1"/>
          <w:szCs w:val="24"/>
        </w:rPr>
        <w:t>Strafbaar Feit</w:t>
      </w:r>
      <w:r>
        <w:rPr>
          <w:rFonts w:ascii="Book Antiqua" w:hAnsi="Book Antiqua" w:cs="Calibri"/>
          <w:color w:val="000000" w:themeColor="text1"/>
          <w:szCs w:val="24"/>
        </w:rPr>
        <w:t xml:space="preserve">” yang dalam bahasa Inggris dari kata </w:t>
      </w:r>
      <w:r w:rsidRPr="006B1B16">
        <w:rPr>
          <w:rFonts w:ascii="Book Antiqua" w:hAnsi="Book Antiqua" w:cs="Calibri"/>
          <w:i/>
          <w:color w:val="000000" w:themeColor="text1"/>
          <w:szCs w:val="24"/>
        </w:rPr>
        <w:t>Criminal Act</w:t>
      </w:r>
      <w:r>
        <w:rPr>
          <w:rFonts w:ascii="Book Antiqua" w:hAnsi="Book Antiqua" w:cs="Calibri"/>
          <w:i/>
          <w:color w:val="000000" w:themeColor="text1"/>
          <w:szCs w:val="24"/>
        </w:rPr>
        <w:t xml:space="preserve">=Offence. </w:t>
      </w:r>
      <w:r>
        <w:rPr>
          <w:rFonts w:ascii="Book Antiqua" w:hAnsi="Book Antiqua" w:cs="Calibri"/>
          <w:color w:val="000000" w:themeColor="text1"/>
          <w:szCs w:val="24"/>
        </w:rPr>
        <w:t xml:space="preserve">Ada 2 pandangan tentang pengertian </w:t>
      </w:r>
      <w:r w:rsidRPr="006B1B16">
        <w:rPr>
          <w:rFonts w:ascii="Book Antiqua" w:hAnsi="Book Antiqua" w:cs="Calibri"/>
          <w:i/>
          <w:color w:val="000000" w:themeColor="text1"/>
          <w:szCs w:val="24"/>
        </w:rPr>
        <w:t>Strafbaar Feit</w:t>
      </w:r>
      <w:r w:rsidR="006C06CC">
        <w:rPr>
          <w:rFonts w:ascii="Book Antiqua" w:hAnsi="Book Antiqua" w:cs="Calibri"/>
          <w:i/>
          <w:color w:val="000000" w:themeColor="text1"/>
          <w:szCs w:val="24"/>
        </w:rPr>
        <w:t xml:space="preserve">: </w:t>
      </w:r>
      <w:r w:rsidR="006C06CC">
        <w:rPr>
          <w:rStyle w:val="FootnoteReference"/>
          <w:rFonts w:ascii="Book Antiqua" w:hAnsi="Book Antiqua" w:cs="Calibri"/>
          <w:i/>
          <w:color w:val="000000" w:themeColor="text1"/>
          <w:szCs w:val="24"/>
        </w:rPr>
        <w:footnoteReference w:id="7"/>
      </w:r>
    </w:p>
    <w:p w14:paraId="135947CC" w14:textId="77777777" w:rsidR="006C06CC" w:rsidRDefault="006C06CC" w:rsidP="006C06CC">
      <w:pPr>
        <w:pStyle w:val="ListParagraph"/>
        <w:numPr>
          <w:ilvl w:val="0"/>
          <w:numId w:val="11"/>
        </w:numPr>
        <w:spacing w:after="120" w:line="240" w:lineRule="auto"/>
        <w:ind w:left="851" w:hanging="284"/>
        <w:jc w:val="both"/>
        <w:rPr>
          <w:rFonts w:ascii="Book Antiqua" w:hAnsi="Book Antiqua" w:cs="Calibri"/>
          <w:color w:val="000000" w:themeColor="text1"/>
          <w:szCs w:val="24"/>
        </w:rPr>
      </w:pPr>
      <w:r w:rsidRPr="006C06CC">
        <w:rPr>
          <w:rFonts w:ascii="Book Antiqua" w:hAnsi="Book Antiqua" w:cs="Calibri"/>
          <w:color w:val="000000" w:themeColor="text1"/>
          <w:szCs w:val="24"/>
        </w:rPr>
        <w:t xml:space="preserve">Pandangan yang mobistis, yang menyatakan bahwa dalam </w:t>
      </w:r>
      <w:r w:rsidRPr="006C06CC">
        <w:rPr>
          <w:rFonts w:ascii="Book Antiqua" w:hAnsi="Book Antiqua" w:cs="Calibri"/>
          <w:i/>
          <w:color w:val="000000" w:themeColor="text1"/>
          <w:szCs w:val="24"/>
        </w:rPr>
        <w:t xml:space="preserve">Strafbaar Feit </w:t>
      </w:r>
      <w:r w:rsidRPr="006C06CC">
        <w:rPr>
          <w:rFonts w:ascii="Book Antiqua" w:hAnsi="Book Antiqua" w:cs="Calibri"/>
          <w:color w:val="000000" w:themeColor="text1"/>
          <w:szCs w:val="24"/>
        </w:rPr>
        <w:t>didalamnya terkandung “perbuatan pidana”</w:t>
      </w:r>
      <w:r>
        <w:rPr>
          <w:rFonts w:ascii="Book Antiqua" w:hAnsi="Book Antiqua" w:cs="Calibri"/>
          <w:color w:val="000000" w:themeColor="text1"/>
          <w:szCs w:val="24"/>
        </w:rPr>
        <w:t xml:space="preserve"> dan “pertanggung jawaban pidana”</w:t>
      </w:r>
      <w:r w:rsidR="00A24DC2">
        <w:rPr>
          <w:rFonts w:ascii="Book Antiqua" w:hAnsi="Book Antiqua" w:cs="Calibri"/>
          <w:color w:val="000000" w:themeColor="text1"/>
          <w:szCs w:val="24"/>
        </w:rPr>
        <w:t xml:space="preserve"> sekaligus (Simons, Van Hamel)</w:t>
      </w:r>
    </w:p>
    <w:p w14:paraId="63242184" w14:textId="77777777" w:rsidR="006A44FA" w:rsidRDefault="006A44FA" w:rsidP="006C06CC">
      <w:pPr>
        <w:pStyle w:val="ListParagraph"/>
        <w:numPr>
          <w:ilvl w:val="0"/>
          <w:numId w:val="11"/>
        </w:numPr>
        <w:spacing w:after="120" w:line="240" w:lineRule="auto"/>
        <w:ind w:left="851" w:hanging="284"/>
        <w:jc w:val="both"/>
        <w:rPr>
          <w:rFonts w:ascii="Book Antiqua" w:hAnsi="Book Antiqua" w:cs="Calibri"/>
          <w:color w:val="000000" w:themeColor="text1"/>
          <w:szCs w:val="24"/>
        </w:rPr>
      </w:pPr>
      <w:r>
        <w:rPr>
          <w:rFonts w:ascii="Book Antiqua" w:hAnsi="Book Antiqua" w:cs="Calibri"/>
          <w:color w:val="000000" w:themeColor="text1"/>
          <w:szCs w:val="24"/>
        </w:rPr>
        <w:lastRenderedPageBreak/>
        <w:t xml:space="preserve">Pandangan yang dualisme yang menyatakan bahwa dalam </w:t>
      </w:r>
      <w:r w:rsidRPr="006B1B16">
        <w:rPr>
          <w:rFonts w:ascii="Book Antiqua" w:hAnsi="Book Antiqua" w:cs="Calibri"/>
          <w:i/>
          <w:color w:val="000000" w:themeColor="text1"/>
          <w:szCs w:val="24"/>
        </w:rPr>
        <w:t>Strafbaar Feit</w:t>
      </w:r>
      <w:r>
        <w:rPr>
          <w:rFonts w:ascii="Book Antiqua" w:hAnsi="Book Antiqua" w:cs="Calibri"/>
          <w:i/>
          <w:color w:val="000000" w:themeColor="text1"/>
          <w:szCs w:val="24"/>
        </w:rPr>
        <w:t xml:space="preserve"> </w:t>
      </w:r>
      <w:r w:rsidRPr="006A44FA">
        <w:rPr>
          <w:rFonts w:ascii="Book Antiqua" w:hAnsi="Book Antiqua" w:cs="Calibri"/>
          <w:color w:val="000000" w:themeColor="text1"/>
          <w:szCs w:val="24"/>
        </w:rPr>
        <w:t xml:space="preserve">harus dibedakan atau dipisahkan antara </w:t>
      </w:r>
      <w:r>
        <w:rPr>
          <w:rFonts w:ascii="Book Antiqua" w:hAnsi="Book Antiqua" w:cs="Calibri"/>
          <w:color w:val="000000" w:themeColor="text1"/>
          <w:szCs w:val="24"/>
        </w:rPr>
        <w:t>“</w:t>
      </w:r>
      <w:r w:rsidRPr="006A44FA">
        <w:rPr>
          <w:rFonts w:ascii="Book Antiqua" w:hAnsi="Book Antiqua" w:cs="Calibri"/>
          <w:color w:val="000000" w:themeColor="text1"/>
          <w:szCs w:val="24"/>
        </w:rPr>
        <w:t>perbuatan pid</w:t>
      </w:r>
      <w:r>
        <w:rPr>
          <w:rFonts w:ascii="Book Antiqua" w:hAnsi="Book Antiqua" w:cs="Calibri"/>
          <w:color w:val="000000" w:themeColor="text1"/>
          <w:szCs w:val="24"/>
        </w:rPr>
        <w:t>a</w:t>
      </w:r>
      <w:r w:rsidRPr="006A44FA">
        <w:rPr>
          <w:rFonts w:ascii="Book Antiqua" w:hAnsi="Book Antiqua" w:cs="Calibri"/>
          <w:color w:val="000000" w:themeColor="text1"/>
          <w:szCs w:val="24"/>
        </w:rPr>
        <w:t>na</w:t>
      </w:r>
      <w:r>
        <w:rPr>
          <w:rFonts w:ascii="Book Antiqua" w:hAnsi="Book Antiqua" w:cs="Calibri"/>
          <w:color w:val="000000" w:themeColor="text1"/>
          <w:szCs w:val="24"/>
        </w:rPr>
        <w:t>”</w:t>
      </w:r>
      <w:r w:rsidRPr="006A44FA">
        <w:rPr>
          <w:rFonts w:ascii="Book Antiqua" w:hAnsi="Book Antiqua" w:cs="Calibri"/>
          <w:color w:val="000000" w:themeColor="text1"/>
          <w:szCs w:val="24"/>
        </w:rPr>
        <w:t xml:space="preserve"> dan </w:t>
      </w:r>
      <w:r>
        <w:rPr>
          <w:rFonts w:ascii="Book Antiqua" w:hAnsi="Book Antiqua" w:cs="Calibri"/>
          <w:color w:val="000000" w:themeColor="text1"/>
          <w:szCs w:val="24"/>
        </w:rPr>
        <w:t>“</w:t>
      </w:r>
      <w:r w:rsidRPr="006A44FA">
        <w:rPr>
          <w:rFonts w:ascii="Book Antiqua" w:hAnsi="Book Antiqua" w:cs="Calibri"/>
          <w:color w:val="000000" w:themeColor="text1"/>
          <w:szCs w:val="24"/>
        </w:rPr>
        <w:t>pertanggung jawaban pidana</w:t>
      </w:r>
      <w:r>
        <w:rPr>
          <w:rFonts w:ascii="Book Antiqua" w:hAnsi="Book Antiqua" w:cs="Calibri"/>
          <w:color w:val="000000" w:themeColor="text1"/>
          <w:szCs w:val="24"/>
        </w:rPr>
        <w:t>”</w:t>
      </w:r>
      <w:r w:rsidRPr="006A44FA">
        <w:rPr>
          <w:rFonts w:ascii="Book Antiqua" w:hAnsi="Book Antiqua" w:cs="Calibri"/>
          <w:color w:val="000000" w:themeColor="text1"/>
          <w:szCs w:val="24"/>
        </w:rPr>
        <w:t xml:space="preserve"> sekaligus</w:t>
      </w:r>
      <w:r>
        <w:rPr>
          <w:rFonts w:ascii="Book Antiqua" w:hAnsi="Book Antiqua" w:cs="Calibri"/>
          <w:color w:val="000000" w:themeColor="text1"/>
          <w:szCs w:val="24"/>
        </w:rPr>
        <w:t xml:space="preserve"> (Moelyatno dan Roeslan Saleh). </w:t>
      </w:r>
    </w:p>
    <w:p w14:paraId="7C26BEEF" w14:textId="77777777" w:rsidR="00F634D5" w:rsidRDefault="00F634D5" w:rsidP="00F634D5">
      <w:pPr>
        <w:pStyle w:val="ListParagraph"/>
        <w:spacing w:after="120" w:line="240" w:lineRule="auto"/>
        <w:ind w:left="0" w:firstLine="567"/>
        <w:jc w:val="both"/>
        <w:rPr>
          <w:rFonts w:ascii="Book Antiqua" w:hAnsi="Book Antiqua" w:cs="Calibri"/>
          <w:color w:val="000000" w:themeColor="text1"/>
          <w:szCs w:val="24"/>
        </w:rPr>
      </w:pPr>
    </w:p>
    <w:p w14:paraId="7577CBEF" w14:textId="77777777" w:rsidR="00F634D5" w:rsidRDefault="00330880" w:rsidP="00F634D5">
      <w:pPr>
        <w:pStyle w:val="ListParagraph"/>
        <w:spacing w:after="120" w:line="240" w:lineRule="auto"/>
        <w:ind w:left="0" w:firstLine="567"/>
        <w:jc w:val="both"/>
        <w:rPr>
          <w:rFonts w:ascii="Book Antiqua" w:hAnsi="Book Antiqua" w:cs="Calibri"/>
          <w:color w:val="000000" w:themeColor="text1"/>
          <w:szCs w:val="24"/>
        </w:rPr>
      </w:pPr>
      <w:r>
        <w:rPr>
          <w:rFonts w:ascii="Book Antiqua" w:hAnsi="Book Antiqua" w:cs="Calibri"/>
          <w:color w:val="000000" w:themeColor="text1"/>
          <w:szCs w:val="24"/>
        </w:rPr>
        <w:t>Kesalaha</w:t>
      </w:r>
      <w:r w:rsidR="007A145C">
        <w:rPr>
          <w:rFonts w:ascii="Book Antiqua" w:hAnsi="Book Antiqua" w:cs="Calibri"/>
          <w:color w:val="000000" w:themeColor="text1"/>
          <w:szCs w:val="24"/>
        </w:rPr>
        <w:t>n dalam arti be</w:t>
      </w:r>
      <w:r>
        <w:rPr>
          <w:rFonts w:ascii="Book Antiqua" w:hAnsi="Book Antiqua" w:cs="Calibri"/>
          <w:color w:val="000000" w:themeColor="text1"/>
          <w:szCs w:val="24"/>
        </w:rPr>
        <w:t xml:space="preserve">ntuk kesalahan dapat dikatakan kesalahan dalam arti yuridis yang berupa kesengajaan dan kealpaan. </w:t>
      </w:r>
      <w:r w:rsidR="00F634D5">
        <w:rPr>
          <w:rFonts w:ascii="Book Antiqua" w:hAnsi="Book Antiqua" w:cs="Calibri"/>
          <w:color w:val="000000" w:themeColor="text1"/>
          <w:szCs w:val="24"/>
        </w:rPr>
        <w:t xml:space="preserve">Dapat dikemukakan pandangan Vos yang memandang pengertian kesalahan mempunyai tiga </w:t>
      </w:r>
      <w:proofErr w:type="gramStart"/>
      <w:r w:rsidR="00F634D5">
        <w:rPr>
          <w:rFonts w:ascii="Book Antiqua" w:hAnsi="Book Antiqua" w:cs="Calibri"/>
          <w:color w:val="000000" w:themeColor="text1"/>
          <w:szCs w:val="24"/>
        </w:rPr>
        <w:t>tanda  khusus</w:t>
      </w:r>
      <w:proofErr w:type="gramEnd"/>
      <w:r w:rsidR="00F634D5">
        <w:rPr>
          <w:rFonts w:ascii="Book Antiqua" w:hAnsi="Book Antiqua" w:cs="Calibri"/>
          <w:color w:val="000000" w:themeColor="text1"/>
          <w:szCs w:val="24"/>
        </w:rPr>
        <w:t>, yaitu :</w:t>
      </w:r>
      <w:r w:rsidR="00F634D5">
        <w:rPr>
          <w:rStyle w:val="FootnoteReference"/>
          <w:rFonts w:ascii="Book Antiqua" w:hAnsi="Book Antiqua" w:cs="Calibri"/>
          <w:color w:val="000000" w:themeColor="text1"/>
          <w:szCs w:val="24"/>
        </w:rPr>
        <w:footnoteReference w:id="8"/>
      </w:r>
    </w:p>
    <w:p w14:paraId="0FD78C6F" w14:textId="77777777" w:rsidR="00F634D5" w:rsidRDefault="00F634D5" w:rsidP="00F634D5">
      <w:pPr>
        <w:pStyle w:val="ListParagraph"/>
        <w:numPr>
          <w:ilvl w:val="0"/>
          <w:numId w:val="13"/>
        </w:numPr>
        <w:spacing w:after="120" w:line="240" w:lineRule="auto"/>
        <w:ind w:left="851" w:hanging="284"/>
        <w:jc w:val="both"/>
        <w:rPr>
          <w:rFonts w:ascii="Book Antiqua" w:hAnsi="Book Antiqua" w:cs="Calibri"/>
          <w:color w:val="000000" w:themeColor="text1"/>
          <w:szCs w:val="24"/>
        </w:rPr>
      </w:pPr>
      <w:r>
        <w:rPr>
          <w:rFonts w:ascii="Book Antiqua" w:hAnsi="Book Antiqua" w:cs="Calibri"/>
          <w:color w:val="000000" w:themeColor="text1"/>
          <w:szCs w:val="24"/>
        </w:rPr>
        <w:t>Kemampuan bertanggung jawab dari orang yang melakukan perbuatan (</w:t>
      </w:r>
      <w:r w:rsidRPr="00F634D5">
        <w:rPr>
          <w:rFonts w:ascii="Book Antiqua" w:hAnsi="Book Antiqua" w:cs="Calibri"/>
          <w:i/>
          <w:color w:val="000000" w:themeColor="text1"/>
          <w:szCs w:val="24"/>
        </w:rPr>
        <w:t>toerekeningsvathbaarheid van de dader</w:t>
      </w:r>
      <w:r>
        <w:rPr>
          <w:rFonts w:ascii="Book Antiqua" w:hAnsi="Book Antiqua" w:cs="Calibri"/>
          <w:color w:val="000000" w:themeColor="text1"/>
          <w:szCs w:val="24"/>
        </w:rPr>
        <w:t>);</w:t>
      </w:r>
    </w:p>
    <w:p w14:paraId="5B33347F" w14:textId="77777777" w:rsidR="00F634D5" w:rsidRDefault="00F634D5" w:rsidP="00F634D5">
      <w:pPr>
        <w:pStyle w:val="ListParagraph"/>
        <w:numPr>
          <w:ilvl w:val="0"/>
          <w:numId w:val="13"/>
        </w:numPr>
        <w:spacing w:after="120" w:line="240" w:lineRule="auto"/>
        <w:ind w:left="851" w:hanging="284"/>
        <w:jc w:val="both"/>
        <w:rPr>
          <w:rFonts w:ascii="Book Antiqua" w:hAnsi="Book Antiqua" w:cs="Calibri"/>
          <w:color w:val="000000" w:themeColor="text1"/>
          <w:szCs w:val="24"/>
        </w:rPr>
      </w:pPr>
      <w:r>
        <w:rPr>
          <w:rFonts w:ascii="Book Antiqua" w:hAnsi="Book Antiqua" w:cs="Calibri"/>
          <w:color w:val="000000" w:themeColor="text1"/>
          <w:szCs w:val="24"/>
        </w:rPr>
        <w:t>Hubungan batin tertentu dari orang yang melakukan perbuatan itu dapat berupa kesalahan atau kealpaan.</w:t>
      </w:r>
    </w:p>
    <w:p w14:paraId="5671D27D" w14:textId="77777777" w:rsidR="00F634D5" w:rsidRDefault="00F634D5" w:rsidP="00F634D5">
      <w:pPr>
        <w:pStyle w:val="ListParagraph"/>
        <w:numPr>
          <w:ilvl w:val="0"/>
          <w:numId w:val="13"/>
        </w:numPr>
        <w:spacing w:after="120" w:line="240" w:lineRule="auto"/>
        <w:ind w:left="851" w:hanging="284"/>
        <w:jc w:val="both"/>
        <w:rPr>
          <w:rFonts w:ascii="Book Antiqua" w:hAnsi="Book Antiqua" w:cs="Calibri"/>
          <w:color w:val="000000" w:themeColor="text1"/>
          <w:szCs w:val="24"/>
        </w:rPr>
      </w:pPr>
      <w:r>
        <w:rPr>
          <w:rFonts w:ascii="Book Antiqua" w:hAnsi="Book Antiqua" w:cs="Calibri"/>
          <w:color w:val="000000" w:themeColor="text1"/>
          <w:szCs w:val="24"/>
        </w:rPr>
        <w:t>Tidak terdapat dasar alasan yang menghapus tanggung jawab bagi si pembuat atas perbuatannya itu.</w:t>
      </w:r>
    </w:p>
    <w:p w14:paraId="67A4E3E5" w14:textId="77777777" w:rsidR="00F634D5" w:rsidRDefault="007A145C" w:rsidP="00F634D5">
      <w:pPr>
        <w:pStyle w:val="ListParagraph"/>
        <w:spacing w:after="120" w:line="240" w:lineRule="auto"/>
        <w:ind w:left="0" w:firstLine="567"/>
        <w:jc w:val="both"/>
        <w:rPr>
          <w:rFonts w:ascii="Book Antiqua" w:hAnsi="Book Antiqua" w:cs="Calibri"/>
          <w:color w:val="000000" w:themeColor="text1"/>
          <w:szCs w:val="24"/>
        </w:rPr>
      </w:pPr>
      <w:r>
        <w:rPr>
          <w:rFonts w:ascii="Book Antiqua" w:hAnsi="Book Antiqua" w:cs="Calibri"/>
          <w:color w:val="000000" w:themeColor="text1"/>
          <w:szCs w:val="24"/>
        </w:rPr>
        <w:t>Ada dua teori tentang kesengajaan, yakni teori kehendak dan teori pengetahuan. Teori kehendak ini seseorang dikatakan melakukan kesengajaan memang dia berkehebdak melakukan tindak pidana tersebut</w:t>
      </w:r>
      <w:r w:rsidR="004860F9">
        <w:rPr>
          <w:rFonts w:ascii="Book Antiqua" w:hAnsi="Book Antiqua" w:cs="Calibri"/>
          <w:color w:val="000000" w:themeColor="text1"/>
          <w:szCs w:val="24"/>
        </w:rPr>
        <w:t xml:space="preserve">. Dia pun siap untuk </w:t>
      </w:r>
      <w:proofErr w:type="gramStart"/>
      <w:r w:rsidR="004860F9">
        <w:rPr>
          <w:rFonts w:ascii="Book Antiqua" w:hAnsi="Book Antiqua" w:cs="Calibri"/>
          <w:color w:val="000000" w:themeColor="text1"/>
          <w:szCs w:val="24"/>
        </w:rPr>
        <w:t>menanggung  segala</w:t>
      </w:r>
      <w:proofErr w:type="gramEnd"/>
      <w:r w:rsidR="004860F9">
        <w:rPr>
          <w:rFonts w:ascii="Book Antiqua" w:hAnsi="Book Antiqua" w:cs="Calibri"/>
          <w:color w:val="000000" w:themeColor="text1"/>
          <w:szCs w:val="24"/>
        </w:rPr>
        <w:t xml:space="preserve"> akibat dari tindak pidana yang dilakukannya. Teori Pengetahuan, yakni sesorang dikatakan telah melakukan tindak pidana dengan kesengajaan, manakala dia mengetahui apa yang dia lakukan dan dia mengetahui apa akibatnya dari tindak pidana yang dilakukannya. Tidak menutup kemungkinan pada hakikatnya pelaku tindak pidana atau adanya akibat atas tindak pidana yang dilakukan. Namun demikian, ternyata dia tetap melakukan tindak pidana, sehingga terjadi akibat yang dilarang oleh ketentuan Undang-undang.</w:t>
      </w:r>
      <w:r w:rsidR="005A6CDD">
        <w:rPr>
          <w:rStyle w:val="FootnoteReference"/>
          <w:rFonts w:ascii="Book Antiqua" w:hAnsi="Book Antiqua" w:cs="Calibri"/>
          <w:color w:val="000000" w:themeColor="text1"/>
          <w:szCs w:val="24"/>
        </w:rPr>
        <w:footnoteReference w:id="9"/>
      </w:r>
    </w:p>
    <w:p w14:paraId="3BC7A3E7" w14:textId="77777777" w:rsidR="007311A5" w:rsidRDefault="007311A5" w:rsidP="00F634D5">
      <w:pPr>
        <w:pStyle w:val="ListParagraph"/>
        <w:spacing w:after="120" w:line="240" w:lineRule="auto"/>
        <w:ind w:left="0" w:firstLine="567"/>
        <w:jc w:val="both"/>
        <w:rPr>
          <w:rFonts w:ascii="Book Antiqua" w:hAnsi="Book Antiqua" w:cs="Calibri"/>
          <w:color w:val="000000" w:themeColor="text1"/>
          <w:szCs w:val="24"/>
        </w:rPr>
      </w:pPr>
      <w:r>
        <w:rPr>
          <w:rFonts w:ascii="Book Antiqua" w:hAnsi="Book Antiqua" w:cs="Calibri"/>
          <w:color w:val="000000" w:themeColor="text1"/>
          <w:szCs w:val="24"/>
        </w:rPr>
        <w:t>Kealpaan atau culpa memiliki unsur sebagai berikut, kurang hati-hati, makna kurang hati-hati disini adalah pelaku tindak pidana tidak mengadakan penelitian, kemahairan atau usaha pencegahan yang nyata dalam keadaan-keadaan tertentu atau dalam caranya melakukan perbuatan. Kealpaan yang disadari disini maknanya pelaku seharunya menyadari atas akibat dari tindakan yang dia lakukan. Kealpaan yang tidak disadari artinya pada awalnya pelaku tindak pidana tidak menyadari bahwa akibat akan terjadi, namun ternyata dalam perkembangannya justru akibat telah terjadi.</w:t>
      </w:r>
      <w:r>
        <w:rPr>
          <w:rStyle w:val="FootnoteReference"/>
          <w:rFonts w:ascii="Book Antiqua" w:hAnsi="Book Antiqua" w:cs="Calibri"/>
          <w:color w:val="000000" w:themeColor="text1"/>
          <w:szCs w:val="24"/>
        </w:rPr>
        <w:footnoteReference w:id="10"/>
      </w:r>
    </w:p>
    <w:p w14:paraId="74E7BB58" w14:textId="77777777" w:rsidR="004225B2" w:rsidRDefault="004225B2" w:rsidP="00F634D5">
      <w:pPr>
        <w:pStyle w:val="ListParagraph"/>
        <w:spacing w:after="120" w:line="240" w:lineRule="auto"/>
        <w:ind w:left="0" w:firstLine="567"/>
        <w:jc w:val="both"/>
        <w:rPr>
          <w:rFonts w:ascii="Book Antiqua" w:hAnsi="Book Antiqua" w:cs="Calibri"/>
          <w:color w:val="000000" w:themeColor="text1"/>
          <w:szCs w:val="24"/>
        </w:rPr>
      </w:pPr>
      <w:r>
        <w:rPr>
          <w:rFonts w:ascii="Book Antiqua" w:hAnsi="Book Antiqua" w:cs="Calibri"/>
          <w:color w:val="000000" w:themeColor="text1"/>
          <w:szCs w:val="24"/>
        </w:rPr>
        <w:t>Dalam hukum pidan</w:t>
      </w:r>
      <w:r w:rsidR="00484EE0">
        <w:rPr>
          <w:rFonts w:ascii="Book Antiqua" w:hAnsi="Book Antiqua" w:cs="Calibri"/>
          <w:color w:val="000000" w:themeColor="text1"/>
          <w:szCs w:val="24"/>
        </w:rPr>
        <w:t>a dikenal dengan adanya alasan p</w:t>
      </w:r>
      <w:r>
        <w:rPr>
          <w:rFonts w:ascii="Book Antiqua" w:hAnsi="Book Antiqua" w:cs="Calibri"/>
          <w:color w:val="000000" w:themeColor="text1"/>
          <w:szCs w:val="24"/>
        </w:rPr>
        <w:t>embenar, alasan pemaaf dan alasan penghapus penuntutan.</w:t>
      </w:r>
      <w:r w:rsidR="00484EE0">
        <w:rPr>
          <w:rFonts w:ascii="Book Antiqua" w:hAnsi="Book Antiqua" w:cs="Calibri"/>
          <w:color w:val="000000" w:themeColor="text1"/>
          <w:szCs w:val="24"/>
        </w:rPr>
        <w:t xml:space="preserve"> Alasan pembenar yaitu alasan yang menghapuskan sifat melawan hukumnya perbuatan, sehingga apa yang dilakukan oleh terdakwa lalu menjadi perbuatan yang patut dan benar. Alasan pemaaf yaitu alasan yang menghapuskan kesalahan terdakwa. Perbuatan yang dikatakan oleh terdakwa tetap bersifat melawan hukum jadi tetap merupakan perbuatan pidana, tetapi dia tidak dipidana, </w:t>
      </w:r>
      <w:proofErr w:type="gramStart"/>
      <w:r w:rsidR="00484EE0">
        <w:rPr>
          <w:rFonts w:ascii="Book Antiqua" w:hAnsi="Book Antiqua" w:cs="Calibri"/>
          <w:color w:val="000000" w:themeColor="text1"/>
          <w:szCs w:val="24"/>
        </w:rPr>
        <w:t>karena  tidak</w:t>
      </w:r>
      <w:proofErr w:type="gramEnd"/>
      <w:r w:rsidR="00484EE0">
        <w:rPr>
          <w:rFonts w:ascii="Book Antiqua" w:hAnsi="Book Antiqua" w:cs="Calibri"/>
          <w:color w:val="000000" w:themeColor="text1"/>
          <w:szCs w:val="24"/>
        </w:rPr>
        <w:t xml:space="preserve"> ada kesalahan. </w:t>
      </w:r>
    </w:p>
    <w:p w14:paraId="790B046B" w14:textId="77777777" w:rsidR="009C763A" w:rsidRDefault="002228CE" w:rsidP="00F634D5">
      <w:pPr>
        <w:pStyle w:val="ListParagraph"/>
        <w:spacing w:after="120" w:line="240" w:lineRule="auto"/>
        <w:ind w:left="0" w:firstLine="567"/>
        <w:jc w:val="both"/>
        <w:rPr>
          <w:rFonts w:ascii="Book Antiqua" w:hAnsi="Book Antiqua" w:cs="Calibri"/>
          <w:color w:val="000000" w:themeColor="text1"/>
          <w:szCs w:val="24"/>
        </w:rPr>
      </w:pPr>
      <w:r>
        <w:rPr>
          <w:rFonts w:ascii="Book Antiqua" w:hAnsi="Book Antiqua" w:cs="Calibri"/>
          <w:color w:val="000000" w:themeColor="text1"/>
          <w:szCs w:val="24"/>
        </w:rPr>
        <w:t xml:space="preserve">Soedarto mendefinisikan Pidana sebagai suatu pederitaan yang sengaja dibebankan kepada irang melakukan perbuatan yang memenuhi syarat-syarat tertentu. Roeslan Saleh mengemukakan bahwa pidana adalah reaksi atas delik dan ini berujung nestapa yang dengan sengaja ditimpakan negara pada pembuat delik. </w:t>
      </w:r>
      <w:r w:rsidR="00042144">
        <w:rPr>
          <w:rFonts w:ascii="Book Antiqua" w:hAnsi="Book Antiqua" w:cs="Calibri"/>
          <w:color w:val="000000" w:themeColor="text1"/>
          <w:szCs w:val="24"/>
        </w:rPr>
        <w:t xml:space="preserve">Menurut Mulyadi dan Barda Nawawi </w:t>
      </w:r>
      <w:r>
        <w:rPr>
          <w:rFonts w:ascii="Book Antiqua" w:hAnsi="Book Antiqua" w:cs="Calibri"/>
          <w:color w:val="000000" w:themeColor="text1"/>
          <w:szCs w:val="24"/>
        </w:rPr>
        <w:t xml:space="preserve">Pidana mengandung ciri-ciri sebgaai </w:t>
      </w:r>
      <w:proofErr w:type="gramStart"/>
      <w:r>
        <w:rPr>
          <w:rFonts w:ascii="Book Antiqua" w:hAnsi="Book Antiqua" w:cs="Calibri"/>
          <w:color w:val="000000" w:themeColor="text1"/>
          <w:szCs w:val="24"/>
        </w:rPr>
        <w:t>berikut :</w:t>
      </w:r>
      <w:proofErr w:type="gramEnd"/>
    </w:p>
    <w:p w14:paraId="36B57AFA" w14:textId="77777777" w:rsidR="002228CE" w:rsidRDefault="002228CE" w:rsidP="00042144">
      <w:pPr>
        <w:pStyle w:val="ListParagraph"/>
        <w:numPr>
          <w:ilvl w:val="0"/>
          <w:numId w:val="15"/>
        </w:numPr>
        <w:spacing w:after="120" w:line="240" w:lineRule="auto"/>
        <w:ind w:left="851" w:hanging="284"/>
        <w:jc w:val="both"/>
        <w:rPr>
          <w:rFonts w:ascii="Book Antiqua" w:hAnsi="Book Antiqua" w:cs="Calibri"/>
          <w:color w:val="000000" w:themeColor="text1"/>
          <w:szCs w:val="24"/>
        </w:rPr>
      </w:pPr>
      <w:r>
        <w:rPr>
          <w:rFonts w:ascii="Book Antiqua" w:hAnsi="Book Antiqua" w:cs="Calibri"/>
          <w:color w:val="000000" w:themeColor="text1"/>
          <w:szCs w:val="24"/>
        </w:rPr>
        <w:t>Pidana itu pada hakikatnya merupakan suatu pengenaan penderitaan atau nesatapa atau akibat-akibat lain yang tidak menyanangkan</w:t>
      </w:r>
    </w:p>
    <w:p w14:paraId="6B3B9745" w14:textId="77777777" w:rsidR="002228CE" w:rsidRDefault="00042144" w:rsidP="00042144">
      <w:pPr>
        <w:pStyle w:val="ListParagraph"/>
        <w:numPr>
          <w:ilvl w:val="0"/>
          <w:numId w:val="15"/>
        </w:numPr>
        <w:spacing w:after="120" w:line="240" w:lineRule="auto"/>
        <w:ind w:left="851" w:hanging="284"/>
        <w:jc w:val="both"/>
        <w:rPr>
          <w:rFonts w:ascii="Book Antiqua" w:hAnsi="Book Antiqua" w:cs="Calibri"/>
          <w:color w:val="000000" w:themeColor="text1"/>
          <w:szCs w:val="24"/>
        </w:rPr>
      </w:pPr>
      <w:r>
        <w:rPr>
          <w:rFonts w:ascii="Book Antiqua" w:hAnsi="Book Antiqua" w:cs="Calibri"/>
          <w:color w:val="000000" w:themeColor="text1"/>
          <w:szCs w:val="24"/>
        </w:rPr>
        <w:lastRenderedPageBreak/>
        <w:t>pidana itu diberikan dengan sengaja olej orang atau badan yang mempunya kekuasaan (oleh yang berwenang)</w:t>
      </w:r>
    </w:p>
    <w:p w14:paraId="682712B9" w14:textId="77777777" w:rsidR="00042144" w:rsidRDefault="00042144" w:rsidP="00042144">
      <w:pPr>
        <w:pStyle w:val="ListParagraph"/>
        <w:numPr>
          <w:ilvl w:val="0"/>
          <w:numId w:val="15"/>
        </w:numPr>
        <w:spacing w:after="120" w:line="240" w:lineRule="auto"/>
        <w:ind w:left="851" w:hanging="284"/>
        <w:jc w:val="both"/>
        <w:rPr>
          <w:rFonts w:ascii="Book Antiqua" w:hAnsi="Book Antiqua" w:cs="Calibri"/>
          <w:color w:val="000000" w:themeColor="text1"/>
          <w:szCs w:val="24"/>
        </w:rPr>
      </w:pPr>
      <w:r>
        <w:rPr>
          <w:rFonts w:ascii="Book Antiqua" w:hAnsi="Book Antiqua" w:cs="Calibri"/>
          <w:color w:val="000000" w:themeColor="text1"/>
          <w:szCs w:val="24"/>
        </w:rPr>
        <w:t>pidana itu dikenakan kapada seseorang yang telah melakukan tindak pidana menurut undang-undang</w:t>
      </w:r>
    </w:p>
    <w:p w14:paraId="3E062956" w14:textId="77777777" w:rsidR="00BC6EF8" w:rsidRDefault="00BC6EF8" w:rsidP="00BC6EF8">
      <w:pPr>
        <w:pStyle w:val="ListParagraph"/>
        <w:spacing w:after="120" w:line="240" w:lineRule="auto"/>
        <w:ind w:left="0" w:firstLine="567"/>
        <w:jc w:val="both"/>
        <w:rPr>
          <w:rFonts w:ascii="Book Antiqua" w:hAnsi="Book Antiqua" w:cs="Calibri"/>
          <w:color w:val="000000" w:themeColor="text1"/>
          <w:szCs w:val="24"/>
        </w:rPr>
      </w:pPr>
      <w:r>
        <w:rPr>
          <w:rFonts w:ascii="Book Antiqua" w:hAnsi="Book Antiqua" w:cs="Calibri"/>
          <w:color w:val="000000" w:themeColor="text1"/>
          <w:szCs w:val="24"/>
        </w:rPr>
        <w:t xml:space="preserve">Adapun teori-teori pemidanaan yaitu, teori absolut (teori pembalasan), teori tujuan (teori </w:t>
      </w:r>
      <w:r w:rsidR="00D23B96">
        <w:rPr>
          <w:rFonts w:ascii="Book Antiqua" w:hAnsi="Book Antiqua" w:cs="Calibri"/>
          <w:color w:val="000000" w:themeColor="text1"/>
          <w:szCs w:val="24"/>
        </w:rPr>
        <w:t>relatif</w:t>
      </w:r>
      <w:r>
        <w:rPr>
          <w:rFonts w:ascii="Book Antiqua" w:hAnsi="Book Antiqua" w:cs="Calibri"/>
          <w:color w:val="000000" w:themeColor="text1"/>
          <w:szCs w:val="24"/>
        </w:rPr>
        <w:t xml:space="preserve">), teori gabungan. </w:t>
      </w:r>
      <w:r w:rsidR="00D23B96">
        <w:rPr>
          <w:rFonts w:ascii="Book Antiqua" w:hAnsi="Book Antiqua" w:cs="Calibri"/>
          <w:color w:val="000000" w:themeColor="text1"/>
          <w:szCs w:val="24"/>
        </w:rPr>
        <w:t xml:space="preserve">Teori absolut memandang bahwa pemidanaan merupakan pembalasan atas kesalahan yang tidak dilakukan, jadi berorientasi pada perbuatan dan terletak pada terjadinya kejahatan itu sendiri. Teori </w:t>
      </w:r>
      <w:r w:rsidR="00E612CC">
        <w:rPr>
          <w:rFonts w:ascii="Book Antiqua" w:hAnsi="Book Antiqua" w:cs="Calibri"/>
          <w:color w:val="000000" w:themeColor="text1"/>
          <w:szCs w:val="24"/>
        </w:rPr>
        <w:t>relatif</w:t>
      </w:r>
      <w:r w:rsidR="00D23B96">
        <w:rPr>
          <w:rFonts w:ascii="Book Antiqua" w:hAnsi="Book Antiqua" w:cs="Calibri"/>
          <w:color w:val="000000" w:themeColor="text1"/>
          <w:szCs w:val="24"/>
        </w:rPr>
        <w:t xml:space="preserve"> menjelaskan tujuan pidanan adalah untuk menyelenggarakan tertib masyarakat, memperbaiki kerugian masyarakat akibat tindak pidana, memperbaik penjahat, membinasakan si penjahat dan mencegah si penjahat. Teori gabungan, mengkombinasikan teori pembalasan dan teori tujuan, pandangan teori gabungan ini yakni pidana bertujuan mambalas kesalahan dan mengamankan masyarakat, keadilan mutlak yang diwujudkan dalam pembalasan, tetapi yang berguna bagi masyarakat, dasar tiap-tiap pidana ialah penderitaan yang beratnya sesuai dengan beratnya perbuatan yang dilakukan oleh terpidana. </w:t>
      </w:r>
      <w:r w:rsidR="00E612CC">
        <w:rPr>
          <w:rStyle w:val="FootnoteReference"/>
          <w:rFonts w:ascii="Book Antiqua" w:hAnsi="Book Antiqua" w:cs="Calibri"/>
          <w:color w:val="000000" w:themeColor="text1"/>
          <w:szCs w:val="24"/>
        </w:rPr>
        <w:footnoteReference w:id="11"/>
      </w:r>
    </w:p>
    <w:p w14:paraId="0D6C91D3" w14:textId="77777777" w:rsidR="00E621C8" w:rsidRDefault="00E621C8" w:rsidP="00BC6EF8">
      <w:pPr>
        <w:pStyle w:val="ListParagraph"/>
        <w:spacing w:after="120" w:line="240" w:lineRule="auto"/>
        <w:ind w:left="0" w:firstLine="567"/>
        <w:jc w:val="both"/>
        <w:rPr>
          <w:rFonts w:ascii="Book Antiqua" w:hAnsi="Book Antiqua" w:cs="Calibri"/>
          <w:color w:val="000000" w:themeColor="text1"/>
          <w:szCs w:val="24"/>
        </w:rPr>
      </w:pPr>
      <w:r>
        <w:rPr>
          <w:rFonts w:ascii="Book Antiqua" w:hAnsi="Book Antiqua" w:cs="Calibri"/>
          <w:color w:val="000000" w:themeColor="text1"/>
          <w:szCs w:val="24"/>
        </w:rPr>
        <w:t>S</w:t>
      </w:r>
      <w:r w:rsidR="00D364E3">
        <w:rPr>
          <w:rFonts w:ascii="Book Antiqua" w:hAnsi="Book Antiqua" w:cs="Calibri"/>
          <w:color w:val="000000" w:themeColor="text1"/>
          <w:szCs w:val="24"/>
        </w:rPr>
        <w:t>ecara umum sanksi dalam hukum p</w:t>
      </w:r>
      <w:r>
        <w:rPr>
          <w:rFonts w:ascii="Book Antiqua" w:hAnsi="Book Antiqua" w:cs="Calibri"/>
          <w:color w:val="000000" w:themeColor="text1"/>
          <w:szCs w:val="24"/>
        </w:rPr>
        <w:t>idana dapat di bagi menjadi sanksi pidana dan sanksi tindakan. Menurut Kitab Undang-undang Hukum Pidana (KUHP) dan ketentuan yang ada diluar KUHP, jenis pidana adalah sebagai berikut</w:t>
      </w:r>
    </w:p>
    <w:p w14:paraId="19230D5E" w14:textId="77777777" w:rsidR="00E621C8" w:rsidRDefault="00E621C8" w:rsidP="00BC6EF8">
      <w:pPr>
        <w:pStyle w:val="ListParagraph"/>
        <w:spacing w:after="120" w:line="240" w:lineRule="auto"/>
        <w:ind w:left="0" w:firstLine="567"/>
        <w:jc w:val="both"/>
        <w:rPr>
          <w:rFonts w:ascii="Book Antiqua" w:hAnsi="Book Antiqua" w:cs="Calibri"/>
          <w:color w:val="000000" w:themeColor="text1"/>
          <w:szCs w:val="24"/>
        </w:rPr>
      </w:pPr>
      <w:r>
        <w:rPr>
          <w:rFonts w:ascii="Book Antiqua" w:hAnsi="Book Antiqua" w:cs="Calibri"/>
          <w:color w:val="000000" w:themeColor="text1"/>
          <w:szCs w:val="24"/>
        </w:rPr>
        <w:t xml:space="preserve">a. Pidana </w:t>
      </w:r>
      <w:proofErr w:type="gramStart"/>
      <w:r>
        <w:rPr>
          <w:rFonts w:ascii="Book Antiqua" w:hAnsi="Book Antiqua" w:cs="Calibri"/>
          <w:color w:val="000000" w:themeColor="text1"/>
          <w:szCs w:val="24"/>
        </w:rPr>
        <w:t>pokok :</w:t>
      </w:r>
      <w:proofErr w:type="gramEnd"/>
    </w:p>
    <w:p w14:paraId="70C48E16" w14:textId="77777777" w:rsidR="00E621C8" w:rsidRDefault="00E621C8" w:rsidP="00E621C8">
      <w:pPr>
        <w:pStyle w:val="ListParagraph"/>
        <w:numPr>
          <w:ilvl w:val="0"/>
          <w:numId w:val="16"/>
        </w:numPr>
        <w:spacing w:after="120" w:line="240" w:lineRule="auto"/>
        <w:jc w:val="both"/>
        <w:rPr>
          <w:rFonts w:ascii="Book Antiqua" w:hAnsi="Book Antiqua" w:cs="Calibri"/>
          <w:color w:val="000000" w:themeColor="text1"/>
          <w:szCs w:val="24"/>
        </w:rPr>
      </w:pPr>
      <w:r>
        <w:rPr>
          <w:rFonts w:ascii="Book Antiqua" w:hAnsi="Book Antiqua" w:cs="Calibri"/>
          <w:color w:val="000000" w:themeColor="text1"/>
          <w:szCs w:val="24"/>
        </w:rPr>
        <w:t>pidana mati</w:t>
      </w:r>
    </w:p>
    <w:p w14:paraId="3F8BD203" w14:textId="77777777" w:rsidR="00E621C8" w:rsidRDefault="00E621C8" w:rsidP="00E621C8">
      <w:pPr>
        <w:pStyle w:val="ListParagraph"/>
        <w:numPr>
          <w:ilvl w:val="0"/>
          <w:numId w:val="16"/>
        </w:numPr>
        <w:spacing w:after="120" w:line="240" w:lineRule="auto"/>
        <w:jc w:val="both"/>
        <w:rPr>
          <w:rFonts w:ascii="Book Antiqua" w:hAnsi="Book Antiqua" w:cs="Calibri"/>
          <w:color w:val="000000" w:themeColor="text1"/>
          <w:szCs w:val="24"/>
        </w:rPr>
      </w:pPr>
      <w:r>
        <w:rPr>
          <w:rFonts w:ascii="Book Antiqua" w:hAnsi="Book Antiqua" w:cs="Calibri"/>
          <w:color w:val="000000" w:themeColor="text1"/>
          <w:szCs w:val="24"/>
        </w:rPr>
        <w:t>pidana penjara</w:t>
      </w:r>
    </w:p>
    <w:p w14:paraId="720485D8" w14:textId="77777777" w:rsidR="00E621C8" w:rsidRDefault="00E621C8" w:rsidP="00E621C8">
      <w:pPr>
        <w:pStyle w:val="ListParagraph"/>
        <w:numPr>
          <w:ilvl w:val="0"/>
          <w:numId w:val="16"/>
        </w:numPr>
        <w:spacing w:after="120" w:line="240" w:lineRule="auto"/>
        <w:jc w:val="both"/>
        <w:rPr>
          <w:rFonts w:ascii="Book Antiqua" w:hAnsi="Book Antiqua" w:cs="Calibri"/>
          <w:color w:val="000000" w:themeColor="text1"/>
          <w:szCs w:val="24"/>
        </w:rPr>
      </w:pPr>
      <w:r>
        <w:rPr>
          <w:rFonts w:ascii="Book Antiqua" w:hAnsi="Book Antiqua" w:cs="Calibri"/>
          <w:color w:val="000000" w:themeColor="text1"/>
          <w:szCs w:val="24"/>
        </w:rPr>
        <w:t>pidana kurungan</w:t>
      </w:r>
    </w:p>
    <w:p w14:paraId="328F979F" w14:textId="77777777" w:rsidR="00E621C8" w:rsidRDefault="00E621C8" w:rsidP="00E621C8">
      <w:pPr>
        <w:pStyle w:val="ListParagraph"/>
        <w:numPr>
          <w:ilvl w:val="0"/>
          <w:numId w:val="16"/>
        </w:numPr>
        <w:spacing w:after="120" w:line="240" w:lineRule="auto"/>
        <w:jc w:val="both"/>
        <w:rPr>
          <w:rFonts w:ascii="Book Antiqua" w:hAnsi="Book Antiqua" w:cs="Calibri"/>
          <w:color w:val="000000" w:themeColor="text1"/>
          <w:szCs w:val="24"/>
        </w:rPr>
      </w:pPr>
      <w:r>
        <w:rPr>
          <w:rFonts w:ascii="Book Antiqua" w:hAnsi="Book Antiqua" w:cs="Calibri"/>
          <w:color w:val="000000" w:themeColor="text1"/>
          <w:szCs w:val="24"/>
        </w:rPr>
        <w:t>pidana denda</w:t>
      </w:r>
    </w:p>
    <w:p w14:paraId="49B874D2" w14:textId="77777777" w:rsidR="00E621C8" w:rsidRDefault="00E621C8" w:rsidP="00E621C8">
      <w:pPr>
        <w:pStyle w:val="ListParagraph"/>
        <w:numPr>
          <w:ilvl w:val="0"/>
          <w:numId w:val="16"/>
        </w:numPr>
        <w:spacing w:after="120" w:line="240" w:lineRule="auto"/>
        <w:jc w:val="both"/>
        <w:rPr>
          <w:rFonts w:ascii="Book Antiqua" w:hAnsi="Book Antiqua" w:cs="Calibri"/>
          <w:color w:val="000000" w:themeColor="text1"/>
          <w:szCs w:val="24"/>
        </w:rPr>
      </w:pPr>
      <w:r>
        <w:rPr>
          <w:rFonts w:ascii="Book Antiqua" w:hAnsi="Book Antiqua" w:cs="Calibri"/>
          <w:color w:val="000000" w:themeColor="text1"/>
          <w:szCs w:val="24"/>
        </w:rPr>
        <w:t>pidana tutupan (berdasarkan Undang-undang No, 20 tahun 1946)</w:t>
      </w:r>
    </w:p>
    <w:p w14:paraId="44666FC2" w14:textId="77777777" w:rsidR="00E621C8" w:rsidRDefault="00E621C8" w:rsidP="00E621C8">
      <w:pPr>
        <w:pStyle w:val="ListParagraph"/>
        <w:spacing w:after="120" w:line="240" w:lineRule="auto"/>
        <w:ind w:left="567"/>
        <w:jc w:val="both"/>
        <w:rPr>
          <w:rFonts w:ascii="Book Antiqua" w:hAnsi="Book Antiqua" w:cs="Calibri"/>
          <w:color w:val="000000" w:themeColor="text1"/>
          <w:szCs w:val="24"/>
        </w:rPr>
      </w:pPr>
      <w:r>
        <w:rPr>
          <w:rFonts w:ascii="Book Antiqua" w:hAnsi="Book Antiqua" w:cs="Calibri"/>
          <w:color w:val="000000" w:themeColor="text1"/>
          <w:szCs w:val="24"/>
        </w:rPr>
        <w:t>b. Pidana tambahan</w:t>
      </w:r>
    </w:p>
    <w:p w14:paraId="28DA4CA8" w14:textId="77777777" w:rsidR="00E621C8" w:rsidRDefault="00E621C8" w:rsidP="00E621C8">
      <w:pPr>
        <w:pStyle w:val="ListParagraph"/>
        <w:numPr>
          <w:ilvl w:val="0"/>
          <w:numId w:val="17"/>
        </w:numPr>
        <w:spacing w:after="120" w:line="240" w:lineRule="auto"/>
        <w:jc w:val="both"/>
        <w:rPr>
          <w:rFonts w:ascii="Book Antiqua" w:hAnsi="Book Antiqua" w:cs="Calibri"/>
          <w:color w:val="000000" w:themeColor="text1"/>
          <w:szCs w:val="24"/>
        </w:rPr>
      </w:pPr>
      <w:r>
        <w:rPr>
          <w:rFonts w:ascii="Book Antiqua" w:hAnsi="Book Antiqua" w:cs="Calibri"/>
          <w:color w:val="000000" w:themeColor="text1"/>
          <w:szCs w:val="24"/>
        </w:rPr>
        <w:t>pencabutan hak-hak tertentu</w:t>
      </w:r>
    </w:p>
    <w:p w14:paraId="59BB8114" w14:textId="77777777" w:rsidR="00E621C8" w:rsidRDefault="00E621C8" w:rsidP="00E621C8">
      <w:pPr>
        <w:pStyle w:val="ListParagraph"/>
        <w:numPr>
          <w:ilvl w:val="0"/>
          <w:numId w:val="17"/>
        </w:numPr>
        <w:spacing w:after="120" w:line="240" w:lineRule="auto"/>
        <w:jc w:val="both"/>
        <w:rPr>
          <w:rFonts w:ascii="Book Antiqua" w:hAnsi="Book Antiqua" w:cs="Calibri"/>
          <w:color w:val="000000" w:themeColor="text1"/>
          <w:szCs w:val="24"/>
        </w:rPr>
      </w:pPr>
      <w:r>
        <w:rPr>
          <w:rFonts w:ascii="Book Antiqua" w:hAnsi="Book Antiqua" w:cs="Calibri"/>
          <w:color w:val="000000" w:themeColor="text1"/>
          <w:szCs w:val="24"/>
        </w:rPr>
        <w:t>perampasan barang bukti</w:t>
      </w:r>
    </w:p>
    <w:p w14:paraId="0953B103" w14:textId="77777777" w:rsidR="00E621C8" w:rsidRDefault="00E621C8" w:rsidP="00E621C8">
      <w:pPr>
        <w:pStyle w:val="ListParagraph"/>
        <w:numPr>
          <w:ilvl w:val="0"/>
          <w:numId w:val="17"/>
        </w:numPr>
        <w:spacing w:after="120" w:line="240" w:lineRule="auto"/>
        <w:jc w:val="both"/>
        <w:rPr>
          <w:rFonts w:ascii="Book Antiqua" w:hAnsi="Book Antiqua" w:cs="Calibri"/>
          <w:color w:val="000000" w:themeColor="text1"/>
          <w:szCs w:val="24"/>
        </w:rPr>
      </w:pPr>
      <w:r>
        <w:rPr>
          <w:rFonts w:ascii="Book Antiqua" w:hAnsi="Book Antiqua" w:cs="Calibri"/>
          <w:color w:val="000000" w:themeColor="text1"/>
          <w:szCs w:val="24"/>
        </w:rPr>
        <w:t>pengumuman putusan hakim</w:t>
      </w:r>
    </w:p>
    <w:p w14:paraId="6ABA8446" w14:textId="77777777" w:rsidR="00D364E3" w:rsidRDefault="00D364E3" w:rsidP="00D364E3">
      <w:pPr>
        <w:spacing w:after="120" w:line="240" w:lineRule="auto"/>
        <w:ind w:firstLine="567"/>
        <w:jc w:val="both"/>
        <w:rPr>
          <w:rFonts w:ascii="Book Antiqua" w:hAnsi="Book Antiqua" w:cs="Calibri"/>
          <w:color w:val="000000" w:themeColor="text1"/>
          <w:szCs w:val="24"/>
        </w:rPr>
      </w:pPr>
      <w:r>
        <w:rPr>
          <w:rFonts w:ascii="Book Antiqua" w:hAnsi="Book Antiqua" w:cs="Calibri"/>
          <w:color w:val="000000" w:themeColor="text1"/>
          <w:szCs w:val="24"/>
        </w:rPr>
        <w:t>Dalam hukum pidana positif juga dikenal dengan sanksi tindakan berupa penempatan di rumah sakit jiba wabgi orang yang tidak dapat dipertanggungjawabkan karena jiwanya cacat dalam tumbuhnya atau terganggu penyakit ini tertuang dalam Pasal 44 ayat 2 KUHP kita.</w:t>
      </w:r>
    </w:p>
    <w:p w14:paraId="10715683" w14:textId="77777777" w:rsidR="00D364E3" w:rsidRDefault="00D364E3" w:rsidP="00D364E3">
      <w:pPr>
        <w:spacing w:after="120" w:line="240" w:lineRule="auto"/>
        <w:ind w:firstLine="567"/>
        <w:jc w:val="both"/>
        <w:rPr>
          <w:rFonts w:ascii="Book Antiqua" w:hAnsi="Book Antiqua" w:cs="Calibri"/>
          <w:color w:val="000000" w:themeColor="text1"/>
          <w:szCs w:val="24"/>
        </w:rPr>
      </w:pPr>
      <w:r>
        <w:rPr>
          <w:rFonts w:ascii="Book Antiqua" w:hAnsi="Book Antiqua" w:cs="Calibri"/>
          <w:color w:val="000000" w:themeColor="text1"/>
          <w:szCs w:val="24"/>
        </w:rPr>
        <w:t>Pasal 45 KUHP juga menjelaskan bagi anak yang belum berumur 16 tahun melakukan tindak pidana</w:t>
      </w:r>
      <w:r w:rsidR="001D50DE">
        <w:rPr>
          <w:rFonts w:ascii="Book Antiqua" w:hAnsi="Book Antiqua" w:cs="Calibri"/>
          <w:color w:val="000000" w:themeColor="text1"/>
          <w:szCs w:val="24"/>
        </w:rPr>
        <w:t xml:space="preserve">. Hakim dapat mengenakan tindakan </w:t>
      </w:r>
      <w:proofErr w:type="gramStart"/>
      <w:r w:rsidR="001D50DE">
        <w:rPr>
          <w:rFonts w:ascii="Book Antiqua" w:hAnsi="Book Antiqua" w:cs="Calibri"/>
          <w:color w:val="000000" w:themeColor="text1"/>
          <w:szCs w:val="24"/>
        </w:rPr>
        <w:t>berupa :</w:t>
      </w:r>
      <w:proofErr w:type="gramEnd"/>
    </w:p>
    <w:p w14:paraId="67109456" w14:textId="77777777" w:rsidR="001D50DE" w:rsidRPr="001D50DE" w:rsidRDefault="001D50DE" w:rsidP="001D50DE">
      <w:pPr>
        <w:pStyle w:val="ListParagraph"/>
        <w:numPr>
          <w:ilvl w:val="0"/>
          <w:numId w:val="19"/>
        </w:numPr>
        <w:spacing w:after="120" w:line="240" w:lineRule="auto"/>
        <w:jc w:val="both"/>
        <w:rPr>
          <w:rFonts w:ascii="Book Antiqua" w:hAnsi="Book Antiqua" w:cs="Calibri"/>
          <w:color w:val="000000" w:themeColor="text1"/>
          <w:szCs w:val="24"/>
        </w:rPr>
      </w:pPr>
      <w:r w:rsidRPr="001D50DE">
        <w:rPr>
          <w:rFonts w:ascii="Book Antiqua" w:hAnsi="Book Antiqua" w:cs="Calibri"/>
          <w:color w:val="000000" w:themeColor="text1"/>
          <w:szCs w:val="24"/>
        </w:rPr>
        <w:t>mengembalikan kepada orang tuanya, walinya atau pemeliharanya</w:t>
      </w:r>
    </w:p>
    <w:p w14:paraId="0217A2A7" w14:textId="77777777" w:rsidR="001D50DE" w:rsidRPr="001D50DE" w:rsidRDefault="001D50DE" w:rsidP="001D50DE">
      <w:pPr>
        <w:pStyle w:val="ListParagraph"/>
        <w:numPr>
          <w:ilvl w:val="0"/>
          <w:numId w:val="19"/>
        </w:numPr>
        <w:spacing w:after="120" w:line="240" w:lineRule="auto"/>
        <w:jc w:val="both"/>
        <w:rPr>
          <w:rFonts w:ascii="Book Antiqua" w:hAnsi="Book Antiqua" w:cs="Calibri"/>
          <w:color w:val="000000" w:themeColor="text1"/>
          <w:szCs w:val="24"/>
        </w:rPr>
      </w:pPr>
      <w:r w:rsidRPr="001D50DE">
        <w:rPr>
          <w:rFonts w:ascii="Book Antiqua" w:hAnsi="Book Antiqua" w:cs="Calibri"/>
          <w:color w:val="000000" w:themeColor="text1"/>
          <w:szCs w:val="24"/>
        </w:rPr>
        <w:t>memerintahkan agar anak tersebut diserahkan kepda pemerintah</w:t>
      </w:r>
    </w:p>
    <w:p w14:paraId="5FC79A5C" w14:textId="77777777" w:rsidR="001D50DE" w:rsidRDefault="001D50DE" w:rsidP="001D50DE">
      <w:pPr>
        <w:pStyle w:val="ListParagraph"/>
        <w:numPr>
          <w:ilvl w:val="0"/>
          <w:numId w:val="19"/>
        </w:numPr>
        <w:spacing w:after="120" w:line="240" w:lineRule="auto"/>
        <w:jc w:val="both"/>
        <w:rPr>
          <w:rFonts w:ascii="Book Antiqua" w:hAnsi="Book Antiqua" w:cs="Calibri"/>
          <w:color w:val="000000" w:themeColor="text1"/>
          <w:szCs w:val="24"/>
        </w:rPr>
      </w:pPr>
      <w:r w:rsidRPr="001D50DE">
        <w:rPr>
          <w:rFonts w:ascii="Book Antiqua" w:hAnsi="Book Antiqua" w:cs="Calibri"/>
          <w:color w:val="000000" w:themeColor="text1"/>
          <w:szCs w:val="24"/>
        </w:rPr>
        <w:t>dalam hal ini yang ke 2 anak tersebut dimasukkan dalam rumah pendidikan negara yang penyelenggaranya diatur oleh Peraturan Pendidikan Paksa</w:t>
      </w:r>
    </w:p>
    <w:p w14:paraId="0779B663" w14:textId="77777777" w:rsidR="001D50DE" w:rsidRDefault="001D50DE" w:rsidP="001D50DE">
      <w:pPr>
        <w:pStyle w:val="ListParagraph"/>
        <w:numPr>
          <w:ilvl w:val="0"/>
          <w:numId w:val="19"/>
        </w:numPr>
        <w:spacing w:after="120" w:line="240" w:lineRule="auto"/>
        <w:jc w:val="both"/>
        <w:rPr>
          <w:rFonts w:ascii="Book Antiqua" w:hAnsi="Book Antiqua" w:cs="Calibri"/>
          <w:color w:val="000000" w:themeColor="text1"/>
          <w:szCs w:val="24"/>
        </w:rPr>
      </w:pPr>
      <w:r>
        <w:rPr>
          <w:rFonts w:ascii="Book Antiqua" w:hAnsi="Book Antiqua" w:cs="Calibri"/>
          <w:color w:val="000000" w:themeColor="text1"/>
          <w:szCs w:val="24"/>
        </w:rPr>
        <w:t>penempatan di tempat bekerja Negara bagi penganggur yang malas bekerja dan tidak mempunyai mata pencaharian, serta menggangu ketertiban umum dengan melakukan pengemisan, bergeladang atau perbuatan asosial</w:t>
      </w:r>
    </w:p>
    <w:p w14:paraId="63569ADA" w14:textId="77777777" w:rsidR="001D50DE" w:rsidRPr="001D50DE" w:rsidRDefault="00A5510C" w:rsidP="001D50DE">
      <w:pPr>
        <w:pStyle w:val="ListParagraph"/>
        <w:numPr>
          <w:ilvl w:val="0"/>
          <w:numId w:val="19"/>
        </w:numPr>
        <w:spacing w:after="120" w:line="240" w:lineRule="auto"/>
        <w:jc w:val="both"/>
        <w:rPr>
          <w:rFonts w:ascii="Book Antiqua" w:hAnsi="Book Antiqua" w:cs="Calibri"/>
          <w:color w:val="000000" w:themeColor="text1"/>
          <w:szCs w:val="24"/>
        </w:rPr>
      </w:pPr>
      <w:r>
        <w:rPr>
          <w:rFonts w:ascii="Book Antiqua" w:hAnsi="Book Antiqua" w:cs="Calibri"/>
          <w:color w:val="000000" w:themeColor="text1"/>
          <w:szCs w:val="24"/>
        </w:rPr>
        <w:t>tindakan tata tertib dalam hal tindak pidana ekonomi.</w:t>
      </w:r>
    </w:p>
    <w:p w14:paraId="0C7F8174" w14:textId="77777777" w:rsidR="001D50DE" w:rsidRDefault="001D50DE" w:rsidP="00D364E3">
      <w:pPr>
        <w:spacing w:after="120" w:line="240" w:lineRule="auto"/>
        <w:ind w:firstLine="567"/>
        <w:jc w:val="both"/>
        <w:rPr>
          <w:rFonts w:ascii="Book Antiqua" w:hAnsi="Book Antiqua" w:cs="Calibri"/>
          <w:color w:val="000000" w:themeColor="text1"/>
          <w:szCs w:val="24"/>
        </w:rPr>
      </w:pPr>
    </w:p>
    <w:p w14:paraId="2169A031" w14:textId="77777777" w:rsidR="009B7DD2" w:rsidRPr="00D364E3" w:rsidRDefault="009B7DD2" w:rsidP="00D364E3">
      <w:pPr>
        <w:spacing w:after="120" w:line="240" w:lineRule="auto"/>
        <w:ind w:firstLine="567"/>
        <w:jc w:val="both"/>
        <w:rPr>
          <w:rFonts w:ascii="Book Antiqua" w:hAnsi="Book Antiqua" w:cs="Calibri"/>
          <w:color w:val="000000" w:themeColor="text1"/>
          <w:szCs w:val="24"/>
        </w:rPr>
      </w:pPr>
      <w:bookmarkStart w:id="0" w:name="_GoBack"/>
      <w:bookmarkEnd w:id="0"/>
    </w:p>
    <w:p w14:paraId="1295F3F8" w14:textId="77777777" w:rsidR="00F36B19" w:rsidRPr="00D56156" w:rsidRDefault="00E415D5" w:rsidP="00F36B19">
      <w:pPr>
        <w:spacing w:after="120" w:line="240" w:lineRule="auto"/>
        <w:jc w:val="both"/>
        <w:rPr>
          <w:rFonts w:ascii="Book Antiqua" w:hAnsi="Book Antiqua" w:cs="Calibri"/>
          <w:b/>
          <w:color w:val="000000" w:themeColor="text1"/>
        </w:rPr>
      </w:pPr>
      <w:r w:rsidRPr="00D56156">
        <w:rPr>
          <w:rFonts w:ascii="Book Antiqua" w:hAnsi="Book Antiqua" w:cs="Calibri"/>
          <w:b/>
          <w:color w:val="000000" w:themeColor="text1"/>
        </w:rPr>
        <w:lastRenderedPageBreak/>
        <w:t xml:space="preserve">3.2 Pelaksanaan </w:t>
      </w:r>
      <w:r w:rsidR="00EF1826" w:rsidRPr="00D56156">
        <w:rPr>
          <w:rFonts w:ascii="Book Antiqua" w:hAnsi="Book Antiqua" w:cs="Calibri"/>
          <w:b/>
          <w:color w:val="000000" w:themeColor="text1"/>
        </w:rPr>
        <w:t>Kegiatan</w:t>
      </w:r>
    </w:p>
    <w:p w14:paraId="1DBD26BF" w14:textId="77777777" w:rsidR="00EF1826" w:rsidRDefault="00EF1826" w:rsidP="00E17BFD">
      <w:pPr>
        <w:autoSpaceDE w:val="0"/>
        <w:autoSpaceDN w:val="0"/>
        <w:adjustRightInd w:val="0"/>
        <w:spacing w:after="0" w:line="240" w:lineRule="auto"/>
        <w:ind w:firstLine="567"/>
        <w:jc w:val="both"/>
        <w:rPr>
          <w:rFonts w:ascii="Book Antiqua" w:hAnsi="Book Antiqua" w:cs="Calibri"/>
          <w:color w:val="000000" w:themeColor="text1"/>
          <w:szCs w:val="24"/>
        </w:rPr>
      </w:pPr>
      <w:r w:rsidRPr="00EF1826">
        <w:rPr>
          <w:rFonts w:ascii="Book Antiqua" w:hAnsi="Book Antiqua" w:cs="Calibri"/>
          <w:color w:val="000000" w:themeColor="text1"/>
          <w:szCs w:val="24"/>
        </w:rPr>
        <w:t>Kegiatan ini dilaksanakan di Faku</w:t>
      </w:r>
      <w:r>
        <w:rPr>
          <w:rFonts w:ascii="Book Antiqua" w:hAnsi="Book Antiqua" w:cs="Calibri"/>
          <w:color w:val="000000" w:themeColor="text1"/>
          <w:szCs w:val="24"/>
        </w:rPr>
        <w:t>ltas Hukum Universitas Pattimura. K</w:t>
      </w:r>
      <w:r>
        <w:rPr>
          <w:rFonts w:ascii="Book Antiqua" w:hAnsi="Book Antiqua" w:cs="TimesNewRomanPS-BoldMT"/>
          <w:bCs/>
        </w:rPr>
        <w:t xml:space="preserve">egiatan dimulai dengan dibuka oleh pembina UKM, selanjutnya kegiatan dipandu oleh moderator untuk memandu sepanjang kegiatan berlangsung. Materi dibawakan oleh narasumber dengan cara ceramah dan membuka sesi diskusi dengan para peserta. </w:t>
      </w:r>
      <w:r>
        <w:rPr>
          <w:rFonts w:ascii="Book Antiqua" w:hAnsi="Book Antiqua" w:cs="Calibri"/>
          <w:color w:val="000000" w:themeColor="text1"/>
          <w:szCs w:val="24"/>
        </w:rPr>
        <w:t xml:space="preserve">Materi kegiatan dibuat dalam bentuk power point yang </w:t>
      </w:r>
      <w:proofErr w:type="gramStart"/>
      <w:r>
        <w:rPr>
          <w:rFonts w:ascii="Book Antiqua" w:hAnsi="Book Antiqua" w:cs="Calibri"/>
          <w:color w:val="000000" w:themeColor="text1"/>
          <w:szCs w:val="24"/>
        </w:rPr>
        <w:t>kemudian  dipresentasikan</w:t>
      </w:r>
      <w:proofErr w:type="gramEnd"/>
      <w:r>
        <w:rPr>
          <w:rFonts w:ascii="Book Antiqua" w:hAnsi="Book Antiqua" w:cs="Calibri"/>
          <w:color w:val="000000" w:themeColor="text1"/>
          <w:szCs w:val="24"/>
        </w:rPr>
        <w:t xml:space="preserve"> pada peserta. Kegiatan ini dihadiri oleh anggota UKM Peradilan Semu Fakultas Hukum.</w:t>
      </w:r>
    </w:p>
    <w:p w14:paraId="7C8422F5" w14:textId="77777777" w:rsidR="00F36B19" w:rsidRPr="00EF1826" w:rsidRDefault="00F36B19" w:rsidP="00EF1826">
      <w:pPr>
        <w:spacing w:after="120" w:line="240" w:lineRule="auto"/>
        <w:ind w:firstLine="567"/>
        <w:jc w:val="both"/>
        <w:rPr>
          <w:rFonts w:ascii="Book Antiqua" w:hAnsi="Book Antiqua" w:cs="Calibri"/>
          <w:color w:val="000000" w:themeColor="text1"/>
          <w:szCs w:val="24"/>
        </w:rPr>
      </w:pPr>
    </w:p>
    <w:p w14:paraId="743E0C55" w14:textId="77777777" w:rsidR="00F36B19" w:rsidRDefault="00F36B19" w:rsidP="00F36B19">
      <w:pPr>
        <w:spacing w:after="120" w:line="240" w:lineRule="auto"/>
        <w:jc w:val="center"/>
        <w:rPr>
          <w:rFonts w:ascii="Book Antiqua" w:hAnsi="Book Antiqua" w:cs="Calibri"/>
          <w:b/>
          <w:color w:val="000000" w:themeColor="text1"/>
          <w:szCs w:val="24"/>
        </w:rPr>
      </w:pPr>
      <w:r>
        <w:rPr>
          <w:rFonts w:ascii="Book Antiqua" w:hAnsi="Book Antiqua" w:cs="Calibri"/>
          <w:b/>
          <w:noProof/>
          <w:color w:val="000000" w:themeColor="text1"/>
          <w:szCs w:val="24"/>
        </w:rPr>
        <w:drawing>
          <wp:inline distT="0" distB="0" distL="0" distR="0" wp14:anchorId="2D4E0588" wp14:editId="2F73D931">
            <wp:extent cx="3200400" cy="24377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5-31 at 19.45.38 (1).jpeg"/>
                    <pic:cNvPicPr/>
                  </pic:nvPicPr>
                  <pic:blipFill>
                    <a:blip r:embed="rId9" cstate="print">
                      <a:extLst>
                        <a:ext uri="{BEBA8EAE-BF5A-486C-A8C5-ECC9F3942E4B}">
                          <a14:imgProps xmlns:a14="http://schemas.microsoft.com/office/drawing/2010/main">
                            <a14:imgLayer r:embed="rId10">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3233145" cy="2462707"/>
                    </a:xfrm>
                    <a:prstGeom prst="rect">
                      <a:avLst/>
                    </a:prstGeom>
                  </pic:spPr>
                </pic:pic>
              </a:graphicData>
            </a:graphic>
          </wp:inline>
        </w:drawing>
      </w:r>
    </w:p>
    <w:p w14:paraId="0B6C187C" w14:textId="77777777" w:rsidR="00B20060" w:rsidRPr="006C3B4F" w:rsidRDefault="00B20060" w:rsidP="00B20060">
      <w:pPr>
        <w:spacing w:after="0" w:line="240" w:lineRule="auto"/>
        <w:jc w:val="center"/>
        <w:rPr>
          <w:rFonts w:ascii="Book Antiqua" w:hAnsi="Book Antiqua" w:cs="Calibri"/>
          <w:noProof/>
          <w:color w:val="000000" w:themeColor="text1"/>
          <w:sz w:val="18"/>
          <w:szCs w:val="24"/>
        </w:rPr>
      </w:pPr>
      <w:r w:rsidRPr="006C3B4F">
        <w:rPr>
          <w:rFonts w:ascii="Book Antiqua" w:hAnsi="Book Antiqua" w:cs="Calibri"/>
          <w:noProof/>
          <w:color w:val="000000" w:themeColor="text1"/>
          <w:sz w:val="18"/>
          <w:szCs w:val="24"/>
        </w:rPr>
        <w:t>Gambar 1.</w:t>
      </w:r>
      <w:r>
        <w:rPr>
          <w:rFonts w:ascii="Book Antiqua" w:hAnsi="Book Antiqua" w:cs="Calibri"/>
          <w:noProof/>
          <w:color w:val="000000" w:themeColor="text1"/>
          <w:sz w:val="18"/>
          <w:szCs w:val="24"/>
        </w:rPr>
        <w:t xml:space="preserve">1 </w:t>
      </w:r>
      <w:r w:rsidRPr="006C3B4F">
        <w:rPr>
          <w:rFonts w:ascii="Book Antiqua" w:hAnsi="Book Antiqua" w:cs="Calibri"/>
          <w:noProof/>
          <w:color w:val="000000" w:themeColor="text1"/>
          <w:sz w:val="18"/>
          <w:szCs w:val="24"/>
        </w:rPr>
        <w:t xml:space="preserve">Pemaparan Materi </w:t>
      </w:r>
    </w:p>
    <w:p w14:paraId="49B3501B" w14:textId="575D87E9" w:rsidR="00EF1826" w:rsidRDefault="00770905" w:rsidP="00770905">
      <w:pPr>
        <w:spacing w:after="120" w:line="240" w:lineRule="auto"/>
        <w:jc w:val="center"/>
        <w:rPr>
          <w:rFonts w:ascii="Book Antiqua" w:hAnsi="Book Antiqua" w:cs="Calibri"/>
          <w:b/>
          <w:color w:val="000000" w:themeColor="text1"/>
          <w:szCs w:val="24"/>
        </w:rPr>
      </w:pPr>
      <w:r>
        <w:rPr>
          <w:rFonts w:ascii="Book Antiqua" w:hAnsi="Book Antiqua" w:cs="Calibri"/>
          <w:b/>
          <w:noProof/>
          <w:color w:val="000000" w:themeColor="text1"/>
          <w:szCs w:val="24"/>
        </w:rPr>
        <w:drawing>
          <wp:inline distT="0" distB="0" distL="0" distR="0" wp14:anchorId="13834B61" wp14:editId="56E96025">
            <wp:extent cx="3272118" cy="203644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5-31 at 19.45.39.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93279" cy="2049615"/>
                    </a:xfrm>
                    <a:prstGeom prst="rect">
                      <a:avLst/>
                    </a:prstGeom>
                  </pic:spPr>
                </pic:pic>
              </a:graphicData>
            </a:graphic>
          </wp:inline>
        </w:drawing>
      </w:r>
    </w:p>
    <w:p w14:paraId="7F150946" w14:textId="77777777" w:rsidR="00B20060" w:rsidRPr="006C3B4F" w:rsidRDefault="00B20060" w:rsidP="00B20060">
      <w:pPr>
        <w:spacing w:after="0" w:line="240" w:lineRule="auto"/>
        <w:jc w:val="center"/>
        <w:rPr>
          <w:rFonts w:ascii="Book Antiqua" w:hAnsi="Book Antiqua" w:cs="Calibri"/>
          <w:noProof/>
          <w:color w:val="000000" w:themeColor="text1"/>
          <w:sz w:val="18"/>
          <w:szCs w:val="24"/>
        </w:rPr>
      </w:pPr>
      <w:r w:rsidRPr="006C3B4F">
        <w:rPr>
          <w:rFonts w:ascii="Book Antiqua" w:hAnsi="Book Antiqua" w:cs="Calibri"/>
          <w:noProof/>
          <w:color w:val="000000" w:themeColor="text1"/>
          <w:sz w:val="18"/>
          <w:szCs w:val="24"/>
        </w:rPr>
        <w:t>Gambar 1.2</w:t>
      </w:r>
      <w:r>
        <w:rPr>
          <w:rFonts w:ascii="Book Antiqua" w:hAnsi="Book Antiqua" w:cs="Calibri"/>
          <w:noProof/>
          <w:color w:val="000000" w:themeColor="text1"/>
          <w:sz w:val="18"/>
          <w:szCs w:val="24"/>
        </w:rPr>
        <w:t xml:space="preserve"> </w:t>
      </w:r>
      <w:r w:rsidRPr="006C3B4F">
        <w:rPr>
          <w:rFonts w:ascii="Book Antiqua" w:hAnsi="Book Antiqua" w:cs="Calibri"/>
          <w:noProof/>
          <w:color w:val="000000" w:themeColor="text1"/>
          <w:sz w:val="18"/>
          <w:szCs w:val="24"/>
        </w:rPr>
        <w:t xml:space="preserve">Pemaparan Materi </w:t>
      </w:r>
    </w:p>
    <w:p w14:paraId="6511D117" w14:textId="77777777" w:rsidR="00EF1826" w:rsidRDefault="00EF1826" w:rsidP="00F36B19">
      <w:pPr>
        <w:spacing w:after="120" w:line="240" w:lineRule="auto"/>
        <w:jc w:val="center"/>
        <w:rPr>
          <w:rFonts w:ascii="Book Antiqua" w:hAnsi="Book Antiqua" w:cs="Calibri"/>
          <w:b/>
          <w:color w:val="000000" w:themeColor="text1"/>
          <w:szCs w:val="24"/>
        </w:rPr>
      </w:pPr>
    </w:p>
    <w:p w14:paraId="778F598F" w14:textId="77777777" w:rsidR="00EF1826" w:rsidRDefault="00EF1826" w:rsidP="00F36B19">
      <w:pPr>
        <w:spacing w:after="120" w:line="240" w:lineRule="auto"/>
        <w:jc w:val="center"/>
        <w:rPr>
          <w:rFonts w:ascii="Book Antiqua" w:hAnsi="Book Antiqua" w:cs="Calibri"/>
          <w:b/>
          <w:color w:val="000000" w:themeColor="text1"/>
          <w:szCs w:val="24"/>
        </w:rPr>
      </w:pPr>
    </w:p>
    <w:p w14:paraId="516BCCF7" w14:textId="77777777" w:rsidR="00F36B19" w:rsidRDefault="00F36B19" w:rsidP="00F36B19">
      <w:pPr>
        <w:spacing w:after="120" w:line="240" w:lineRule="auto"/>
        <w:jc w:val="center"/>
        <w:rPr>
          <w:rFonts w:ascii="Book Antiqua" w:hAnsi="Book Antiqua" w:cs="Calibri"/>
          <w:b/>
          <w:color w:val="000000" w:themeColor="text1"/>
          <w:szCs w:val="24"/>
        </w:rPr>
      </w:pPr>
      <w:r>
        <w:rPr>
          <w:rFonts w:ascii="Book Antiqua" w:hAnsi="Book Antiqua" w:cs="Calibri"/>
          <w:b/>
          <w:noProof/>
          <w:color w:val="000000" w:themeColor="text1"/>
          <w:szCs w:val="24"/>
        </w:rPr>
        <w:lastRenderedPageBreak/>
        <w:drawing>
          <wp:inline distT="0" distB="0" distL="0" distR="0" wp14:anchorId="2759DADC" wp14:editId="600C6A79">
            <wp:extent cx="3282787" cy="2067951"/>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5-31 at 19.45.40.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91383" cy="2073366"/>
                    </a:xfrm>
                    <a:prstGeom prst="rect">
                      <a:avLst/>
                    </a:prstGeom>
                  </pic:spPr>
                </pic:pic>
              </a:graphicData>
            </a:graphic>
          </wp:inline>
        </w:drawing>
      </w:r>
    </w:p>
    <w:p w14:paraId="2FA3100D" w14:textId="77777777" w:rsidR="00B20060" w:rsidRPr="00770905" w:rsidRDefault="00B20060" w:rsidP="00B20060">
      <w:pPr>
        <w:spacing w:line="240" w:lineRule="auto"/>
        <w:jc w:val="center"/>
        <w:rPr>
          <w:rFonts w:ascii="Book Antiqua" w:hAnsi="Book Antiqua" w:cs="Calibri"/>
          <w:noProof/>
          <w:color w:val="000000" w:themeColor="text1"/>
          <w:sz w:val="18"/>
          <w:szCs w:val="18"/>
        </w:rPr>
      </w:pPr>
      <w:r w:rsidRPr="00770905">
        <w:rPr>
          <w:rFonts w:ascii="Book Antiqua" w:hAnsi="Book Antiqua" w:cs="Calibri"/>
          <w:noProof/>
          <w:color w:val="000000" w:themeColor="text1"/>
          <w:sz w:val="18"/>
          <w:szCs w:val="18"/>
        </w:rPr>
        <w:t xml:space="preserve">Gambar 1.3 Para peserta kegiatan </w:t>
      </w:r>
    </w:p>
    <w:p w14:paraId="7271C548" w14:textId="3B281254" w:rsidR="00770905" w:rsidRPr="00770905" w:rsidRDefault="00DD46A0" w:rsidP="00770905">
      <w:pPr>
        <w:spacing w:after="120" w:line="240" w:lineRule="auto"/>
        <w:ind w:firstLine="567"/>
        <w:jc w:val="both"/>
        <w:rPr>
          <w:rFonts w:ascii="Book Antiqua" w:hAnsi="Book Antiqua" w:cs="Calibri"/>
          <w:color w:val="000000" w:themeColor="text1"/>
          <w:szCs w:val="24"/>
        </w:rPr>
      </w:pPr>
      <w:r>
        <w:rPr>
          <w:rFonts w:ascii="Book Antiqua" w:hAnsi="Book Antiqua" w:cs="Calibri"/>
          <w:color w:val="000000" w:themeColor="text1"/>
          <w:szCs w:val="24"/>
        </w:rPr>
        <w:t>Setelah pemaparan materi tentang tindak pidana, pertanggung jawaban pidana, pidana dan pemeidanaan, kegiatan dilanjutkan dengan sesi tanya jawab dengan peserta kegiatan. Dalam tanya jawab ini peserta kegiatan sangat antusias ini ditandai dengan pertanyaan yang beragam tentang permasalahan hukum yang terjadi di tengah masyarakat</w:t>
      </w:r>
      <w:r w:rsidR="00770905">
        <w:rPr>
          <w:rFonts w:ascii="Book Antiqua" w:hAnsi="Book Antiqua" w:cs="Calibri"/>
          <w:color w:val="000000" w:themeColor="text1"/>
          <w:szCs w:val="24"/>
        </w:rPr>
        <w:t xml:space="preserve"> terkait dengan tindak pidana serta bentuk-bentuk pertanggungjawaban pidana. Karna tidak dapat dipungkiri bahwa dengan kemudahan akses informasi di era yang semakin maju ini, tidaklah sulit untuk </w:t>
      </w:r>
      <w:r w:rsidR="007037B1">
        <w:rPr>
          <w:rFonts w:ascii="Book Antiqua" w:hAnsi="Book Antiqua" w:cs="Calibri"/>
          <w:color w:val="000000" w:themeColor="text1"/>
          <w:szCs w:val="24"/>
        </w:rPr>
        <w:t>seorang mahasiswa untuk mendapat serta mengelola informasi baik itu terkait tindak pidana bahkan juga pertanggungjawaban pidana.</w:t>
      </w:r>
    </w:p>
    <w:p w14:paraId="577D61B4" w14:textId="77777777" w:rsidR="00EF1826" w:rsidRPr="00E415D5" w:rsidRDefault="00EF1826" w:rsidP="00F36B19">
      <w:pPr>
        <w:spacing w:after="120" w:line="240" w:lineRule="auto"/>
        <w:jc w:val="center"/>
        <w:rPr>
          <w:rFonts w:ascii="Book Antiqua" w:hAnsi="Book Antiqua" w:cs="Calibri"/>
          <w:b/>
          <w:color w:val="000000" w:themeColor="text1"/>
          <w:szCs w:val="24"/>
        </w:rPr>
      </w:pPr>
    </w:p>
    <w:p w14:paraId="001A2849" w14:textId="77777777" w:rsidR="00E415D5" w:rsidRPr="00D56156" w:rsidRDefault="00E415D5" w:rsidP="00E415D5">
      <w:pPr>
        <w:pStyle w:val="Default"/>
        <w:ind w:right="-108"/>
        <w:jc w:val="both"/>
        <w:rPr>
          <w:rFonts w:ascii="Book Antiqua" w:hAnsi="Book Antiqua"/>
          <w:b/>
          <w:color w:val="FF0000"/>
          <w:sz w:val="22"/>
          <w:szCs w:val="22"/>
        </w:rPr>
      </w:pPr>
      <w:r w:rsidRPr="00D56156">
        <w:rPr>
          <w:rFonts w:ascii="Book Antiqua" w:hAnsi="Book Antiqua"/>
          <w:b/>
          <w:color w:val="FF0000"/>
          <w:sz w:val="22"/>
          <w:szCs w:val="22"/>
        </w:rPr>
        <w:t>4. Kesimpulan</w:t>
      </w:r>
    </w:p>
    <w:p w14:paraId="3196A11B" w14:textId="22F60F2E" w:rsidR="0002111E" w:rsidRDefault="007037B1" w:rsidP="00653A8A">
      <w:pPr>
        <w:pStyle w:val="Default"/>
        <w:ind w:right="-108" w:firstLine="567"/>
        <w:jc w:val="both"/>
        <w:rPr>
          <w:rFonts w:ascii="Book Antiqua" w:hAnsi="Book Antiqua" w:cs="TimesNewRomanPS-BoldMT"/>
          <w:bCs/>
          <w:sz w:val="22"/>
          <w:szCs w:val="22"/>
        </w:rPr>
      </w:pPr>
      <w:r>
        <w:rPr>
          <w:rFonts w:ascii="Book Antiqua" w:hAnsi="Book Antiqua"/>
          <w:bCs/>
          <w:color w:val="000000" w:themeColor="text1"/>
          <w:sz w:val="22"/>
          <w:szCs w:val="22"/>
        </w:rPr>
        <w:t>Kegiatan</w:t>
      </w:r>
      <w:r w:rsidR="0009503F">
        <w:rPr>
          <w:rFonts w:ascii="Book Antiqua" w:hAnsi="Book Antiqua"/>
          <w:bCs/>
          <w:color w:val="000000" w:themeColor="text1"/>
          <w:sz w:val="22"/>
          <w:szCs w:val="22"/>
        </w:rPr>
        <w:t xml:space="preserve"> </w:t>
      </w:r>
      <w:r w:rsidR="00D56156" w:rsidRPr="00D56156">
        <w:rPr>
          <w:rFonts w:ascii="Book Antiqua" w:hAnsi="Book Antiqua" w:cs="TimesNewRomanPS-BoldMT"/>
          <w:bCs/>
          <w:sz w:val="22"/>
          <w:szCs w:val="22"/>
        </w:rPr>
        <w:t xml:space="preserve">Meningkatkan Pengetahuan dan Mengasah Kemampuan  </w:t>
      </w:r>
      <w:r w:rsidR="00D56156" w:rsidRPr="00D56156">
        <w:rPr>
          <w:rFonts w:ascii="Book Antiqua" w:hAnsi="Book Antiqua" w:cs="Times New Roman"/>
          <w:bCs/>
          <w:sz w:val="22"/>
          <w:szCs w:val="22"/>
        </w:rPr>
        <w:t xml:space="preserve">Mahasiswa Hukum terkait Hukum </w:t>
      </w:r>
      <w:r w:rsidR="00D56156" w:rsidRPr="00D56156">
        <w:rPr>
          <w:rFonts w:ascii="Book Antiqua" w:hAnsi="Book Antiqua" w:cs="TimesNewRomanPS-BoldMT"/>
          <w:bCs/>
          <w:sz w:val="22"/>
          <w:szCs w:val="22"/>
        </w:rPr>
        <w:t>Pidana dengan Topik Tindak Pidana, Pertanggungjawaban Pidana, Pidana dan Pemidanaan</w:t>
      </w:r>
      <w:r w:rsidR="00D56156">
        <w:rPr>
          <w:rFonts w:ascii="Book Antiqua" w:hAnsi="Book Antiqua" w:cs="TimesNewRomanPS-BoldMT"/>
          <w:bCs/>
          <w:sz w:val="22"/>
          <w:szCs w:val="22"/>
        </w:rPr>
        <w:t xml:space="preserve"> yang diselenggarakan UKM Peradilan Semu diharapkan menjadi media penguatan keilmuan bagi seleruh peserta/anggota </w:t>
      </w:r>
      <w:r w:rsidR="00D56156" w:rsidRPr="00D56156">
        <w:rPr>
          <w:rFonts w:ascii="Book Antiqua" w:hAnsi="Book Antiqua" w:cs="TimesNewRomanPS-BoldMT"/>
          <w:bCs/>
          <w:sz w:val="22"/>
          <w:szCs w:val="22"/>
        </w:rPr>
        <w:t>UKM. Kegiatan ini juga</w:t>
      </w:r>
      <w:r w:rsidR="00D56156">
        <w:rPr>
          <w:rFonts w:ascii="Book Antiqua" w:hAnsi="Book Antiqua" w:cs="TimesNewRomanPS-BoldMT"/>
          <w:bCs/>
          <w:sz w:val="22"/>
          <w:szCs w:val="22"/>
        </w:rPr>
        <w:t xml:space="preserve"> dipakai sebagai media diskusi </w:t>
      </w:r>
      <w:r w:rsidR="00653A8A">
        <w:rPr>
          <w:rFonts w:ascii="Book Antiqua" w:hAnsi="Book Antiqua" w:cs="TimesNewRomanPS-BoldMT"/>
          <w:bCs/>
          <w:sz w:val="22"/>
          <w:szCs w:val="22"/>
        </w:rPr>
        <w:t xml:space="preserve">guna mencari solusi kritis bagi penegakan hukum yang ada di sekitar dan juga berbagi pengalaman guna mensukseskan beberapa kegiatan yang </w:t>
      </w:r>
      <w:proofErr w:type="gramStart"/>
      <w:r w:rsidR="00653A8A">
        <w:rPr>
          <w:rFonts w:ascii="Book Antiqua" w:hAnsi="Book Antiqua" w:cs="TimesNewRomanPS-BoldMT"/>
          <w:bCs/>
          <w:sz w:val="22"/>
          <w:szCs w:val="22"/>
        </w:rPr>
        <w:t>akan</w:t>
      </w:r>
      <w:proofErr w:type="gramEnd"/>
      <w:r w:rsidR="00653A8A">
        <w:rPr>
          <w:rFonts w:ascii="Book Antiqua" w:hAnsi="Book Antiqua" w:cs="TimesNewRomanPS-BoldMT"/>
          <w:bCs/>
          <w:sz w:val="22"/>
          <w:szCs w:val="22"/>
        </w:rPr>
        <w:t xml:space="preserve"> dilakukan oleh UKM Peradilan semu kedepannya.</w:t>
      </w:r>
    </w:p>
    <w:p w14:paraId="7C88B955" w14:textId="77777777" w:rsidR="00B42137" w:rsidRPr="00653A8A" w:rsidRDefault="00B42137" w:rsidP="00653A8A">
      <w:pPr>
        <w:pStyle w:val="Default"/>
        <w:ind w:right="-108" w:firstLine="567"/>
        <w:jc w:val="both"/>
        <w:rPr>
          <w:rFonts w:ascii="Book Antiqua" w:hAnsi="Book Antiqua"/>
          <w:bCs/>
          <w:color w:val="000000" w:themeColor="text1"/>
          <w:sz w:val="22"/>
          <w:szCs w:val="22"/>
        </w:rPr>
      </w:pPr>
    </w:p>
    <w:p w14:paraId="7AAF4436" w14:textId="77777777" w:rsidR="0002111E" w:rsidRPr="00653A8A" w:rsidRDefault="0002111E" w:rsidP="0002111E">
      <w:pPr>
        <w:spacing w:after="120" w:line="240" w:lineRule="auto"/>
        <w:jc w:val="both"/>
        <w:rPr>
          <w:rFonts w:ascii="Book Antiqua" w:hAnsi="Book Antiqua" w:cs="Calibri"/>
          <w:b/>
          <w:color w:val="FF0000"/>
        </w:rPr>
      </w:pPr>
      <w:r w:rsidRPr="00653A8A">
        <w:rPr>
          <w:rFonts w:ascii="Book Antiqua" w:hAnsi="Book Antiqua" w:cs="Calibri"/>
          <w:b/>
          <w:color w:val="FF0000"/>
        </w:rPr>
        <w:t>Ucapan Terima Kasih (</w:t>
      </w:r>
      <w:r w:rsidRPr="00653A8A">
        <w:rPr>
          <w:rFonts w:ascii="Book Antiqua" w:hAnsi="Book Antiqua" w:cs="Calibri"/>
          <w:b/>
          <w:i/>
          <w:color w:val="FF0000"/>
        </w:rPr>
        <w:t>Acknowledgments</w:t>
      </w:r>
      <w:r w:rsidRPr="00653A8A">
        <w:rPr>
          <w:rFonts w:ascii="Book Antiqua" w:hAnsi="Book Antiqua" w:cs="Calibri"/>
          <w:b/>
          <w:color w:val="FF0000"/>
        </w:rPr>
        <w:t>)</w:t>
      </w:r>
    </w:p>
    <w:p w14:paraId="30D8B681" w14:textId="77777777" w:rsidR="00DD46A0" w:rsidRPr="00653A8A" w:rsidRDefault="0002111E" w:rsidP="00DD46A0">
      <w:pPr>
        <w:spacing w:after="120" w:line="240" w:lineRule="auto"/>
        <w:jc w:val="both"/>
        <w:rPr>
          <w:rFonts w:ascii="Book Antiqua" w:hAnsi="Book Antiqua" w:cs="Calibri"/>
          <w:b/>
          <w:bCs/>
          <w:color w:val="FF0000"/>
        </w:rPr>
      </w:pPr>
      <w:r w:rsidRPr="00653A8A">
        <w:rPr>
          <w:rFonts w:ascii="Book Antiqua" w:hAnsi="Book Antiqua" w:cs="Calibri"/>
        </w:rPr>
        <w:t xml:space="preserve">Pada kesempatan ini, kami mengucapkan banyak terima kasih kepada Dekan Fakultas Hukum Universitasa Pattimura, </w:t>
      </w:r>
      <w:r w:rsidR="00DD46A0" w:rsidRPr="00653A8A">
        <w:rPr>
          <w:rFonts w:ascii="Book Antiqua" w:hAnsi="Book Antiqua" w:cs="Calibri"/>
        </w:rPr>
        <w:t>para pembina UKM Peradilan Semu Fakultas Hukum UNPATTI, serta para penguru dan anggota UKM Peradilan Semu Fakultas Hukum UNPATTI</w:t>
      </w:r>
      <w:r w:rsidR="00DD46A0" w:rsidRPr="00653A8A">
        <w:rPr>
          <w:rFonts w:ascii="Book Antiqua" w:hAnsi="Book Antiqua" w:cs="Calibri"/>
          <w:b/>
          <w:bCs/>
          <w:color w:val="FF0000"/>
        </w:rPr>
        <w:t xml:space="preserve"> </w:t>
      </w:r>
      <w:r w:rsidR="006E5EE9" w:rsidRPr="00653A8A">
        <w:rPr>
          <w:rFonts w:ascii="Book Antiqua" w:hAnsi="Book Antiqua" w:cs="Calibri"/>
        </w:rPr>
        <w:t>yang sangat antusias dalam mengikuti ini dari awal hingga akhir acara</w:t>
      </w:r>
    </w:p>
    <w:p w14:paraId="04DE3DDF" w14:textId="77777777" w:rsidR="00CD5E2B" w:rsidRPr="00653A8A" w:rsidRDefault="00CD5E2B" w:rsidP="00DD46A0">
      <w:pPr>
        <w:spacing w:after="120" w:line="240" w:lineRule="auto"/>
        <w:jc w:val="both"/>
        <w:rPr>
          <w:rFonts w:ascii="Book Antiqua" w:hAnsi="Book Antiqua" w:cs="Calibri"/>
          <w:b/>
          <w:color w:val="FF0000"/>
        </w:rPr>
      </w:pPr>
      <w:r w:rsidRPr="00653A8A">
        <w:rPr>
          <w:rFonts w:ascii="Book Antiqua" w:hAnsi="Book Antiqua" w:cs="Calibri"/>
          <w:b/>
          <w:bCs/>
          <w:color w:val="FF0000"/>
        </w:rPr>
        <w:t>Referensi</w:t>
      </w:r>
    </w:p>
    <w:p w14:paraId="5CF840AB" w14:textId="77777777" w:rsidR="00DD46A0" w:rsidRPr="00653A8A" w:rsidRDefault="00DD46A0" w:rsidP="00DD46A0">
      <w:pPr>
        <w:widowControl w:val="0"/>
        <w:autoSpaceDE w:val="0"/>
        <w:autoSpaceDN w:val="0"/>
        <w:adjustRightInd w:val="0"/>
        <w:spacing w:after="120" w:line="240" w:lineRule="auto"/>
        <w:ind w:left="480" w:hanging="480"/>
        <w:jc w:val="both"/>
        <w:rPr>
          <w:rFonts w:ascii="Book Antiqua" w:hAnsi="Book Antiqua" w:cs="Times New Roman"/>
          <w:noProof/>
        </w:rPr>
      </w:pPr>
      <w:r w:rsidRPr="00653A8A">
        <w:rPr>
          <w:rFonts w:ascii="Book Antiqua" w:hAnsi="Book Antiqua" w:cs="Calibri"/>
          <w:color w:val="000000" w:themeColor="text1"/>
        </w:rPr>
        <w:fldChar w:fldCharType="begin" w:fldLock="1"/>
      </w:r>
      <w:r w:rsidRPr="00653A8A">
        <w:rPr>
          <w:rFonts w:ascii="Book Antiqua" w:hAnsi="Book Antiqua" w:cs="Calibri"/>
          <w:color w:val="000000" w:themeColor="text1"/>
        </w:rPr>
        <w:instrText xml:space="preserve">ADDIN Mendeley Bibliography CSL_BIBLIOGRAPHY </w:instrText>
      </w:r>
      <w:r w:rsidRPr="00653A8A">
        <w:rPr>
          <w:rFonts w:ascii="Book Antiqua" w:hAnsi="Book Antiqua" w:cs="Calibri"/>
          <w:color w:val="000000" w:themeColor="text1"/>
        </w:rPr>
        <w:fldChar w:fldCharType="separate"/>
      </w:r>
      <w:r w:rsidRPr="00653A8A">
        <w:rPr>
          <w:rFonts w:ascii="Book Antiqua" w:hAnsi="Book Antiqua" w:cs="Times New Roman"/>
          <w:noProof/>
        </w:rPr>
        <w:t xml:space="preserve">Bahiej, Ahmad. “Sejarah Dan Problematika Hukum Pidana Materiel Di Indonesia.” </w:t>
      </w:r>
      <w:r w:rsidRPr="00653A8A">
        <w:rPr>
          <w:rFonts w:ascii="Book Antiqua" w:hAnsi="Book Antiqua" w:cs="Times New Roman"/>
          <w:i/>
          <w:iCs/>
          <w:noProof/>
        </w:rPr>
        <w:t>Sosio-Religia</w:t>
      </w:r>
      <w:r w:rsidRPr="00653A8A">
        <w:rPr>
          <w:rFonts w:ascii="Book Antiqua" w:hAnsi="Book Antiqua" w:cs="Times New Roman"/>
          <w:noProof/>
        </w:rPr>
        <w:t xml:space="preserve"> 4, no. 4 (2005): 1–21.</w:t>
      </w:r>
    </w:p>
    <w:p w14:paraId="3AD5C3DA" w14:textId="77777777" w:rsidR="00DD46A0" w:rsidRPr="00653A8A" w:rsidRDefault="00DD46A0" w:rsidP="00DD46A0">
      <w:pPr>
        <w:widowControl w:val="0"/>
        <w:autoSpaceDE w:val="0"/>
        <w:autoSpaceDN w:val="0"/>
        <w:adjustRightInd w:val="0"/>
        <w:spacing w:after="120" w:line="240" w:lineRule="auto"/>
        <w:ind w:left="480" w:hanging="480"/>
        <w:jc w:val="both"/>
        <w:rPr>
          <w:rFonts w:ascii="Book Antiqua" w:hAnsi="Book Antiqua" w:cs="Times New Roman"/>
          <w:noProof/>
        </w:rPr>
      </w:pPr>
      <w:r w:rsidRPr="00653A8A">
        <w:rPr>
          <w:rFonts w:ascii="Book Antiqua" w:hAnsi="Book Antiqua" w:cs="Times New Roman"/>
          <w:noProof/>
        </w:rPr>
        <w:t xml:space="preserve">Moeljatno. </w:t>
      </w:r>
      <w:r w:rsidRPr="00653A8A">
        <w:rPr>
          <w:rFonts w:ascii="Book Antiqua" w:hAnsi="Book Antiqua" w:cs="Times New Roman"/>
          <w:i/>
          <w:iCs/>
          <w:noProof/>
        </w:rPr>
        <w:t>Asas-Asas Hukum Pidana</w:t>
      </w:r>
      <w:r w:rsidRPr="00653A8A">
        <w:rPr>
          <w:rFonts w:ascii="Book Antiqua" w:hAnsi="Book Antiqua" w:cs="Times New Roman"/>
          <w:noProof/>
        </w:rPr>
        <w:t>. Jakarta: Rineka Cipta, 2015.</w:t>
      </w:r>
    </w:p>
    <w:p w14:paraId="35C752F8" w14:textId="77777777" w:rsidR="00DD46A0" w:rsidRPr="00653A8A" w:rsidRDefault="00DD46A0" w:rsidP="00DD46A0">
      <w:pPr>
        <w:widowControl w:val="0"/>
        <w:autoSpaceDE w:val="0"/>
        <w:autoSpaceDN w:val="0"/>
        <w:adjustRightInd w:val="0"/>
        <w:spacing w:after="120" w:line="240" w:lineRule="auto"/>
        <w:ind w:left="480" w:hanging="480"/>
        <w:jc w:val="both"/>
        <w:rPr>
          <w:rFonts w:ascii="Book Antiqua" w:hAnsi="Book Antiqua" w:cs="Times New Roman"/>
          <w:noProof/>
        </w:rPr>
      </w:pPr>
      <w:r w:rsidRPr="00653A8A">
        <w:rPr>
          <w:rFonts w:ascii="Book Antiqua" w:hAnsi="Book Antiqua" w:cs="Times New Roman"/>
          <w:noProof/>
        </w:rPr>
        <w:t xml:space="preserve">Prasetyo, Teguh. </w:t>
      </w:r>
      <w:r w:rsidRPr="00653A8A">
        <w:rPr>
          <w:rFonts w:ascii="Book Antiqua" w:hAnsi="Book Antiqua" w:cs="Times New Roman"/>
          <w:i/>
          <w:iCs/>
          <w:noProof/>
        </w:rPr>
        <w:t>Kriminalisasi Dalam Hukum Pidana</w:t>
      </w:r>
      <w:r w:rsidRPr="00653A8A">
        <w:rPr>
          <w:rFonts w:ascii="Book Antiqua" w:hAnsi="Book Antiqua" w:cs="Times New Roman"/>
          <w:noProof/>
        </w:rPr>
        <w:t>. Bandung: Nusa Media, 2019.</w:t>
      </w:r>
    </w:p>
    <w:p w14:paraId="3AC6C697" w14:textId="77777777" w:rsidR="00DD46A0" w:rsidRPr="00653A8A" w:rsidRDefault="00DD46A0" w:rsidP="00DD46A0">
      <w:pPr>
        <w:widowControl w:val="0"/>
        <w:autoSpaceDE w:val="0"/>
        <w:autoSpaceDN w:val="0"/>
        <w:adjustRightInd w:val="0"/>
        <w:spacing w:after="120" w:line="240" w:lineRule="auto"/>
        <w:ind w:left="480" w:hanging="480"/>
        <w:jc w:val="both"/>
        <w:rPr>
          <w:rFonts w:ascii="Book Antiqua" w:hAnsi="Book Antiqua" w:cs="Times New Roman"/>
          <w:noProof/>
        </w:rPr>
      </w:pPr>
      <w:r w:rsidRPr="00653A8A">
        <w:rPr>
          <w:rFonts w:ascii="Book Antiqua" w:hAnsi="Book Antiqua" w:cs="Times New Roman"/>
          <w:noProof/>
        </w:rPr>
        <w:t xml:space="preserve">Purwoleksono, Didik Endro. </w:t>
      </w:r>
      <w:r w:rsidRPr="00653A8A">
        <w:rPr>
          <w:rFonts w:ascii="Book Antiqua" w:hAnsi="Book Antiqua" w:cs="Times New Roman"/>
          <w:i/>
          <w:iCs/>
          <w:noProof/>
        </w:rPr>
        <w:t>Hukum Pidana</w:t>
      </w:r>
      <w:r w:rsidRPr="00653A8A">
        <w:rPr>
          <w:rFonts w:ascii="Book Antiqua" w:hAnsi="Book Antiqua" w:cs="Times New Roman"/>
          <w:noProof/>
        </w:rPr>
        <w:t>. Surabaya: Airlangga University Press (AUP), 2014.</w:t>
      </w:r>
    </w:p>
    <w:p w14:paraId="76BD682B" w14:textId="77777777" w:rsidR="00DD46A0" w:rsidRPr="00653A8A" w:rsidRDefault="00DD46A0" w:rsidP="00DD46A0">
      <w:pPr>
        <w:widowControl w:val="0"/>
        <w:autoSpaceDE w:val="0"/>
        <w:autoSpaceDN w:val="0"/>
        <w:adjustRightInd w:val="0"/>
        <w:spacing w:after="120" w:line="240" w:lineRule="auto"/>
        <w:ind w:left="480" w:hanging="480"/>
        <w:jc w:val="both"/>
        <w:rPr>
          <w:rFonts w:ascii="Book Antiqua" w:hAnsi="Book Antiqua" w:cs="Times New Roman"/>
          <w:noProof/>
        </w:rPr>
      </w:pPr>
      <w:r w:rsidRPr="00653A8A">
        <w:rPr>
          <w:rFonts w:ascii="Book Antiqua" w:hAnsi="Book Antiqua" w:cs="Times New Roman"/>
          <w:noProof/>
        </w:rPr>
        <w:lastRenderedPageBreak/>
        <w:t xml:space="preserve">Sugiantari, Anak Agung Putu Wiwik. “Perkembangan Hukum Indonesia Dalam Menciptakan Unifikasi Dan Kodifikasi Hukum.” </w:t>
      </w:r>
      <w:r w:rsidRPr="00653A8A">
        <w:rPr>
          <w:rFonts w:ascii="Book Antiqua" w:hAnsi="Book Antiqua" w:cs="Times New Roman"/>
          <w:i/>
          <w:iCs/>
          <w:noProof/>
        </w:rPr>
        <w:t>Paper Knowledge . Toward a Media History of Documents</w:t>
      </w:r>
      <w:r w:rsidRPr="00653A8A">
        <w:rPr>
          <w:rFonts w:ascii="Book Antiqua" w:hAnsi="Book Antiqua" w:cs="Times New Roman"/>
          <w:noProof/>
        </w:rPr>
        <w:t xml:space="preserve"> 5, no. 2 (2015): 109–122.</w:t>
      </w:r>
    </w:p>
    <w:p w14:paraId="5B52273D" w14:textId="77777777" w:rsidR="00DD46A0" w:rsidRPr="00653A8A" w:rsidRDefault="00DD46A0" w:rsidP="00DD46A0">
      <w:pPr>
        <w:widowControl w:val="0"/>
        <w:autoSpaceDE w:val="0"/>
        <w:autoSpaceDN w:val="0"/>
        <w:adjustRightInd w:val="0"/>
        <w:spacing w:after="120" w:line="240" w:lineRule="auto"/>
        <w:ind w:left="480" w:hanging="480"/>
        <w:jc w:val="both"/>
        <w:rPr>
          <w:rFonts w:ascii="Book Antiqua" w:hAnsi="Book Antiqua"/>
          <w:noProof/>
        </w:rPr>
      </w:pPr>
      <w:r w:rsidRPr="00653A8A">
        <w:rPr>
          <w:rFonts w:ascii="Book Antiqua" w:hAnsi="Book Antiqua" w:cs="Times New Roman"/>
          <w:noProof/>
        </w:rPr>
        <w:t xml:space="preserve">Wiharyangti, Dwi. “Implementasi Sanksi Pidana Dan Sanksi Tindakan  Dalam Kebijakan Hukum Pidana Di Indonesia.” </w:t>
      </w:r>
      <w:r w:rsidRPr="00653A8A">
        <w:rPr>
          <w:rFonts w:ascii="Book Antiqua" w:hAnsi="Book Antiqua" w:cs="Times New Roman"/>
          <w:i/>
          <w:iCs/>
          <w:noProof/>
        </w:rPr>
        <w:t>Pandecta Research Law Journal</w:t>
      </w:r>
      <w:r w:rsidRPr="00653A8A">
        <w:rPr>
          <w:rFonts w:ascii="Book Antiqua" w:hAnsi="Book Antiqua" w:cs="Times New Roman"/>
          <w:noProof/>
        </w:rPr>
        <w:t xml:space="preserve"> 6, no. 1 (2011). https://journal.unnes.ac.id/nju/index.php/pandecta/article/view/2326.</w:t>
      </w:r>
    </w:p>
    <w:p w14:paraId="79B84578" w14:textId="77777777" w:rsidR="003B15DE" w:rsidRPr="00DD46A0" w:rsidRDefault="00DD46A0" w:rsidP="00DD46A0">
      <w:pPr>
        <w:spacing w:after="120" w:line="240" w:lineRule="auto"/>
        <w:ind w:firstLine="567"/>
        <w:jc w:val="both"/>
        <w:rPr>
          <w:rFonts w:ascii="Book Antiqua" w:hAnsi="Book Antiqua" w:cs="Calibri"/>
          <w:color w:val="000000" w:themeColor="text1"/>
        </w:rPr>
      </w:pPr>
      <w:r w:rsidRPr="00653A8A">
        <w:rPr>
          <w:rFonts w:ascii="Book Antiqua" w:hAnsi="Book Antiqua" w:cs="Calibri"/>
          <w:color w:val="000000" w:themeColor="text1"/>
        </w:rPr>
        <w:fldChar w:fldCharType="end"/>
      </w:r>
    </w:p>
    <w:sectPr w:rsidR="003B15DE" w:rsidRPr="00DD46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B9873" w14:textId="77777777" w:rsidR="00F95FF2" w:rsidRDefault="00F95FF2" w:rsidP="00532472">
      <w:pPr>
        <w:spacing w:after="0" w:line="240" w:lineRule="auto"/>
      </w:pPr>
      <w:r>
        <w:separator/>
      </w:r>
    </w:p>
  </w:endnote>
  <w:endnote w:type="continuationSeparator" w:id="0">
    <w:p w14:paraId="3F93F79C" w14:textId="77777777" w:rsidR="00F95FF2" w:rsidRDefault="00F95FF2" w:rsidP="0053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7B0E4" w14:textId="77777777" w:rsidR="00F95FF2" w:rsidRDefault="00F95FF2" w:rsidP="00532472">
      <w:pPr>
        <w:spacing w:after="0" w:line="240" w:lineRule="auto"/>
      </w:pPr>
      <w:r>
        <w:separator/>
      </w:r>
    </w:p>
  </w:footnote>
  <w:footnote w:type="continuationSeparator" w:id="0">
    <w:p w14:paraId="6EC055FE" w14:textId="77777777" w:rsidR="00F95FF2" w:rsidRDefault="00F95FF2" w:rsidP="00532472">
      <w:pPr>
        <w:spacing w:after="0" w:line="240" w:lineRule="auto"/>
      </w:pPr>
      <w:r>
        <w:continuationSeparator/>
      </w:r>
    </w:p>
  </w:footnote>
  <w:footnote w:id="1">
    <w:p w14:paraId="5921A991" w14:textId="77777777" w:rsidR="00C43242" w:rsidRPr="0058386E" w:rsidRDefault="00C43242" w:rsidP="0058386E">
      <w:pPr>
        <w:pStyle w:val="FootnoteText"/>
        <w:ind w:firstLine="567"/>
        <w:jc w:val="both"/>
        <w:rPr>
          <w:rFonts w:ascii="Book Antiqua" w:hAnsi="Book Antiqua"/>
        </w:rPr>
      </w:pPr>
      <w:r>
        <w:rPr>
          <w:rStyle w:val="FootnoteReference"/>
        </w:rPr>
        <w:footnoteRef/>
      </w:r>
      <w:r>
        <w:t xml:space="preserve"> </w:t>
      </w:r>
      <w:r w:rsidRPr="0058386E">
        <w:rPr>
          <w:rFonts w:ascii="Book Antiqua" w:hAnsi="Book Antiqua"/>
        </w:rPr>
        <w:fldChar w:fldCharType="begin" w:fldLock="1"/>
      </w:r>
      <w:r w:rsidR="0058386E">
        <w:rPr>
          <w:rFonts w:ascii="Book Antiqua" w:hAnsi="Book Antiqua"/>
        </w:rPr>
        <w:instrText>ADDIN CSL_CITATION {"citationItems":[{"id":"ITEM-1","itemData":{"abstract":"Perkembangan hukum Indonesia merupakan pengharapan terciptanya hukum yang selaras dan seimbang bagi segala aspek kehidupan. Sejarah perkembangan hukum Indonesia telah memperlihatkan unifikasi maupun kodifikasi sangat sulit diterapkan di Indonesia karena kompleksnya masyarakat Indonesia. Selain itu, pluralism hukum berlaku di Indonesia, sehingga unifikasi menyeluruh sulit dilakukan, sedangkan kodifikasi hanya dapat dilakukan secara parsial.","author":[{"dropping-particle":"","family":"Sugiantari","given":"Anak Agung Putu Wiwik","non-dropping-particle":"","parse-names":false,"suffix":""}],"container-title":"Paper Knowledge . Toward a Media History of Documents","id":"ITEM-1","issue":"2","issued":{"date-parts":[["2015"]]},"page":"109-122","title":"Perkembangan Hukum Indonesia Dalam Menciptakan Unifikasi Dan Kodifikasi Hukum","type":"article-journal","volume":"5"},"locator":"hal. 109","uris":["http://www.mendeley.com/documents/?uuid=d5006e87-c731-409f-9ec3-3735f7a824e5"]}],"mendeley":{"formattedCitation":"Anak Agung Putu Wiwik Sugiantari, “Perkembangan Hukum Indonesia Dalam Menciptakan Unifikasi Dan Kodifikasi Hukum,” &lt;i&gt;Paper Knowledge . Toward a Media History of Documents&lt;/i&gt; 5, no. 2 (2015): hal. 109.","plainTextFormattedCitation":"Anak Agung Putu Wiwik Sugiantari, “Perkembangan Hukum Indonesia Dalam Menciptakan Unifikasi Dan Kodifikasi Hukum,” Paper Knowledge . Toward a Media History of Documents 5, no. 2 (2015): hal. 109.","previouslyFormattedCitation":"Anak Agung Putu Wiwik Sugiantari, “Perkembangan Hukum Indonesia Dalam Menciptakan Unifikasi Dan Kodifikasi Hukum,” &lt;i&gt;Paper Knowledge . Toward a Media History of Documents&lt;/i&gt; 5, no. 2 (2015): hal. 109."},"properties":{"noteIndex":1},"schema":"https://github.com/citation-style-language/schema/raw/master/csl-citation.json"}</w:instrText>
      </w:r>
      <w:r w:rsidRPr="0058386E">
        <w:rPr>
          <w:rFonts w:ascii="Book Antiqua" w:hAnsi="Book Antiqua"/>
        </w:rPr>
        <w:fldChar w:fldCharType="separate"/>
      </w:r>
      <w:r w:rsidRPr="0058386E">
        <w:rPr>
          <w:rFonts w:ascii="Book Antiqua" w:hAnsi="Book Antiqua"/>
          <w:noProof/>
        </w:rPr>
        <w:t xml:space="preserve">Anak Agung Putu Wiwik Sugiantari, “Perkembangan Hukum Indonesia Dalam Menciptakan Unifikasi Dan Kodifikasi Hukum,” </w:t>
      </w:r>
      <w:r w:rsidRPr="0058386E">
        <w:rPr>
          <w:rFonts w:ascii="Book Antiqua" w:hAnsi="Book Antiqua"/>
          <w:i/>
          <w:noProof/>
        </w:rPr>
        <w:t>Paper Knowledge . Toward a Media History of Documents</w:t>
      </w:r>
      <w:r w:rsidRPr="0058386E">
        <w:rPr>
          <w:rFonts w:ascii="Book Antiqua" w:hAnsi="Book Antiqua"/>
          <w:noProof/>
        </w:rPr>
        <w:t xml:space="preserve"> 5, no. 2 (2015): hal. 109.</w:t>
      </w:r>
      <w:r w:rsidRPr="0058386E">
        <w:rPr>
          <w:rFonts w:ascii="Book Antiqua" w:hAnsi="Book Antiqua"/>
        </w:rPr>
        <w:fldChar w:fldCharType="end"/>
      </w:r>
    </w:p>
  </w:footnote>
  <w:footnote w:id="2">
    <w:p w14:paraId="5F9EC1AF" w14:textId="77777777" w:rsidR="00335C81" w:rsidRPr="0058386E" w:rsidRDefault="00335C81" w:rsidP="00335C81">
      <w:pPr>
        <w:pStyle w:val="FootnoteText"/>
        <w:ind w:firstLine="567"/>
        <w:jc w:val="both"/>
        <w:rPr>
          <w:rFonts w:ascii="Book Antiqua" w:hAnsi="Book Antiqua"/>
        </w:rPr>
      </w:pPr>
      <w:r>
        <w:rPr>
          <w:rStyle w:val="FootnoteReference"/>
        </w:rPr>
        <w:footnoteRef/>
      </w:r>
      <w:r>
        <w:t xml:space="preserve"> </w:t>
      </w:r>
      <w:r w:rsidRPr="0058386E">
        <w:rPr>
          <w:rFonts w:ascii="Book Antiqua" w:hAnsi="Book Antiqua"/>
        </w:rPr>
        <w:fldChar w:fldCharType="begin" w:fldLock="1"/>
      </w:r>
      <w:r>
        <w:rPr>
          <w:rFonts w:ascii="Book Antiqua" w:hAnsi="Book Antiqua"/>
        </w:rPr>
        <w:instrText>ADDIN CSL_CITATION {"citationItems":[{"id":"ITEM-1","itemData":{"ISSN":"2337-5418","abstract":"Penelitian ini bertujuan untuk menganalisis pengaturan sanksi Pidana dan TindakanÂ  dalam kebijakan hukum pidana pada peraturan Perundang-undangan yang berlaku di Indonesia; dan ide dasar penerapan sanksi pidana dan sanksi tindakan di dalam Peraturan Perundang-undangan di Indonesia. Hasil penelitian ini menunjukkan bahwa implementasi sanksi pidana dan sanksi tindakan dalam kebijakan hukum pidana di Indonesia diatur pada UU No. 1 Tahun 1946 yaitu KUHP, UU No. 3 Tahun 1997 Tentang Pengadilan Anak, UU No. 32 Tahun 2009 Tentang Perlindungan dan Pengelolaan Lingkungan Hidup dan UU No. 35 Tahun 2009 Tentang narkotika serta RUU KUHP yang menerapkan sanksi pidana dan sanksi tindakan di dalamnya. Dalam peraturan di dalam Undang-undang tersebut lebih dominan menerapkan sanksi pidana, berbeda dalam Undang-undang Pengadilan Anak lebih dominan menerapkan sanksi tindakan. Dalam RUU KUHP terdapat hal-hal baru dalam penerapan sanksinya dan lebih beragam. Dalam Ide dasar penerapan sanksi dalam Peraturan Perundang-undangan tersebut di atas terdapat konsep double track system, untuk menciptakan flesibelititas penerapan sanksi yang sesuai dengan tindak pidana yang diatur.  This study is intended to analyze the criminal sanctions and measures in criminal law policy on regulatory legislation in force in Indonesia; and the basic idea of â€‹â€‹the application of criminal sanctions and penalties in the act of Legislation in Indonesia. The results shows that the implementation of sanctions measures and criminal sanctions in criminal law policy in Indonesia is set to the Law no. 1 In 1946 the Penal Code, Law no. 3 Year 1997 on Juvenile Court, Law no. 32 of 2009 on the Protection and Environmental Management and Law. 35 Year 2009 on narcotics and Draft Criminal Code that applies criminal penalties and sanctions action in it. The regulations in the Act to apply criminal sanctions are more dominant, in contrast to the Juvenile Court Act is more dominant action to impose sanctions. Criminal Code contained in the bill of new things in the application of sanctions and more diverse. The basic idea of â€‹â€‹the imposition of sanctions in the legislation mentioned above there is the concept of double track system, to create flesibelititas application of sanctions in accordance with the stipulated offense.","author":[{"dropping-particle":"","family":"Wiharyangti","given":"Dwi","non-dropping-particle":"","parse-names":false,"suffix":""}],"container-title":"Pandecta Research Law Journal","id":"ITEM-1","issue":"1","issued":{"date-parts":[["2011"]]},"title":"Implementasi Sanksi Pidana dan Sanksi Tindakan  dalam Kebijakan Hukum Pidana di Indonesia","type":"article-journal","volume":"6"},"locator":"hal. 80","uris":["http://www.mendeley.com/documents/?uuid=a05cefee-083b-487d-a19a-bad3cce3fc9f"]}],"mendeley":{"formattedCitation":"Dwi Wiharyangti, “Implementasi Sanksi Pidana Dan Sanksi Tindakan  Dalam Kebijakan Hukum Pidana Di Indonesia,” &lt;i&gt;Pandecta Research Law Journal&lt;/i&gt; 6, no. 1 (2011): hal. 80, https://journal.unnes.ac.id/nju/index.php/pandecta/article/view/2326.","plainTextFormattedCitation":"Dwi Wiharyangti, “Implementasi Sanksi Pidana Dan Sanksi Tindakan  Dalam Kebijakan Hukum Pidana Di Indonesia,” Pandecta Research Law Journal 6, no. 1 (2011): hal. 80, https://journal.unnes.ac.id/nju/index.php/pandecta/article/view/2326.","previouslyFormattedCitation":"Dwi Wiharyangti, “Implementasi Sanksi Pidana Dan Sanksi Tindakan  Dalam Kebijakan Hukum Pidana Di Indonesia,” &lt;i&gt;Pandecta Research Law Journal&lt;/i&gt; 6, no. 1 (2011): hal. 80, https://journal.unnes.ac.id/nju/index.php/pandecta/article/view/2326."},"properties":{"noteIndex":3},"schema":"https://github.com/citation-style-language/schema/raw/master/csl-citation.json"}</w:instrText>
      </w:r>
      <w:r w:rsidRPr="0058386E">
        <w:rPr>
          <w:rFonts w:ascii="Book Antiqua" w:hAnsi="Book Antiqua"/>
        </w:rPr>
        <w:fldChar w:fldCharType="separate"/>
      </w:r>
      <w:r w:rsidRPr="0058386E">
        <w:rPr>
          <w:rFonts w:ascii="Book Antiqua" w:hAnsi="Book Antiqua"/>
          <w:noProof/>
        </w:rPr>
        <w:t xml:space="preserve">Dwi Wiharyangti, “Implementasi Sanksi Pidana Dan Sanksi Tindakan  Dalam Kebijakan Hukum Pidana Di Indonesia,” </w:t>
      </w:r>
      <w:r w:rsidRPr="0058386E">
        <w:rPr>
          <w:rFonts w:ascii="Book Antiqua" w:hAnsi="Book Antiqua"/>
          <w:i/>
          <w:noProof/>
        </w:rPr>
        <w:t>Pandecta Research Law Journal</w:t>
      </w:r>
      <w:r w:rsidRPr="0058386E">
        <w:rPr>
          <w:rFonts w:ascii="Book Antiqua" w:hAnsi="Book Antiqua"/>
          <w:noProof/>
        </w:rPr>
        <w:t xml:space="preserve"> 6, no. 1 (2011): hal. 80, https://journal.unnes.ac.id/nju/index.php/pandecta/article/view/2326.</w:t>
      </w:r>
      <w:r w:rsidRPr="0058386E">
        <w:rPr>
          <w:rFonts w:ascii="Book Antiqua" w:hAnsi="Book Antiqua"/>
        </w:rPr>
        <w:fldChar w:fldCharType="end"/>
      </w:r>
    </w:p>
  </w:footnote>
  <w:footnote w:id="3">
    <w:p w14:paraId="6879320F" w14:textId="77777777" w:rsidR="00335C81" w:rsidRDefault="00335C81" w:rsidP="00335C81">
      <w:pPr>
        <w:pStyle w:val="FootnoteText"/>
        <w:ind w:firstLine="567"/>
      </w:pPr>
      <w:r>
        <w:rPr>
          <w:rStyle w:val="FootnoteReference"/>
        </w:rPr>
        <w:footnoteRef/>
      </w:r>
      <w:r>
        <w:t xml:space="preserve"> </w:t>
      </w:r>
      <w:r w:rsidRPr="006B1B16">
        <w:rPr>
          <w:rFonts w:ascii="Book Antiqua" w:hAnsi="Book Antiqua"/>
        </w:rPr>
        <w:fldChar w:fldCharType="begin" w:fldLock="1"/>
      </w:r>
      <w:r w:rsidRPr="006B1B16">
        <w:rPr>
          <w:rFonts w:ascii="Book Antiqua" w:hAnsi="Book Antiqua"/>
        </w:rPr>
        <w:instrText>ADDIN CSL_CITATION {"citationItems":[{"id":"ITEM-1","itemData":{"abstract":"Abstrak Kitab Undang-Undang Hukum Pidana (KUHP) yang masih diberlakukan di Indonesia saat ini merupakan salah satu dari sekian ratus peraturan hukum warisan kolonial Belanda. KUHP ini mulai diberlakukan secara resmi di Indonesia sejak tanggal 1 …","author":[{"dropping-particle":"","family":"Bahiej","given":"Ahmad","non-dropping-particle":"","parse-names":false,"suffix":""}],"container-title":"Sosio-Religia","id":"ITEM-1","issue":"4","issued":{"date-parts":[["2005"]]},"page":"1-21","title":"Sejarah dan Problematika Hukum Pidana Materiel di Indonesia","type":"article-journal","volume":"4"},"locator":"hal. 13","uris":["http://www.mendeley.com/documents/?uuid=539b5f72-df53-49d3-a4fc-dd4bf3770ece"]}],"mendeley":{"formattedCitation":"Ahmad Bahiej, “Sejarah Dan Problematika Hukum Pidana Materiel Di Indonesia,” &lt;i&gt;Sosio-Religia&lt;/i&gt; 4, no. 4 (2005): hal. 13.","plainTextFormattedCitation":"Ahmad Bahiej, “Sejarah Dan Problematika Hukum Pidana Materiel Di Indonesia,” Sosio-Religia 4, no. 4 (2005): hal. 13.","previouslyFormattedCitation":"Ahmad Bahiej, “Sejarah Dan Problematika Hukum Pidana Materiel Di Indonesia,” &lt;i&gt;Sosio-Religia&lt;/i&gt; 4, no. 4 (2005): hal. 13."},"properties":{"noteIndex":4},"schema":"https://github.com/citation-style-language/schema/raw/master/csl-citation.json"}</w:instrText>
      </w:r>
      <w:r w:rsidRPr="006B1B16">
        <w:rPr>
          <w:rFonts w:ascii="Book Antiqua" w:hAnsi="Book Antiqua"/>
        </w:rPr>
        <w:fldChar w:fldCharType="separate"/>
      </w:r>
      <w:r w:rsidRPr="006B1B16">
        <w:rPr>
          <w:rFonts w:ascii="Book Antiqua" w:hAnsi="Book Antiqua"/>
          <w:noProof/>
        </w:rPr>
        <w:t xml:space="preserve">Ahmad Bahiej, “Sejarah Dan Problematika Hukum Pidana Materiel Di Indonesia,” </w:t>
      </w:r>
      <w:r w:rsidRPr="006B1B16">
        <w:rPr>
          <w:rFonts w:ascii="Book Antiqua" w:hAnsi="Book Antiqua"/>
          <w:i/>
          <w:noProof/>
        </w:rPr>
        <w:t>Sosio-Religia</w:t>
      </w:r>
      <w:r w:rsidRPr="006B1B16">
        <w:rPr>
          <w:rFonts w:ascii="Book Antiqua" w:hAnsi="Book Antiqua"/>
          <w:noProof/>
        </w:rPr>
        <w:t xml:space="preserve"> 4, no. 4 (2005): hal. 13.</w:t>
      </w:r>
      <w:r w:rsidRPr="006B1B16">
        <w:rPr>
          <w:rFonts w:ascii="Book Antiqua" w:hAnsi="Book Antiqua"/>
        </w:rPr>
        <w:fldChar w:fldCharType="end"/>
      </w:r>
    </w:p>
  </w:footnote>
  <w:footnote w:id="4">
    <w:p w14:paraId="7B72FAEF" w14:textId="77777777" w:rsidR="00967CE6" w:rsidRDefault="00967CE6" w:rsidP="006B1B16">
      <w:pPr>
        <w:pStyle w:val="FootnoteText"/>
        <w:ind w:firstLine="567"/>
      </w:pPr>
      <w:r>
        <w:rPr>
          <w:rStyle w:val="FootnoteReference"/>
        </w:rPr>
        <w:footnoteRef/>
      </w:r>
      <w:r>
        <w:t xml:space="preserve"> </w:t>
      </w:r>
      <w:r w:rsidRPr="006B1B16">
        <w:rPr>
          <w:rFonts w:ascii="Book Antiqua" w:hAnsi="Book Antiqua"/>
        </w:rPr>
        <w:fldChar w:fldCharType="begin" w:fldLock="1"/>
      </w:r>
      <w:r w:rsidR="006C06CC">
        <w:rPr>
          <w:rFonts w:ascii="Book Antiqua" w:hAnsi="Book Antiqua"/>
        </w:rPr>
        <w:instrText>ADDIN CSL_CITATION {"citationItems":[{"id":"ITEM-1","itemData":{"author":[{"dropping-particle":"","family":"Purwoleksono","given":"Didik Endro","non-dropping-particle":"","parse-names":false,"suffix":""}],"id":"ITEM-1","issued":{"date-parts":[["2014"]]},"publisher":"Airlangga University Press (AUP)","publisher-place":"Surabaya","title":"Hukum Pidana","type":"book"},"locator":"hal. 4","uris":["http://www.mendeley.com/documents/?uuid=565931be-8da0-4a31-bbe3-7b236e6268b8"]}],"mendeley":{"formattedCitation":"Didik Endro Purwoleksono, &lt;i&gt;Hukum Pidana&lt;/i&gt; (Surabaya: Airlangga University Press (AUP), 2014), hal. 4.","plainTextFormattedCitation":"Didik Endro Purwoleksono, Hukum Pidana (Surabaya: Airlangga University Press (AUP), 2014), hal. 4.","previouslyFormattedCitation":"Didik Endro Purwoleksono, &lt;i&gt;Hukum Pidana&lt;/i&gt; (Surabaya: Airlangga University Press (AUP), 2014), hal. 4."},"properties":{"noteIndex":2},"schema":"https://github.com/citation-style-language/schema/raw/master/csl-citation.json"}</w:instrText>
      </w:r>
      <w:r w:rsidRPr="006B1B16">
        <w:rPr>
          <w:rFonts w:ascii="Book Antiqua" w:hAnsi="Book Antiqua"/>
        </w:rPr>
        <w:fldChar w:fldCharType="separate"/>
      </w:r>
      <w:r w:rsidRPr="006B1B16">
        <w:rPr>
          <w:rFonts w:ascii="Book Antiqua" w:hAnsi="Book Antiqua"/>
          <w:noProof/>
        </w:rPr>
        <w:t xml:space="preserve">Didik Endro Purwoleksono, </w:t>
      </w:r>
      <w:r w:rsidRPr="006B1B16">
        <w:rPr>
          <w:rFonts w:ascii="Book Antiqua" w:hAnsi="Book Antiqua"/>
          <w:i/>
          <w:noProof/>
        </w:rPr>
        <w:t>Hukum Pidana</w:t>
      </w:r>
      <w:r w:rsidRPr="006B1B16">
        <w:rPr>
          <w:rFonts w:ascii="Book Antiqua" w:hAnsi="Book Antiqua"/>
          <w:noProof/>
        </w:rPr>
        <w:t xml:space="preserve"> (Surabaya: Airlangga University Press (AUP), 2014), hal. 4.</w:t>
      </w:r>
      <w:r w:rsidRPr="006B1B16">
        <w:rPr>
          <w:rFonts w:ascii="Book Antiqua" w:hAnsi="Book Antiqua"/>
        </w:rPr>
        <w:fldChar w:fldCharType="end"/>
      </w:r>
    </w:p>
  </w:footnote>
  <w:footnote w:id="5">
    <w:p w14:paraId="28D40EE7" w14:textId="77777777" w:rsidR="00F634D5" w:rsidRPr="005A6CDD" w:rsidRDefault="00F634D5" w:rsidP="00B42137">
      <w:pPr>
        <w:pStyle w:val="FootnoteText"/>
        <w:ind w:firstLine="567"/>
        <w:jc w:val="both"/>
        <w:rPr>
          <w:rFonts w:ascii="Book Antiqua" w:hAnsi="Book Antiqua"/>
        </w:rPr>
      </w:pPr>
      <w:r w:rsidRPr="005A6CDD">
        <w:rPr>
          <w:rStyle w:val="FootnoteReference"/>
          <w:rFonts w:ascii="Book Antiqua" w:hAnsi="Book Antiqua"/>
        </w:rPr>
        <w:footnoteRef/>
      </w:r>
      <w:r w:rsidRPr="005A6CDD">
        <w:rPr>
          <w:rFonts w:ascii="Book Antiqua" w:hAnsi="Book Antiqua"/>
        </w:rPr>
        <w:t xml:space="preserve"> </w:t>
      </w:r>
      <w:r w:rsidRPr="005A6CDD">
        <w:rPr>
          <w:rFonts w:ascii="Book Antiqua" w:hAnsi="Book Antiqua"/>
        </w:rPr>
        <w:fldChar w:fldCharType="begin" w:fldLock="1"/>
      </w:r>
      <w:r w:rsidRPr="005A6CDD">
        <w:rPr>
          <w:rFonts w:ascii="Book Antiqua" w:hAnsi="Book Antiqua"/>
        </w:rPr>
        <w:instrText>ADDIN CSL_CITATION {"citationItems":[{"id":"ITEM-1","itemData":{"author":[{"dropping-particle":"","family":"Moeljatno","given":"","non-dropping-particle":"","parse-names":false,"suffix":""}],"id":"ITEM-1","issued":{"date-parts":[["2015"]]},"publisher":"Rineka Cipta","publisher-place":"Jakarta","title":"Asas-Asas Hukum Pidana","type":"book"},"locator":"hal. 78","uris":["http://www.mendeley.com/documents/?uuid=889b21c1-eef1-491a-927d-f04af894a3a2"]}],"mendeley":{"formattedCitation":"Moeljatno, &lt;i&gt;Asas-Asas Hukum Pidana&lt;/i&gt; (Jakarta: Rineka Cipta, 2015), hal. 78.","plainTextFormattedCitation":"Moeljatno, Asas-Asas Hukum Pidana (Jakarta: Rineka Cipta, 2015), hal. 78.","previouslyFormattedCitation":"Moeljatno, &lt;i&gt;Asas-Asas Hukum Pidana&lt;/i&gt; (Jakarta: Rineka Cipta, 2015), hal. 78."},"properties":{"noteIndex":5},"schema":"https://github.com/citation-style-language/schema/raw/master/csl-citation.json"}</w:instrText>
      </w:r>
      <w:r w:rsidRPr="005A6CDD">
        <w:rPr>
          <w:rFonts w:ascii="Book Antiqua" w:hAnsi="Book Antiqua"/>
        </w:rPr>
        <w:fldChar w:fldCharType="separate"/>
      </w:r>
      <w:r w:rsidRPr="005A6CDD">
        <w:rPr>
          <w:rFonts w:ascii="Book Antiqua" w:hAnsi="Book Antiqua"/>
          <w:noProof/>
        </w:rPr>
        <w:t xml:space="preserve">Moeljatno, </w:t>
      </w:r>
      <w:r w:rsidRPr="005A6CDD">
        <w:rPr>
          <w:rFonts w:ascii="Book Antiqua" w:hAnsi="Book Antiqua"/>
          <w:i/>
          <w:noProof/>
        </w:rPr>
        <w:t>Asas-Asas Hukum Pidana</w:t>
      </w:r>
      <w:r w:rsidRPr="005A6CDD">
        <w:rPr>
          <w:rFonts w:ascii="Book Antiqua" w:hAnsi="Book Antiqua"/>
          <w:noProof/>
        </w:rPr>
        <w:t xml:space="preserve"> (Jakarta: Rineka Cipta, 2015), hal. 78.</w:t>
      </w:r>
      <w:r w:rsidRPr="005A6CDD">
        <w:rPr>
          <w:rFonts w:ascii="Book Antiqua" w:hAnsi="Book Antiqua"/>
        </w:rPr>
        <w:fldChar w:fldCharType="end"/>
      </w:r>
    </w:p>
  </w:footnote>
  <w:footnote w:id="6">
    <w:p w14:paraId="6A4C855D" w14:textId="77777777" w:rsidR="00F634D5" w:rsidRPr="005A6CDD" w:rsidRDefault="00F634D5" w:rsidP="00B42137">
      <w:pPr>
        <w:pStyle w:val="FootnoteText"/>
        <w:ind w:firstLine="567"/>
        <w:jc w:val="both"/>
        <w:rPr>
          <w:rFonts w:ascii="Book Antiqua" w:hAnsi="Book Antiqua"/>
        </w:rPr>
      </w:pPr>
      <w:r w:rsidRPr="005A6CDD">
        <w:rPr>
          <w:rStyle w:val="FootnoteReference"/>
          <w:rFonts w:ascii="Book Antiqua" w:hAnsi="Book Antiqua"/>
        </w:rPr>
        <w:footnoteRef/>
      </w:r>
      <w:r w:rsidRPr="005A6CDD">
        <w:rPr>
          <w:rFonts w:ascii="Book Antiqua" w:hAnsi="Book Antiqua"/>
        </w:rPr>
        <w:t xml:space="preserve"> </w:t>
      </w:r>
      <w:r w:rsidRPr="005A6CDD">
        <w:rPr>
          <w:rFonts w:ascii="Book Antiqua" w:hAnsi="Book Antiqua"/>
        </w:rPr>
        <w:fldChar w:fldCharType="begin" w:fldLock="1"/>
      </w:r>
      <w:r w:rsidRPr="005A6CDD">
        <w:rPr>
          <w:rFonts w:ascii="Book Antiqua" w:hAnsi="Book Antiqua"/>
        </w:rPr>
        <w:instrText>ADDIN CSL_CITATION {"citationItems":[{"id":"ITEM-1","itemData":{"author":[{"dropping-particle":"","family":"Prasetyo","given":"Teguh","non-dropping-particle":"","parse-names":false,"suffix":""}],"id":"ITEM-1","issued":{"date-parts":[["2019"]]},"publisher":"Nusa Media","publisher-place":"Bandung","title":"Kriminalisasi Dalam Hukum Pidana","type":"book"},"locator":"hal. 49","uris":["http://www.mendeley.com/documents/?uuid=008c5737-33ab-4377-b032-d2d33cb84809"]}],"mendeley":{"formattedCitation":"Teguh Prasetyo, &lt;i&gt;Kriminalisasi Dalam Hukum Pidana&lt;/i&gt; (Bandung: Nusa Media, 2019), hal. 49.","plainTextFormattedCitation":"Teguh Prasetyo, Kriminalisasi Dalam Hukum Pidana (Bandung: Nusa Media, 2019), hal. 49.","previouslyFormattedCitation":"Teguh Prasetyo, &lt;i&gt;Kriminalisasi Dalam Hukum Pidana&lt;/i&gt; (Bandung: Nusa Media, 2019), hal. 49."},"properties":{"noteIndex":6},"schema":"https://github.com/citation-style-language/schema/raw/master/csl-citation.json"}</w:instrText>
      </w:r>
      <w:r w:rsidRPr="005A6CDD">
        <w:rPr>
          <w:rFonts w:ascii="Book Antiqua" w:hAnsi="Book Antiqua"/>
        </w:rPr>
        <w:fldChar w:fldCharType="separate"/>
      </w:r>
      <w:r w:rsidRPr="005A6CDD">
        <w:rPr>
          <w:rFonts w:ascii="Book Antiqua" w:hAnsi="Book Antiqua"/>
          <w:noProof/>
        </w:rPr>
        <w:t xml:space="preserve">Teguh Prasetyo, </w:t>
      </w:r>
      <w:r w:rsidRPr="005A6CDD">
        <w:rPr>
          <w:rFonts w:ascii="Book Antiqua" w:hAnsi="Book Antiqua"/>
          <w:i/>
          <w:noProof/>
        </w:rPr>
        <w:t>Kriminalisasi Dalam Hukum Pidana</w:t>
      </w:r>
      <w:r w:rsidRPr="005A6CDD">
        <w:rPr>
          <w:rFonts w:ascii="Book Antiqua" w:hAnsi="Book Antiqua"/>
          <w:noProof/>
        </w:rPr>
        <w:t xml:space="preserve"> (Bandung: Nusa Media, 2019), hal. 49.</w:t>
      </w:r>
      <w:r w:rsidRPr="005A6CDD">
        <w:rPr>
          <w:rFonts w:ascii="Book Antiqua" w:hAnsi="Book Antiqua"/>
        </w:rPr>
        <w:fldChar w:fldCharType="end"/>
      </w:r>
    </w:p>
  </w:footnote>
  <w:footnote w:id="7">
    <w:p w14:paraId="14A52BA3" w14:textId="77777777" w:rsidR="006C06CC" w:rsidRPr="005A6CDD" w:rsidRDefault="006C06CC" w:rsidP="00B42137">
      <w:pPr>
        <w:pStyle w:val="FootnoteText"/>
        <w:ind w:firstLine="567"/>
        <w:jc w:val="both"/>
        <w:rPr>
          <w:rFonts w:ascii="Book Antiqua" w:hAnsi="Book Antiqua"/>
        </w:rPr>
      </w:pPr>
      <w:r w:rsidRPr="005A6CDD">
        <w:rPr>
          <w:rStyle w:val="FootnoteReference"/>
          <w:rFonts w:ascii="Book Antiqua" w:hAnsi="Book Antiqua"/>
        </w:rPr>
        <w:footnoteRef/>
      </w:r>
      <w:r w:rsidRPr="005A6CDD">
        <w:rPr>
          <w:rFonts w:ascii="Book Antiqua" w:hAnsi="Book Antiqua"/>
        </w:rPr>
        <w:t xml:space="preserve"> </w:t>
      </w:r>
      <w:r w:rsidRPr="005A6CDD">
        <w:rPr>
          <w:rFonts w:ascii="Book Antiqua" w:hAnsi="Book Antiqua"/>
        </w:rPr>
        <w:fldChar w:fldCharType="begin" w:fldLock="1"/>
      </w:r>
      <w:r w:rsidR="00F634D5" w:rsidRPr="005A6CDD">
        <w:rPr>
          <w:rFonts w:ascii="Book Antiqua" w:hAnsi="Book Antiqua"/>
        </w:rPr>
        <w:instrText>ADDIN CSL_CITATION {"citationItems":[{"id":"ITEM-1","itemData":{"author":[{"dropping-particle":"","family":"Purwoleksono","given":"Didik Endro","non-dropping-particle":"","parse-names":false,"suffix":""}],"id":"ITEM-1","issued":{"date-parts":[["2014"]]},"publisher":"Airlangga University Press (AUP)","publisher-place":"Surabaya","title":"Hukum Pidana","type":"book"},"locator":"hal. 43","uris":["http://www.mendeley.com/documents/?uuid=565931be-8da0-4a31-bbe3-7b236e6268b8"]}],"mendeley":{"formattedCitation":"Purwoleksono, &lt;i&gt;Hukum Pidana&lt;/i&gt;, hal. 43.","plainTextFormattedCitation":"Purwoleksono, Hukum Pidana, hal. 43.","previouslyFormattedCitation":"Purwoleksono, &lt;i&gt;Hukum Pidana&lt;/i&gt;, hal. 43."},"properties":{"noteIndex":7},"schema":"https://github.com/citation-style-language/schema/raw/master/csl-citation.json"}</w:instrText>
      </w:r>
      <w:r w:rsidRPr="005A6CDD">
        <w:rPr>
          <w:rFonts w:ascii="Book Antiqua" w:hAnsi="Book Antiqua"/>
        </w:rPr>
        <w:fldChar w:fldCharType="separate"/>
      </w:r>
      <w:r w:rsidRPr="005A6CDD">
        <w:rPr>
          <w:rFonts w:ascii="Book Antiqua" w:hAnsi="Book Antiqua"/>
          <w:noProof/>
        </w:rPr>
        <w:t xml:space="preserve">Purwoleksono, </w:t>
      </w:r>
      <w:r w:rsidRPr="005A6CDD">
        <w:rPr>
          <w:rFonts w:ascii="Book Antiqua" w:hAnsi="Book Antiqua"/>
          <w:i/>
          <w:noProof/>
        </w:rPr>
        <w:t>Hukum Pidana</w:t>
      </w:r>
      <w:r w:rsidRPr="005A6CDD">
        <w:rPr>
          <w:rFonts w:ascii="Book Antiqua" w:hAnsi="Book Antiqua"/>
          <w:noProof/>
        </w:rPr>
        <w:t>, hal. 43.</w:t>
      </w:r>
      <w:r w:rsidRPr="005A6CDD">
        <w:rPr>
          <w:rFonts w:ascii="Book Antiqua" w:hAnsi="Book Antiqua"/>
        </w:rPr>
        <w:fldChar w:fldCharType="end"/>
      </w:r>
    </w:p>
  </w:footnote>
  <w:footnote w:id="8">
    <w:p w14:paraId="1F87C071" w14:textId="77777777" w:rsidR="00F634D5" w:rsidRDefault="00F634D5" w:rsidP="00B42137">
      <w:pPr>
        <w:pStyle w:val="FootnoteText"/>
        <w:ind w:firstLine="567"/>
        <w:jc w:val="both"/>
      </w:pPr>
      <w:r w:rsidRPr="005A6CDD">
        <w:rPr>
          <w:rStyle w:val="FootnoteReference"/>
          <w:rFonts w:ascii="Book Antiqua" w:hAnsi="Book Antiqua"/>
        </w:rPr>
        <w:footnoteRef/>
      </w:r>
      <w:r w:rsidRPr="005A6CDD">
        <w:rPr>
          <w:rFonts w:ascii="Book Antiqua" w:hAnsi="Book Antiqua"/>
        </w:rPr>
        <w:t xml:space="preserve"> </w:t>
      </w:r>
      <w:r w:rsidRPr="005A6CDD">
        <w:rPr>
          <w:rFonts w:ascii="Book Antiqua" w:hAnsi="Book Antiqua"/>
        </w:rPr>
        <w:fldChar w:fldCharType="begin" w:fldLock="1"/>
      </w:r>
      <w:r w:rsidR="005A6CDD" w:rsidRPr="005A6CDD">
        <w:rPr>
          <w:rFonts w:ascii="Book Antiqua" w:hAnsi="Book Antiqua"/>
        </w:rPr>
        <w:instrText>ADDIN CSL_CITATION {"citationItems":[{"id":"ITEM-1","itemData":{"author":[{"dropping-particle":"","family":"Prasetyo","given":"Teguh","non-dropping-particle":"","parse-names":false,"suffix":""}],"id":"ITEM-1","issued":{"date-parts":[["2019"]]},"publisher":"Nusa Media","publisher-place":"Bandung","title":"Kriminalisasi Dalam Hukum Pidana","type":"book"},"locator":"hal. 50","uris":["http://www.mendeley.com/documents/?uuid=008c5737-33ab-4377-b032-d2d33cb84809"]}],"mendeley":{"formattedCitation":"Prasetyo, &lt;i&gt;Kriminalisasi Dalam Hukum Pidana&lt;/i&gt;, hal. 50.","plainTextFormattedCitation":"Prasetyo, Kriminalisasi Dalam Hukum Pidana, hal. 50.","previouslyFormattedCitation":"Prasetyo, &lt;i&gt;Kriminalisasi Dalam Hukum Pidana&lt;/i&gt;, hal. 50."},"properties":{"noteIndex":8},"schema":"https://github.com/citation-style-language/schema/raw/master/csl-citation.json"}</w:instrText>
      </w:r>
      <w:r w:rsidRPr="005A6CDD">
        <w:rPr>
          <w:rFonts w:ascii="Book Antiqua" w:hAnsi="Book Antiqua"/>
        </w:rPr>
        <w:fldChar w:fldCharType="separate"/>
      </w:r>
      <w:r w:rsidRPr="005A6CDD">
        <w:rPr>
          <w:rFonts w:ascii="Book Antiqua" w:hAnsi="Book Antiqua"/>
          <w:noProof/>
        </w:rPr>
        <w:t xml:space="preserve">Prasetyo, </w:t>
      </w:r>
      <w:r w:rsidRPr="005A6CDD">
        <w:rPr>
          <w:rFonts w:ascii="Book Antiqua" w:hAnsi="Book Antiqua"/>
          <w:i/>
          <w:noProof/>
        </w:rPr>
        <w:t>Kriminalisasi Dalam Hukum Pidana</w:t>
      </w:r>
      <w:r w:rsidRPr="005A6CDD">
        <w:rPr>
          <w:rFonts w:ascii="Book Antiqua" w:hAnsi="Book Antiqua"/>
          <w:noProof/>
        </w:rPr>
        <w:t>, hal. 50.</w:t>
      </w:r>
      <w:r w:rsidRPr="005A6CDD">
        <w:rPr>
          <w:rFonts w:ascii="Book Antiqua" w:hAnsi="Book Antiqua"/>
        </w:rPr>
        <w:fldChar w:fldCharType="end"/>
      </w:r>
    </w:p>
  </w:footnote>
  <w:footnote w:id="9">
    <w:p w14:paraId="35EE79AE" w14:textId="77777777" w:rsidR="005A6CDD" w:rsidRPr="00E621C8" w:rsidRDefault="005A6CDD" w:rsidP="00B42137">
      <w:pPr>
        <w:pStyle w:val="FootnoteText"/>
        <w:ind w:firstLine="567"/>
        <w:jc w:val="both"/>
        <w:rPr>
          <w:rFonts w:ascii="Book Antiqua" w:hAnsi="Book Antiqua"/>
        </w:rPr>
      </w:pPr>
      <w:r w:rsidRPr="00E621C8">
        <w:rPr>
          <w:rStyle w:val="FootnoteReference"/>
          <w:rFonts w:ascii="Book Antiqua" w:hAnsi="Book Antiqua"/>
        </w:rPr>
        <w:footnoteRef/>
      </w:r>
      <w:r w:rsidRPr="00E621C8">
        <w:rPr>
          <w:rFonts w:ascii="Book Antiqua" w:hAnsi="Book Antiqua"/>
        </w:rPr>
        <w:t xml:space="preserve"> </w:t>
      </w:r>
      <w:r w:rsidRPr="00E621C8">
        <w:rPr>
          <w:rFonts w:ascii="Book Antiqua" w:hAnsi="Book Antiqua"/>
        </w:rPr>
        <w:fldChar w:fldCharType="begin" w:fldLock="1"/>
      </w:r>
      <w:r w:rsidR="007311A5" w:rsidRPr="00E621C8">
        <w:rPr>
          <w:rFonts w:ascii="Book Antiqua" w:hAnsi="Book Antiqua"/>
        </w:rPr>
        <w:instrText>ADDIN CSL_CITATION {"citationItems":[{"id":"ITEM-1","itemData":{"author":[{"dropping-particle":"","family":"Purwoleksono","given":"Didik Endro","non-dropping-particle":"","parse-names":false,"suffix":""}],"id":"ITEM-1","issued":{"date-parts":[["2014"]]},"publisher":"Airlangga University Press (AUP)","publisher-place":"Surabaya","title":"Hukum Pidana","type":"book"},"locator":"hal. 69-70","uris":["http://www.mendeley.com/documents/?uuid=565931be-8da0-4a31-bbe3-7b236e6268b8"]}],"mendeley":{"formattedCitation":"Purwoleksono, &lt;i&gt;Hukum Pidana&lt;/i&gt;, hal. 69-70.","plainTextFormattedCitation":"Purwoleksono, Hukum Pidana, hal. 69-70.","previouslyFormattedCitation":"Purwoleksono, &lt;i&gt;Hukum Pidana&lt;/i&gt;, hal. 69-70."},"properties":{"noteIndex":9},"schema":"https://github.com/citation-style-language/schema/raw/master/csl-citation.json"}</w:instrText>
      </w:r>
      <w:r w:rsidRPr="00E621C8">
        <w:rPr>
          <w:rFonts w:ascii="Book Antiqua" w:hAnsi="Book Antiqua"/>
        </w:rPr>
        <w:fldChar w:fldCharType="separate"/>
      </w:r>
      <w:r w:rsidRPr="00E621C8">
        <w:rPr>
          <w:rFonts w:ascii="Book Antiqua" w:hAnsi="Book Antiqua"/>
          <w:noProof/>
        </w:rPr>
        <w:t xml:space="preserve">Purwoleksono, </w:t>
      </w:r>
      <w:r w:rsidRPr="00E621C8">
        <w:rPr>
          <w:rFonts w:ascii="Book Antiqua" w:hAnsi="Book Antiqua"/>
          <w:i/>
          <w:noProof/>
        </w:rPr>
        <w:t>Hukum Pidana</w:t>
      </w:r>
      <w:r w:rsidRPr="00E621C8">
        <w:rPr>
          <w:rFonts w:ascii="Book Antiqua" w:hAnsi="Book Antiqua"/>
          <w:noProof/>
        </w:rPr>
        <w:t>, hal. 69-70.</w:t>
      </w:r>
      <w:r w:rsidRPr="00E621C8">
        <w:rPr>
          <w:rFonts w:ascii="Book Antiqua" w:hAnsi="Book Antiqua"/>
        </w:rPr>
        <w:fldChar w:fldCharType="end"/>
      </w:r>
    </w:p>
  </w:footnote>
  <w:footnote w:id="10">
    <w:p w14:paraId="18BEDEC1" w14:textId="77777777" w:rsidR="007311A5" w:rsidRPr="00E621C8" w:rsidRDefault="007311A5" w:rsidP="00B42137">
      <w:pPr>
        <w:pStyle w:val="FootnoteText"/>
        <w:tabs>
          <w:tab w:val="left" w:pos="0"/>
        </w:tabs>
        <w:ind w:firstLine="567"/>
        <w:jc w:val="both"/>
        <w:rPr>
          <w:rFonts w:ascii="Book Antiqua" w:hAnsi="Book Antiqua"/>
        </w:rPr>
      </w:pPr>
      <w:r w:rsidRPr="00E621C8">
        <w:rPr>
          <w:rStyle w:val="FootnoteReference"/>
          <w:rFonts w:ascii="Book Antiqua" w:hAnsi="Book Antiqua"/>
        </w:rPr>
        <w:footnoteRef/>
      </w:r>
      <w:r w:rsidRPr="00E621C8">
        <w:rPr>
          <w:rFonts w:ascii="Book Antiqua" w:hAnsi="Book Antiqua"/>
        </w:rPr>
        <w:t xml:space="preserve"> </w:t>
      </w:r>
      <w:r w:rsidRPr="00E621C8">
        <w:rPr>
          <w:rFonts w:ascii="Book Antiqua" w:hAnsi="Book Antiqua"/>
        </w:rPr>
        <w:fldChar w:fldCharType="begin" w:fldLock="1"/>
      </w:r>
      <w:r w:rsidR="00E612CC" w:rsidRPr="00E621C8">
        <w:rPr>
          <w:rFonts w:ascii="Book Antiqua" w:hAnsi="Book Antiqua"/>
        </w:rPr>
        <w:instrText>ADDIN CSL_CITATION {"citationItems":[{"id":"ITEM-1","itemData":{"author":[{"dropping-particle":"","family":"Purwoleksono","given":"Didik Endro","non-dropping-particle":"","parse-names":false,"suffix":""}],"id":"ITEM-1","issued":{"date-parts":[["2014"]]},"publisher":"Airlangga University Press (AUP)","publisher-place":"Surabaya","title":"Hukum Pidana","type":"book"},"locator":"hal. 74-75","uris":["http://www.mendeley.com/documents/?uuid=565931be-8da0-4a31-bbe3-7b236e6268b8"]}],"mendeley":{"formattedCitation":"Ibid., hal. 74-75.","plainTextFormattedCitation":"Ibid., hal. 74-75.","previouslyFormattedCitation":"Ibid., hal. 74-75."},"properties":{"noteIndex":10},"schema":"https://github.com/citation-style-language/schema/raw/master/csl-citation.json"}</w:instrText>
      </w:r>
      <w:r w:rsidRPr="00E621C8">
        <w:rPr>
          <w:rFonts w:ascii="Book Antiqua" w:hAnsi="Book Antiqua"/>
        </w:rPr>
        <w:fldChar w:fldCharType="separate"/>
      </w:r>
      <w:r w:rsidRPr="00E621C8">
        <w:rPr>
          <w:rFonts w:ascii="Book Antiqua" w:hAnsi="Book Antiqua"/>
          <w:noProof/>
        </w:rPr>
        <w:t>Ibid., hal. 74-75.</w:t>
      </w:r>
      <w:r w:rsidRPr="00E621C8">
        <w:rPr>
          <w:rFonts w:ascii="Book Antiqua" w:hAnsi="Book Antiqua"/>
        </w:rPr>
        <w:fldChar w:fldCharType="end"/>
      </w:r>
    </w:p>
  </w:footnote>
  <w:footnote w:id="11">
    <w:p w14:paraId="6D746415" w14:textId="77777777" w:rsidR="00E612CC" w:rsidRDefault="00E612CC" w:rsidP="00B42137">
      <w:pPr>
        <w:pStyle w:val="FootnoteText"/>
        <w:tabs>
          <w:tab w:val="left" w:pos="0"/>
        </w:tabs>
        <w:ind w:firstLine="567"/>
        <w:jc w:val="both"/>
      </w:pPr>
      <w:r w:rsidRPr="00E621C8">
        <w:rPr>
          <w:rStyle w:val="FootnoteReference"/>
          <w:rFonts w:ascii="Book Antiqua" w:hAnsi="Book Antiqua"/>
        </w:rPr>
        <w:footnoteRef/>
      </w:r>
      <w:r w:rsidRPr="00E621C8">
        <w:rPr>
          <w:rFonts w:ascii="Book Antiqua" w:hAnsi="Book Antiqua"/>
        </w:rPr>
        <w:t xml:space="preserve"> </w:t>
      </w:r>
      <w:r w:rsidRPr="00E621C8">
        <w:rPr>
          <w:rFonts w:ascii="Book Antiqua" w:hAnsi="Book Antiqua"/>
        </w:rPr>
        <w:fldChar w:fldCharType="begin" w:fldLock="1"/>
      </w:r>
      <w:r w:rsidR="00DD46A0">
        <w:rPr>
          <w:rFonts w:ascii="Book Antiqua" w:hAnsi="Book Antiqua"/>
        </w:rPr>
        <w:instrText>ADDIN CSL_CITATION {"citationItems":[{"id":"ITEM-1","itemData":{"author":[{"dropping-particle":"","family":"Prasetyo","given":"Teguh","non-dropping-particle":"","parse-names":false,"suffix":""}],"id":"ITEM-1","issued":{"date-parts":[["2019"]]},"publisher":"Nusa Media","publisher-place":"Bandung","title":"Kriminalisasi Dalam Hukum Pidana","type":"book"},"uris":["http://www.mendeley.com/documents/?uuid=008c5737-33ab-4377-b032-d2d33cb84809"]},{"id":"ITEM-2","itemData":{"author":[{"dropping-particle":"","family":"Purwoleksono","given":"Didik Endro","non-dropping-particle":"","parse-names":false,"suffix":""}],"id":"ITEM-2","issued":{"date-parts":[["2014"]]},"publisher":"Airlangga University Press (AUP)","publisher-place":"Surabaya","title":"Hukum Pidana","type":"book"},"uris":["http://www.mendeley.com/documents/?uuid=565931be-8da0-4a31-bbe3-7b236e6268b8"]}],"mendeley":{"formattedCitation":"Prasetyo, &lt;i&gt;Kriminalisasi Dalam Hukum Pidana&lt;/i&gt;; Purwoleksono, &lt;i&gt;Hukum Pidana&lt;/i&gt;.","plainTextFormattedCitation":"Prasetyo, Kriminalisasi Dalam Hukum Pidana; Purwoleksono, Hukum Pidana.","previouslyFormattedCitation":"Prasetyo, &lt;i&gt;Kriminalisasi Dalam Hukum Pidana&lt;/i&gt;; Purwoleksono, &lt;i&gt;Hukum Pidana&lt;/i&gt;."},"properties":{"noteIndex":11},"schema":"https://github.com/citation-style-language/schema/raw/master/csl-citation.json"}</w:instrText>
      </w:r>
      <w:r w:rsidRPr="00E621C8">
        <w:rPr>
          <w:rFonts w:ascii="Book Antiqua" w:hAnsi="Book Antiqua"/>
        </w:rPr>
        <w:fldChar w:fldCharType="separate"/>
      </w:r>
      <w:r w:rsidRPr="00E621C8">
        <w:rPr>
          <w:rFonts w:ascii="Book Antiqua" w:hAnsi="Book Antiqua"/>
          <w:noProof/>
        </w:rPr>
        <w:t xml:space="preserve">Prasetyo, </w:t>
      </w:r>
      <w:r w:rsidRPr="00E621C8">
        <w:rPr>
          <w:rFonts w:ascii="Book Antiqua" w:hAnsi="Book Antiqua"/>
          <w:i/>
          <w:noProof/>
        </w:rPr>
        <w:t>Kriminalisasi Dalam Hukum Pidana</w:t>
      </w:r>
      <w:r w:rsidRPr="00E621C8">
        <w:rPr>
          <w:rFonts w:ascii="Book Antiqua" w:hAnsi="Book Antiqua"/>
          <w:noProof/>
        </w:rPr>
        <w:t xml:space="preserve">; Purwoleksono, </w:t>
      </w:r>
      <w:r w:rsidRPr="00E621C8">
        <w:rPr>
          <w:rFonts w:ascii="Book Antiqua" w:hAnsi="Book Antiqua"/>
          <w:i/>
          <w:noProof/>
        </w:rPr>
        <w:t>Hukum Pidana</w:t>
      </w:r>
      <w:r w:rsidRPr="00E621C8">
        <w:rPr>
          <w:rFonts w:ascii="Book Antiqua" w:hAnsi="Book Antiqua"/>
          <w:noProof/>
        </w:rPr>
        <w:t>.</w:t>
      </w:r>
      <w:r w:rsidRPr="00E621C8">
        <w:rPr>
          <w:rFonts w:ascii="Book Antiqua" w:hAnsi="Book Antiqua"/>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498D"/>
    <w:multiLevelType w:val="hybridMultilevel"/>
    <w:tmpl w:val="112E5308"/>
    <w:lvl w:ilvl="0" w:tplc="AF5CFC40">
      <w:start w:val="1"/>
      <w:numFmt w:val="decimal"/>
      <w:lvlText w:val="%1."/>
      <w:lvlJc w:val="left"/>
      <w:pPr>
        <w:ind w:left="720" w:hanging="360"/>
      </w:pPr>
      <w:rPr>
        <w:color w:val="FF000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E808C7"/>
    <w:multiLevelType w:val="hybridMultilevel"/>
    <w:tmpl w:val="D88AE8F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29362720"/>
    <w:multiLevelType w:val="hybridMultilevel"/>
    <w:tmpl w:val="7204660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313E5A41"/>
    <w:multiLevelType w:val="hybridMultilevel"/>
    <w:tmpl w:val="1632EB92"/>
    <w:lvl w:ilvl="0" w:tplc="D5EC7A3E">
      <w:start w:val="1"/>
      <w:numFmt w:val="decimal"/>
      <w:lvlText w:val="%1."/>
      <w:lvlJc w:val="left"/>
      <w:pPr>
        <w:ind w:left="1392" w:hanging="82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1542BD3"/>
    <w:multiLevelType w:val="hybridMultilevel"/>
    <w:tmpl w:val="004A721C"/>
    <w:lvl w:ilvl="0" w:tplc="46489EF0">
      <w:start w:val="1"/>
      <w:numFmt w:val="decimal"/>
      <w:lvlText w:val="%1."/>
      <w:lvlJc w:val="right"/>
      <w:pPr>
        <w:ind w:left="795" w:hanging="795"/>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2261F4E"/>
    <w:multiLevelType w:val="hybridMultilevel"/>
    <w:tmpl w:val="7BE68630"/>
    <w:lvl w:ilvl="0" w:tplc="399C882A">
      <w:start w:val="1"/>
      <w:numFmt w:val="decimal"/>
      <w:lvlText w:val="%1."/>
      <w:lvlJc w:val="left"/>
      <w:pPr>
        <w:ind w:left="1362"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303A54"/>
    <w:multiLevelType w:val="hybridMultilevel"/>
    <w:tmpl w:val="DEB4298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3DEC54B4"/>
    <w:multiLevelType w:val="hybridMultilevel"/>
    <w:tmpl w:val="E26023EC"/>
    <w:lvl w:ilvl="0" w:tplc="399C882A">
      <w:start w:val="1"/>
      <w:numFmt w:val="decimal"/>
      <w:lvlText w:val="%1."/>
      <w:lvlJc w:val="left"/>
      <w:pPr>
        <w:ind w:left="1362" w:hanging="79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0F763A4"/>
    <w:multiLevelType w:val="hybridMultilevel"/>
    <w:tmpl w:val="A09ACBCE"/>
    <w:lvl w:ilvl="0" w:tplc="46489EF0">
      <w:start w:val="1"/>
      <w:numFmt w:val="decimal"/>
      <w:lvlText w:val="%1."/>
      <w:lvlJc w:val="right"/>
      <w:pPr>
        <w:ind w:left="1362" w:hanging="795"/>
      </w:pPr>
      <w:rPr>
        <w:rFonts w:hint="default"/>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53936B44"/>
    <w:multiLevelType w:val="hybridMultilevel"/>
    <w:tmpl w:val="A95A8BB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5ACE4743"/>
    <w:multiLevelType w:val="hybridMultilevel"/>
    <w:tmpl w:val="179AE696"/>
    <w:lvl w:ilvl="0" w:tplc="399C882A">
      <w:start w:val="1"/>
      <w:numFmt w:val="decimal"/>
      <w:lvlText w:val="%1."/>
      <w:lvlJc w:val="left"/>
      <w:pPr>
        <w:ind w:left="1929" w:hanging="795"/>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5D140531"/>
    <w:multiLevelType w:val="hybridMultilevel"/>
    <w:tmpl w:val="69B84B74"/>
    <w:lvl w:ilvl="0" w:tplc="02F4C4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17A500A"/>
    <w:multiLevelType w:val="hybridMultilevel"/>
    <w:tmpl w:val="63F05880"/>
    <w:lvl w:ilvl="0" w:tplc="399C882A">
      <w:start w:val="1"/>
      <w:numFmt w:val="decimal"/>
      <w:lvlText w:val="%1."/>
      <w:lvlJc w:val="left"/>
      <w:pPr>
        <w:ind w:left="1362" w:hanging="79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669B04D4"/>
    <w:multiLevelType w:val="hybridMultilevel"/>
    <w:tmpl w:val="F2FE8E6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67822114"/>
    <w:multiLevelType w:val="hybridMultilevel"/>
    <w:tmpl w:val="7C04354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6A68692A"/>
    <w:multiLevelType w:val="hybridMultilevel"/>
    <w:tmpl w:val="99D046A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6D343996"/>
    <w:multiLevelType w:val="multilevel"/>
    <w:tmpl w:val="E56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0972B7"/>
    <w:multiLevelType w:val="hybridMultilevel"/>
    <w:tmpl w:val="4FEEDC6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7C342176"/>
    <w:multiLevelType w:val="hybridMultilevel"/>
    <w:tmpl w:val="61128C08"/>
    <w:lvl w:ilvl="0" w:tplc="004A87F0">
      <w:start w:val="1"/>
      <w:numFmt w:val="decimal"/>
      <w:lvlText w:val="%1."/>
      <w:lvlJc w:val="left"/>
      <w:pPr>
        <w:ind w:left="1392" w:hanging="82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9"/>
  </w:num>
  <w:num w:numId="3">
    <w:abstractNumId w:val="4"/>
  </w:num>
  <w:num w:numId="4">
    <w:abstractNumId w:val="10"/>
  </w:num>
  <w:num w:numId="5">
    <w:abstractNumId w:val="5"/>
  </w:num>
  <w:num w:numId="6">
    <w:abstractNumId w:val="7"/>
  </w:num>
  <w:num w:numId="7">
    <w:abstractNumId w:val="8"/>
  </w:num>
  <w:num w:numId="8">
    <w:abstractNumId w:val="12"/>
  </w:num>
  <w:num w:numId="9">
    <w:abstractNumId w:val="16"/>
  </w:num>
  <w:num w:numId="10">
    <w:abstractNumId w:val="2"/>
  </w:num>
  <w:num w:numId="11">
    <w:abstractNumId w:val="18"/>
  </w:num>
  <w:num w:numId="12">
    <w:abstractNumId w:val="1"/>
  </w:num>
  <w:num w:numId="13">
    <w:abstractNumId w:val="15"/>
  </w:num>
  <w:num w:numId="14">
    <w:abstractNumId w:val="13"/>
  </w:num>
  <w:num w:numId="15">
    <w:abstractNumId w:val="3"/>
  </w:num>
  <w:num w:numId="16">
    <w:abstractNumId w:val="14"/>
  </w:num>
  <w:num w:numId="17">
    <w:abstractNumId w:val="17"/>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921"/>
    <w:rsid w:val="0002111E"/>
    <w:rsid w:val="00042144"/>
    <w:rsid w:val="00047A94"/>
    <w:rsid w:val="00086313"/>
    <w:rsid w:val="00091150"/>
    <w:rsid w:val="00091342"/>
    <w:rsid w:val="0009503F"/>
    <w:rsid w:val="000D3869"/>
    <w:rsid w:val="000D3B60"/>
    <w:rsid w:val="000D4229"/>
    <w:rsid w:val="00107D68"/>
    <w:rsid w:val="00113644"/>
    <w:rsid w:val="00122748"/>
    <w:rsid w:val="001430F7"/>
    <w:rsid w:val="001975C6"/>
    <w:rsid w:val="001D50DE"/>
    <w:rsid w:val="001E0498"/>
    <w:rsid w:val="001E74A0"/>
    <w:rsid w:val="001F630F"/>
    <w:rsid w:val="00200E6E"/>
    <w:rsid w:val="00220A8F"/>
    <w:rsid w:val="002228CE"/>
    <w:rsid w:val="0023152A"/>
    <w:rsid w:val="00247E25"/>
    <w:rsid w:val="0025323B"/>
    <w:rsid w:val="002713CF"/>
    <w:rsid w:val="0029661B"/>
    <w:rsid w:val="00297B39"/>
    <w:rsid w:val="002B02BA"/>
    <w:rsid w:val="002B3900"/>
    <w:rsid w:val="002B6300"/>
    <w:rsid w:val="002C1DBB"/>
    <w:rsid w:val="002E6A26"/>
    <w:rsid w:val="00313B3A"/>
    <w:rsid w:val="003221B9"/>
    <w:rsid w:val="00330880"/>
    <w:rsid w:val="00335C81"/>
    <w:rsid w:val="00337732"/>
    <w:rsid w:val="00360CB6"/>
    <w:rsid w:val="003B15DE"/>
    <w:rsid w:val="003B4967"/>
    <w:rsid w:val="003C11C1"/>
    <w:rsid w:val="003D5073"/>
    <w:rsid w:val="00406717"/>
    <w:rsid w:val="00414AD4"/>
    <w:rsid w:val="004225B2"/>
    <w:rsid w:val="00427024"/>
    <w:rsid w:val="00460585"/>
    <w:rsid w:val="00477661"/>
    <w:rsid w:val="00484EE0"/>
    <w:rsid w:val="004860F9"/>
    <w:rsid w:val="004927E5"/>
    <w:rsid w:val="004C49AA"/>
    <w:rsid w:val="004D0A8F"/>
    <w:rsid w:val="00510BD5"/>
    <w:rsid w:val="005241FA"/>
    <w:rsid w:val="00532472"/>
    <w:rsid w:val="00541823"/>
    <w:rsid w:val="00543681"/>
    <w:rsid w:val="00554F83"/>
    <w:rsid w:val="00576CD1"/>
    <w:rsid w:val="0058386E"/>
    <w:rsid w:val="00592966"/>
    <w:rsid w:val="0059401C"/>
    <w:rsid w:val="005A53F6"/>
    <w:rsid w:val="005A6CDD"/>
    <w:rsid w:val="005C41D5"/>
    <w:rsid w:val="005C5E1C"/>
    <w:rsid w:val="005C6588"/>
    <w:rsid w:val="005D699B"/>
    <w:rsid w:val="005F6C29"/>
    <w:rsid w:val="0060715F"/>
    <w:rsid w:val="0061461C"/>
    <w:rsid w:val="0062587A"/>
    <w:rsid w:val="00641304"/>
    <w:rsid w:val="00653A8A"/>
    <w:rsid w:val="00660C02"/>
    <w:rsid w:val="00680FD4"/>
    <w:rsid w:val="00682D3A"/>
    <w:rsid w:val="006A44FA"/>
    <w:rsid w:val="006B1B16"/>
    <w:rsid w:val="006B3FF7"/>
    <w:rsid w:val="006C06CC"/>
    <w:rsid w:val="006C3B4F"/>
    <w:rsid w:val="006E40C1"/>
    <w:rsid w:val="006E5EE9"/>
    <w:rsid w:val="006F2C91"/>
    <w:rsid w:val="006F2E0A"/>
    <w:rsid w:val="006F5AA3"/>
    <w:rsid w:val="007037B1"/>
    <w:rsid w:val="00711ED9"/>
    <w:rsid w:val="007311A5"/>
    <w:rsid w:val="00753528"/>
    <w:rsid w:val="00770905"/>
    <w:rsid w:val="00794317"/>
    <w:rsid w:val="007A145C"/>
    <w:rsid w:val="007E68B6"/>
    <w:rsid w:val="007F675F"/>
    <w:rsid w:val="00861064"/>
    <w:rsid w:val="00891DDF"/>
    <w:rsid w:val="00894519"/>
    <w:rsid w:val="008A523E"/>
    <w:rsid w:val="00906890"/>
    <w:rsid w:val="00923B95"/>
    <w:rsid w:val="00962288"/>
    <w:rsid w:val="009675F2"/>
    <w:rsid w:val="00967CE6"/>
    <w:rsid w:val="009836F7"/>
    <w:rsid w:val="009B7DD2"/>
    <w:rsid w:val="009C1D25"/>
    <w:rsid w:val="009C763A"/>
    <w:rsid w:val="009D09A1"/>
    <w:rsid w:val="009D3679"/>
    <w:rsid w:val="009E493B"/>
    <w:rsid w:val="00A24DC2"/>
    <w:rsid w:val="00A25ECF"/>
    <w:rsid w:val="00A352D9"/>
    <w:rsid w:val="00A41979"/>
    <w:rsid w:val="00A51031"/>
    <w:rsid w:val="00A5510C"/>
    <w:rsid w:val="00A60E65"/>
    <w:rsid w:val="00A81470"/>
    <w:rsid w:val="00A874DC"/>
    <w:rsid w:val="00A931F3"/>
    <w:rsid w:val="00AB16E7"/>
    <w:rsid w:val="00AC3659"/>
    <w:rsid w:val="00AC503B"/>
    <w:rsid w:val="00AE16CE"/>
    <w:rsid w:val="00B002ED"/>
    <w:rsid w:val="00B06DBC"/>
    <w:rsid w:val="00B20060"/>
    <w:rsid w:val="00B42137"/>
    <w:rsid w:val="00B67921"/>
    <w:rsid w:val="00B97A25"/>
    <w:rsid w:val="00BC434D"/>
    <w:rsid w:val="00BC6EF8"/>
    <w:rsid w:val="00BF42D7"/>
    <w:rsid w:val="00C07F06"/>
    <w:rsid w:val="00C07F6D"/>
    <w:rsid w:val="00C14343"/>
    <w:rsid w:val="00C15715"/>
    <w:rsid w:val="00C313FB"/>
    <w:rsid w:val="00C43242"/>
    <w:rsid w:val="00C738BA"/>
    <w:rsid w:val="00C94B83"/>
    <w:rsid w:val="00C963E0"/>
    <w:rsid w:val="00CD5E2B"/>
    <w:rsid w:val="00CE1224"/>
    <w:rsid w:val="00CF6E7B"/>
    <w:rsid w:val="00D12EB9"/>
    <w:rsid w:val="00D14360"/>
    <w:rsid w:val="00D23B96"/>
    <w:rsid w:val="00D274F3"/>
    <w:rsid w:val="00D364E3"/>
    <w:rsid w:val="00D56156"/>
    <w:rsid w:val="00D83B05"/>
    <w:rsid w:val="00DD0E94"/>
    <w:rsid w:val="00DD46A0"/>
    <w:rsid w:val="00DF20DE"/>
    <w:rsid w:val="00E107FF"/>
    <w:rsid w:val="00E17BFD"/>
    <w:rsid w:val="00E415D5"/>
    <w:rsid w:val="00E4705F"/>
    <w:rsid w:val="00E47DA8"/>
    <w:rsid w:val="00E56429"/>
    <w:rsid w:val="00E612CC"/>
    <w:rsid w:val="00E621C8"/>
    <w:rsid w:val="00E858DD"/>
    <w:rsid w:val="00E85E21"/>
    <w:rsid w:val="00EB2497"/>
    <w:rsid w:val="00ED4D61"/>
    <w:rsid w:val="00ED7E93"/>
    <w:rsid w:val="00EF1826"/>
    <w:rsid w:val="00EF68F1"/>
    <w:rsid w:val="00F1113D"/>
    <w:rsid w:val="00F2637A"/>
    <w:rsid w:val="00F336E5"/>
    <w:rsid w:val="00F36B19"/>
    <w:rsid w:val="00F6257F"/>
    <w:rsid w:val="00F634D5"/>
    <w:rsid w:val="00F86242"/>
    <w:rsid w:val="00F95FF2"/>
    <w:rsid w:val="00FA76BF"/>
    <w:rsid w:val="00FB0A18"/>
    <w:rsid w:val="00FC527D"/>
    <w:rsid w:val="00FC5854"/>
    <w:rsid w:val="00FD4117"/>
    <w:rsid w:val="00FF1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B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324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2472"/>
    <w:rPr>
      <w:sz w:val="20"/>
      <w:szCs w:val="20"/>
    </w:rPr>
  </w:style>
  <w:style w:type="character" w:styleId="FootnoteReference">
    <w:name w:val="footnote reference"/>
    <w:basedOn w:val="DefaultParagraphFont"/>
    <w:uiPriority w:val="99"/>
    <w:semiHidden/>
    <w:unhideWhenUsed/>
    <w:rsid w:val="00532472"/>
    <w:rPr>
      <w:vertAlign w:val="superscript"/>
    </w:rPr>
  </w:style>
  <w:style w:type="paragraph" w:styleId="ListParagraph">
    <w:name w:val="List Paragraph"/>
    <w:basedOn w:val="Normal"/>
    <w:uiPriority w:val="34"/>
    <w:qFormat/>
    <w:rsid w:val="00107D68"/>
    <w:pPr>
      <w:ind w:left="720"/>
      <w:contextualSpacing/>
    </w:pPr>
  </w:style>
  <w:style w:type="table" w:styleId="TableGrid">
    <w:name w:val="Table Grid"/>
    <w:basedOn w:val="TableNormal"/>
    <w:uiPriority w:val="59"/>
    <w:rsid w:val="00E85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7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4DC"/>
    <w:rPr>
      <w:rFonts w:ascii="Tahoma" w:hAnsi="Tahoma" w:cs="Tahoma"/>
      <w:sz w:val="16"/>
      <w:szCs w:val="16"/>
    </w:rPr>
  </w:style>
  <w:style w:type="paragraph" w:customStyle="1" w:styleId="04xlpa">
    <w:name w:val="_04xlpa"/>
    <w:basedOn w:val="Normal"/>
    <w:rsid w:val="00E564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E56429"/>
  </w:style>
  <w:style w:type="paragraph" w:customStyle="1" w:styleId="Default">
    <w:name w:val="Default"/>
    <w:rsid w:val="00E56429"/>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markedcontent">
    <w:name w:val="markedcontent"/>
    <w:basedOn w:val="DefaultParagraphFont"/>
    <w:rsid w:val="007037B1"/>
  </w:style>
  <w:style w:type="paragraph" w:styleId="HTMLPreformatted">
    <w:name w:val="HTML Preformatted"/>
    <w:basedOn w:val="Normal"/>
    <w:link w:val="HTMLPreformattedChar"/>
    <w:uiPriority w:val="99"/>
    <w:unhideWhenUsed/>
    <w:rsid w:val="0033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7732"/>
    <w:rPr>
      <w:rFonts w:ascii="Courier New" w:eastAsia="Times New Roman" w:hAnsi="Courier New" w:cs="Courier New"/>
      <w:sz w:val="20"/>
      <w:szCs w:val="20"/>
    </w:rPr>
  </w:style>
  <w:style w:type="character" w:customStyle="1" w:styleId="y2iqfc">
    <w:name w:val="y2iqfc"/>
    <w:basedOn w:val="DefaultParagraphFont"/>
    <w:rsid w:val="003377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324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2472"/>
    <w:rPr>
      <w:sz w:val="20"/>
      <w:szCs w:val="20"/>
    </w:rPr>
  </w:style>
  <w:style w:type="character" w:styleId="FootnoteReference">
    <w:name w:val="footnote reference"/>
    <w:basedOn w:val="DefaultParagraphFont"/>
    <w:uiPriority w:val="99"/>
    <w:semiHidden/>
    <w:unhideWhenUsed/>
    <w:rsid w:val="00532472"/>
    <w:rPr>
      <w:vertAlign w:val="superscript"/>
    </w:rPr>
  </w:style>
  <w:style w:type="paragraph" w:styleId="ListParagraph">
    <w:name w:val="List Paragraph"/>
    <w:basedOn w:val="Normal"/>
    <w:uiPriority w:val="34"/>
    <w:qFormat/>
    <w:rsid w:val="00107D68"/>
    <w:pPr>
      <w:ind w:left="720"/>
      <w:contextualSpacing/>
    </w:pPr>
  </w:style>
  <w:style w:type="table" w:styleId="TableGrid">
    <w:name w:val="Table Grid"/>
    <w:basedOn w:val="TableNormal"/>
    <w:uiPriority w:val="59"/>
    <w:rsid w:val="00E85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7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4DC"/>
    <w:rPr>
      <w:rFonts w:ascii="Tahoma" w:hAnsi="Tahoma" w:cs="Tahoma"/>
      <w:sz w:val="16"/>
      <w:szCs w:val="16"/>
    </w:rPr>
  </w:style>
  <w:style w:type="paragraph" w:customStyle="1" w:styleId="04xlpa">
    <w:name w:val="_04xlpa"/>
    <w:basedOn w:val="Normal"/>
    <w:rsid w:val="00E564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E56429"/>
  </w:style>
  <w:style w:type="paragraph" w:customStyle="1" w:styleId="Default">
    <w:name w:val="Default"/>
    <w:rsid w:val="00E56429"/>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markedcontent">
    <w:name w:val="markedcontent"/>
    <w:basedOn w:val="DefaultParagraphFont"/>
    <w:rsid w:val="007037B1"/>
  </w:style>
  <w:style w:type="paragraph" w:styleId="HTMLPreformatted">
    <w:name w:val="HTML Preformatted"/>
    <w:basedOn w:val="Normal"/>
    <w:link w:val="HTMLPreformattedChar"/>
    <w:uiPriority w:val="99"/>
    <w:unhideWhenUsed/>
    <w:rsid w:val="0033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7732"/>
    <w:rPr>
      <w:rFonts w:ascii="Courier New" w:eastAsia="Times New Roman" w:hAnsi="Courier New" w:cs="Courier New"/>
      <w:sz w:val="20"/>
      <w:szCs w:val="20"/>
    </w:rPr>
  </w:style>
  <w:style w:type="character" w:customStyle="1" w:styleId="y2iqfc">
    <w:name w:val="y2iqfc"/>
    <w:basedOn w:val="DefaultParagraphFont"/>
    <w:rsid w:val="00337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4095">
      <w:bodyDiv w:val="1"/>
      <w:marLeft w:val="0"/>
      <w:marRight w:val="0"/>
      <w:marTop w:val="0"/>
      <w:marBottom w:val="0"/>
      <w:divBdr>
        <w:top w:val="none" w:sz="0" w:space="0" w:color="auto"/>
        <w:left w:val="none" w:sz="0" w:space="0" w:color="auto"/>
        <w:bottom w:val="none" w:sz="0" w:space="0" w:color="auto"/>
        <w:right w:val="none" w:sz="0" w:space="0" w:color="auto"/>
      </w:divBdr>
    </w:div>
    <w:div w:id="751240124">
      <w:bodyDiv w:val="1"/>
      <w:marLeft w:val="0"/>
      <w:marRight w:val="0"/>
      <w:marTop w:val="0"/>
      <w:marBottom w:val="0"/>
      <w:divBdr>
        <w:top w:val="none" w:sz="0" w:space="0" w:color="auto"/>
        <w:left w:val="none" w:sz="0" w:space="0" w:color="auto"/>
        <w:bottom w:val="none" w:sz="0" w:space="0" w:color="auto"/>
        <w:right w:val="none" w:sz="0" w:space="0" w:color="auto"/>
      </w:divBdr>
    </w:div>
    <w:div w:id="754936384">
      <w:bodyDiv w:val="1"/>
      <w:marLeft w:val="0"/>
      <w:marRight w:val="0"/>
      <w:marTop w:val="0"/>
      <w:marBottom w:val="0"/>
      <w:divBdr>
        <w:top w:val="none" w:sz="0" w:space="0" w:color="auto"/>
        <w:left w:val="none" w:sz="0" w:space="0" w:color="auto"/>
        <w:bottom w:val="none" w:sz="0" w:space="0" w:color="auto"/>
        <w:right w:val="none" w:sz="0" w:space="0" w:color="auto"/>
      </w:divBdr>
    </w:div>
    <w:div w:id="1103841308">
      <w:bodyDiv w:val="1"/>
      <w:marLeft w:val="0"/>
      <w:marRight w:val="0"/>
      <w:marTop w:val="0"/>
      <w:marBottom w:val="0"/>
      <w:divBdr>
        <w:top w:val="none" w:sz="0" w:space="0" w:color="auto"/>
        <w:left w:val="none" w:sz="0" w:space="0" w:color="auto"/>
        <w:bottom w:val="none" w:sz="0" w:space="0" w:color="auto"/>
        <w:right w:val="none" w:sz="0" w:space="0" w:color="auto"/>
      </w:divBdr>
    </w:div>
    <w:div w:id="1375930013">
      <w:bodyDiv w:val="1"/>
      <w:marLeft w:val="0"/>
      <w:marRight w:val="0"/>
      <w:marTop w:val="0"/>
      <w:marBottom w:val="0"/>
      <w:divBdr>
        <w:top w:val="none" w:sz="0" w:space="0" w:color="auto"/>
        <w:left w:val="none" w:sz="0" w:space="0" w:color="auto"/>
        <w:bottom w:val="none" w:sz="0" w:space="0" w:color="auto"/>
        <w:right w:val="none" w:sz="0" w:space="0" w:color="auto"/>
      </w:divBdr>
    </w:div>
    <w:div w:id="1695110424">
      <w:bodyDiv w:val="1"/>
      <w:marLeft w:val="0"/>
      <w:marRight w:val="0"/>
      <w:marTop w:val="0"/>
      <w:marBottom w:val="0"/>
      <w:divBdr>
        <w:top w:val="none" w:sz="0" w:space="0" w:color="auto"/>
        <w:left w:val="none" w:sz="0" w:space="0" w:color="auto"/>
        <w:bottom w:val="none" w:sz="0" w:space="0" w:color="auto"/>
        <w:right w:val="none" w:sz="0" w:space="0" w:color="auto"/>
      </w:divBdr>
    </w:div>
    <w:div w:id="171149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5B3EF-C2E7-42D1-BD9E-644763CC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1</Pages>
  <Words>2601</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141</cp:revision>
  <dcterms:created xsi:type="dcterms:W3CDTF">2021-09-13T05:00:00Z</dcterms:created>
  <dcterms:modified xsi:type="dcterms:W3CDTF">2022-06-14T12:26:00Z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http://www.zotero.org/styles/begell-house-apa</vt:lpwstr>
  </property>
  <property fmtid="{D5CDD505-2E9C-101B-9397-08002B2CF9AE}" pid="9" name="Mendeley Recent Style Name 3_1">
    <vt:lpwstr>Begell House - APA</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a111ff33-6fb9-3cf6-aa50-e6b09ec529cc</vt:lpwstr>
  </property>
  <property fmtid="{D5CDD505-2E9C-101B-9397-08002B2CF9AE}" pid="24" name="Mendeley Citation Style_1">
    <vt:lpwstr>http://www.zotero.org/styles/turabian-fullnote-bibliography</vt:lpwstr>
  </property>
</Properties>
</file>