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3E" w:rsidRPr="007E5419" w:rsidRDefault="00FD6437" w:rsidP="00FB4EAE">
      <w:pPr>
        <w:pStyle w:val="NoSpacing"/>
        <w:jc w:val="center"/>
        <w:rPr>
          <w:rFonts w:ascii="Book Antiqua" w:hAnsi="Book Antiqua" w:cstheme="majorBidi"/>
          <w:b/>
          <w:bCs/>
          <w:sz w:val="24"/>
          <w:szCs w:val="24"/>
        </w:rPr>
      </w:pPr>
      <w:r w:rsidRPr="007E5419">
        <w:rPr>
          <w:rFonts w:ascii="Book Antiqua" w:hAnsi="Book Antiqua" w:cstheme="majorBidi"/>
          <w:b/>
          <w:bCs/>
          <w:sz w:val="24"/>
          <w:szCs w:val="24"/>
        </w:rPr>
        <w:t>Islamic Law in Indonesia</w:t>
      </w:r>
    </w:p>
    <w:p w:rsidR="00FD6437" w:rsidRPr="007E5419" w:rsidRDefault="00FB4EAE" w:rsidP="00FB4EAE">
      <w:pPr>
        <w:pStyle w:val="NoSpacing"/>
        <w:jc w:val="center"/>
        <w:rPr>
          <w:rFonts w:ascii="Book Antiqua" w:hAnsi="Book Antiqua" w:cstheme="majorBidi"/>
          <w:b/>
          <w:bCs/>
          <w:sz w:val="24"/>
          <w:szCs w:val="24"/>
        </w:rPr>
      </w:pPr>
      <w:r w:rsidRPr="007E5419">
        <w:rPr>
          <w:rFonts w:ascii="Book Antiqua" w:hAnsi="Book Antiqua" w:cstheme="majorBidi"/>
          <w:b/>
          <w:bCs/>
          <w:sz w:val="24"/>
          <w:szCs w:val="24"/>
        </w:rPr>
        <w:t>(History and Prospects)</w:t>
      </w:r>
    </w:p>
    <w:p w:rsidR="009533A9" w:rsidRDefault="001C3647" w:rsidP="0086482C">
      <w:pPr>
        <w:pStyle w:val="NoSpacing"/>
        <w:jc w:val="center"/>
        <w:rPr>
          <w:rFonts w:ascii="Book Antiqua" w:hAnsi="Book Antiqua" w:cstheme="majorBidi"/>
          <w:b/>
          <w:bCs/>
          <w:sz w:val="24"/>
          <w:szCs w:val="24"/>
          <w:lang w:val="id-ID"/>
        </w:rPr>
      </w:pPr>
      <w:r w:rsidRPr="007E5419">
        <w:rPr>
          <w:rFonts w:ascii="Book Antiqua" w:hAnsi="Book Antiqua" w:cstheme="majorBidi"/>
          <w:b/>
          <w:bCs/>
          <w:sz w:val="24"/>
          <w:szCs w:val="24"/>
        </w:rPr>
        <w:t>Dr. Sri Wahyuni, M.Ag., M.Hum.</w:t>
      </w:r>
    </w:p>
    <w:p w:rsidR="008F7D24" w:rsidRDefault="008F7D24" w:rsidP="0086482C">
      <w:pPr>
        <w:pStyle w:val="NoSpacing"/>
        <w:jc w:val="center"/>
        <w:rPr>
          <w:rFonts w:ascii="Book Antiqua" w:hAnsi="Book Antiqua" w:cstheme="majorBidi"/>
          <w:b/>
          <w:bCs/>
          <w:sz w:val="24"/>
          <w:szCs w:val="24"/>
          <w:lang w:val="id-ID"/>
        </w:rPr>
      </w:pPr>
      <w:r>
        <w:rPr>
          <w:rFonts w:ascii="Book Antiqua" w:hAnsi="Book Antiqua" w:cstheme="majorBidi"/>
          <w:b/>
          <w:bCs/>
          <w:sz w:val="24"/>
          <w:szCs w:val="24"/>
          <w:lang w:val="id-ID"/>
        </w:rPr>
        <w:t>Faculty of Sharia and Law, UIN Sunan Kalijaga Yogyakarta</w:t>
      </w:r>
    </w:p>
    <w:p w:rsidR="008F7D24" w:rsidRDefault="008F7D24" w:rsidP="0086482C">
      <w:pPr>
        <w:pStyle w:val="NoSpacing"/>
        <w:jc w:val="center"/>
        <w:rPr>
          <w:rFonts w:ascii="Book Antiqua" w:hAnsi="Book Antiqua" w:cstheme="majorBidi"/>
          <w:b/>
          <w:bCs/>
          <w:sz w:val="24"/>
          <w:szCs w:val="24"/>
          <w:lang w:val="id-ID"/>
        </w:rPr>
      </w:pPr>
      <w:r>
        <w:rPr>
          <w:rFonts w:ascii="Book Antiqua" w:hAnsi="Book Antiqua" w:cstheme="majorBidi"/>
          <w:b/>
          <w:bCs/>
          <w:sz w:val="24"/>
          <w:szCs w:val="24"/>
          <w:lang w:val="id-ID"/>
        </w:rPr>
        <w:t xml:space="preserve">Email: </w:t>
      </w:r>
      <w:hyperlink r:id="rId8" w:history="1">
        <w:r w:rsidRPr="006101A9">
          <w:rPr>
            <w:rStyle w:val="Hyperlink"/>
            <w:rFonts w:ascii="Book Antiqua" w:hAnsi="Book Antiqua" w:cstheme="majorBidi"/>
            <w:b/>
            <w:bCs/>
            <w:sz w:val="24"/>
            <w:szCs w:val="24"/>
            <w:lang w:val="id-ID"/>
          </w:rPr>
          <w:t>sri.wahyuni1@uinsuka.ac.id</w:t>
        </w:r>
      </w:hyperlink>
    </w:p>
    <w:p w:rsidR="008F7D24" w:rsidRDefault="008F7D24" w:rsidP="0086482C">
      <w:pPr>
        <w:pStyle w:val="NoSpacing"/>
        <w:jc w:val="center"/>
        <w:rPr>
          <w:rFonts w:ascii="Book Antiqua" w:hAnsi="Book Antiqua" w:cstheme="majorBidi"/>
          <w:b/>
          <w:bCs/>
          <w:sz w:val="24"/>
          <w:szCs w:val="24"/>
          <w:lang w:val="id-ID"/>
        </w:rPr>
      </w:pPr>
    </w:p>
    <w:p w:rsidR="008F7D24" w:rsidRDefault="008F7D24" w:rsidP="0086482C">
      <w:pPr>
        <w:pStyle w:val="NoSpacing"/>
        <w:jc w:val="center"/>
        <w:rPr>
          <w:rFonts w:ascii="Book Antiqua" w:hAnsi="Book Antiqua" w:cstheme="majorBidi"/>
          <w:b/>
          <w:bCs/>
          <w:sz w:val="24"/>
          <w:szCs w:val="24"/>
          <w:lang w:val="id-ID"/>
        </w:rPr>
      </w:pPr>
      <w:r>
        <w:rPr>
          <w:rFonts w:ascii="Book Antiqua" w:hAnsi="Book Antiqua" w:cstheme="majorBidi"/>
          <w:b/>
          <w:bCs/>
          <w:sz w:val="24"/>
          <w:szCs w:val="24"/>
          <w:lang w:val="id-ID"/>
        </w:rPr>
        <w:t>Abstract</w:t>
      </w:r>
    </w:p>
    <w:p w:rsidR="008F7D24" w:rsidRDefault="008F7D24" w:rsidP="0086482C">
      <w:pPr>
        <w:pStyle w:val="NoSpacing"/>
        <w:jc w:val="center"/>
        <w:rPr>
          <w:rFonts w:ascii="Book Antiqua" w:hAnsi="Book Antiqua" w:cstheme="majorBidi"/>
          <w:b/>
          <w:bCs/>
          <w:sz w:val="24"/>
          <w:szCs w:val="24"/>
          <w:lang w:val="id-ID"/>
        </w:rPr>
      </w:pPr>
    </w:p>
    <w:p w:rsidR="000256AC" w:rsidRDefault="008F7D24" w:rsidP="000256AC">
      <w:pPr>
        <w:pStyle w:val="NoSpacing"/>
        <w:jc w:val="both"/>
        <w:rPr>
          <w:rFonts w:ascii="Book Antiqua" w:hAnsi="Book Antiqua" w:cstheme="majorBidi"/>
        </w:rPr>
      </w:pPr>
      <w:r w:rsidRPr="008F7D24">
        <w:rPr>
          <w:rFonts w:ascii="Book Antiqua" w:hAnsi="Book Antiqua" w:cstheme="majorBidi"/>
          <w:bCs/>
          <w:sz w:val="24"/>
          <w:szCs w:val="24"/>
          <w:lang w:val="id-ID"/>
        </w:rPr>
        <w:t>This article discusses about</w:t>
      </w:r>
      <w:r>
        <w:rPr>
          <w:rFonts w:ascii="Book Antiqua" w:hAnsi="Book Antiqua" w:cstheme="majorBidi"/>
          <w:bCs/>
          <w:sz w:val="24"/>
          <w:szCs w:val="24"/>
          <w:lang w:val="id-ID"/>
        </w:rPr>
        <w:t xml:space="preserve"> </w:t>
      </w:r>
      <w:r w:rsidR="000256AC">
        <w:rPr>
          <w:rFonts w:ascii="Book Antiqua" w:hAnsi="Book Antiqua" w:cstheme="majorBidi"/>
          <w:bCs/>
          <w:sz w:val="24"/>
          <w:szCs w:val="24"/>
        </w:rPr>
        <w:t xml:space="preserve">Islamic Law in Indonesia in history perspective. This article analyses the problem and prospect of Islamic law in Indonesia as epistemologically discourse. This article asays that the </w:t>
      </w:r>
      <w:r w:rsidR="000256AC" w:rsidRPr="007E5419">
        <w:rPr>
          <w:rFonts w:ascii="Book Antiqua" w:hAnsi="Book Antiqua" w:cstheme="majorBidi"/>
          <w:sz w:val="24"/>
          <w:szCs w:val="24"/>
          <w:lang w:val="sv-SE"/>
        </w:rPr>
        <w:t xml:space="preserve">Islamic law of Indonesia has developed since </w:t>
      </w:r>
      <w:r w:rsidR="000256AC" w:rsidRPr="007E5419">
        <w:rPr>
          <w:rFonts w:ascii="Book Antiqua" w:hAnsi="Book Antiqua" w:cstheme="majorBidi"/>
        </w:rPr>
        <w:t xml:space="preserve">Dutch East Indies Period. It mixed in the customary law of Indonesian muslim people. </w:t>
      </w:r>
      <w:r w:rsidR="000256AC" w:rsidRPr="007E5419">
        <w:rPr>
          <w:rFonts w:ascii="Book Antiqua" w:hAnsi="Book Antiqua" w:cstheme="majorBidi"/>
          <w:sz w:val="24"/>
          <w:szCs w:val="24"/>
          <w:lang w:val="sv-SE"/>
        </w:rPr>
        <w:t xml:space="preserve">Indonesia in the post colonial period, </w:t>
      </w:r>
      <w:r w:rsidR="000256AC" w:rsidRPr="007E5419">
        <w:rPr>
          <w:rFonts w:ascii="Book Antiqua" w:hAnsi="Book Antiqua" w:cstheme="majorBidi"/>
        </w:rPr>
        <w:t>which uses Eropha Contnental Legal System makes a legislation to establish the national law. Therefore, Islamic law may become the national law if it’s drafted as a bill to be enacted,</w:t>
      </w:r>
      <w:r w:rsidR="000256AC" w:rsidRPr="007E5419">
        <w:rPr>
          <w:rFonts w:ascii="Book Antiqua" w:hAnsi="Book Antiqua" w:cstheme="majorBidi"/>
          <w:sz w:val="24"/>
          <w:szCs w:val="24"/>
          <w:lang w:val="sv-SE"/>
        </w:rPr>
        <w:t xml:space="preserve"> such as marriage law (act of 1, 1974 on marriage), </w:t>
      </w:r>
      <w:r w:rsidR="000256AC" w:rsidRPr="007E5419">
        <w:rPr>
          <w:rFonts w:ascii="Book Antiqua" w:eastAsia="Calibri" w:hAnsi="Book Antiqua" w:cstheme="majorBidi"/>
          <w:sz w:val="24"/>
          <w:szCs w:val="24"/>
        </w:rPr>
        <w:t xml:space="preserve">law No. 10 of 1998 on the amendment of Law No. 7 of 1992 on Banking, </w:t>
      </w:r>
      <w:r w:rsidR="000256AC" w:rsidRPr="007E5419">
        <w:rPr>
          <w:rFonts w:ascii="Book Antiqua" w:hAnsi="Book Antiqua" w:cstheme="majorBidi"/>
          <w:sz w:val="24"/>
          <w:szCs w:val="24"/>
          <w:lang w:val="sv-SE"/>
        </w:rPr>
        <w:t>the law n</w:t>
      </w:r>
      <w:r w:rsidR="000256AC" w:rsidRPr="007E5419">
        <w:rPr>
          <w:rFonts w:ascii="Book Antiqua" w:hAnsi="Book Antiqua" w:cstheme="majorBidi"/>
        </w:rPr>
        <w:t>o. 35, 1999</w:t>
      </w:r>
      <w:r w:rsidR="000256AC">
        <w:rPr>
          <w:rFonts w:ascii="Book Antiqua" w:hAnsi="Book Antiqua" w:cstheme="majorBidi"/>
        </w:rPr>
        <w:t xml:space="preserve"> on Zakat Management, </w:t>
      </w:r>
      <w:r w:rsidR="000256AC" w:rsidRPr="007E5419">
        <w:rPr>
          <w:rFonts w:ascii="Book Antiqua" w:hAnsi="Book Antiqua" w:cstheme="majorBidi"/>
        </w:rPr>
        <w:t xml:space="preserve">the law no. 17, 1999 on hajj, and the law no. </w:t>
      </w:r>
      <w:r w:rsidR="000256AC" w:rsidRPr="007E5419">
        <w:rPr>
          <w:rFonts w:ascii="Book Antiqua" w:eastAsia="Calibri" w:hAnsi="Book Antiqua" w:cstheme="majorBidi"/>
          <w:sz w:val="24"/>
          <w:szCs w:val="24"/>
        </w:rPr>
        <w:t>3, 2006 on the Amandment of the law no. 7, 1989 on eligion Court.</w:t>
      </w:r>
      <w:r w:rsidR="000256AC" w:rsidRPr="007E5419">
        <w:rPr>
          <w:rFonts w:ascii="Book Antiqua" w:hAnsi="Book Antiqua" w:cstheme="majorBidi"/>
        </w:rPr>
        <w:t xml:space="preserve"> </w:t>
      </w:r>
    </w:p>
    <w:p w:rsidR="00CC50E3" w:rsidRDefault="00CC50E3" w:rsidP="000256AC">
      <w:pPr>
        <w:pStyle w:val="NoSpacing"/>
        <w:jc w:val="both"/>
        <w:rPr>
          <w:rFonts w:ascii="Book Antiqua" w:hAnsi="Book Antiqua" w:cstheme="majorBidi"/>
        </w:rPr>
      </w:pPr>
    </w:p>
    <w:p w:rsidR="00CC50E3" w:rsidRPr="007E5419" w:rsidRDefault="00CC50E3" w:rsidP="000256AC">
      <w:pPr>
        <w:pStyle w:val="NoSpacing"/>
        <w:jc w:val="both"/>
        <w:rPr>
          <w:rFonts w:ascii="Book Antiqua" w:hAnsi="Book Antiqua" w:cstheme="majorBidi"/>
          <w:sz w:val="24"/>
          <w:szCs w:val="24"/>
          <w:lang w:val="sv-SE"/>
        </w:rPr>
      </w:pPr>
      <w:r>
        <w:rPr>
          <w:rFonts w:ascii="Book Antiqua" w:hAnsi="Book Antiqua" w:cstheme="majorBidi"/>
        </w:rPr>
        <w:t>Key Words: Islamic Law, Indonesia; History, Prospects</w:t>
      </w:r>
      <w:bookmarkStart w:id="0" w:name="_GoBack"/>
      <w:bookmarkEnd w:id="0"/>
    </w:p>
    <w:p w:rsidR="00D01F5C" w:rsidRPr="007E5419" w:rsidRDefault="00D01F5C" w:rsidP="00D01F5C">
      <w:pPr>
        <w:pStyle w:val="BodyTextIndent"/>
        <w:ind w:firstLine="0"/>
        <w:rPr>
          <w:rFonts w:ascii="Book Antiqua" w:hAnsi="Book Antiqua" w:cstheme="majorBidi"/>
        </w:rPr>
      </w:pPr>
    </w:p>
    <w:p w:rsidR="00D01F5C" w:rsidRPr="007E5419" w:rsidRDefault="009533A9" w:rsidP="00D01F5C">
      <w:pPr>
        <w:pStyle w:val="BodyTextIndent"/>
        <w:ind w:firstLine="0"/>
        <w:rPr>
          <w:rFonts w:ascii="Book Antiqua" w:hAnsi="Book Antiqua" w:cstheme="majorBidi"/>
          <w:b/>
          <w:bCs/>
        </w:rPr>
      </w:pPr>
      <w:r w:rsidRPr="007E5419">
        <w:rPr>
          <w:rFonts w:ascii="Book Antiqua" w:hAnsi="Book Antiqua" w:cstheme="majorBidi"/>
          <w:b/>
          <w:bCs/>
        </w:rPr>
        <w:t xml:space="preserve">Introduction </w:t>
      </w:r>
    </w:p>
    <w:p w:rsidR="00082F3E" w:rsidRPr="007E5419" w:rsidRDefault="00082F3E" w:rsidP="00C04792">
      <w:pPr>
        <w:pStyle w:val="BodyTextIndent"/>
        <w:rPr>
          <w:rFonts w:ascii="Book Antiqua" w:hAnsi="Book Antiqua" w:cstheme="majorBidi"/>
        </w:rPr>
      </w:pPr>
      <w:r w:rsidRPr="007E5419">
        <w:rPr>
          <w:rFonts w:ascii="Book Antiqua" w:hAnsi="Book Antiqua" w:cstheme="majorBidi"/>
        </w:rPr>
        <w:t>Term Islamic law is a translation of the word 'al-Fiqh al-Islami', which in Western literature called 'the Islamic Law', or within the limits of looser 'the Islamic Jurispeudence'. The former is more likely to sharia,</w:t>
      </w:r>
      <w:r w:rsidRPr="007E5419">
        <w:rPr>
          <w:rStyle w:val="FootnoteReference"/>
          <w:rFonts w:ascii="Book Antiqua" w:hAnsi="Book Antiqua" w:cstheme="majorBidi"/>
        </w:rPr>
        <w:footnoteReference w:id="1"/>
      </w:r>
      <w:r w:rsidRPr="007E5419">
        <w:rPr>
          <w:rFonts w:ascii="Book Antiqua" w:hAnsi="Book Antiqua" w:cstheme="majorBidi"/>
        </w:rPr>
        <w:t xml:space="preserve"> while the second to the fiqh,</w:t>
      </w:r>
      <w:r w:rsidRPr="007E5419">
        <w:rPr>
          <w:rStyle w:val="FootnoteReference"/>
          <w:rFonts w:ascii="Book Antiqua" w:hAnsi="Book Antiqua" w:cstheme="majorBidi"/>
        </w:rPr>
        <w:footnoteReference w:id="2"/>
      </w:r>
      <w:r w:rsidRPr="007E5419">
        <w:rPr>
          <w:rFonts w:ascii="Book Antiqua" w:hAnsi="Book Antiqua" w:cstheme="majorBidi"/>
        </w:rPr>
        <w:t xml:space="preserve"> but both can not be used consistently.</w:t>
      </w:r>
      <w:r w:rsidRPr="007E5419">
        <w:rPr>
          <w:rStyle w:val="FootnoteReference"/>
          <w:rFonts w:ascii="Book Antiqua" w:hAnsi="Book Antiqua" w:cstheme="majorBidi"/>
        </w:rPr>
        <w:footnoteReference w:id="3"/>
      </w:r>
      <w:r w:rsidRPr="007E5419">
        <w:rPr>
          <w:rFonts w:ascii="Book Antiqua" w:hAnsi="Book Antiqua" w:cstheme="majorBidi"/>
        </w:rPr>
        <w:t xml:space="preserve"> </w:t>
      </w:r>
      <w:r w:rsidR="00D81A6D" w:rsidRPr="007E5419">
        <w:rPr>
          <w:rFonts w:ascii="Book Antiqua" w:hAnsi="Book Antiqua" w:cstheme="majorBidi"/>
        </w:rPr>
        <w:t xml:space="preserve">The </w:t>
      </w:r>
      <w:r w:rsidRPr="007E5419">
        <w:rPr>
          <w:rFonts w:ascii="Book Antiqua" w:hAnsi="Book Antiqua" w:cstheme="majorBidi"/>
        </w:rPr>
        <w:t xml:space="preserve">term </w:t>
      </w:r>
      <w:r w:rsidR="00D81A6D" w:rsidRPr="007E5419">
        <w:rPr>
          <w:rFonts w:ascii="Book Antiqua" w:hAnsi="Book Antiqua" w:cstheme="majorBidi"/>
        </w:rPr>
        <w:t>‘</w:t>
      </w:r>
      <w:r w:rsidRPr="007E5419">
        <w:rPr>
          <w:rFonts w:ascii="Book Antiqua" w:hAnsi="Book Antiqua" w:cstheme="majorBidi"/>
        </w:rPr>
        <w:t>Islamic law</w:t>
      </w:r>
      <w:r w:rsidR="00D81A6D" w:rsidRPr="007E5419">
        <w:rPr>
          <w:rFonts w:ascii="Book Antiqua" w:hAnsi="Book Antiqua" w:cstheme="majorBidi"/>
        </w:rPr>
        <w:t>’</w:t>
      </w:r>
      <w:r w:rsidRPr="007E5419">
        <w:rPr>
          <w:rFonts w:ascii="Book Antiqua" w:hAnsi="Book Antiqua" w:cstheme="majorBidi"/>
        </w:rPr>
        <w:t xml:space="preserve"> experienced the ambiguity </w:t>
      </w:r>
      <w:r w:rsidR="00D81A6D" w:rsidRPr="007E5419">
        <w:rPr>
          <w:rFonts w:ascii="Book Antiqua" w:hAnsi="Book Antiqua" w:cstheme="majorBidi"/>
        </w:rPr>
        <w:t xml:space="preserve">between </w:t>
      </w:r>
      <w:r w:rsidR="00D81A6D" w:rsidRPr="007E5419">
        <w:rPr>
          <w:rFonts w:ascii="Book Antiqua" w:hAnsi="Book Antiqua" w:cstheme="majorBidi"/>
          <w:i/>
          <w:iCs/>
        </w:rPr>
        <w:t>fiqh</w:t>
      </w:r>
      <w:r w:rsidRPr="007E5419">
        <w:rPr>
          <w:rFonts w:ascii="Book Antiqua" w:hAnsi="Book Antiqua" w:cstheme="majorBidi"/>
        </w:rPr>
        <w:t xml:space="preserve">, the law practically taken from the </w:t>
      </w:r>
      <w:r w:rsidRPr="007E5419">
        <w:rPr>
          <w:rFonts w:ascii="Book Antiqua" w:hAnsi="Book Antiqua" w:cstheme="majorBidi"/>
        </w:rPr>
        <w:lastRenderedPageBreak/>
        <w:t>arguments tafsili (detailed)</w:t>
      </w:r>
      <w:r w:rsidRPr="007E5419">
        <w:rPr>
          <w:rStyle w:val="FootnoteReference"/>
          <w:rFonts w:ascii="Book Antiqua" w:hAnsi="Book Antiqua" w:cstheme="majorBidi"/>
        </w:rPr>
        <w:footnoteReference w:id="4"/>
      </w:r>
      <w:r w:rsidRPr="007E5419">
        <w:rPr>
          <w:rFonts w:ascii="Book Antiqua" w:hAnsi="Book Antiqua" w:cstheme="majorBidi"/>
        </w:rPr>
        <w:t xml:space="preserve"> and </w:t>
      </w:r>
      <w:r w:rsidRPr="007E5419">
        <w:rPr>
          <w:rFonts w:ascii="Book Antiqua" w:hAnsi="Book Antiqua" w:cstheme="majorBidi"/>
          <w:i/>
          <w:iCs/>
        </w:rPr>
        <w:t>Shari'ah</w:t>
      </w:r>
      <w:r w:rsidR="00D81A6D" w:rsidRPr="007E5419">
        <w:rPr>
          <w:rFonts w:ascii="Book Antiqua" w:hAnsi="Book Antiqua" w:cstheme="majorBidi"/>
        </w:rPr>
        <w:t xml:space="preserve"> that</w:t>
      </w:r>
      <w:r w:rsidRPr="007E5419">
        <w:rPr>
          <w:rFonts w:ascii="Book Antiqua" w:hAnsi="Book Antiqua" w:cstheme="majorBidi"/>
        </w:rPr>
        <w:t xml:space="preserve"> regulations </w:t>
      </w:r>
      <w:r w:rsidR="00D81A6D" w:rsidRPr="007E5419">
        <w:rPr>
          <w:rFonts w:ascii="Book Antiqua" w:hAnsi="Book Antiqua" w:cstheme="majorBidi"/>
        </w:rPr>
        <w:t xml:space="preserve">created </w:t>
      </w:r>
      <w:r w:rsidRPr="007E5419">
        <w:rPr>
          <w:rFonts w:ascii="Book Antiqua" w:hAnsi="Book Antiqua" w:cstheme="majorBidi"/>
        </w:rPr>
        <w:t xml:space="preserve">by God </w:t>
      </w:r>
      <w:r w:rsidR="00D81A6D" w:rsidRPr="007E5419">
        <w:rPr>
          <w:rFonts w:ascii="Book Antiqua" w:hAnsi="Book Antiqua" w:cstheme="majorBidi"/>
        </w:rPr>
        <w:t>for</w:t>
      </w:r>
      <w:r w:rsidRPr="007E5419">
        <w:rPr>
          <w:rFonts w:ascii="Book Antiqua" w:hAnsi="Book Antiqua" w:cstheme="majorBidi"/>
        </w:rPr>
        <w:t xml:space="preserve"> </w:t>
      </w:r>
      <w:r w:rsidR="00D81A6D" w:rsidRPr="007E5419">
        <w:rPr>
          <w:rFonts w:ascii="Book Antiqua" w:hAnsi="Book Antiqua" w:cstheme="majorBidi"/>
        </w:rPr>
        <w:t>hu</w:t>
      </w:r>
      <w:r w:rsidRPr="007E5419">
        <w:rPr>
          <w:rFonts w:ascii="Book Antiqua" w:hAnsi="Book Antiqua" w:cstheme="majorBidi"/>
        </w:rPr>
        <w:t>man in order to be followed in dealing with God, wi</w:t>
      </w:r>
      <w:r w:rsidR="009533A9" w:rsidRPr="007E5419">
        <w:rPr>
          <w:rFonts w:ascii="Book Antiqua" w:hAnsi="Book Antiqua" w:cstheme="majorBidi"/>
        </w:rPr>
        <w:t xml:space="preserve">th each other, the environment </w:t>
      </w:r>
      <w:r w:rsidRPr="007E5419">
        <w:rPr>
          <w:rFonts w:ascii="Book Antiqua" w:hAnsi="Book Antiqua" w:cstheme="majorBidi"/>
        </w:rPr>
        <w:t>and with life.</w:t>
      </w:r>
      <w:r w:rsidRPr="007E5419">
        <w:rPr>
          <w:rStyle w:val="FootnoteReference"/>
          <w:rFonts w:ascii="Book Antiqua" w:hAnsi="Book Antiqua" w:cstheme="majorBidi"/>
        </w:rPr>
        <w:footnoteReference w:id="5"/>
      </w:r>
    </w:p>
    <w:p w:rsidR="00082F3E" w:rsidRPr="007E5419" w:rsidRDefault="00082F3E" w:rsidP="00C04792">
      <w:pPr>
        <w:spacing w:line="360" w:lineRule="auto"/>
        <w:ind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Apart from the various definitions mentioned above, Islamic law can be expressed as </w:t>
      </w:r>
      <w:r w:rsidRPr="007E5419">
        <w:rPr>
          <w:rFonts w:ascii="Book Antiqua" w:eastAsia="Calibri" w:hAnsi="Book Antiqua" w:cstheme="majorBidi"/>
          <w:i/>
          <w:iCs/>
          <w:sz w:val="24"/>
          <w:szCs w:val="24"/>
        </w:rPr>
        <w:t>devine law</w:t>
      </w:r>
      <w:r w:rsidRPr="007E5419">
        <w:rPr>
          <w:rFonts w:ascii="Book Antiqua" w:eastAsia="Calibri" w:hAnsi="Book Antiqua" w:cstheme="majorBidi"/>
          <w:sz w:val="24"/>
          <w:szCs w:val="24"/>
        </w:rPr>
        <w:t xml:space="preserve"> (law of God) that govern</w:t>
      </w:r>
      <w:r w:rsidR="001609EC" w:rsidRPr="007E5419">
        <w:rPr>
          <w:rFonts w:ascii="Book Antiqua" w:eastAsia="Calibri" w:hAnsi="Book Antiqua" w:cstheme="majorBidi"/>
          <w:sz w:val="24"/>
          <w:szCs w:val="24"/>
        </w:rPr>
        <w:t>s</w:t>
      </w:r>
      <w:r w:rsidRPr="007E5419">
        <w:rPr>
          <w:rFonts w:ascii="Book Antiqua" w:eastAsia="Calibri" w:hAnsi="Book Antiqua" w:cstheme="majorBidi"/>
          <w:sz w:val="24"/>
          <w:szCs w:val="24"/>
        </w:rPr>
        <w:t xml:space="preserve"> every aspect of human life, and not distinguishing between morality and the law</w:t>
      </w:r>
      <w:r w:rsidR="00D81A6D" w:rsidRPr="007E5419">
        <w:rPr>
          <w:rFonts w:ascii="Book Antiqua" w:eastAsia="Calibri" w:hAnsi="Book Antiqua" w:cstheme="majorBidi"/>
          <w:sz w:val="24"/>
          <w:szCs w:val="24"/>
        </w:rPr>
        <w:t>.</w:t>
      </w:r>
      <w:r w:rsidRPr="007E5419">
        <w:rPr>
          <w:rStyle w:val="FootnoteReference"/>
          <w:rFonts w:ascii="Book Antiqua" w:eastAsia="Calibri" w:hAnsi="Book Antiqua" w:cstheme="majorBidi"/>
          <w:sz w:val="24"/>
          <w:szCs w:val="24"/>
        </w:rPr>
        <w:footnoteReference w:id="6"/>
      </w:r>
      <w:r w:rsidRPr="007E5419">
        <w:rPr>
          <w:rFonts w:ascii="Book Antiqua" w:eastAsia="Calibri" w:hAnsi="Book Antiqua" w:cstheme="majorBidi"/>
          <w:sz w:val="24"/>
          <w:szCs w:val="24"/>
        </w:rPr>
        <w:t xml:space="preserve"> Inside are the legal aspects of worship, the law that governs the relationship between man and God</w:t>
      </w:r>
      <w:r w:rsidR="00D81A6D" w:rsidRPr="007E5419">
        <w:rPr>
          <w:rFonts w:ascii="Book Antiqua" w:eastAsia="Calibri" w:hAnsi="Book Antiqua" w:cstheme="majorBidi"/>
          <w:sz w:val="24"/>
          <w:szCs w:val="24"/>
        </w:rPr>
        <w:t>; and legal aspects mu'amalah that</w:t>
      </w:r>
      <w:r w:rsidRPr="007E5419">
        <w:rPr>
          <w:rFonts w:ascii="Book Antiqua" w:eastAsia="Calibri" w:hAnsi="Book Antiqua" w:cstheme="majorBidi"/>
          <w:sz w:val="24"/>
          <w:szCs w:val="24"/>
        </w:rPr>
        <w:t xml:space="preserve"> regulating legal relations between human beings and between hum</w:t>
      </w:r>
      <w:r w:rsidR="001609EC" w:rsidRPr="007E5419">
        <w:rPr>
          <w:rFonts w:ascii="Book Antiqua" w:eastAsia="Calibri" w:hAnsi="Book Antiqua" w:cstheme="majorBidi"/>
          <w:sz w:val="24"/>
          <w:szCs w:val="24"/>
        </w:rPr>
        <w:t>ans and their environment. This is</w:t>
      </w:r>
      <w:r w:rsidRPr="007E5419">
        <w:rPr>
          <w:rFonts w:ascii="Book Antiqua" w:eastAsia="Calibri" w:hAnsi="Book Antiqua" w:cstheme="majorBidi"/>
          <w:sz w:val="24"/>
          <w:szCs w:val="24"/>
        </w:rPr>
        <w:t xml:space="preserve"> one </w:t>
      </w:r>
      <w:r w:rsidR="001609EC" w:rsidRPr="007E5419">
        <w:rPr>
          <w:rFonts w:ascii="Book Antiqua" w:eastAsia="Calibri" w:hAnsi="Book Antiqua" w:cstheme="majorBidi"/>
          <w:sz w:val="24"/>
          <w:szCs w:val="24"/>
        </w:rPr>
        <w:t>of the</w:t>
      </w:r>
      <w:r w:rsidRPr="007E5419">
        <w:rPr>
          <w:rFonts w:ascii="Book Antiqua" w:eastAsia="Calibri" w:hAnsi="Book Antiqua" w:cstheme="majorBidi"/>
          <w:sz w:val="24"/>
          <w:szCs w:val="24"/>
        </w:rPr>
        <w:t xml:space="preserve"> difference of </w:t>
      </w:r>
      <w:r w:rsidR="001609EC" w:rsidRPr="007E5419">
        <w:rPr>
          <w:rFonts w:ascii="Book Antiqua" w:eastAsia="Calibri" w:hAnsi="Book Antiqua" w:cstheme="majorBidi"/>
          <w:sz w:val="24"/>
          <w:szCs w:val="24"/>
        </w:rPr>
        <w:t>Islamic law (which is devine law) from</w:t>
      </w:r>
      <w:r w:rsidRPr="007E5419">
        <w:rPr>
          <w:rFonts w:ascii="Book Antiqua" w:eastAsia="Calibri" w:hAnsi="Book Antiqua" w:cstheme="majorBidi"/>
          <w:sz w:val="24"/>
          <w:szCs w:val="24"/>
        </w:rPr>
        <w:t xml:space="preserve"> positive law (</w:t>
      </w:r>
      <w:r w:rsidRPr="007E5419">
        <w:rPr>
          <w:rFonts w:ascii="Book Antiqua" w:eastAsia="Calibri" w:hAnsi="Book Antiqua" w:cstheme="majorBidi"/>
          <w:i/>
          <w:iCs/>
          <w:sz w:val="24"/>
          <w:szCs w:val="24"/>
        </w:rPr>
        <w:t>legal positivism</w:t>
      </w:r>
      <w:r w:rsidRPr="007E5419">
        <w:rPr>
          <w:rFonts w:ascii="Book Antiqua" w:eastAsia="Calibri" w:hAnsi="Book Antiqua" w:cstheme="majorBidi"/>
          <w:sz w:val="24"/>
          <w:szCs w:val="24"/>
        </w:rPr>
        <w:t>), which only regulate the social order in the relationship between the individual one (as a legal subject) with other individuals, or between individuals as citizens with government or the State.</w:t>
      </w:r>
      <w:r w:rsidRPr="007E5419">
        <w:rPr>
          <w:rStyle w:val="FootnoteReference"/>
          <w:rFonts w:ascii="Book Antiqua" w:eastAsia="Calibri" w:hAnsi="Book Antiqua" w:cstheme="majorBidi"/>
          <w:sz w:val="24"/>
          <w:szCs w:val="24"/>
        </w:rPr>
        <w:footnoteReference w:id="7"/>
      </w:r>
    </w:p>
    <w:p w:rsidR="00082F3E" w:rsidRPr="007E5419" w:rsidRDefault="00082F3E" w:rsidP="00C04792">
      <w:pPr>
        <w:pStyle w:val="BodyTextIndent"/>
        <w:ind w:firstLine="720"/>
        <w:rPr>
          <w:rFonts w:ascii="Book Antiqua" w:hAnsi="Book Antiqua" w:cstheme="majorBidi"/>
        </w:rPr>
      </w:pPr>
      <w:r w:rsidRPr="007E5419">
        <w:rPr>
          <w:rFonts w:ascii="Book Antiqua" w:hAnsi="Book Antiqua" w:cstheme="majorBidi"/>
        </w:rPr>
        <w:t xml:space="preserve">Islamic law </w:t>
      </w:r>
      <w:r w:rsidR="001609EC" w:rsidRPr="007E5419">
        <w:rPr>
          <w:rFonts w:ascii="Book Antiqua" w:hAnsi="Book Antiqua" w:cstheme="majorBidi"/>
        </w:rPr>
        <w:t>i</w:t>
      </w:r>
      <w:r w:rsidRPr="007E5419">
        <w:rPr>
          <w:rFonts w:ascii="Book Antiqua" w:hAnsi="Book Antiqua" w:cstheme="majorBidi"/>
        </w:rPr>
        <w:t>s the law comes from God's revelation that is guided by the Muslims. Meanwhile, the positive law in Indonesia that adheres to the Eropha Continental</w:t>
      </w:r>
      <w:r w:rsidR="009A0DE7" w:rsidRPr="007E5419">
        <w:rPr>
          <w:rFonts w:ascii="Book Antiqua" w:hAnsi="Book Antiqua" w:cstheme="majorBidi"/>
        </w:rPr>
        <w:t xml:space="preserve"> legal system</w:t>
      </w:r>
      <w:r w:rsidRPr="007E5419">
        <w:rPr>
          <w:rFonts w:ascii="Book Antiqua" w:hAnsi="Book Antiqua" w:cstheme="majorBidi"/>
        </w:rPr>
        <w:t xml:space="preserve">, many adopted the law of the Netherlands as the Code of Penal </w:t>
      </w:r>
      <w:r w:rsidR="009A0DE7" w:rsidRPr="007E5419">
        <w:rPr>
          <w:rFonts w:ascii="Book Antiqua" w:hAnsi="Book Antiqua" w:cstheme="majorBidi"/>
        </w:rPr>
        <w:t xml:space="preserve">which was </w:t>
      </w:r>
      <w:r w:rsidRPr="007E5419">
        <w:rPr>
          <w:rFonts w:ascii="Book Antiqua" w:hAnsi="Book Antiqua" w:cstheme="majorBidi"/>
        </w:rPr>
        <w:t xml:space="preserve">derived from </w:t>
      </w:r>
      <w:r w:rsidRPr="007E5419">
        <w:rPr>
          <w:rFonts w:ascii="Book Antiqua" w:hAnsi="Book Antiqua" w:cstheme="majorBidi"/>
          <w:i/>
          <w:iCs/>
        </w:rPr>
        <w:t>WvS (Wetboek van Strafsrecht),</w:t>
      </w:r>
      <w:r w:rsidRPr="007E5419">
        <w:rPr>
          <w:rFonts w:ascii="Book Antiqua" w:hAnsi="Book Antiqua" w:cstheme="majorBidi"/>
        </w:rPr>
        <w:t xml:space="preserve"> the Civil Code that derived from the </w:t>
      </w:r>
      <w:r w:rsidRPr="007E5419">
        <w:rPr>
          <w:rFonts w:ascii="Book Antiqua" w:hAnsi="Book Antiqua" w:cstheme="majorBidi"/>
          <w:i/>
          <w:iCs/>
        </w:rPr>
        <w:t>BW (Burgerlijk Wetboek),</w:t>
      </w:r>
      <w:r w:rsidRPr="007E5419">
        <w:rPr>
          <w:rFonts w:ascii="Book Antiqua" w:hAnsi="Book Antiqua" w:cstheme="majorBidi"/>
        </w:rPr>
        <w:t xml:space="preserve"> and the Commercial </w:t>
      </w:r>
      <w:r w:rsidR="009A0DE7" w:rsidRPr="007E5419">
        <w:rPr>
          <w:rFonts w:ascii="Book Antiqua" w:hAnsi="Book Antiqua" w:cstheme="majorBidi"/>
        </w:rPr>
        <w:t xml:space="preserve">Code which </w:t>
      </w:r>
      <w:r w:rsidR="009A0DE7" w:rsidRPr="007E5419">
        <w:rPr>
          <w:rFonts w:ascii="Book Antiqua" w:hAnsi="Book Antiqua" w:cstheme="majorBidi"/>
        </w:rPr>
        <w:lastRenderedPageBreak/>
        <w:t xml:space="preserve">was </w:t>
      </w:r>
      <w:r w:rsidRPr="007E5419">
        <w:rPr>
          <w:rFonts w:ascii="Book Antiqua" w:hAnsi="Book Antiqua" w:cstheme="majorBidi"/>
        </w:rPr>
        <w:t xml:space="preserve">derived from </w:t>
      </w:r>
      <w:r w:rsidRPr="007E5419">
        <w:rPr>
          <w:rFonts w:ascii="Book Antiqua" w:hAnsi="Book Antiqua" w:cstheme="majorBidi"/>
          <w:i/>
          <w:iCs/>
        </w:rPr>
        <w:t>WvK (Wetboek van Kopendel</w:t>
      </w:r>
      <w:r w:rsidRPr="007E5419">
        <w:rPr>
          <w:rFonts w:ascii="Book Antiqua" w:hAnsi="Book Antiqua" w:cstheme="majorBidi"/>
        </w:rPr>
        <w:t xml:space="preserve">). </w:t>
      </w:r>
      <w:r w:rsidR="009A0DE7" w:rsidRPr="007E5419">
        <w:rPr>
          <w:rFonts w:ascii="Book Antiqua" w:hAnsi="Book Antiqua" w:cstheme="majorBidi"/>
        </w:rPr>
        <w:t xml:space="preserve">The </w:t>
      </w:r>
      <w:r w:rsidRPr="007E5419">
        <w:rPr>
          <w:rFonts w:ascii="Book Antiqua" w:hAnsi="Book Antiqua" w:cstheme="majorBidi"/>
        </w:rPr>
        <w:t>promulgation of l</w:t>
      </w:r>
      <w:r w:rsidR="009A0DE7" w:rsidRPr="007E5419">
        <w:rPr>
          <w:rFonts w:ascii="Book Antiqua" w:hAnsi="Book Antiqua" w:cstheme="majorBidi"/>
        </w:rPr>
        <w:t>aws or regulations in Indonesia also</w:t>
      </w:r>
      <w:r w:rsidRPr="007E5419">
        <w:rPr>
          <w:rFonts w:ascii="Book Antiqua" w:hAnsi="Book Antiqua" w:cstheme="majorBidi"/>
        </w:rPr>
        <w:t xml:space="preserve"> adopts </w:t>
      </w:r>
      <w:r w:rsidR="009A0DE7" w:rsidRPr="007E5419">
        <w:rPr>
          <w:rFonts w:ascii="Book Antiqua" w:hAnsi="Book Antiqua" w:cstheme="majorBidi"/>
        </w:rPr>
        <w:t xml:space="preserve">the </w:t>
      </w:r>
      <w:r w:rsidRPr="007E5419">
        <w:rPr>
          <w:rFonts w:ascii="Book Antiqua" w:hAnsi="Book Antiqua" w:cstheme="majorBidi"/>
        </w:rPr>
        <w:t>regulation and legislation as applicable in the continental Eropha</w:t>
      </w:r>
      <w:r w:rsidR="009A0DE7" w:rsidRPr="007E5419">
        <w:rPr>
          <w:rFonts w:ascii="Book Antiqua" w:hAnsi="Book Antiqua" w:cstheme="majorBidi"/>
        </w:rPr>
        <w:t>, such a</w:t>
      </w:r>
      <w:r w:rsidRPr="007E5419">
        <w:rPr>
          <w:rFonts w:ascii="Book Antiqua" w:hAnsi="Book Antiqua" w:cstheme="majorBidi"/>
        </w:rPr>
        <w:t xml:space="preserve">s the legislation </w:t>
      </w:r>
      <w:r w:rsidR="009A0DE7" w:rsidRPr="007E5419">
        <w:rPr>
          <w:rFonts w:ascii="Book Antiqua" w:hAnsi="Book Antiqua" w:cstheme="majorBidi"/>
        </w:rPr>
        <w:t>by the legislative</w:t>
      </w:r>
      <w:r w:rsidRPr="007E5419">
        <w:rPr>
          <w:rFonts w:ascii="Book Antiqua" w:hAnsi="Book Antiqua" w:cstheme="majorBidi"/>
        </w:rPr>
        <w:t>.</w:t>
      </w:r>
    </w:p>
    <w:p w:rsidR="00082F3E" w:rsidRPr="007E5419" w:rsidRDefault="00082F3E" w:rsidP="00C04792">
      <w:pPr>
        <w:pStyle w:val="BodyTextIndent"/>
        <w:ind w:firstLine="720"/>
        <w:rPr>
          <w:rFonts w:ascii="Book Antiqua" w:hAnsi="Book Antiqua" w:cstheme="majorBidi"/>
        </w:rPr>
      </w:pPr>
      <w:r w:rsidRPr="007E5419">
        <w:rPr>
          <w:rFonts w:ascii="Book Antiqua" w:hAnsi="Book Antiqua" w:cstheme="majorBidi"/>
        </w:rPr>
        <w:t xml:space="preserve">However, today there is the phenomenon of 'assimilation' of Islamic law and positive law in Indonesia. </w:t>
      </w:r>
      <w:r w:rsidR="006E2BA3" w:rsidRPr="007E5419">
        <w:rPr>
          <w:rFonts w:ascii="Book Antiqua" w:hAnsi="Book Antiqua" w:cstheme="majorBidi"/>
        </w:rPr>
        <w:t xml:space="preserve">For example is the enacment of </w:t>
      </w:r>
      <w:r w:rsidRPr="007E5419">
        <w:rPr>
          <w:rFonts w:ascii="Book Antiqua" w:hAnsi="Book Antiqua" w:cstheme="majorBidi"/>
        </w:rPr>
        <w:t xml:space="preserve">Law No. 1 of 1974 on Marriage </w:t>
      </w:r>
      <w:r w:rsidR="006E2BA3" w:rsidRPr="007E5419">
        <w:rPr>
          <w:rFonts w:ascii="Book Antiqua" w:hAnsi="Book Antiqua" w:cstheme="majorBidi"/>
        </w:rPr>
        <w:t xml:space="preserve">that </w:t>
      </w:r>
      <w:r w:rsidRPr="007E5419">
        <w:rPr>
          <w:rFonts w:ascii="Book Antiqua" w:hAnsi="Book Antiqua" w:cstheme="majorBidi"/>
        </w:rPr>
        <w:t>widely adopted of fiqh munakahat material. Islamic law as the law that decreed as national law is a phenomenon that occurs in many Muslim countries, which have implemented the wes</w:t>
      </w:r>
      <w:r w:rsidR="006E2BA3" w:rsidRPr="007E5419">
        <w:rPr>
          <w:rFonts w:ascii="Book Antiqua" w:hAnsi="Book Antiqua" w:cstheme="majorBidi"/>
        </w:rPr>
        <w:t>tern legal system. In Indonesia</w:t>
      </w:r>
      <w:r w:rsidRPr="007E5419">
        <w:rPr>
          <w:rFonts w:ascii="Book Antiqua" w:hAnsi="Book Antiqua" w:cstheme="majorBidi"/>
        </w:rPr>
        <w:t xml:space="preserve"> which is predominantly Muslim, the aspiration to apply </w:t>
      </w:r>
      <w:r w:rsidR="006E2BA3" w:rsidRPr="007E5419">
        <w:rPr>
          <w:rFonts w:ascii="Book Antiqua" w:hAnsi="Book Antiqua" w:cstheme="majorBidi"/>
        </w:rPr>
        <w:t xml:space="preserve">the </w:t>
      </w:r>
      <w:r w:rsidRPr="007E5419">
        <w:rPr>
          <w:rFonts w:ascii="Book Antiqua" w:hAnsi="Book Antiqua" w:cstheme="majorBidi"/>
        </w:rPr>
        <w:t xml:space="preserve">Islamic law as national law </w:t>
      </w:r>
      <w:r w:rsidR="006E2BA3" w:rsidRPr="007E5419">
        <w:rPr>
          <w:rFonts w:ascii="Book Antiqua" w:hAnsi="Book Antiqua" w:cstheme="majorBidi"/>
        </w:rPr>
        <w:t xml:space="preserve">is </w:t>
      </w:r>
      <w:r w:rsidRPr="007E5419">
        <w:rPr>
          <w:rFonts w:ascii="Book Antiqua" w:hAnsi="Book Antiqua" w:cstheme="majorBidi"/>
        </w:rPr>
        <w:t>so strong</w:t>
      </w:r>
      <w:r w:rsidR="006E2BA3" w:rsidRPr="007E5419">
        <w:rPr>
          <w:rFonts w:ascii="Book Antiqua" w:hAnsi="Book Antiqua" w:cstheme="majorBidi"/>
        </w:rPr>
        <w:t>,</w:t>
      </w:r>
      <w:r w:rsidRPr="007E5419">
        <w:rPr>
          <w:rFonts w:ascii="Book Antiqua" w:hAnsi="Book Antiqua" w:cstheme="majorBidi"/>
        </w:rPr>
        <w:t xml:space="preserve"> that the </w:t>
      </w:r>
      <w:r w:rsidR="006E2BA3" w:rsidRPr="007E5419">
        <w:rPr>
          <w:rFonts w:ascii="Book Antiqua" w:hAnsi="Book Antiqua" w:cstheme="majorBidi"/>
        </w:rPr>
        <w:t xml:space="preserve">strategy of Islamic </w:t>
      </w:r>
      <w:r w:rsidRPr="007E5419">
        <w:rPr>
          <w:rFonts w:ascii="Book Antiqua" w:hAnsi="Book Antiqua" w:cstheme="majorBidi"/>
        </w:rPr>
        <w:t xml:space="preserve">law materials </w:t>
      </w:r>
      <w:r w:rsidR="006E2BA3" w:rsidRPr="007E5419">
        <w:rPr>
          <w:rFonts w:ascii="Book Antiqua" w:hAnsi="Book Antiqua" w:cstheme="majorBidi"/>
        </w:rPr>
        <w:t xml:space="preserve">legistation </w:t>
      </w:r>
      <w:r w:rsidRPr="007E5419">
        <w:rPr>
          <w:rFonts w:ascii="Book Antiqua" w:hAnsi="Book Antiqua" w:cstheme="majorBidi"/>
        </w:rPr>
        <w:t xml:space="preserve">in the form of legal drafting to </w:t>
      </w:r>
      <w:r w:rsidR="006E2BA3" w:rsidRPr="007E5419">
        <w:rPr>
          <w:rFonts w:ascii="Book Antiqua" w:hAnsi="Book Antiqua" w:cstheme="majorBidi"/>
        </w:rPr>
        <w:t xml:space="preserve">be </w:t>
      </w:r>
      <w:r w:rsidRPr="007E5419">
        <w:rPr>
          <w:rFonts w:ascii="Book Antiqua" w:hAnsi="Book Antiqua" w:cstheme="majorBidi"/>
        </w:rPr>
        <w:t>establish</w:t>
      </w:r>
      <w:r w:rsidR="006E2BA3" w:rsidRPr="007E5419">
        <w:rPr>
          <w:rFonts w:ascii="Book Antiqua" w:hAnsi="Book Antiqua" w:cstheme="majorBidi"/>
        </w:rPr>
        <w:t>ed</w:t>
      </w:r>
      <w:r w:rsidRPr="007E5419">
        <w:rPr>
          <w:rFonts w:ascii="Book Antiqua" w:hAnsi="Book Antiqua" w:cstheme="majorBidi"/>
        </w:rPr>
        <w:t xml:space="preserve"> as the </w:t>
      </w:r>
      <w:r w:rsidR="006E2BA3" w:rsidRPr="007E5419">
        <w:rPr>
          <w:rFonts w:ascii="Book Antiqua" w:hAnsi="Book Antiqua" w:cstheme="majorBidi"/>
        </w:rPr>
        <w:t xml:space="preserve">national </w:t>
      </w:r>
      <w:r w:rsidRPr="007E5419">
        <w:rPr>
          <w:rFonts w:ascii="Book Antiqua" w:hAnsi="Book Antiqua" w:cstheme="majorBidi"/>
        </w:rPr>
        <w:t>law of</w:t>
      </w:r>
      <w:r w:rsidR="006E2BA3" w:rsidRPr="007E5419">
        <w:rPr>
          <w:rFonts w:ascii="Book Antiqua" w:hAnsi="Book Antiqua" w:cstheme="majorBidi"/>
        </w:rPr>
        <w:t xml:space="preserve"> Indonesia</w:t>
      </w:r>
      <w:r w:rsidRPr="007E5419">
        <w:rPr>
          <w:rFonts w:ascii="Book Antiqua" w:hAnsi="Book Antiqua" w:cstheme="majorBidi"/>
        </w:rPr>
        <w:t>.</w:t>
      </w:r>
    </w:p>
    <w:p w:rsidR="00D01F5C" w:rsidRPr="007E5419" w:rsidRDefault="00082F3E" w:rsidP="00C04792">
      <w:pPr>
        <w:pStyle w:val="BodyTextIndent"/>
        <w:ind w:firstLine="720"/>
        <w:rPr>
          <w:rFonts w:ascii="Book Antiqua" w:hAnsi="Book Antiqua" w:cstheme="majorBidi"/>
        </w:rPr>
      </w:pPr>
      <w:r w:rsidRPr="007E5419">
        <w:rPr>
          <w:rFonts w:ascii="Book Antiqua" w:hAnsi="Book Antiqua" w:cstheme="majorBidi"/>
        </w:rPr>
        <w:t xml:space="preserve">At the beginning of the New Order era Muslims who are the sociological </w:t>
      </w:r>
      <w:r w:rsidR="004C3D0B" w:rsidRPr="007E5419">
        <w:rPr>
          <w:rFonts w:ascii="Book Antiqua" w:hAnsi="Book Antiqua" w:cstheme="majorBidi"/>
        </w:rPr>
        <w:t xml:space="preserve">majority </w:t>
      </w:r>
      <w:r w:rsidRPr="007E5419">
        <w:rPr>
          <w:rFonts w:ascii="Book Antiqua" w:hAnsi="Book Antiqua" w:cstheme="majorBidi"/>
        </w:rPr>
        <w:t xml:space="preserve">but became politically </w:t>
      </w:r>
      <w:r w:rsidR="004C3D0B" w:rsidRPr="007E5419">
        <w:rPr>
          <w:rFonts w:ascii="Book Antiqua" w:hAnsi="Book Antiqua" w:cstheme="majorBidi"/>
        </w:rPr>
        <w:t xml:space="preserve">minority </w:t>
      </w:r>
      <w:r w:rsidRPr="007E5419">
        <w:rPr>
          <w:rFonts w:ascii="Book Antiqua" w:hAnsi="Book Antiqua" w:cstheme="majorBidi"/>
        </w:rPr>
        <w:t>even suffered oppression</w:t>
      </w:r>
      <w:r w:rsidR="004C3D0B" w:rsidRPr="007E5419">
        <w:rPr>
          <w:rFonts w:ascii="Book Antiqua" w:hAnsi="Book Antiqua" w:cstheme="majorBidi"/>
        </w:rPr>
        <w:t>.</w:t>
      </w:r>
      <w:r w:rsidRPr="007E5419">
        <w:rPr>
          <w:rStyle w:val="FootnoteReference"/>
          <w:rFonts w:ascii="Book Antiqua" w:hAnsi="Book Antiqua" w:cstheme="majorBidi"/>
        </w:rPr>
        <w:footnoteReference w:id="8"/>
      </w:r>
      <w:r w:rsidR="0072655D" w:rsidRPr="007E5419">
        <w:rPr>
          <w:rFonts w:ascii="Book Antiqua" w:hAnsi="Book Antiqua" w:cstheme="majorBidi"/>
        </w:rPr>
        <w:t xml:space="preserve"> </w:t>
      </w:r>
      <w:r w:rsidR="004C3D0B" w:rsidRPr="007E5419">
        <w:rPr>
          <w:rFonts w:ascii="Book Antiqua" w:hAnsi="Book Antiqua" w:cstheme="majorBidi"/>
        </w:rPr>
        <w:t>A</w:t>
      </w:r>
      <w:r w:rsidRPr="007E5419">
        <w:rPr>
          <w:rFonts w:ascii="Book Antiqua" w:hAnsi="Book Antiqua" w:cstheme="majorBidi"/>
        </w:rPr>
        <w:t xml:space="preserve">t the end of the New Order </w:t>
      </w:r>
      <w:r w:rsidR="004C3D0B" w:rsidRPr="007E5419">
        <w:rPr>
          <w:rFonts w:ascii="Book Antiqua" w:hAnsi="Book Antiqua" w:cstheme="majorBidi"/>
        </w:rPr>
        <w:t xml:space="preserve">had </w:t>
      </w:r>
      <w:r w:rsidRPr="007E5419">
        <w:rPr>
          <w:rFonts w:ascii="Book Antiqua" w:hAnsi="Book Antiqua" w:cstheme="majorBidi"/>
        </w:rPr>
        <w:t xml:space="preserve">occurred </w:t>
      </w:r>
      <w:r w:rsidR="004C3D0B" w:rsidRPr="007E5419">
        <w:rPr>
          <w:rFonts w:ascii="Book Antiqua" w:hAnsi="Book Antiqua" w:cstheme="majorBidi"/>
        </w:rPr>
        <w:t xml:space="preserve">a </w:t>
      </w:r>
      <w:r w:rsidRPr="007E5419">
        <w:rPr>
          <w:rFonts w:ascii="Book Antiqua" w:hAnsi="Book Antiqua" w:cstheme="majorBidi"/>
        </w:rPr>
        <w:t xml:space="preserve">harmony between the government (state) with the Muslims, so it appears some legal products that claimed to be the work of Muslims ( 'Islamic law in Indonesia'), </w:t>
      </w:r>
      <w:r w:rsidR="004C3D0B" w:rsidRPr="007E5419">
        <w:rPr>
          <w:rFonts w:ascii="Book Antiqua" w:hAnsi="Book Antiqua" w:cstheme="majorBidi"/>
        </w:rPr>
        <w:t xml:space="preserve">such </w:t>
      </w:r>
      <w:r w:rsidRPr="007E5419">
        <w:rPr>
          <w:rFonts w:ascii="Book Antiqua" w:hAnsi="Book Antiqua" w:cstheme="majorBidi"/>
        </w:rPr>
        <w:t xml:space="preserve">as Act 1 of 1989 </w:t>
      </w:r>
      <w:r w:rsidR="009A70FA" w:rsidRPr="007E5419">
        <w:rPr>
          <w:rFonts w:ascii="Book Antiqua" w:hAnsi="Book Antiqua" w:cstheme="majorBidi"/>
        </w:rPr>
        <w:t xml:space="preserve">on </w:t>
      </w:r>
      <w:r w:rsidRPr="007E5419">
        <w:rPr>
          <w:rFonts w:ascii="Book Antiqua" w:hAnsi="Book Antiqua" w:cstheme="majorBidi"/>
        </w:rPr>
        <w:t>Religious Courts</w:t>
      </w:r>
      <w:r w:rsidR="009A70FA" w:rsidRPr="007E5419">
        <w:rPr>
          <w:rFonts w:ascii="Book Antiqua" w:hAnsi="Book Antiqua" w:cstheme="majorBidi"/>
        </w:rPr>
        <w:t>,</w:t>
      </w:r>
      <w:r w:rsidRPr="007E5419">
        <w:rPr>
          <w:rFonts w:ascii="Book Antiqua" w:hAnsi="Book Antiqua" w:cstheme="majorBidi"/>
        </w:rPr>
        <w:t xml:space="preserve"> IMPRES No. 1</w:t>
      </w:r>
      <w:r w:rsidR="009A70FA" w:rsidRPr="007E5419">
        <w:rPr>
          <w:rFonts w:ascii="Book Antiqua" w:hAnsi="Book Antiqua" w:cstheme="majorBidi"/>
        </w:rPr>
        <w:t>,</w:t>
      </w:r>
      <w:r w:rsidRPr="007E5419">
        <w:rPr>
          <w:rFonts w:ascii="Book Antiqua" w:hAnsi="Book Antiqua" w:cstheme="majorBidi"/>
        </w:rPr>
        <w:t xml:space="preserve"> 1991 on Dissemination of Islamic Law Compilation (KHI)</w:t>
      </w:r>
      <w:r w:rsidR="009A70FA" w:rsidRPr="007E5419">
        <w:rPr>
          <w:rFonts w:ascii="Book Antiqua" w:hAnsi="Book Antiqua" w:cstheme="majorBidi"/>
        </w:rPr>
        <w:t>.</w:t>
      </w:r>
      <w:r w:rsidRPr="007E5419">
        <w:rPr>
          <w:rStyle w:val="FootnoteReference"/>
          <w:rFonts w:ascii="Book Antiqua" w:hAnsi="Book Antiqua" w:cstheme="majorBidi"/>
        </w:rPr>
        <w:footnoteReference w:id="9"/>
      </w:r>
      <w:r w:rsidRPr="007E5419">
        <w:rPr>
          <w:rFonts w:ascii="Book Antiqua" w:hAnsi="Book Antiqua" w:cstheme="majorBidi"/>
        </w:rPr>
        <w:t xml:space="preserve"> The harmony would also continue in the post-New Order era, especially </w:t>
      </w:r>
      <w:r w:rsidRPr="007E5419">
        <w:rPr>
          <w:rFonts w:ascii="Book Antiqua" w:hAnsi="Book Antiqua" w:cstheme="majorBidi"/>
        </w:rPr>
        <w:lastRenderedPageBreak/>
        <w:t>the era of transition, so many products of legislation that is a representation of Muslim aspirations, such as law No. 35 of 1999 on Zakat Management, and Law No. 17 of 1999 on the Implementation of Hajj.</w:t>
      </w:r>
      <w:r w:rsidRPr="007E5419">
        <w:rPr>
          <w:rStyle w:val="FootnoteReference"/>
          <w:rFonts w:ascii="Book Antiqua" w:hAnsi="Book Antiqua" w:cstheme="majorBidi"/>
        </w:rPr>
        <w:footnoteReference w:id="10"/>
      </w:r>
      <w:r w:rsidR="00CA530E" w:rsidRPr="007E5419">
        <w:rPr>
          <w:rFonts w:ascii="Book Antiqua" w:hAnsi="Book Antiqua" w:cstheme="majorBidi"/>
        </w:rPr>
        <w:t xml:space="preserve"> Moreover, t</w:t>
      </w:r>
      <w:r w:rsidR="007C6F1E" w:rsidRPr="007E5419">
        <w:rPr>
          <w:rFonts w:ascii="Book Antiqua" w:hAnsi="Book Antiqua" w:cstheme="majorBidi"/>
        </w:rPr>
        <w:t>his article discus</w:t>
      </w:r>
      <w:r w:rsidR="000A1AFB" w:rsidRPr="007E5419">
        <w:rPr>
          <w:rFonts w:ascii="Book Antiqua" w:hAnsi="Book Antiqua" w:cstheme="majorBidi"/>
        </w:rPr>
        <w:t>s</w:t>
      </w:r>
      <w:r w:rsidR="007C6F1E" w:rsidRPr="007E5419">
        <w:rPr>
          <w:rFonts w:ascii="Book Antiqua" w:hAnsi="Book Antiqua" w:cstheme="majorBidi"/>
        </w:rPr>
        <w:t>es about the history and prospect of Islamic law in Indonesia</w:t>
      </w:r>
      <w:r w:rsidR="000A1AFB" w:rsidRPr="007E5419">
        <w:rPr>
          <w:rFonts w:ascii="Book Antiqua" w:hAnsi="Book Antiqua" w:cstheme="majorBidi"/>
        </w:rPr>
        <w:t>.</w:t>
      </w:r>
    </w:p>
    <w:p w:rsidR="000A1AFB" w:rsidRPr="007E5419" w:rsidRDefault="000A1AFB" w:rsidP="00C04792">
      <w:pPr>
        <w:pStyle w:val="BodyTextIndent"/>
        <w:ind w:firstLine="720"/>
        <w:rPr>
          <w:rFonts w:ascii="Book Antiqua" w:hAnsi="Book Antiqua" w:cstheme="majorBidi"/>
        </w:rPr>
      </w:pPr>
    </w:p>
    <w:p w:rsidR="006F3B53" w:rsidRPr="007E5419" w:rsidRDefault="00CA530E" w:rsidP="00C04792">
      <w:pPr>
        <w:pStyle w:val="Heading1"/>
        <w:tabs>
          <w:tab w:val="num" w:pos="360"/>
        </w:tabs>
        <w:ind w:left="360" w:hanging="360"/>
        <w:rPr>
          <w:rFonts w:ascii="Book Antiqua" w:hAnsi="Book Antiqua" w:cstheme="majorBidi"/>
          <w:lang w:val="id-ID"/>
        </w:rPr>
      </w:pPr>
      <w:r w:rsidRPr="007E5419">
        <w:rPr>
          <w:rFonts w:ascii="Book Antiqua" w:hAnsi="Book Antiqua" w:cstheme="majorBidi"/>
        </w:rPr>
        <w:t xml:space="preserve">History of </w:t>
      </w:r>
      <w:r w:rsidR="00082F3E" w:rsidRPr="007E5419">
        <w:rPr>
          <w:rFonts w:ascii="Book Antiqua" w:hAnsi="Book Antiqua" w:cstheme="majorBidi"/>
        </w:rPr>
        <w:t xml:space="preserve">Islamic Law in the </w:t>
      </w:r>
      <w:r w:rsidRPr="007E5419">
        <w:rPr>
          <w:rFonts w:ascii="Book Antiqua" w:hAnsi="Book Antiqua" w:cstheme="majorBidi"/>
        </w:rPr>
        <w:t xml:space="preserve">Indonesian </w:t>
      </w:r>
      <w:r w:rsidR="00082F3E" w:rsidRPr="007E5419">
        <w:rPr>
          <w:rFonts w:ascii="Book Antiqua" w:hAnsi="Book Antiqua" w:cstheme="majorBidi"/>
        </w:rPr>
        <w:t xml:space="preserve">Legal System </w:t>
      </w:r>
    </w:p>
    <w:p w:rsidR="00082F3E" w:rsidRPr="007E5419" w:rsidRDefault="006F3B53" w:rsidP="00C04792">
      <w:pPr>
        <w:pStyle w:val="BodyTextIndent"/>
        <w:numPr>
          <w:ilvl w:val="0"/>
          <w:numId w:val="10"/>
        </w:numPr>
        <w:rPr>
          <w:rFonts w:ascii="Book Antiqua" w:hAnsi="Book Antiqua" w:cstheme="majorBidi"/>
          <w:b/>
          <w:bCs/>
        </w:rPr>
      </w:pPr>
      <w:r w:rsidRPr="007E5419">
        <w:rPr>
          <w:rFonts w:ascii="Book Antiqua" w:hAnsi="Book Antiqua" w:cstheme="majorBidi"/>
          <w:b/>
          <w:bCs/>
        </w:rPr>
        <w:t>In the Dutch East Indies Period</w:t>
      </w:r>
      <w:r w:rsidR="007F1500" w:rsidRPr="007E5419">
        <w:rPr>
          <w:rFonts w:ascii="Book Antiqua" w:hAnsi="Book Antiqua" w:cstheme="majorBidi"/>
          <w:b/>
          <w:bCs/>
        </w:rPr>
        <w:t xml:space="preserve"> until the New Order</w:t>
      </w:r>
      <w:r w:rsidR="005B4068" w:rsidRPr="007E5419">
        <w:rPr>
          <w:rFonts w:ascii="Book Antiqua" w:hAnsi="Book Antiqua" w:cstheme="majorBidi"/>
          <w:b/>
          <w:bCs/>
        </w:rPr>
        <w:t xml:space="preserve"> Indonesia</w:t>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Indonesia is a former Dutch colony</w:t>
      </w:r>
      <w:r w:rsidR="00CA530E" w:rsidRPr="007E5419">
        <w:rPr>
          <w:rFonts w:ascii="Book Antiqua" w:hAnsi="Book Antiqua" w:cstheme="majorBidi"/>
        </w:rPr>
        <w:t xml:space="preserve"> which was usullay called by Dutch East Indies</w:t>
      </w:r>
      <w:r w:rsidRPr="007E5419">
        <w:rPr>
          <w:rFonts w:ascii="Book Antiqua" w:hAnsi="Book Antiqua" w:cstheme="majorBidi"/>
        </w:rPr>
        <w:t>, has experienced a period of the ongoing process of introduction and the development of a foreign legal system into law indigenous society.</w:t>
      </w:r>
      <w:r w:rsidRPr="007E5419">
        <w:rPr>
          <w:rStyle w:val="FootnoteReference"/>
          <w:rFonts w:ascii="Book Antiqua" w:hAnsi="Book Antiqua" w:cstheme="majorBidi"/>
        </w:rPr>
        <w:footnoteReference w:id="11"/>
      </w:r>
      <w:r w:rsidR="00CA530E" w:rsidRPr="007E5419">
        <w:rPr>
          <w:rFonts w:ascii="Book Antiqua" w:hAnsi="Book Antiqua" w:cstheme="majorBidi"/>
        </w:rPr>
        <w:t xml:space="preserve"> </w:t>
      </w:r>
      <w:r w:rsidRPr="007E5419">
        <w:rPr>
          <w:rFonts w:ascii="Book Antiqua" w:hAnsi="Book Antiqua" w:cstheme="majorBidi"/>
        </w:rPr>
        <w:t xml:space="preserve">The development of law in Indonesia since the Dutch East Indies can be divided into three periods: first, the year 1840-1890 is a development that is strongly influenced by the policies of liberalism, which is trying to open wide opportunities for European intervention against the Dutch East Indies. The development of law in this period began with the realization of the policies of the new colonial with the beginning of the victory of the ideas of political liberalism in the Netherlands. Their victory led to the enactment of policies to manage governance colony, which at that time was known as the Dutch East Indies is Regeringsreglement. What is interesting in this period has been the transformation of the legal system of supra-system of a particular culture (Europe) to the supra-system of another culture (Indies) non-European and plural. </w:t>
      </w:r>
      <w:r w:rsidR="00CA530E" w:rsidRPr="007E5419">
        <w:rPr>
          <w:rFonts w:ascii="Book Antiqua" w:hAnsi="Book Antiqua" w:cstheme="majorBidi"/>
        </w:rPr>
        <w:t xml:space="preserve">The </w:t>
      </w:r>
      <w:r w:rsidRPr="007E5419">
        <w:rPr>
          <w:rFonts w:ascii="Book Antiqua" w:hAnsi="Book Antiqua" w:cstheme="majorBidi"/>
        </w:rPr>
        <w:t>liberals who embrace universalism,</w:t>
      </w:r>
      <w:r w:rsidRPr="007E5419">
        <w:rPr>
          <w:rStyle w:val="FootnoteReference"/>
          <w:rFonts w:ascii="Book Antiqua" w:hAnsi="Book Antiqua" w:cstheme="majorBidi"/>
        </w:rPr>
        <w:footnoteReference w:id="12"/>
      </w:r>
      <w:r w:rsidR="001519B8" w:rsidRPr="007E5419">
        <w:rPr>
          <w:rFonts w:ascii="Book Antiqua" w:hAnsi="Book Antiqua" w:cstheme="majorBidi"/>
        </w:rPr>
        <w:t xml:space="preserve"> </w:t>
      </w:r>
      <w:r w:rsidRPr="007E5419">
        <w:rPr>
          <w:rFonts w:ascii="Book Antiqua" w:hAnsi="Book Antiqua" w:cstheme="majorBidi"/>
        </w:rPr>
        <w:t xml:space="preserve">consequent in an attempt to </w:t>
      </w:r>
      <w:r w:rsidRPr="007E5419">
        <w:rPr>
          <w:rFonts w:ascii="Book Antiqua" w:hAnsi="Book Antiqua" w:cstheme="majorBidi"/>
        </w:rPr>
        <w:lastRenderedPageBreak/>
        <w:t>realize the ideas that exist in Europe to non-European, regardless of the culture of the colonial area. They want to transfer the whole of European law to the colonies (including the Dutch East Indies). It is called unification.</w:t>
      </w:r>
      <w:r w:rsidRPr="007E5419">
        <w:rPr>
          <w:rStyle w:val="FootnoteReference"/>
          <w:rFonts w:ascii="Book Antiqua" w:hAnsi="Book Antiqua" w:cstheme="majorBidi"/>
        </w:rPr>
        <w:footnoteReference w:id="13"/>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 xml:space="preserve">Liberals make efforts to </w:t>
      </w:r>
      <w:r w:rsidR="001519B8" w:rsidRPr="007E5419">
        <w:rPr>
          <w:rFonts w:ascii="Book Antiqua" w:hAnsi="Book Antiqua" w:cstheme="majorBidi"/>
        </w:rPr>
        <w:t xml:space="preserve">collect the </w:t>
      </w:r>
      <w:r w:rsidRPr="007E5419">
        <w:rPr>
          <w:rFonts w:ascii="Book Antiqua" w:hAnsi="Book Antiqua" w:cstheme="majorBidi"/>
        </w:rPr>
        <w:t>laws material into a book</w:t>
      </w:r>
      <w:r w:rsidR="001519B8" w:rsidRPr="007E5419">
        <w:rPr>
          <w:rFonts w:ascii="Book Antiqua" w:hAnsi="Book Antiqua" w:cstheme="majorBidi"/>
        </w:rPr>
        <w:t xml:space="preserve"> of the law, who are called by codific</w:t>
      </w:r>
      <w:r w:rsidRPr="007E5419">
        <w:rPr>
          <w:rFonts w:ascii="Book Antiqua" w:hAnsi="Book Antiqua" w:cstheme="majorBidi"/>
        </w:rPr>
        <w:t>a</w:t>
      </w:r>
      <w:r w:rsidR="001519B8" w:rsidRPr="007E5419">
        <w:rPr>
          <w:rFonts w:ascii="Book Antiqua" w:hAnsi="Book Antiqua" w:cstheme="majorBidi"/>
        </w:rPr>
        <w:t>tion (code)</w:t>
      </w:r>
      <w:r w:rsidRPr="007E5419">
        <w:rPr>
          <w:rFonts w:ascii="Book Antiqua" w:hAnsi="Book Antiqua" w:cstheme="majorBidi"/>
        </w:rPr>
        <w:t xml:space="preserve">-- and restructure the judicial procedure. </w:t>
      </w:r>
      <w:r w:rsidR="001519B8" w:rsidRPr="007E5419">
        <w:rPr>
          <w:rFonts w:ascii="Book Antiqua" w:hAnsi="Book Antiqua" w:cstheme="majorBidi"/>
        </w:rPr>
        <w:t>The e</w:t>
      </w:r>
      <w:r w:rsidRPr="007E5419">
        <w:rPr>
          <w:rFonts w:ascii="Book Antiqua" w:hAnsi="Book Antiqua" w:cstheme="majorBidi"/>
        </w:rPr>
        <w:t>fforts</w:t>
      </w:r>
      <w:r w:rsidR="001519B8" w:rsidRPr="007E5419">
        <w:rPr>
          <w:rFonts w:ascii="Book Antiqua" w:hAnsi="Book Antiqua" w:cstheme="majorBidi"/>
        </w:rPr>
        <w:t xml:space="preserve"> for</w:t>
      </w:r>
      <w:r w:rsidRPr="007E5419">
        <w:rPr>
          <w:rFonts w:ascii="Book Antiqua" w:hAnsi="Book Antiqua" w:cstheme="majorBidi"/>
        </w:rPr>
        <w:t xml:space="preserve"> unification and codification in the Dutch East Indies, only succeeded in criminal law which was enacted in 1915 (732 in 1915 Stbl jo Gazette, 1917 No. 497, and 645) and is valid from the date of 1918. While the unification of civil law for all population groups Indies </w:t>
      </w:r>
      <w:r w:rsidR="001519B8" w:rsidRPr="007E5419">
        <w:rPr>
          <w:rFonts w:ascii="Book Antiqua" w:hAnsi="Book Antiqua" w:cstheme="majorBidi"/>
        </w:rPr>
        <w:t>was failure. It wa</w:t>
      </w:r>
      <w:r w:rsidRPr="007E5419">
        <w:rPr>
          <w:rFonts w:ascii="Book Antiqua" w:hAnsi="Book Antiqua" w:cstheme="majorBidi"/>
        </w:rPr>
        <w:t>s related to the emergence of ethnography flow-legal and ethical political exclusion (in the next period).</w:t>
      </w:r>
      <w:r w:rsidRPr="007E5419">
        <w:rPr>
          <w:rStyle w:val="FootnoteReference"/>
          <w:rFonts w:ascii="Book Antiqua" w:hAnsi="Book Antiqua" w:cstheme="majorBidi"/>
        </w:rPr>
        <w:footnoteReference w:id="14"/>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 xml:space="preserve">The second period of 1890-1940 began with the appearance of ethical political ideas </w:t>
      </w:r>
      <w:r w:rsidR="001519B8" w:rsidRPr="007E5419">
        <w:rPr>
          <w:rFonts w:ascii="Book Antiqua" w:hAnsi="Book Antiqua" w:cstheme="majorBidi"/>
        </w:rPr>
        <w:t xml:space="preserve">and its </w:t>
      </w:r>
      <w:r w:rsidRPr="007E5419">
        <w:rPr>
          <w:rFonts w:ascii="Book Antiqua" w:hAnsi="Book Antiqua" w:cstheme="majorBidi"/>
        </w:rPr>
        <w:t>realiasa</w:t>
      </w:r>
      <w:r w:rsidR="001519B8" w:rsidRPr="007E5419">
        <w:rPr>
          <w:rFonts w:ascii="Book Antiqua" w:hAnsi="Book Antiqua" w:cstheme="majorBidi"/>
        </w:rPr>
        <w:t>tion. It</w:t>
      </w:r>
      <w:r w:rsidRPr="007E5419">
        <w:rPr>
          <w:rFonts w:ascii="Book Antiqua" w:hAnsi="Book Antiqua" w:cstheme="majorBidi"/>
        </w:rPr>
        <w:t xml:space="preserve"> increasingly respect</w:t>
      </w:r>
      <w:r w:rsidR="001519B8" w:rsidRPr="007E5419">
        <w:rPr>
          <w:rFonts w:ascii="Book Antiqua" w:hAnsi="Book Antiqua" w:cstheme="majorBidi"/>
        </w:rPr>
        <w:t>ed</w:t>
      </w:r>
      <w:r w:rsidRPr="007E5419">
        <w:rPr>
          <w:rFonts w:ascii="Book Antiqua" w:hAnsi="Book Antiqua" w:cstheme="majorBidi"/>
        </w:rPr>
        <w:t xml:space="preserve"> the rights of indigenous cultural. They argued that the law policy wherever possible to consider the existence of religious rules and customs agencies adopted indigenous communities, in applying European law in the Indies.</w:t>
      </w:r>
      <w:r w:rsidRPr="007E5419">
        <w:rPr>
          <w:rStyle w:val="FootnoteReference"/>
          <w:rFonts w:ascii="Book Antiqua" w:hAnsi="Book Antiqua" w:cstheme="majorBidi"/>
        </w:rPr>
        <w:footnoteReference w:id="15"/>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The pol</w:t>
      </w:r>
      <w:r w:rsidR="001519B8" w:rsidRPr="007E5419">
        <w:rPr>
          <w:rFonts w:ascii="Book Antiqua" w:hAnsi="Book Antiqua" w:cstheme="majorBidi"/>
        </w:rPr>
        <w:t>icy does not mean that the idea</w:t>
      </w:r>
      <w:r w:rsidRPr="007E5419">
        <w:rPr>
          <w:rFonts w:ascii="Book Antiqua" w:hAnsi="Book Antiqua" w:cstheme="majorBidi"/>
        </w:rPr>
        <w:t xml:space="preserve"> of law unification </w:t>
      </w:r>
      <w:r w:rsidR="001519B8" w:rsidRPr="007E5419">
        <w:rPr>
          <w:rFonts w:ascii="Book Antiqua" w:hAnsi="Book Antiqua" w:cstheme="majorBidi"/>
        </w:rPr>
        <w:t xml:space="preserve">for all </w:t>
      </w:r>
      <w:r w:rsidRPr="007E5419">
        <w:rPr>
          <w:rFonts w:ascii="Book Antiqua" w:hAnsi="Book Antiqua" w:cstheme="majorBidi"/>
        </w:rPr>
        <w:t xml:space="preserve">people </w:t>
      </w:r>
      <w:r w:rsidR="001519B8" w:rsidRPr="007E5419">
        <w:rPr>
          <w:rFonts w:ascii="Book Antiqua" w:hAnsi="Book Antiqua" w:cstheme="majorBidi"/>
        </w:rPr>
        <w:t>of Indies wa</w:t>
      </w:r>
      <w:r w:rsidRPr="007E5419">
        <w:rPr>
          <w:rFonts w:ascii="Book Antiqua" w:hAnsi="Book Antiqua" w:cstheme="majorBidi"/>
        </w:rPr>
        <w:t xml:space="preserve">s </w:t>
      </w:r>
      <w:r w:rsidR="001519B8" w:rsidRPr="007E5419">
        <w:rPr>
          <w:rFonts w:ascii="Book Antiqua" w:hAnsi="Book Antiqua" w:cstheme="majorBidi"/>
        </w:rPr>
        <w:t xml:space="preserve">not forgotten </w:t>
      </w:r>
      <w:r w:rsidRPr="007E5419">
        <w:rPr>
          <w:rFonts w:ascii="Book Antiqua" w:hAnsi="Book Antiqua" w:cstheme="majorBidi"/>
        </w:rPr>
        <w:t xml:space="preserve">by the Dutch government. In 1904 the government wanted to realize the unification of civil law for the whole class of people of the Indies by European law except family law, inheritance, land, endowments and the village government. But these efforts can be thwarted thanks to the services </w:t>
      </w:r>
      <w:r w:rsidRPr="007E5419">
        <w:rPr>
          <w:rFonts w:ascii="Book Antiqua" w:hAnsi="Book Antiqua" w:cstheme="majorBidi"/>
        </w:rPr>
        <w:lastRenderedPageBreak/>
        <w:t>of a legal ethnography Cornelis Van Vollenhoven</w:t>
      </w:r>
      <w:r w:rsidRPr="007E5419">
        <w:rPr>
          <w:rStyle w:val="FootnoteReference"/>
          <w:rFonts w:ascii="Book Antiqua" w:hAnsi="Book Antiqua" w:cstheme="majorBidi"/>
        </w:rPr>
        <w:footnoteReference w:id="16"/>
      </w:r>
      <w:r w:rsidR="001519B8" w:rsidRPr="007E5419">
        <w:rPr>
          <w:rFonts w:ascii="Book Antiqua" w:hAnsi="Book Antiqua" w:cstheme="majorBidi"/>
        </w:rPr>
        <w:t xml:space="preserve"> </w:t>
      </w:r>
      <w:r w:rsidRPr="007E5419">
        <w:rPr>
          <w:rFonts w:ascii="Book Antiqua" w:hAnsi="Book Antiqua" w:cstheme="majorBidi"/>
        </w:rPr>
        <w:t>objecting to policies that ignore the law of the majority indigenous people domiciled. Period based on the ethical policy also gives opportunities for the native son to get an education and welfare, especially the elite.</w:t>
      </w:r>
      <w:r w:rsidRPr="007E5419">
        <w:rPr>
          <w:rStyle w:val="FootnoteReference"/>
          <w:rFonts w:ascii="Book Antiqua" w:hAnsi="Book Antiqua" w:cstheme="majorBidi"/>
        </w:rPr>
        <w:footnoteReference w:id="17"/>
      </w:r>
      <w:r w:rsidRPr="007E5419">
        <w:rPr>
          <w:rFonts w:ascii="Book Antiqua" w:hAnsi="Book Antiqua" w:cstheme="majorBidi"/>
        </w:rPr>
        <w:t xml:space="preserve"> This </w:t>
      </w:r>
      <w:r w:rsidR="001519B8" w:rsidRPr="007E5419">
        <w:rPr>
          <w:rFonts w:ascii="Book Antiqua" w:hAnsi="Book Antiqua" w:cstheme="majorBidi"/>
        </w:rPr>
        <w:t>policy had affected</w:t>
      </w:r>
      <w:r w:rsidRPr="007E5419">
        <w:rPr>
          <w:rFonts w:ascii="Book Antiqua" w:hAnsi="Book Antiqua" w:cstheme="majorBidi"/>
        </w:rPr>
        <w:t xml:space="preserve"> the development of the next period.</w:t>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 xml:space="preserve">Three-year period 1940-1950 was the post-colonial period that begins with the history of collapse and disintegration of colonial rule ensued decolonization. At first the national leaders want to develop the law by trying to escape and the thought of the influence of the colonial legal system, but it turns out it is not easy. The belief that the </w:t>
      </w:r>
      <w:r w:rsidR="00786EFF" w:rsidRPr="007E5419">
        <w:rPr>
          <w:rFonts w:ascii="Book Antiqua" w:hAnsi="Book Antiqua" w:cstheme="majorBidi"/>
        </w:rPr>
        <w:t xml:space="preserve">law </w:t>
      </w:r>
      <w:r w:rsidRPr="007E5419">
        <w:rPr>
          <w:rFonts w:ascii="Book Antiqua" w:hAnsi="Book Antiqua" w:cstheme="majorBidi"/>
        </w:rPr>
        <w:t xml:space="preserve">substance of the colonized peoples will be raised and fully developed </w:t>
      </w:r>
      <w:r w:rsidR="00786EFF" w:rsidRPr="007E5419">
        <w:rPr>
          <w:rFonts w:ascii="Book Antiqua" w:hAnsi="Book Antiqua" w:cstheme="majorBidi"/>
        </w:rPr>
        <w:t>into a national legal substance</w:t>
      </w:r>
      <w:r w:rsidRPr="007E5419">
        <w:rPr>
          <w:rFonts w:ascii="Book Antiqua" w:hAnsi="Book Antiqua" w:cstheme="majorBidi"/>
        </w:rPr>
        <w:t xml:space="preserve"> </w:t>
      </w:r>
      <w:r w:rsidR="00786EFF" w:rsidRPr="007E5419">
        <w:rPr>
          <w:rFonts w:ascii="Book Antiqua" w:hAnsi="Book Antiqua" w:cstheme="majorBidi"/>
        </w:rPr>
        <w:t xml:space="preserve">was </w:t>
      </w:r>
      <w:r w:rsidRPr="007E5419">
        <w:rPr>
          <w:rFonts w:ascii="Book Antiqua" w:hAnsi="Book Antiqua" w:cstheme="majorBidi"/>
        </w:rPr>
        <w:t xml:space="preserve">apparently </w:t>
      </w:r>
      <w:r w:rsidR="00786EFF" w:rsidRPr="007E5419">
        <w:rPr>
          <w:rFonts w:ascii="Book Antiqua" w:hAnsi="Book Antiqua" w:cstheme="majorBidi"/>
        </w:rPr>
        <w:t>difficult</w:t>
      </w:r>
      <w:r w:rsidRPr="007E5419">
        <w:rPr>
          <w:rFonts w:ascii="Book Antiqua" w:hAnsi="Book Antiqua" w:cstheme="majorBidi"/>
        </w:rPr>
        <w:t xml:space="preserve">. This is due to the diversity of the people that the laws are generally not explicitly formulated. </w:t>
      </w:r>
      <w:r w:rsidR="00786EFF" w:rsidRPr="007E5419">
        <w:rPr>
          <w:rFonts w:ascii="Book Antiqua" w:hAnsi="Book Antiqua" w:cstheme="majorBidi"/>
        </w:rPr>
        <w:t>T</w:t>
      </w:r>
      <w:r w:rsidRPr="007E5419">
        <w:rPr>
          <w:rFonts w:ascii="Book Antiqua" w:hAnsi="Book Antiqua" w:cstheme="majorBidi"/>
        </w:rPr>
        <w:t>he law of colonial legacy has been created entirely</w:t>
      </w:r>
      <w:r w:rsidR="00786EFF" w:rsidRPr="007E5419">
        <w:rPr>
          <w:rFonts w:ascii="Book Antiqua" w:hAnsi="Book Antiqua" w:cstheme="majorBidi"/>
        </w:rPr>
        <w:t>,</w:t>
      </w:r>
      <w:r w:rsidRPr="007E5419">
        <w:rPr>
          <w:rFonts w:ascii="Book Antiqua" w:hAnsi="Book Antiqua" w:cstheme="majorBidi"/>
        </w:rPr>
        <w:t xml:space="preserve"> so it is not easy to change.</w:t>
      </w:r>
      <w:r w:rsidRPr="007E5419">
        <w:rPr>
          <w:rStyle w:val="FootnoteReference"/>
          <w:rFonts w:ascii="Book Antiqua" w:hAnsi="Book Antiqua" w:cstheme="majorBidi"/>
        </w:rPr>
        <w:footnoteReference w:id="18"/>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 xml:space="preserve">The national leaders </w:t>
      </w:r>
      <w:r w:rsidR="00786EFF" w:rsidRPr="007E5419">
        <w:rPr>
          <w:rFonts w:ascii="Book Antiqua" w:hAnsi="Book Antiqua" w:cstheme="majorBidi"/>
        </w:rPr>
        <w:t>we</w:t>
      </w:r>
      <w:r w:rsidRPr="007E5419">
        <w:rPr>
          <w:rFonts w:ascii="Book Antiqua" w:hAnsi="Book Antiqua" w:cstheme="majorBidi"/>
        </w:rPr>
        <w:t xml:space="preserve">re also trapped in the state government that adheres to the principle of nationality and unity, then finally they also believe that centralism has a positive function as unifying the nation. Therefore, the Indonesian national law this period also faced with the classic problem of between unification </w:t>
      </w:r>
      <w:r w:rsidR="00786EFF" w:rsidRPr="007E5419">
        <w:rPr>
          <w:rFonts w:ascii="Book Antiqua" w:hAnsi="Book Antiqua" w:cstheme="majorBidi"/>
        </w:rPr>
        <w:t>and</w:t>
      </w:r>
      <w:r w:rsidRPr="007E5419">
        <w:rPr>
          <w:rFonts w:ascii="Book Antiqua" w:hAnsi="Book Antiqua" w:cstheme="majorBidi"/>
        </w:rPr>
        <w:t xml:space="preserve"> pluralism.</w:t>
      </w:r>
      <w:r w:rsidRPr="007E5419">
        <w:rPr>
          <w:rStyle w:val="FootnoteReference"/>
          <w:rFonts w:ascii="Book Antiqua" w:hAnsi="Book Antiqua" w:cstheme="majorBidi"/>
        </w:rPr>
        <w:footnoteReference w:id="19"/>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Political and cultural</w:t>
      </w:r>
      <w:r w:rsidR="00786EFF" w:rsidRPr="007E5419">
        <w:rPr>
          <w:rFonts w:ascii="Book Antiqua" w:hAnsi="Book Antiqua" w:cstheme="majorBidi"/>
        </w:rPr>
        <w:t xml:space="preserve"> globalization of the economy </w:t>
      </w:r>
      <w:r w:rsidRPr="007E5419">
        <w:rPr>
          <w:rFonts w:ascii="Book Antiqua" w:hAnsi="Book Antiqua" w:cstheme="majorBidi"/>
        </w:rPr>
        <w:t>which pa</w:t>
      </w:r>
      <w:r w:rsidR="00786EFF" w:rsidRPr="007E5419">
        <w:rPr>
          <w:rFonts w:ascii="Book Antiqua" w:hAnsi="Book Antiqua" w:cstheme="majorBidi"/>
        </w:rPr>
        <w:t>tterned on Western civilization</w:t>
      </w:r>
      <w:r w:rsidRPr="007E5419">
        <w:rPr>
          <w:rFonts w:ascii="Book Antiqua" w:hAnsi="Book Antiqua" w:cstheme="majorBidi"/>
        </w:rPr>
        <w:t xml:space="preserve"> increasingly complicated efforts to transform the local law </w:t>
      </w:r>
      <w:r w:rsidR="00786EFF" w:rsidRPr="007E5419">
        <w:rPr>
          <w:rFonts w:ascii="Book Antiqua" w:hAnsi="Book Antiqua" w:cstheme="majorBidi"/>
        </w:rPr>
        <w:t>(</w:t>
      </w:r>
      <w:r w:rsidR="00786EFF" w:rsidRPr="007E5419">
        <w:rPr>
          <w:rFonts w:ascii="Book Antiqua" w:hAnsi="Book Antiqua" w:cstheme="majorBidi"/>
          <w:i/>
          <w:iCs/>
        </w:rPr>
        <w:t>adat</w:t>
      </w:r>
      <w:r w:rsidR="00786EFF" w:rsidRPr="007E5419">
        <w:rPr>
          <w:rFonts w:ascii="Book Antiqua" w:hAnsi="Book Antiqua" w:cstheme="majorBidi"/>
        </w:rPr>
        <w:t xml:space="preserve">) </w:t>
      </w:r>
      <w:r w:rsidRPr="007E5419">
        <w:rPr>
          <w:rFonts w:ascii="Book Antiqua" w:hAnsi="Book Antiqua" w:cstheme="majorBidi"/>
        </w:rPr>
        <w:t xml:space="preserve">for national interest. </w:t>
      </w:r>
      <w:r w:rsidR="004063CD" w:rsidRPr="007E5419">
        <w:rPr>
          <w:rFonts w:ascii="Book Antiqua" w:hAnsi="Book Antiqua" w:cstheme="majorBidi"/>
        </w:rPr>
        <w:t>L</w:t>
      </w:r>
      <w:r w:rsidRPr="007E5419">
        <w:rPr>
          <w:rFonts w:ascii="Book Antiqua" w:hAnsi="Book Antiqua" w:cstheme="majorBidi"/>
        </w:rPr>
        <w:t xml:space="preserve">egal development in Indonesia </w:t>
      </w:r>
      <w:r w:rsidR="004063CD" w:rsidRPr="007E5419">
        <w:rPr>
          <w:rFonts w:ascii="Book Antiqua" w:hAnsi="Book Antiqua" w:cstheme="majorBidi"/>
        </w:rPr>
        <w:t xml:space="preserve">had difficulties to </w:t>
      </w:r>
      <w:r w:rsidRPr="007E5419">
        <w:rPr>
          <w:rFonts w:ascii="Book Antiqua" w:hAnsi="Book Antiqua" w:cstheme="majorBidi"/>
        </w:rPr>
        <w:t xml:space="preserve">make </w:t>
      </w:r>
      <w:r w:rsidR="004063CD" w:rsidRPr="007E5419">
        <w:rPr>
          <w:rFonts w:ascii="Book Antiqua" w:hAnsi="Book Antiqua" w:cstheme="majorBidi"/>
          <w:i/>
          <w:iCs/>
        </w:rPr>
        <w:t>adat</w:t>
      </w:r>
      <w:r w:rsidR="004063CD" w:rsidRPr="007E5419">
        <w:rPr>
          <w:rFonts w:ascii="Book Antiqua" w:hAnsi="Book Antiqua" w:cstheme="majorBidi"/>
        </w:rPr>
        <w:t xml:space="preserve"> </w:t>
      </w:r>
      <w:r w:rsidRPr="007E5419">
        <w:rPr>
          <w:rFonts w:ascii="Book Antiqua" w:hAnsi="Book Antiqua" w:cstheme="majorBidi"/>
        </w:rPr>
        <w:t>law</w:t>
      </w:r>
      <w:r w:rsidR="004063CD" w:rsidRPr="007E5419">
        <w:rPr>
          <w:rFonts w:ascii="Book Antiqua" w:hAnsi="Book Antiqua" w:cstheme="majorBidi"/>
        </w:rPr>
        <w:t xml:space="preserve"> as national law</w:t>
      </w:r>
      <w:r w:rsidRPr="007E5419">
        <w:rPr>
          <w:rFonts w:ascii="Book Antiqua" w:hAnsi="Book Antiqua" w:cstheme="majorBidi"/>
        </w:rPr>
        <w:t xml:space="preserve">, because the law should be upheld as a symbol of </w:t>
      </w:r>
      <w:r w:rsidRPr="007E5419">
        <w:rPr>
          <w:rFonts w:ascii="Book Antiqua" w:hAnsi="Book Antiqua" w:cstheme="majorBidi"/>
        </w:rPr>
        <w:lastRenderedPageBreak/>
        <w:t>cultural forces indigenous people, and on the other hand the West with globalization urgently and want to replace the legal system is deemed to be superior and modern</w:t>
      </w:r>
      <w:r w:rsidR="004063CD" w:rsidRPr="007E5419">
        <w:rPr>
          <w:rFonts w:ascii="Book Antiqua" w:hAnsi="Book Antiqua" w:cstheme="majorBidi"/>
        </w:rPr>
        <w:t>.</w:t>
      </w:r>
      <w:r w:rsidRPr="007E5419">
        <w:rPr>
          <w:rStyle w:val="FootnoteReference"/>
          <w:rFonts w:ascii="Book Antiqua" w:hAnsi="Book Antiqua" w:cstheme="majorBidi"/>
        </w:rPr>
        <w:footnoteReference w:id="20"/>
      </w:r>
      <w:r w:rsidRPr="007E5419">
        <w:rPr>
          <w:rFonts w:ascii="Book Antiqua" w:hAnsi="Book Antiqua" w:cstheme="majorBidi"/>
        </w:rPr>
        <w:t xml:space="preserve"> The situation is much more difficult for Indonesian leaders to release from the domination of Western legal ideas.</w:t>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 xml:space="preserve">Attempts to hold the unification always fail, so that the Indonesian people </w:t>
      </w:r>
      <w:r w:rsidR="002100EB" w:rsidRPr="007E5419">
        <w:rPr>
          <w:rFonts w:ascii="Book Antiqua" w:hAnsi="Book Antiqua" w:cstheme="majorBidi"/>
        </w:rPr>
        <w:t xml:space="preserve">must </w:t>
      </w:r>
      <w:r w:rsidRPr="007E5419">
        <w:rPr>
          <w:rFonts w:ascii="Book Antiqua" w:hAnsi="Book Antiqua" w:cstheme="majorBidi"/>
        </w:rPr>
        <w:t xml:space="preserve">be satisfied with the law of the colonial legacy has diunifikasikan form of the Criminal Code. While civil law </w:t>
      </w:r>
      <w:r w:rsidR="002100EB" w:rsidRPr="007E5419">
        <w:rPr>
          <w:rFonts w:ascii="Book Antiqua" w:hAnsi="Book Antiqua" w:cstheme="majorBidi"/>
        </w:rPr>
        <w:t>–exception the</w:t>
      </w:r>
      <w:r w:rsidRPr="007E5419">
        <w:rPr>
          <w:rFonts w:ascii="Book Antiqua" w:hAnsi="Book Antiqua" w:cstheme="majorBidi"/>
        </w:rPr>
        <w:t xml:space="preserve"> areas of family law, inheritance, </w:t>
      </w:r>
      <w:r w:rsidR="002100EB" w:rsidRPr="007E5419">
        <w:rPr>
          <w:rFonts w:ascii="Book Antiqua" w:hAnsi="Book Antiqua" w:cstheme="majorBidi"/>
        </w:rPr>
        <w:t xml:space="preserve">and </w:t>
      </w:r>
      <w:r w:rsidR="002100EB" w:rsidRPr="007E5419">
        <w:rPr>
          <w:rFonts w:ascii="Book Antiqua" w:hAnsi="Book Antiqua" w:cstheme="majorBidi"/>
          <w:i/>
          <w:iCs/>
        </w:rPr>
        <w:t>waqf</w:t>
      </w:r>
      <w:r w:rsidRPr="007E5419">
        <w:rPr>
          <w:rFonts w:ascii="Book Antiqua" w:hAnsi="Book Antiqua" w:cstheme="majorBidi"/>
        </w:rPr>
        <w:t>-</w:t>
      </w:r>
      <w:r w:rsidR="002100EB" w:rsidRPr="007E5419">
        <w:rPr>
          <w:rFonts w:ascii="Book Antiqua" w:hAnsi="Book Antiqua" w:cstheme="majorBidi"/>
        </w:rPr>
        <w:t xml:space="preserve"> </w:t>
      </w:r>
      <w:r w:rsidRPr="007E5419">
        <w:rPr>
          <w:rFonts w:ascii="Book Antiqua" w:hAnsi="Book Antiqua" w:cstheme="majorBidi"/>
        </w:rPr>
        <w:t>imposed is Burgrerlijk Wetsbook,</w:t>
      </w:r>
      <w:r w:rsidRPr="007E5419">
        <w:rPr>
          <w:rStyle w:val="FootnoteReference"/>
          <w:rFonts w:ascii="Book Antiqua" w:hAnsi="Book Antiqua" w:cstheme="majorBidi"/>
          <w:i/>
          <w:iCs/>
        </w:rPr>
        <w:footnoteReference w:id="21"/>
      </w:r>
      <w:r w:rsidRPr="007E5419">
        <w:rPr>
          <w:rFonts w:ascii="Book Antiqua" w:hAnsi="Book Antiqua" w:cstheme="majorBidi"/>
        </w:rPr>
        <w:t xml:space="preserve"> whereas the exclusion of jurisdiction was returned to customary law.</w:t>
      </w:r>
      <w:r w:rsidRPr="007E5419">
        <w:rPr>
          <w:rStyle w:val="FootnoteReference"/>
          <w:rFonts w:ascii="Book Antiqua" w:hAnsi="Book Antiqua" w:cstheme="majorBidi"/>
        </w:rPr>
        <w:footnoteReference w:id="22"/>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In addition to tradit</w:t>
      </w:r>
      <w:r w:rsidR="002100EB" w:rsidRPr="007E5419">
        <w:rPr>
          <w:rFonts w:ascii="Book Antiqua" w:hAnsi="Book Antiqua" w:cstheme="majorBidi"/>
        </w:rPr>
        <w:t>ional law in Indonesia there is</w:t>
      </w:r>
      <w:r w:rsidRPr="007E5419">
        <w:rPr>
          <w:rFonts w:ascii="Book Antiqua" w:hAnsi="Book Antiqua" w:cstheme="majorBidi"/>
        </w:rPr>
        <w:t xml:space="preserve"> also religious law mainly Islamic law in some areas.</w:t>
      </w:r>
      <w:r w:rsidRPr="007E5419">
        <w:rPr>
          <w:rStyle w:val="FootnoteReference"/>
          <w:rFonts w:ascii="Book Antiqua" w:hAnsi="Book Antiqua" w:cstheme="majorBidi"/>
        </w:rPr>
        <w:footnoteReference w:id="23"/>
      </w:r>
      <w:r w:rsidRPr="007E5419">
        <w:rPr>
          <w:rFonts w:ascii="Book Antiqua" w:hAnsi="Book Antiqua" w:cstheme="majorBidi"/>
        </w:rPr>
        <w:t xml:space="preserve"> Islamic law is the law of religion professed by the majority of Indonesia's population, so traditional law -especially </w:t>
      </w:r>
      <w:r w:rsidRPr="007E5419">
        <w:rPr>
          <w:rFonts w:ascii="Book Antiqua" w:hAnsi="Book Antiqua" w:cstheme="majorBidi"/>
          <w:i/>
          <w:iCs/>
        </w:rPr>
        <w:t>Bumi Putera</w:t>
      </w:r>
      <w:r w:rsidRPr="007E5419">
        <w:rPr>
          <w:rFonts w:ascii="Book Antiqua" w:hAnsi="Book Antiqua" w:cstheme="majorBidi"/>
        </w:rPr>
        <w:t xml:space="preserve"> Muslim-</w:t>
      </w:r>
      <w:r w:rsidR="002100EB" w:rsidRPr="007E5419">
        <w:rPr>
          <w:rFonts w:ascii="Book Antiqua" w:hAnsi="Book Antiqua" w:cstheme="majorBidi"/>
        </w:rPr>
        <w:t xml:space="preserve"> is </w:t>
      </w:r>
      <w:r w:rsidRPr="007E5419">
        <w:rPr>
          <w:rFonts w:ascii="Book Antiqua" w:hAnsi="Book Antiqua" w:cstheme="majorBidi"/>
        </w:rPr>
        <w:t>modified with Islamic law.</w:t>
      </w:r>
      <w:r w:rsidRPr="007E5419">
        <w:rPr>
          <w:rStyle w:val="FootnoteReference"/>
          <w:rFonts w:ascii="Book Antiqua" w:hAnsi="Book Antiqua" w:cstheme="majorBidi"/>
        </w:rPr>
        <w:footnoteReference w:id="24"/>
      </w:r>
      <w:r w:rsidRPr="007E5419">
        <w:rPr>
          <w:rFonts w:ascii="Book Antiqua" w:hAnsi="Book Antiqua" w:cstheme="majorBidi"/>
        </w:rPr>
        <w:t xml:space="preserve"> </w:t>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lastRenderedPageBreak/>
        <w:t>The existence of Islamic law has been governed since 1882 by regulation of the religious courts.</w:t>
      </w:r>
      <w:r w:rsidRPr="007E5419">
        <w:rPr>
          <w:rStyle w:val="FootnoteReference"/>
          <w:rFonts w:ascii="Book Antiqua" w:hAnsi="Book Antiqua" w:cstheme="majorBidi"/>
        </w:rPr>
        <w:footnoteReference w:id="25"/>
      </w:r>
      <w:r w:rsidR="002100EB" w:rsidRPr="007E5419">
        <w:rPr>
          <w:rFonts w:ascii="Book Antiqua" w:hAnsi="Book Antiqua" w:cstheme="majorBidi"/>
        </w:rPr>
        <w:t xml:space="preserve"> </w:t>
      </w:r>
      <w:r w:rsidRPr="007E5419">
        <w:rPr>
          <w:rFonts w:ascii="Book Antiqua" w:hAnsi="Book Antiqua" w:cstheme="majorBidi"/>
        </w:rPr>
        <w:t xml:space="preserve">In 1929 issued the Ordinance on Muslim marriages are valid in Java and Madura, which contains about marriage, divorce, and administrative arrangements. In 1946 Indonesia </w:t>
      </w:r>
      <w:r w:rsidR="0035257F" w:rsidRPr="007E5419">
        <w:rPr>
          <w:rFonts w:ascii="Book Antiqua" w:hAnsi="Book Antiqua" w:cstheme="majorBidi"/>
        </w:rPr>
        <w:t xml:space="preserve">(after independent) </w:t>
      </w:r>
      <w:r w:rsidRPr="007E5419">
        <w:rPr>
          <w:rFonts w:ascii="Book Antiqua" w:hAnsi="Book Antiqua" w:cstheme="majorBidi"/>
        </w:rPr>
        <w:t>establish</w:t>
      </w:r>
      <w:r w:rsidR="0035257F" w:rsidRPr="007E5419">
        <w:rPr>
          <w:rFonts w:ascii="Book Antiqua" w:hAnsi="Book Antiqua" w:cstheme="majorBidi"/>
        </w:rPr>
        <w:t>ed</w:t>
      </w:r>
      <w:r w:rsidRPr="007E5419">
        <w:rPr>
          <w:rFonts w:ascii="Book Antiqua" w:hAnsi="Book Antiqua" w:cstheme="majorBidi"/>
        </w:rPr>
        <w:t xml:space="preserve"> regulations on registration of marriage and divorce are implemented in Java and Madura</w:t>
      </w:r>
      <w:r w:rsidR="002100EB" w:rsidRPr="007E5419">
        <w:rPr>
          <w:rFonts w:ascii="Book Antiqua" w:hAnsi="Book Antiqua" w:cstheme="majorBidi"/>
        </w:rPr>
        <w:t>.</w:t>
      </w:r>
      <w:r w:rsidRPr="007E5419">
        <w:rPr>
          <w:rStyle w:val="FootnoteReference"/>
          <w:rFonts w:ascii="Book Antiqua" w:hAnsi="Book Antiqua" w:cstheme="majorBidi"/>
        </w:rPr>
        <w:footnoteReference w:id="26"/>
      </w:r>
      <w:r w:rsidRPr="007E5419">
        <w:rPr>
          <w:rFonts w:ascii="Book Antiqua" w:hAnsi="Book Antiqua" w:cstheme="majorBidi"/>
        </w:rPr>
        <w:t xml:space="preserve"> Since 1950 Indonesia has been trying to form a draft law marriage and divorce for Muslims, but </w:t>
      </w:r>
      <w:r w:rsidR="002100EB" w:rsidRPr="007E5419">
        <w:rPr>
          <w:rFonts w:ascii="Book Antiqua" w:hAnsi="Book Antiqua" w:cstheme="majorBidi"/>
        </w:rPr>
        <w:t xml:space="preserve">it was always rejected and canceled. </w:t>
      </w:r>
      <w:r w:rsidRPr="007E5419">
        <w:rPr>
          <w:rFonts w:ascii="Book Antiqua" w:hAnsi="Book Antiqua" w:cstheme="majorBidi"/>
        </w:rPr>
        <w:t>In 1974</w:t>
      </w:r>
      <w:r w:rsidR="00C46833" w:rsidRPr="007E5419">
        <w:rPr>
          <w:rFonts w:ascii="Book Antiqua" w:hAnsi="Book Antiqua" w:cstheme="majorBidi"/>
        </w:rPr>
        <w:t>,</w:t>
      </w:r>
      <w:r w:rsidRPr="007E5419">
        <w:rPr>
          <w:rFonts w:ascii="Book Antiqua" w:hAnsi="Book Antiqua" w:cstheme="majorBidi"/>
        </w:rPr>
        <w:t xml:space="preserve"> </w:t>
      </w:r>
      <w:r w:rsidR="00C46833" w:rsidRPr="007E5419">
        <w:rPr>
          <w:rFonts w:ascii="Book Antiqua" w:hAnsi="Book Antiqua" w:cstheme="majorBidi"/>
        </w:rPr>
        <w:t xml:space="preserve">it was </w:t>
      </w:r>
      <w:r w:rsidRPr="007E5419">
        <w:rPr>
          <w:rFonts w:ascii="Book Antiqua" w:hAnsi="Book Antiqua" w:cstheme="majorBidi"/>
        </w:rPr>
        <w:t xml:space="preserve">the newly enacted </w:t>
      </w:r>
      <w:r w:rsidR="00C46833" w:rsidRPr="007E5419">
        <w:rPr>
          <w:rFonts w:ascii="Book Antiqua" w:hAnsi="Book Antiqua" w:cstheme="majorBidi"/>
        </w:rPr>
        <w:t xml:space="preserve">ie. </w:t>
      </w:r>
      <w:r w:rsidRPr="007E5419">
        <w:rPr>
          <w:rFonts w:ascii="Book Antiqua" w:hAnsi="Book Antiqua" w:cstheme="majorBidi"/>
        </w:rPr>
        <w:t>Law No. 1 of 1974 on Marriage</w:t>
      </w:r>
      <w:r w:rsidR="00C46833" w:rsidRPr="007E5419">
        <w:rPr>
          <w:rFonts w:ascii="Book Antiqua" w:hAnsi="Book Antiqua" w:cstheme="majorBidi"/>
        </w:rPr>
        <w:t>,</w:t>
      </w:r>
      <w:r w:rsidRPr="007E5419">
        <w:rPr>
          <w:rFonts w:ascii="Book Antiqua" w:hAnsi="Book Antiqua" w:cstheme="majorBidi"/>
        </w:rPr>
        <w:t xml:space="preserve"> </w:t>
      </w:r>
      <w:r w:rsidR="00C46833" w:rsidRPr="007E5419">
        <w:rPr>
          <w:rFonts w:ascii="Book Antiqua" w:hAnsi="Book Antiqua" w:cstheme="majorBidi"/>
        </w:rPr>
        <w:t xml:space="preserve">which was forced </w:t>
      </w:r>
      <w:r w:rsidRPr="007E5419">
        <w:rPr>
          <w:rFonts w:ascii="Book Antiqua" w:hAnsi="Book Antiqua" w:cstheme="majorBidi"/>
        </w:rPr>
        <w:t xml:space="preserve">by </w:t>
      </w:r>
      <w:r w:rsidR="007420EC" w:rsidRPr="007E5419">
        <w:rPr>
          <w:rFonts w:ascii="Book Antiqua" w:hAnsi="Book Antiqua" w:cstheme="majorBidi"/>
        </w:rPr>
        <w:t xml:space="preserve">Govermental </w:t>
      </w:r>
      <w:r w:rsidRPr="007E5419">
        <w:rPr>
          <w:rFonts w:ascii="Book Antiqua" w:hAnsi="Book Antiqua" w:cstheme="majorBidi"/>
        </w:rPr>
        <w:t>Regulation No. 9 of 1975</w:t>
      </w:r>
      <w:r w:rsidR="007420EC" w:rsidRPr="007E5419">
        <w:rPr>
          <w:rFonts w:ascii="Book Antiqua" w:hAnsi="Book Antiqua" w:cstheme="majorBidi"/>
        </w:rPr>
        <w:t>.</w:t>
      </w:r>
      <w:r w:rsidRPr="007E5419">
        <w:rPr>
          <w:rStyle w:val="FootnoteReference"/>
          <w:rFonts w:ascii="Book Antiqua" w:hAnsi="Book Antiqua" w:cstheme="majorBidi"/>
        </w:rPr>
        <w:footnoteReference w:id="27"/>
      </w:r>
      <w:r w:rsidRPr="007E5419">
        <w:rPr>
          <w:rFonts w:ascii="Book Antiqua" w:hAnsi="Book Antiqua" w:cstheme="majorBidi"/>
        </w:rPr>
        <w:t xml:space="preserve"> </w:t>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 xml:space="preserve">With the marriage laws, the government has imposed Islamic law for Muslims in Indonesia. It can be seen from Article 2, which states that 'marriage is legal if it is done according to the law of each religion', material such laws also adopt many of the concepts of Islamic law such as the rules on polygamy (Article 3, 4 and 5), the material about the terms of the marriage (Article 6), the prohibition of marriage (Article 8), the concept of the waiting period and so on. This law also confirms the Religious Courts for the Muslim, namely article 63 which states that the court referred to in the legislation are the Religious Courts for their Muslim and the General Court for others. Therefore, in 1989 issued a law </w:t>
      </w:r>
      <w:r w:rsidR="00C46833" w:rsidRPr="007E5419">
        <w:rPr>
          <w:rFonts w:ascii="Book Antiqua" w:hAnsi="Book Antiqua" w:cstheme="majorBidi"/>
        </w:rPr>
        <w:t xml:space="preserve">7/ 1989 </w:t>
      </w:r>
      <w:r w:rsidRPr="007E5419">
        <w:rPr>
          <w:rFonts w:ascii="Book Antiqua" w:hAnsi="Book Antiqua" w:cstheme="majorBidi"/>
        </w:rPr>
        <w:t xml:space="preserve">on Religious Courts governing its jurisdiction. Article 2 states that the Religious Court is one implementation of judicial power for the people seeking justice Moslems regarding </w:t>
      </w:r>
      <w:r w:rsidR="00C46833" w:rsidRPr="007E5419">
        <w:rPr>
          <w:rFonts w:ascii="Book Antiqua" w:hAnsi="Book Antiqua" w:cstheme="majorBidi"/>
        </w:rPr>
        <w:t xml:space="preserve">certain privat </w:t>
      </w:r>
      <w:r w:rsidRPr="007E5419">
        <w:rPr>
          <w:rFonts w:ascii="Book Antiqua" w:hAnsi="Book Antiqua" w:cstheme="majorBidi"/>
        </w:rPr>
        <w:t xml:space="preserve">matters stipulated in this law, and Article 49 that the Religious Court duty and authority </w:t>
      </w:r>
      <w:r w:rsidR="00C46833" w:rsidRPr="007E5419">
        <w:rPr>
          <w:rFonts w:ascii="Book Antiqua" w:hAnsi="Book Antiqua" w:cstheme="majorBidi"/>
        </w:rPr>
        <w:t xml:space="preserve">is </w:t>
      </w:r>
      <w:r w:rsidRPr="007E5419">
        <w:rPr>
          <w:rFonts w:ascii="Book Antiqua" w:hAnsi="Book Antiqua" w:cstheme="majorBidi"/>
        </w:rPr>
        <w:t xml:space="preserve">to examine, decide and settle the matter-case among those who are Muslims in the areas of: a) </w:t>
      </w:r>
      <w:r w:rsidRPr="007E5419">
        <w:rPr>
          <w:rFonts w:ascii="Book Antiqua" w:hAnsi="Book Antiqua" w:cstheme="majorBidi"/>
        </w:rPr>
        <w:lastRenderedPageBreak/>
        <w:t xml:space="preserve">Marriage, b) Inheritance, </w:t>
      </w:r>
      <w:r w:rsidR="00C46833" w:rsidRPr="007E5419">
        <w:rPr>
          <w:rFonts w:ascii="Book Antiqua" w:hAnsi="Book Antiqua" w:cstheme="majorBidi"/>
        </w:rPr>
        <w:t xml:space="preserve">bequess </w:t>
      </w:r>
      <w:r w:rsidRPr="007E5419">
        <w:rPr>
          <w:rFonts w:ascii="Book Antiqua" w:hAnsi="Book Antiqua" w:cstheme="majorBidi"/>
        </w:rPr>
        <w:t>and</w:t>
      </w:r>
      <w:r w:rsidR="00C46833" w:rsidRPr="007E5419">
        <w:rPr>
          <w:rFonts w:ascii="Book Antiqua" w:hAnsi="Book Antiqua" w:cstheme="majorBidi"/>
        </w:rPr>
        <w:t xml:space="preserve"> gift (</w:t>
      </w:r>
      <w:r w:rsidR="00C46833" w:rsidRPr="007E5419">
        <w:rPr>
          <w:rFonts w:ascii="Book Antiqua" w:hAnsi="Book Antiqua" w:cstheme="majorBidi"/>
          <w:i/>
          <w:iCs/>
        </w:rPr>
        <w:t>hibah</w:t>
      </w:r>
      <w:r w:rsidR="00C46833" w:rsidRPr="007E5419">
        <w:rPr>
          <w:rFonts w:ascii="Book Antiqua" w:hAnsi="Book Antiqua" w:cstheme="majorBidi"/>
        </w:rPr>
        <w:t>)</w:t>
      </w:r>
      <w:r w:rsidRPr="007E5419">
        <w:rPr>
          <w:rFonts w:ascii="Book Antiqua" w:hAnsi="Book Antiqua" w:cstheme="majorBidi"/>
        </w:rPr>
        <w:t>, which is based on Islamic law, c) endowments and sadaqah.</w:t>
      </w:r>
    </w:p>
    <w:p w:rsidR="00082F3E" w:rsidRPr="007E5419" w:rsidRDefault="00082F3E" w:rsidP="00C04792">
      <w:pPr>
        <w:pStyle w:val="BodyTextIndent"/>
        <w:ind w:firstLine="540"/>
        <w:rPr>
          <w:rFonts w:ascii="Book Antiqua" w:hAnsi="Book Antiqua" w:cstheme="majorBidi"/>
        </w:rPr>
      </w:pPr>
      <w:r w:rsidRPr="007E5419">
        <w:rPr>
          <w:rFonts w:ascii="Book Antiqua" w:hAnsi="Book Antiqua" w:cstheme="majorBidi"/>
        </w:rPr>
        <w:t xml:space="preserve">The Religious Courts as institutions that deal with matters of marriage, inheritance, </w:t>
      </w:r>
      <w:r w:rsidR="007F6709" w:rsidRPr="007E5419">
        <w:rPr>
          <w:rFonts w:ascii="Book Antiqua" w:hAnsi="Book Antiqua" w:cstheme="majorBidi"/>
          <w:i/>
          <w:iCs/>
        </w:rPr>
        <w:t>wasiah</w:t>
      </w:r>
      <w:r w:rsidR="007F6709" w:rsidRPr="007E5419">
        <w:rPr>
          <w:rFonts w:ascii="Book Antiqua" w:hAnsi="Book Antiqua" w:cstheme="majorBidi"/>
        </w:rPr>
        <w:t xml:space="preserve"> </w:t>
      </w:r>
      <w:r w:rsidRPr="007E5419">
        <w:rPr>
          <w:rFonts w:ascii="Book Antiqua" w:hAnsi="Book Antiqua" w:cstheme="majorBidi"/>
        </w:rPr>
        <w:t>and</w:t>
      </w:r>
      <w:r w:rsidR="007F6709" w:rsidRPr="007E5419">
        <w:rPr>
          <w:rFonts w:ascii="Book Antiqua" w:hAnsi="Book Antiqua" w:cstheme="majorBidi"/>
        </w:rPr>
        <w:t xml:space="preserve"> </w:t>
      </w:r>
      <w:r w:rsidR="007F6709" w:rsidRPr="007E5419">
        <w:rPr>
          <w:rFonts w:ascii="Book Antiqua" w:hAnsi="Book Antiqua" w:cstheme="majorBidi"/>
          <w:i/>
          <w:iCs/>
        </w:rPr>
        <w:t>hibah</w:t>
      </w:r>
      <w:r w:rsidRPr="007E5419">
        <w:rPr>
          <w:rFonts w:ascii="Book Antiqua" w:hAnsi="Book Antiqua" w:cstheme="majorBidi"/>
        </w:rPr>
        <w:t xml:space="preserve">, as well as </w:t>
      </w:r>
      <w:r w:rsidR="007F6709" w:rsidRPr="007E5419">
        <w:rPr>
          <w:rFonts w:ascii="Book Antiqua" w:hAnsi="Book Antiqua" w:cstheme="majorBidi"/>
          <w:i/>
          <w:iCs/>
        </w:rPr>
        <w:t>waq</w:t>
      </w:r>
      <w:r w:rsidRPr="007E5419">
        <w:rPr>
          <w:rFonts w:ascii="Book Antiqua" w:hAnsi="Book Antiqua" w:cstheme="majorBidi"/>
          <w:i/>
          <w:iCs/>
        </w:rPr>
        <w:t>f</w:t>
      </w:r>
      <w:r w:rsidRPr="007E5419">
        <w:rPr>
          <w:rFonts w:ascii="Book Antiqua" w:hAnsi="Book Antiqua" w:cstheme="majorBidi"/>
        </w:rPr>
        <w:t xml:space="preserve"> and </w:t>
      </w:r>
      <w:r w:rsidRPr="007E5419">
        <w:rPr>
          <w:rFonts w:ascii="Book Antiqua" w:hAnsi="Book Antiqua" w:cstheme="majorBidi"/>
          <w:i/>
          <w:iCs/>
        </w:rPr>
        <w:t>sadaqah</w:t>
      </w:r>
      <w:r w:rsidRPr="007E5419">
        <w:rPr>
          <w:rFonts w:ascii="Book Antiqua" w:hAnsi="Book Antiqua" w:cstheme="majorBidi"/>
        </w:rPr>
        <w:t xml:space="preserve"> require their material law, but the law no. 1 of 1974 does not contain material inheritance and </w:t>
      </w:r>
      <w:r w:rsidRPr="007E5419">
        <w:rPr>
          <w:rFonts w:ascii="Book Antiqua" w:hAnsi="Book Antiqua" w:cstheme="majorBidi"/>
          <w:i/>
          <w:iCs/>
        </w:rPr>
        <w:t>wa</w:t>
      </w:r>
      <w:r w:rsidR="007F6709" w:rsidRPr="007E5419">
        <w:rPr>
          <w:rFonts w:ascii="Book Antiqua" w:hAnsi="Book Antiqua" w:cstheme="majorBidi"/>
          <w:i/>
          <w:iCs/>
        </w:rPr>
        <w:t>qf</w:t>
      </w:r>
      <w:r w:rsidRPr="007E5419">
        <w:rPr>
          <w:rFonts w:ascii="Book Antiqua" w:hAnsi="Book Antiqua" w:cstheme="majorBidi"/>
        </w:rPr>
        <w:t>. Therefore</w:t>
      </w:r>
      <w:r w:rsidR="007F6709" w:rsidRPr="007E5419">
        <w:rPr>
          <w:rFonts w:ascii="Book Antiqua" w:hAnsi="Book Antiqua" w:cstheme="majorBidi"/>
        </w:rPr>
        <w:t>,</w:t>
      </w:r>
      <w:r w:rsidRPr="007E5419">
        <w:rPr>
          <w:rFonts w:ascii="Book Antiqua" w:hAnsi="Book Antiqua" w:cstheme="majorBidi"/>
        </w:rPr>
        <w:t xml:space="preserve"> a draft </w:t>
      </w:r>
      <w:r w:rsidR="007F6709" w:rsidRPr="007E5419">
        <w:rPr>
          <w:rFonts w:ascii="Book Antiqua" w:hAnsi="Book Antiqua" w:cstheme="majorBidi"/>
        </w:rPr>
        <w:t xml:space="preserve">of Islamic </w:t>
      </w:r>
      <w:r w:rsidRPr="007E5419">
        <w:rPr>
          <w:rFonts w:ascii="Book Antiqua" w:hAnsi="Book Antiqua" w:cstheme="majorBidi"/>
        </w:rPr>
        <w:t>civil law which contains material about marriage, divorce, family law and all materials</w:t>
      </w:r>
      <w:r w:rsidR="007F6709" w:rsidRPr="007E5419">
        <w:rPr>
          <w:rFonts w:ascii="Book Antiqua" w:hAnsi="Book Antiqua" w:cstheme="majorBidi"/>
        </w:rPr>
        <w:t>,</w:t>
      </w:r>
      <w:r w:rsidRPr="007E5419">
        <w:rPr>
          <w:rFonts w:ascii="Book Antiqua" w:hAnsi="Book Antiqua" w:cstheme="majorBidi"/>
        </w:rPr>
        <w:t xml:space="preserve"> and material of inheritance, </w:t>
      </w:r>
      <w:r w:rsidR="007F6709" w:rsidRPr="007E5419">
        <w:rPr>
          <w:rFonts w:ascii="Book Antiqua" w:hAnsi="Book Antiqua" w:cstheme="majorBidi"/>
          <w:i/>
          <w:iCs/>
        </w:rPr>
        <w:t>wasiah</w:t>
      </w:r>
      <w:r w:rsidR="007F6709" w:rsidRPr="007E5419">
        <w:rPr>
          <w:rFonts w:ascii="Book Antiqua" w:hAnsi="Book Antiqua" w:cstheme="majorBidi"/>
        </w:rPr>
        <w:t xml:space="preserve"> </w:t>
      </w:r>
      <w:r w:rsidRPr="007E5419">
        <w:rPr>
          <w:rFonts w:ascii="Book Antiqua" w:hAnsi="Book Antiqua" w:cstheme="majorBidi"/>
        </w:rPr>
        <w:t>and wa</w:t>
      </w:r>
      <w:r w:rsidR="007F6709" w:rsidRPr="007E5419">
        <w:rPr>
          <w:rFonts w:ascii="Book Antiqua" w:hAnsi="Book Antiqua" w:cstheme="majorBidi"/>
        </w:rPr>
        <w:t>q</w:t>
      </w:r>
      <w:r w:rsidRPr="007E5419">
        <w:rPr>
          <w:rFonts w:ascii="Book Antiqua" w:hAnsi="Book Antiqua" w:cstheme="majorBidi"/>
        </w:rPr>
        <w:t>f</w:t>
      </w:r>
      <w:r w:rsidR="007F6709" w:rsidRPr="007E5419">
        <w:rPr>
          <w:rFonts w:ascii="Book Antiqua" w:hAnsi="Book Antiqua" w:cstheme="majorBidi"/>
        </w:rPr>
        <w:t xml:space="preserve"> was prepared</w:t>
      </w:r>
      <w:r w:rsidRPr="007E5419">
        <w:rPr>
          <w:rFonts w:ascii="Book Antiqua" w:hAnsi="Book Antiqua" w:cstheme="majorBidi"/>
        </w:rPr>
        <w:t xml:space="preserve">. In the process, the draft bill is not </w:t>
      </w:r>
      <w:r w:rsidR="007F6709" w:rsidRPr="007E5419">
        <w:rPr>
          <w:rFonts w:ascii="Book Antiqua" w:hAnsi="Book Antiqua" w:cstheme="majorBidi"/>
        </w:rPr>
        <w:t xml:space="preserve">legislated </w:t>
      </w:r>
      <w:r w:rsidRPr="007E5419">
        <w:rPr>
          <w:rFonts w:ascii="Book Antiqua" w:hAnsi="Book Antiqua" w:cstheme="majorBidi"/>
        </w:rPr>
        <w:t xml:space="preserve">because the </w:t>
      </w:r>
      <w:r w:rsidR="005B4068" w:rsidRPr="007E5419">
        <w:rPr>
          <w:rFonts w:ascii="Book Antiqua" w:hAnsi="Book Antiqua" w:cstheme="majorBidi"/>
        </w:rPr>
        <w:t xml:space="preserve">(new order) </w:t>
      </w:r>
      <w:r w:rsidRPr="007E5419">
        <w:rPr>
          <w:rFonts w:ascii="Book Antiqua" w:hAnsi="Book Antiqua" w:cstheme="majorBidi"/>
        </w:rPr>
        <w:t>political situation does not allow for issuing the draft becomes law, then taken a shortcut by Presidential Decree no. 1 in 1991 instructing the Minister of Religious Affairs to disseminate the draft to the parties concerned, hereinafter referred to Islamic Law Compilation (KHI).</w:t>
      </w:r>
      <w:r w:rsidRPr="007E5419">
        <w:rPr>
          <w:rStyle w:val="FootnoteReference"/>
          <w:rFonts w:ascii="Book Antiqua" w:hAnsi="Book Antiqua" w:cstheme="majorBidi"/>
        </w:rPr>
        <w:footnoteReference w:id="28"/>
      </w:r>
      <w:r w:rsidRPr="007E5419">
        <w:rPr>
          <w:rFonts w:ascii="Book Antiqua" w:hAnsi="Book Antiqua" w:cstheme="majorBidi"/>
        </w:rPr>
        <w:t xml:space="preserve"> KHI is composed of three books is the first </w:t>
      </w:r>
      <w:r w:rsidR="007F6709" w:rsidRPr="007E5419">
        <w:rPr>
          <w:rFonts w:ascii="Book Antiqua" w:hAnsi="Book Antiqua" w:cstheme="majorBidi"/>
        </w:rPr>
        <w:t xml:space="preserve">law </w:t>
      </w:r>
      <w:r w:rsidRPr="007E5419">
        <w:rPr>
          <w:rFonts w:ascii="Book Antiqua" w:hAnsi="Book Antiqua" w:cstheme="majorBidi"/>
        </w:rPr>
        <w:t xml:space="preserve">book of marriage, the second </w:t>
      </w:r>
      <w:r w:rsidR="007F6709" w:rsidRPr="007E5419">
        <w:rPr>
          <w:rFonts w:ascii="Book Antiqua" w:hAnsi="Book Antiqua" w:cstheme="majorBidi"/>
        </w:rPr>
        <w:t xml:space="preserve">law </w:t>
      </w:r>
      <w:r w:rsidRPr="007E5419">
        <w:rPr>
          <w:rFonts w:ascii="Book Antiqua" w:hAnsi="Book Antiqua" w:cstheme="majorBidi"/>
        </w:rPr>
        <w:t xml:space="preserve">book of inheritance and the third </w:t>
      </w:r>
      <w:r w:rsidR="007F6709" w:rsidRPr="007E5419">
        <w:rPr>
          <w:rFonts w:ascii="Book Antiqua" w:hAnsi="Book Antiqua" w:cstheme="majorBidi"/>
        </w:rPr>
        <w:t xml:space="preserve">law </w:t>
      </w:r>
      <w:r w:rsidRPr="007E5419">
        <w:rPr>
          <w:rFonts w:ascii="Book Antiqua" w:hAnsi="Book Antiqua" w:cstheme="majorBidi"/>
        </w:rPr>
        <w:t xml:space="preserve">book </w:t>
      </w:r>
      <w:r w:rsidR="007F6709" w:rsidRPr="007E5419">
        <w:rPr>
          <w:rFonts w:ascii="Book Antiqua" w:hAnsi="Book Antiqua" w:cstheme="majorBidi"/>
        </w:rPr>
        <w:t>of waqf</w:t>
      </w:r>
      <w:r w:rsidRPr="007E5419">
        <w:rPr>
          <w:rFonts w:ascii="Book Antiqua" w:hAnsi="Book Antiqua" w:cstheme="majorBidi"/>
        </w:rPr>
        <w:t>.</w:t>
      </w:r>
    </w:p>
    <w:p w:rsidR="00082F3E" w:rsidRPr="007E5419" w:rsidRDefault="00141CB9" w:rsidP="00C04792">
      <w:pPr>
        <w:pStyle w:val="BodyTextIndent"/>
        <w:numPr>
          <w:ilvl w:val="0"/>
          <w:numId w:val="10"/>
        </w:numPr>
        <w:rPr>
          <w:rFonts w:ascii="Book Antiqua" w:hAnsi="Book Antiqua" w:cstheme="majorBidi"/>
          <w:b/>
          <w:bCs/>
        </w:rPr>
      </w:pPr>
      <w:r w:rsidRPr="007E5419">
        <w:rPr>
          <w:rFonts w:ascii="Book Antiqua" w:hAnsi="Book Antiqua" w:cstheme="majorBidi"/>
          <w:b/>
          <w:bCs/>
        </w:rPr>
        <w:t>Islamic Law Leg</w:t>
      </w:r>
      <w:r w:rsidR="006F3B53" w:rsidRPr="007E5419">
        <w:rPr>
          <w:rFonts w:ascii="Book Antiqua" w:hAnsi="Book Antiqua" w:cstheme="majorBidi"/>
          <w:b/>
          <w:bCs/>
        </w:rPr>
        <w:t>i</w:t>
      </w:r>
      <w:r w:rsidRPr="007E5419">
        <w:rPr>
          <w:rFonts w:ascii="Book Antiqua" w:hAnsi="Book Antiqua" w:cstheme="majorBidi"/>
          <w:b/>
          <w:bCs/>
        </w:rPr>
        <w:t>s</w:t>
      </w:r>
      <w:r w:rsidR="006F3B53" w:rsidRPr="007E5419">
        <w:rPr>
          <w:rFonts w:ascii="Book Antiqua" w:hAnsi="Book Antiqua" w:cstheme="majorBidi"/>
          <w:b/>
          <w:bCs/>
        </w:rPr>
        <w:t>l</w:t>
      </w:r>
      <w:r w:rsidRPr="007E5419">
        <w:rPr>
          <w:rFonts w:ascii="Book Antiqua" w:hAnsi="Book Antiqua" w:cstheme="majorBidi"/>
          <w:b/>
          <w:bCs/>
        </w:rPr>
        <w:t>ation in the Reformation Order</w:t>
      </w:r>
    </w:p>
    <w:p w:rsidR="00082F3E" w:rsidRPr="007E5419" w:rsidRDefault="00082F3E" w:rsidP="00C04792">
      <w:pPr>
        <w:tabs>
          <w:tab w:val="num" w:pos="720"/>
        </w:tabs>
        <w:spacing w:line="360" w:lineRule="auto"/>
        <w:ind w:firstLine="540"/>
        <w:jc w:val="both"/>
        <w:rPr>
          <w:rFonts w:ascii="Book Antiqua" w:eastAsia="Calibri" w:hAnsi="Book Antiqua" w:cstheme="majorBidi"/>
          <w:sz w:val="24"/>
          <w:szCs w:val="24"/>
        </w:rPr>
      </w:pPr>
      <w:r w:rsidRPr="007E5419">
        <w:rPr>
          <w:rFonts w:ascii="Book Antiqua" w:eastAsia="Calibri" w:hAnsi="Book Antiqua" w:cstheme="majorBidi"/>
          <w:sz w:val="24"/>
          <w:szCs w:val="24"/>
        </w:rPr>
        <w:t>The reform</w:t>
      </w:r>
      <w:r w:rsidR="006E14D3" w:rsidRPr="007E5419">
        <w:rPr>
          <w:rFonts w:ascii="Book Antiqua" w:eastAsia="Calibri" w:hAnsi="Book Antiqua" w:cstheme="majorBidi"/>
          <w:sz w:val="24"/>
          <w:szCs w:val="24"/>
        </w:rPr>
        <w:t>ation</w:t>
      </w:r>
      <w:r w:rsidRPr="007E5419">
        <w:rPr>
          <w:rFonts w:ascii="Book Antiqua" w:eastAsia="Calibri" w:hAnsi="Book Antiqua" w:cstheme="majorBidi"/>
          <w:sz w:val="24"/>
          <w:szCs w:val="24"/>
        </w:rPr>
        <w:t xml:space="preserve"> era began after the fall of the New Order regime or the fall of Suharto from the presidency. In the transitional period of national leadership, BJ Habibie, who was then vice president, </w:t>
      </w:r>
      <w:r w:rsidR="006E14D3" w:rsidRPr="007E5419">
        <w:rPr>
          <w:rFonts w:ascii="Book Antiqua" w:eastAsia="Calibri" w:hAnsi="Book Antiqua" w:cstheme="majorBidi"/>
          <w:sz w:val="24"/>
          <w:szCs w:val="24"/>
        </w:rPr>
        <w:t xml:space="preserve">performed </w:t>
      </w:r>
      <w:r w:rsidRPr="007E5419">
        <w:rPr>
          <w:rFonts w:ascii="Book Antiqua" w:eastAsia="Calibri" w:hAnsi="Book Antiqua" w:cstheme="majorBidi"/>
          <w:sz w:val="24"/>
          <w:szCs w:val="24"/>
        </w:rPr>
        <w:t xml:space="preserve">to be the President of the replacement. This period is followed by the elections of 1999, which started the multi-party era after </w:t>
      </w:r>
      <w:r w:rsidR="006E14D3" w:rsidRPr="007E5419">
        <w:rPr>
          <w:rFonts w:ascii="Book Antiqua" w:eastAsia="Calibri" w:hAnsi="Book Antiqua" w:cstheme="majorBidi"/>
          <w:sz w:val="24"/>
          <w:szCs w:val="24"/>
        </w:rPr>
        <w:t xml:space="preserve">the limitation of </w:t>
      </w:r>
      <w:r w:rsidRPr="007E5419">
        <w:rPr>
          <w:rFonts w:ascii="Book Antiqua" w:eastAsia="Calibri" w:hAnsi="Book Antiqua" w:cstheme="majorBidi"/>
          <w:sz w:val="24"/>
          <w:szCs w:val="24"/>
        </w:rPr>
        <w:t xml:space="preserve">political parties </w:t>
      </w:r>
      <w:r w:rsidR="006E14D3" w:rsidRPr="007E5419">
        <w:rPr>
          <w:rFonts w:ascii="Book Antiqua" w:eastAsia="Calibri" w:hAnsi="Book Antiqua" w:cstheme="majorBidi"/>
          <w:sz w:val="24"/>
          <w:szCs w:val="24"/>
        </w:rPr>
        <w:t>in</w:t>
      </w:r>
      <w:r w:rsidRPr="007E5419">
        <w:rPr>
          <w:rFonts w:ascii="Book Antiqua" w:eastAsia="Calibri" w:hAnsi="Book Antiqua" w:cstheme="majorBidi"/>
          <w:sz w:val="24"/>
          <w:szCs w:val="24"/>
        </w:rPr>
        <w:t xml:space="preserve"> the new order.</w:t>
      </w:r>
    </w:p>
    <w:p w:rsidR="00082F3E" w:rsidRPr="007E5419" w:rsidRDefault="00082F3E" w:rsidP="00C04792">
      <w:pPr>
        <w:tabs>
          <w:tab w:val="num" w:pos="720"/>
        </w:tabs>
        <w:spacing w:line="360" w:lineRule="auto"/>
        <w:ind w:firstLine="540"/>
        <w:jc w:val="both"/>
        <w:rPr>
          <w:rFonts w:ascii="Book Antiqua" w:eastAsia="Calibri" w:hAnsi="Book Antiqua" w:cstheme="majorBidi"/>
          <w:sz w:val="24"/>
          <w:szCs w:val="24"/>
        </w:rPr>
      </w:pPr>
      <w:r w:rsidRPr="007E5419">
        <w:rPr>
          <w:rFonts w:ascii="Book Antiqua" w:eastAsia="Calibri" w:hAnsi="Book Antiqua" w:cstheme="majorBidi"/>
          <w:sz w:val="24"/>
          <w:szCs w:val="24"/>
        </w:rPr>
        <w:t>In the Habibie</w:t>
      </w:r>
      <w:r w:rsidR="006E14D3" w:rsidRPr="007E5419">
        <w:rPr>
          <w:rFonts w:ascii="Book Antiqua" w:eastAsia="Calibri" w:hAnsi="Book Antiqua" w:cstheme="majorBidi"/>
          <w:sz w:val="24"/>
          <w:szCs w:val="24"/>
        </w:rPr>
        <w:t xml:space="preserve"> period</w:t>
      </w:r>
      <w:r w:rsidRPr="007E5419">
        <w:rPr>
          <w:rFonts w:ascii="Book Antiqua" w:eastAsia="Calibri" w:hAnsi="Book Antiqua" w:cstheme="majorBidi"/>
          <w:sz w:val="24"/>
          <w:szCs w:val="24"/>
        </w:rPr>
        <w:t>, there are several laws legislation</w:t>
      </w:r>
      <w:r w:rsidR="006E14D3" w:rsidRPr="007E5419">
        <w:rPr>
          <w:rFonts w:ascii="Book Antiqua" w:eastAsia="Calibri" w:hAnsi="Book Antiqua" w:cstheme="majorBidi"/>
          <w:sz w:val="24"/>
          <w:szCs w:val="24"/>
        </w:rPr>
        <w:t>s</w:t>
      </w:r>
      <w:r w:rsidRPr="007E5419">
        <w:rPr>
          <w:rFonts w:ascii="Book Antiqua" w:eastAsia="Calibri" w:hAnsi="Book Antiqua" w:cstheme="majorBidi"/>
          <w:sz w:val="24"/>
          <w:szCs w:val="24"/>
        </w:rPr>
        <w:t xml:space="preserve"> that can be considered as a matter of Islamic law including the Law No. 10 of 1998 on the </w:t>
      </w:r>
      <w:r w:rsidRPr="007E5419">
        <w:rPr>
          <w:rFonts w:ascii="Book Antiqua" w:eastAsia="Calibri" w:hAnsi="Book Antiqua" w:cstheme="majorBidi"/>
          <w:sz w:val="24"/>
          <w:szCs w:val="24"/>
        </w:rPr>
        <w:lastRenderedPageBreak/>
        <w:t>amendment of Law No. 7 of 1992 on Banking, Law No. 17 of 1999 on Hajj, and law No. 38 of 1999 on Zakat Management.</w:t>
      </w:r>
    </w:p>
    <w:p w:rsidR="00082F3E" w:rsidRPr="007E5419" w:rsidRDefault="00082F3E" w:rsidP="00C04792">
      <w:pPr>
        <w:pStyle w:val="ListParagraph"/>
        <w:numPr>
          <w:ilvl w:val="0"/>
          <w:numId w:val="11"/>
        </w:numPr>
        <w:tabs>
          <w:tab w:val="num" w:pos="720"/>
        </w:tabs>
        <w:spacing w:line="360" w:lineRule="auto"/>
        <w:jc w:val="both"/>
        <w:rPr>
          <w:rFonts w:ascii="Book Antiqua" w:eastAsia="Calibri" w:hAnsi="Book Antiqua" w:cstheme="majorBidi"/>
          <w:b/>
          <w:bCs/>
          <w:sz w:val="24"/>
          <w:szCs w:val="24"/>
        </w:rPr>
      </w:pPr>
      <w:r w:rsidRPr="007E5419">
        <w:rPr>
          <w:rFonts w:ascii="Book Antiqua" w:eastAsia="Calibri" w:hAnsi="Book Antiqua" w:cstheme="majorBidi"/>
          <w:b/>
          <w:bCs/>
          <w:sz w:val="24"/>
          <w:szCs w:val="24"/>
        </w:rPr>
        <w:t>Banking Act</w:t>
      </w:r>
    </w:p>
    <w:p w:rsidR="00082F3E" w:rsidRPr="007E5419" w:rsidRDefault="00082F3E" w:rsidP="00C04792">
      <w:pPr>
        <w:tabs>
          <w:tab w:val="num" w:pos="360"/>
        </w:tabs>
        <w:spacing w:line="360" w:lineRule="auto"/>
        <w:ind w:left="36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The </w:t>
      </w:r>
      <w:r w:rsidR="006E14D3" w:rsidRPr="007E5419">
        <w:rPr>
          <w:rFonts w:ascii="Book Antiqua" w:eastAsia="Calibri" w:hAnsi="Book Antiqua" w:cstheme="majorBidi"/>
          <w:sz w:val="24"/>
          <w:szCs w:val="24"/>
        </w:rPr>
        <w:t xml:space="preserve">law </w:t>
      </w:r>
      <w:r w:rsidRPr="007E5419">
        <w:rPr>
          <w:rFonts w:ascii="Book Antiqua" w:eastAsia="Calibri" w:hAnsi="Book Antiqua" w:cstheme="majorBidi"/>
          <w:sz w:val="24"/>
          <w:szCs w:val="24"/>
        </w:rPr>
        <w:t>of bank</w:t>
      </w:r>
      <w:r w:rsidR="006E14D3" w:rsidRPr="007E5419">
        <w:rPr>
          <w:rFonts w:ascii="Book Antiqua" w:eastAsia="Calibri" w:hAnsi="Book Antiqua" w:cstheme="majorBidi"/>
          <w:sz w:val="24"/>
          <w:szCs w:val="24"/>
        </w:rPr>
        <w:t>ing in Indonesia before 1998 was</w:t>
      </w:r>
      <w:r w:rsidRPr="007E5419">
        <w:rPr>
          <w:rFonts w:ascii="Book Antiqua" w:eastAsia="Calibri" w:hAnsi="Book Antiqua" w:cstheme="majorBidi"/>
          <w:sz w:val="24"/>
          <w:szCs w:val="24"/>
        </w:rPr>
        <w:t xml:space="preserve"> law No. 7 of 1992 which replaced Law No. 14 of 1967 on the Principles of Banking. In its development, the Indonesian nation experienced various challenges </w:t>
      </w:r>
      <w:r w:rsidR="004C1981" w:rsidRPr="007E5419">
        <w:rPr>
          <w:rFonts w:ascii="Book Antiqua" w:eastAsia="Calibri" w:hAnsi="Book Antiqua" w:cstheme="majorBidi"/>
          <w:sz w:val="24"/>
          <w:szCs w:val="24"/>
        </w:rPr>
        <w:t xml:space="preserve">that </w:t>
      </w:r>
      <w:r w:rsidRPr="007E5419">
        <w:rPr>
          <w:rFonts w:ascii="Book Antiqua" w:eastAsia="Calibri" w:hAnsi="Book Antiqua" w:cstheme="majorBidi"/>
          <w:sz w:val="24"/>
          <w:szCs w:val="24"/>
        </w:rPr>
        <w:t>required various improvements to format</w:t>
      </w:r>
      <w:r w:rsidR="004C1981" w:rsidRPr="007E5419">
        <w:rPr>
          <w:rFonts w:ascii="Book Antiqua" w:eastAsia="Calibri" w:hAnsi="Book Antiqua" w:cstheme="majorBidi"/>
          <w:sz w:val="24"/>
          <w:szCs w:val="24"/>
        </w:rPr>
        <w:t>e</w:t>
      </w:r>
      <w:r w:rsidRPr="007E5419">
        <w:rPr>
          <w:rFonts w:ascii="Book Antiqua" w:eastAsia="Calibri" w:hAnsi="Book Antiqua" w:cstheme="majorBidi"/>
          <w:sz w:val="24"/>
          <w:szCs w:val="24"/>
        </w:rPr>
        <w:t xml:space="preserve"> the banking system </w:t>
      </w:r>
      <w:r w:rsidR="004C1981" w:rsidRPr="007E5419">
        <w:rPr>
          <w:rFonts w:ascii="Book Antiqua" w:eastAsia="Calibri" w:hAnsi="Book Antiqua" w:cstheme="majorBidi"/>
          <w:sz w:val="24"/>
          <w:szCs w:val="24"/>
        </w:rPr>
        <w:t xml:space="preserve">which </w:t>
      </w:r>
      <w:r w:rsidRPr="007E5419">
        <w:rPr>
          <w:rFonts w:ascii="Book Antiqua" w:eastAsia="Calibri" w:hAnsi="Book Antiqua" w:cstheme="majorBidi"/>
          <w:sz w:val="24"/>
          <w:szCs w:val="24"/>
        </w:rPr>
        <w:t>able to maintain public confidence</w:t>
      </w:r>
      <w:r w:rsidR="004C1981" w:rsidRPr="007E5419">
        <w:rPr>
          <w:rFonts w:ascii="Book Antiqua" w:eastAsia="Calibri" w:hAnsi="Book Antiqua" w:cstheme="majorBidi"/>
          <w:sz w:val="24"/>
          <w:szCs w:val="24"/>
        </w:rPr>
        <w:t xml:space="preserve">. Therefore, </w:t>
      </w:r>
      <w:r w:rsidRPr="007E5419">
        <w:rPr>
          <w:rFonts w:ascii="Book Antiqua" w:eastAsia="Calibri" w:hAnsi="Book Antiqua" w:cstheme="majorBidi"/>
          <w:sz w:val="24"/>
          <w:szCs w:val="24"/>
        </w:rPr>
        <w:t>law No. 10 of 1998 on the amendment of Law No. 7 of 1992 on Banking</w:t>
      </w:r>
      <w:r w:rsidR="004C1981" w:rsidRPr="007E5419">
        <w:rPr>
          <w:rFonts w:ascii="Book Antiqua" w:eastAsia="Calibri" w:hAnsi="Book Antiqua" w:cstheme="majorBidi"/>
          <w:sz w:val="24"/>
          <w:szCs w:val="24"/>
        </w:rPr>
        <w:t xml:space="preserve"> was enacted</w:t>
      </w:r>
      <w:r w:rsidRPr="007E5419">
        <w:rPr>
          <w:rFonts w:ascii="Book Antiqua" w:eastAsia="Calibri" w:hAnsi="Book Antiqua" w:cstheme="majorBidi"/>
          <w:sz w:val="24"/>
          <w:szCs w:val="24"/>
        </w:rPr>
        <w:t xml:space="preserve">. These changes </w:t>
      </w:r>
      <w:r w:rsidR="004C1981" w:rsidRPr="007E5419">
        <w:rPr>
          <w:rFonts w:ascii="Book Antiqua" w:eastAsia="Calibri" w:hAnsi="Book Antiqua" w:cstheme="majorBidi"/>
          <w:sz w:val="24"/>
          <w:szCs w:val="24"/>
        </w:rPr>
        <w:t>w</w:t>
      </w:r>
      <w:r w:rsidR="00EF109A" w:rsidRPr="007E5419">
        <w:rPr>
          <w:rFonts w:ascii="Book Antiqua" w:eastAsia="Calibri" w:hAnsi="Book Antiqua" w:cstheme="majorBidi"/>
          <w:sz w:val="24"/>
          <w:szCs w:val="24"/>
        </w:rPr>
        <w:t>are</w:t>
      </w:r>
      <w:r w:rsidR="004C1981" w:rsidRPr="007E5419">
        <w:rPr>
          <w:rFonts w:ascii="Book Antiqua" w:eastAsia="Calibri" w:hAnsi="Book Antiqua" w:cstheme="majorBidi"/>
          <w:sz w:val="24"/>
          <w:szCs w:val="24"/>
        </w:rPr>
        <w:t xml:space="preserve"> an </w:t>
      </w:r>
      <w:r w:rsidRPr="007E5419">
        <w:rPr>
          <w:rFonts w:ascii="Book Antiqua" w:eastAsia="Calibri" w:hAnsi="Book Antiqua" w:cstheme="majorBidi"/>
          <w:sz w:val="24"/>
          <w:szCs w:val="24"/>
        </w:rPr>
        <w:t xml:space="preserve">effort to overcome various problems and </w:t>
      </w:r>
      <w:r w:rsidR="00EF109A" w:rsidRPr="007E5419">
        <w:rPr>
          <w:rFonts w:ascii="Book Antiqua" w:eastAsia="Calibri" w:hAnsi="Book Antiqua" w:cstheme="majorBidi"/>
          <w:sz w:val="24"/>
          <w:szCs w:val="24"/>
        </w:rPr>
        <w:t>difficulties faced by Indonesia. It</w:t>
      </w:r>
      <w:r w:rsidRPr="007E5419">
        <w:rPr>
          <w:rFonts w:ascii="Book Antiqua" w:eastAsia="Calibri" w:hAnsi="Book Antiqua" w:cstheme="majorBidi"/>
          <w:sz w:val="24"/>
          <w:szCs w:val="24"/>
        </w:rPr>
        <w:t xml:space="preserve"> </w:t>
      </w:r>
      <w:r w:rsidR="00EF109A" w:rsidRPr="007E5419">
        <w:rPr>
          <w:rFonts w:ascii="Book Antiqua" w:eastAsia="Calibri" w:hAnsi="Book Antiqua" w:cstheme="majorBidi"/>
          <w:sz w:val="24"/>
          <w:szCs w:val="24"/>
        </w:rPr>
        <w:t xml:space="preserve">was </w:t>
      </w:r>
      <w:r w:rsidRPr="007E5419">
        <w:rPr>
          <w:rFonts w:ascii="Book Antiqua" w:eastAsia="Calibri" w:hAnsi="Book Antiqua" w:cstheme="majorBidi"/>
          <w:sz w:val="24"/>
          <w:szCs w:val="24"/>
        </w:rPr>
        <w:t>also aimed at the effectiveness of the guidance and supervision of banks, accelerating the selection of capital banks in Indonesia, increasing efforts to community control over banking institutions, and as a result of restructuring and comprehensive response to the banking system in Indonesia.</w:t>
      </w:r>
      <w:r w:rsidRPr="007E5419">
        <w:rPr>
          <w:rStyle w:val="FootnoteReference"/>
          <w:rFonts w:ascii="Book Antiqua" w:eastAsia="Calibri" w:hAnsi="Book Antiqua" w:cstheme="majorBidi"/>
          <w:sz w:val="24"/>
          <w:szCs w:val="24"/>
        </w:rPr>
        <w:footnoteReference w:id="29"/>
      </w:r>
      <w:r w:rsidRPr="007E5419">
        <w:rPr>
          <w:rFonts w:ascii="Book Antiqua" w:eastAsia="Calibri" w:hAnsi="Book Antiqua" w:cstheme="majorBidi"/>
          <w:sz w:val="24"/>
          <w:szCs w:val="24"/>
        </w:rPr>
        <w:t xml:space="preserve"> </w:t>
      </w:r>
    </w:p>
    <w:p w:rsidR="00082F3E" w:rsidRPr="007E5419" w:rsidRDefault="00082F3E" w:rsidP="00C04792">
      <w:pPr>
        <w:tabs>
          <w:tab w:val="num" w:pos="360"/>
        </w:tabs>
        <w:spacing w:line="360" w:lineRule="auto"/>
        <w:ind w:left="36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In law No. 10 of 1998 on the amendment of Law No. 7 of 1992 on this bank, raised some fundamental changes to the previous law, namely by incorporating aspects of Islamic shariah as </w:t>
      </w:r>
      <w:r w:rsidR="001F2D39" w:rsidRPr="007E5419">
        <w:rPr>
          <w:rFonts w:ascii="Book Antiqua" w:eastAsia="Calibri" w:hAnsi="Book Antiqua" w:cstheme="majorBidi"/>
          <w:sz w:val="24"/>
          <w:szCs w:val="24"/>
        </w:rPr>
        <w:t>the basic principles of banking.</w:t>
      </w:r>
      <w:r w:rsidRPr="007E5419">
        <w:rPr>
          <w:rFonts w:ascii="Book Antiqua" w:eastAsia="Calibri" w:hAnsi="Book Antiqua" w:cstheme="majorBidi"/>
          <w:sz w:val="24"/>
          <w:szCs w:val="24"/>
        </w:rPr>
        <w:t xml:space="preserve"> </w:t>
      </w:r>
      <w:r w:rsidR="001F2D39" w:rsidRPr="007E5419">
        <w:rPr>
          <w:rFonts w:ascii="Book Antiqua" w:eastAsia="Calibri" w:hAnsi="Book Antiqua" w:cstheme="majorBidi"/>
          <w:sz w:val="24"/>
          <w:szCs w:val="24"/>
        </w:rPr>
        <w:t xml:space="preserve">Therefore, </w:t>
      </w:r>
      <w:r w:rsidRPr="007E5419">
        <w:rPr>
          <w:rFonts w:ascii="Book Antiqua" w:eastAsia="Calibri" w:hAnsi="Book Antiqua" w:cstheme="majorBidi"/>
          <w:sz w:val="24"/>
          <w:szCs w:val="24"/>
        </w:rPr>
        <w:t xml:space="preserve">the banks in Indonesia </w:t>
      </w:r>
      <w:r w:rsidR="001F2D39" w:rsidRPr="007E5419">
        <w:rPr>
          <w:rFonts w:ascii="Book Antiqua" w:eastAsia="Calibri" w:hAnsi="Book Antiqua" w:cstheme="majorBidi"/>
          <w:sz w:val="24"/>
          <w:szCs w:val="24"/>
        </w:rPr>
        <w:t>must apply</w:t>
      </w:r>
      <w:r w:rsidRPr="007E5419">
        <w:rPr>
          <w:rFonts w:ascii="Book Antiqua" w:eastAsia="Calibri" w:hAnsi="Book Antiqua" w:cstheme="majorBidi"/>
          <w:sz w:val="24"/>
          <w:szCs w:val="24"/>
        </w:rPr>
        <w:t xml:space="preserve"> </w:t>
      </w:r>
      <w:r w:rsidR="001F2D39" w:rsidRPr="007E5419">
        <w:rPr>
          <w:rFonts w:ascii="Book Antiqua" w:eastAsia="Calibri" w:hAnsi="Book Antiqua" w:cstheme="majorBidi"/>
          <w:sz w:val="24"/>
          <w:szCs w:val="24"/>
        </w:rPr>
        <w:t xml:space="preserve">the banking system </w:t>
      </w:r>
      <w:r w:rsidRPr="007E5419">
        <w:rPr>
          <w:rFonts w:ascii="Book Antiqua" w:eastAsia="Calibri" w:hAnsi="Book Antiqua" w:cstheme="majorBidi"/>
          <w:sz w:val="24"/>
          <w:szCs w:val="24"/>
        </w:rPr>
        <w:t xml:space="preserve">based on principles of Shari'ah. </w:t>
      </w:r>
      <w:r w:rsidR="001F2D39" w:rsidRPr="007E5419">
        <w:rPr>
          <w:rFonts w:ascii="Book Antiqua" w:eastAsia="Calibri" w:hAnsi="Book Antiqua" w:cstheme="majorBidi"/>
          <w:sz w:val="24"/>
          <w:szCs w:val="24"/>
        </w:rPr>
        <w:t>T</w:t>
      </w:r>
      <w:r w:rsidRPr="007E5419">
        <w:rPr>
          <w:rFonts w:ascii="Book Antiqua" w:eastAsia="Calibri" w:hAnsi="Book Antiqua" w:cstheme="majorBidi"/>
          <w:sz w:val="24"/>
          <w:szCs w:val="24"/>
        </w:rPr>
        <w:t xml:space="preserve">his law determined that the bank can carry out its activities in a common pattern (conventional) and based on the principles of Shariah, or at the same general pattern (conventional) and based on the principles of Shari'ah. In his speech the Minister of Finance, representing the </w:t>
      </w:r>
      <w:r w:rsidRPr="007E5419">
        <w:rPr>
          <w:rFonts w:ascii="Book Antiqua" w:eastAsia="Calibri" w:hAnsi="Book Antiqua" w:cstheme="majorBidi"/>
          <w:sz w:val="24"/>
          <w:szCs w:val="24"/>
        </w:rPr>
        <w:lastRenderedPageBreak/>
        <w:t>government in connection with the approval of the bill states that among the materials this change is the ease of Shariah principles in business activities of the bank, with the possibility of a commercial bank to carry out its operations in conventional and at the same time can also run the pattern of financing and other activities based on the principle of Shari'ah.</w:t>
      </w:r>
    </w:p>
    <w:p w:rsidR="00082F3E" w:rsidRPr="007E5419" w:rsidRDefault="001F2D39" w:rsidP="00C04792">
      <w:pPr>
        <w:tabs>
          <w:tab w:val="num" w:pos="360"/>
        </w:tabs>
        <w:spacing w:line="360" w:lineRule="auto"/>
        <w:ind w:left="36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The </w:t>
      </w:r>
      <w:r w:rsidR="00082F3E" w:rsidRPr="007E5419">
        <w:rPr>
          <w:rFonts w:ascii="Book Antiqua" w:eastAsia="Calibri" w:hAnsi="Book Antiqua" w:cstheme="majorBidi"/>
          <w:sz w:val="24"/>
          <w:szCs w:val="24"/>
        </w:rPr>
        <w:t>Shari'ah principle</w:t>
      </w:r>
      <w:r w:rsidRPr="007E5419">
        <w:rPr>
          <w:rFonts w:ascii="Book Antiqua" w:eastAsia="Calibri" w:hAnsi="Book Antiqua" w:cstheme="majorBidi"/>
          <w:sz w:val="24"/>
          <w:szCs w:val="24"/>
        </w:rPr>
        <w:t>s</w:t>
      </w:r>
      <w:r w:rsidR="00082F3E" w:rsidRPr="007E5419">
        <w:rPr>
          <w:rFonts w:ascii="Book Antiqua" w:eastAsia="Calibri" w:hAnsi="Book Antiqua" w:cstheme="majorBidi"/>
          <w:sz w:val="24"/>
          <w:szCs w:val="24"/>
        </w:rPr>
        <w:t xml:space="preserve"> </w:t>
      </w:r>
      <w:r w:rsidRPr="007E5419">
        <w:rPr>
          <w:rFonts w:ascii="Book Antiqua" w:eastAsia="Calibri" w:hAnsi="Book Antiqua" w:cstheme="majorBidi"/>
          <w:sz w:val="24"/>
          <w:szCs w:val="24"/>
        </w:rPr>
        <w:t xml:space="preserve">become </w:t>
      </w:r>
      <w:r w:rsidR="00082F3E" w:rsidRPr="007E5419">
        <w:rPr>
          <w:rFonts w:ascii="Book Antiqua" w:eastAsia="Calibri" w:hAnsi="Book Antiqua" w:cstheme="majorBidi"/>
          <w:sz w:val="24"/>
          <w:szCs w:val="24"/>
        </w:rPr>
        <w:t xml:space="preserve">the </w:t>
      </w:r>
      <w:r w:rsidRPr="007E5419">
        <w:rPr>
          <w:rFonts w:ascii="Book Antiqua" w:eastAsia="Calibri" w:hAnsi="Book Antiqua" w:cstheme="majorBidi"/>
          <w:sz w:val="24"/>
          <w:szCs w:val="24"/>
        </w:rPr>
        <w:t xml:space="preserve">basic </w:t>
      </w:r>
      <w:r w:rsidR="00082F3E" w:rsidRPr="007E5419">
        <w:rPr>
          <w:rFonts w:ascii="Book Antiqua" w:eastAsia="Calibri" w:hAnsi="Book Antiqua" w:cstheme="majorBidi"/>
          <w:sz w:val="24"/>
          <w:szCs w:val="24"/>
        </w:rPr>
        <w:t xml:space="preserve">value </w:t>
      </w:r>
      <w:r w:rsidRPr="007E5419">
        <w:rPr>
          <w:rFonts w:ascii="Book Antiqua" w:eastAsia="Calibri" w:hAnsi="Book Antiqua" w:cstheme="majorBidi"/>
          <w:sz w:val="24"/>
          <w:szCs w:val="24"/>
        </w:rPr>
        <w:t xml:space="preserve">in </w:t>
      </w:r>
      <w:r w:rsidR="00082F3E" w:rsidRPr="007E5419">
        <w:rPr>
          <w:rFonts w:ascii="Book Antiqua" w:eastAsia="Calibri" w:hAnsi="Book Antiqua" w:cstheme="majorBidi"/>
          <w:sz w:val="24"/>
          <w:szCs w:val="24"/>
        </w:rPr>
        <w:t xml:space="preserve">every chapter in this law, </w:t>
      </w:r>
      <w:r w:rsidRPr="007E5419">
        <w:rPr>
          <w:rFonts w:ascii="Book Antiqua" w:eastAsia="Calibri" w:hAnsi="Book Antiqua" w:cstheme="majorBidi"/>
          <w:sz w:val="24"/>
          <w:szCs w:val="24"/>
        </w:rPr>
        <w:t xml:space="preserve">such </w:t>
      </w:r>
      <w:r w:rsidR="00082F3E" w:rsidRPr="007E5419">
        <w:rPr>
          <w:rFonts w:ascii="Book Antiqua" w:eastAsia="Calibri" w:hAnsi="Book Antiqua" w:cstheme="majorBidi"/>
          <w:sz w:val="24"/>
          <w:szCs w:val="24"/>
        </w:rPr>
        <w:t>as in Article 1 (3) that a commercial bank is a bank conducting conventional business and or based on the principle of Shariah in its activities provid</w:t>
      </w:r>
      <w:r w:rsidRPr="007E5419">
        <w:rPr>
          <w:rFonts w:ascii="Book Antiqua" w:eastAsia="Calibri" w:hAnsi="Book Antiqua" w:cstheme="majorBidi"/>
          <w:sz w:val="24"/>
          <w:szCs w:val="24"/>
        </w:rPr>
        <w:t>ing services in payment traffic;</w:t>
      </w:r>
      <w:r w:rsidR="00082F3E" w:rsidRPr="007E5419">
        <w:rPr>
          <w:rFonts w:ascii="Book Antiqua" w:eastAsia="Calibri" w:hAnsi="Book Antiqua" w:cstheme="majorBidi"/>
          <w:sz w:val="24"/>
          <w:szCs w:val="24"/>
        </w:rPr>
        <w:t xml:space="preserve"> Article 6 (m) provide financing or undertake other activities based on the principle of Shariah, in accordance </w:t>
      </w:r>
      <w:r w:rsidRPr="007E5419">
        <w:rPr>
          <w:rFonts w:ascii="Book Antiqua" w:eastAsia="Calibri" w:hAnsi="Book Antiqua" w:cstheme="majorBidi"/>
          <w:sz w:val="24"/>
          <w:szCs w:val="24"/>
        </w:rPr>
        <w:t xml:space="preserve">to </w:t>
      </w:r>
      <w:r w:rsidR="00082F3E" w:rsidRPr="007E5419">
        <w:rPr>
          <w:rFonts w:ascii="Book Antiqua" w:eastAsia="Calibri" w:hAnsi="Book Antiqua" w:cstheme="majorBidi"/>
          <w:sz w:val="24"/>
          <w:szCs w:val="24"/>
        </w:rPr>
        <w:t>the provisions stipulated by bank Indonesia</w:t>
      </w:r>
      <w:r w:rsidRPr="007E5419">
        <w:rPr>
          <w:rFonts w:ascii="Book Antiqua" w:eastAsia="Calibri" w:hAnsi="Book Antiqua" w:cstheme="majorBidi"/>
          <w:sz w:val="24"/>
          <w:szCs w:val="24"/>
        </w:rPr>
        <w:t>;</w:t>
      </w:r>
      <w:r w:rsidR="00082F3E" w:rsidRPr="007E5419">
        <w:rPr>
          <w:rFonts w:ascii="Book Antiqua" w:eastAsia="Calibri" w:hAnsi="Book Antiqua" w:cstheme="majorBidi"/>
          <w:sz w:val="24"/>
          <w:szCs w:val="24"/>
        </w:rPr>
        <w:t xml:space="preserve"> Article 7 (c) </w:t>
      </w:r>
      <w:r w:rsidRPr="007E5419">
        <w:rPr>
          <w:rFonts w:ascii="Book Antiqua" w:eastAsia="Calibri" w:hAnsi="Book Antiqua" w:cstheme="majorBidi"/>
          <w:sz w:val="24"/>
          <w:szCs w:val="24"/>
        </w:rPr>
        <w:t xml:space="preserve">to make </w:t>
      </w:r>
      <w:r w:rsidR="00082F3E" w:rsidRPr="007E5419">
        <w:rPr>
          <w:rFonts w:ascii="Book Antiqua" w:eastAsia="Calibri" w:hAnsi="Book Antiqua" w:cstheme="majorBidi"/>
          <w:sz w:val="24"/>
          <w:szCs w:val="24"/>
        </w:rPr>
        <w:t xml:space="preserve">temporary investment to overcome the consequences of </w:t>
      </w:r>
      <w:r w:rsidRPr="007E5419">
        <w:rPr>
          <w:rFonts w:ascii="Book Antiqua" w:eastAsia="Calibri" w:hAnsi="Book Antiqua" w:cstheme="majorBidi"/>
          <w:sz w:val="24"/>
          <w:szCs w:val="24"/>
        </w:rPr>
        <w:t xml:space="preserve">credit </w:t>
      </w:r>
      <w:r w:rsidR="00082F3E" w:rsidRPr="007E5419">
        <w:rPr>
          <w:rFonts w:ascii="Book Antiqua" w:eastAsia="Calibri" w:hAnsi="Book Antiqua" w:cstheme="majorBidi"/>
          <w:sz w:val="24"/>
          <w:szCs w:val="24"/>
        </w:rPr>
        <w:t xml:space="preserve">failure or financing </w:t>
      </w:r>
      <w:r w:rsidRPr="007E5419">
        <w:rPr>
          <w:rFonts w:ascii="Book Antiqua" w:eastAsia="Calibri" w:hAnsi="Book Antiqua" w:cstheme="majorBidi"/>
          <w:sz w:val="24"/>
          <w:szCs w:val="24"/>
        </w:rPr>
        <w:t xml:space="preserve">failure based on the principle </w:t>
      </w:r>
      <w:r w:rsidRPr="007E5419">
        <w:rPr>
          <w:rFonts w:ascii="Book Antiqua" w:eastAsia="Calibri" w:hAnsi="Book Antiqua" w:cstheme="majorBidi"/>
          <w:i/>
          <w:iCs/>
          <w:sz w:val="24"/>
          <w:szCs w:val="24"/>
        </w:rPr>
        <w:t>Syari</w:t>
      </w:r>
      <w:r w:rsidR="00082F3E" w:rsidRPr="007E5419">
        <w:rPr>
          <w:rFonts w:ascii="Book Antiqua" w:eastAsia="Calibri" w:hAnsi="Book Antiqua" w:cstheme="majorBidi"/>
          <w:i/>
          <w:iCs/>
          <w:sz w:val="24"/>
          <w:szCs w:val="24"/>
        </w:rPr>
        <w:t>'ah</w:t>
      </w:r>
      <w:r w:rsidR="00082F3E" w:rsidRPr="007E5419">
        <w:rPr>
          <w:rFonts w:ascii="Book Antiqua" w:eastAsia="Calibri" w:hAnsi="Book Antiqua" w:cstheme="majorBidi"/>
          <w:sz w:val="24"/>
          <w:szCs w:val="24"/>
        </w:rPr>
        <w:t>, with the condition that they must withdraw their ownership interests, by fulfilling the conditions set by Bank Indonesia</w:t>
      </w:r>
      <w:r w:rsidRPr="007E5419">
        <w:rPr>
          <w:rFonts w:ascii="Book Antiqua" w:eastAsia="Calibri" w:hAnsi="Book Antiqua" w:cstheme="majorBidi"/>
          <w:sz w:val="24"/>
          <w:szCs w:val="24"/>
        </w:rPr>
        <w:t>;</w:t>
      </w:r>
      <w:r w:rsidR="00082F3E" w:rsidRPr="007E5419">
        <w:rPr>
          <w:rFonts w:ascii="Book Antiqua" w:eastAsia="Calibri" w:hAnsi="Book Antiqua" w:cstheme="majorBidi"/>
          <w:sz w:val="24"/>
          <w:szCs w:val="24"/>
        </w:rPr>
        <w:t xml:space="preserve"> Article 8 (2) of commercial banks are required to have and implement guidelines for lending and financing based on the Shariah principle, in accordance with the provisions stipulated by Bank Indonesia, and </w:t>
      </w:r>
      <w:r w:rsidRPr="007E5419">
        <w:rPr>
          <w:rFonts w:ascii="Book Antiqua" w:eastAsia="Calibri" w:hAnsi="Book Antiqua" w:cstheme="majorBidi"/>
          <w:sz w:val="24"/>
          <w:szCs w:val="24"/>
        </w:rPr>
        <w:t xml:space="preserve">other </w:t>
      </w:r>
      <w:r w:rsidR="00082F3E" w:rsidRPr="007E5419">
        <w:rPr>
          <w:rFonts w:ascii="Book Antiqua" w:eastAsia="Calibri" w:hAnsi="Book Antiqua" w:cstheme="majorBidi"/>
          <w:sz w:val="24"/>
          <w:szCs w:val="24"/>
        </w:rPr>
        <w:t>article</w:t>
      </w:r>
      <w:r w:rsidRPr="007E5419">
        <w:rPr>
          <w:rFonts w:ascii="Book Antiqua" w:eastAsia="Calibri" w:hAnsi="Book Antiqua" w:cstheme="majorBidi"/>
          <w:sz w:val="24"/>
          <w:szCs w:val="24"/>
        </w:rPr>
        <w:t>s</w:t>
      </w:r>
      <w:r w:rsidR="00082F3E" w:rsidRPr="007E5419">
        <w:rPr>
          <w:rFonts w:ascii="Book Antiqua" w:eastAsia="Calibri" w:hAnsi="Book Antiqua" w:cstheme="majorBidi"/>
          <w:sz w:val="24"/>
          <w:szCs w:val="24"/>
        </w:rPr>
        <w:t xml:space="preserve"> about banking </w:t>
      </w:r>
      <w:r w:rsidR="00E63925" w:rsidRPr="007E5419">
        <w:rPr>
          <w:rFonts w:ascii="Book Antiqua" w:eastAsia="Calibri" w:hAnsi="Book Antiqua" w:cstheme="majorBidi"/>
          <w:sz w:val="24"/>
          <w:szCs w:val="24"/>
        </w:rPr>
        <w:t xml:space="preserve">fulfilled by </w:t>
      </w:r>
      <w:r w:rsidR="00082F3E" w:rsidRPr="007E5419">
        <w:rPr>
          <w:rFonts w:ascii="Book Antiqua" w:eastAsia="Calibri" w:hAnsi="Book Antiqua" w:cstheme="majorBidi"/>
          <w:sz w:val="24"/>
          <w:szCs w:val="24"/>
        </w:rPr>
        <w:t>the term 'based on the principle of Shari'ah'.</w:t>
      </w:r>
    </w:p>
    <w:p w:rsidR="00082F3E" w:rsidRPr="007E5419" w:rsidRDefault="00082F3E" w:rsidP="00C04792">
      <w:pPr>
        <w:tabs>
          <w:tab w:val="num" w:pos="360"/>
        </w:tabs>
        <w:spacing w:line="360" w:lineRule="auto"/>
        <w:ind w:left="36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In general terms what is meant by financing based on the principle of Sharia </w:t>
      </w:r>
      <w:r w:rsidR="00E63925" w:rsidRPr="007E5419">
        <w:rPr>
          <w:rFonts w:ascii="Book Antiqua" w:eastAsia="Calibri" w:hAnsi="Book Antiqua" w:cstheme="majorBidi"/>
          <w:sz w:val="24"/>
          <w:szCs w:val="24"/>
        </w:rPr>
        <w:t xml:space="preserve">in article 1 (12) </w:t>
      </w:r>
      <w:r w:rsidRPr="007E5419">
        <w:rPr>
          <w:rFonts w:ascii="Book Antiqua" w:eastAsia="Calibri" w:hAnsi="Book Antiqua" w:cstheme="majorBidi"/>
          <w:sz w:val="24"/>
          <w:szCs w:val="24"/>
        </w:rPr>
        <w:t xml:space="preserve">is to provide cash was based on agreements between the bank and other parties that requires the financed party to return the money or the charges after a certain period </w:t>
      </w:r>
      <w:r w:rsidR="00E63925" w:rsidRPr="007E5419">
        <w:rPr>
          <w:rFonts w:ascii="Book Antiqua" w:eastAsia="Calibri" w:hAnsi="Book Antiqua" w:cstheme="majorBidi"/>
          <w:sz w:val="24"/>
          <w:szCs w:val="24"/>
        </w:rPr>
        <w:t xml:space="preserve">in accordance to the sharing profit; </w:t>
      </w:r>
      <w:r w:rsidRPr="007E5419">
        <w:rPr>
          <w:rFonts w:ascii="Book Antiqua" w:eastAsia="Calibri" w:hAnsi="Book Antiqua" w:cstheme="majorBidi"/>
          <w:sz w:val="24"/>
          <w:szCs w:val="24"/>
        </w:rPr>
        <w:t xml:space="preserve">and </w:t>
      </w:r>
      <w:r w:rsidR="00E63925" w:rsidRPr="007E5419">
        <w:rPr>
          <w:rFonts w:ascii="Book Antiqua" w:eastAsia="Calibri" w:hAnsi="Book Antiqua" w:cstheme="majorBidi"/>
          <w:sz w:val="24"/>
          <w:szCs w:val="24"/>
        </w:rPr>
        <w:t xml:space="preserve">in article 1 (13) states that </w:t>
      </w:r>
      <w:r w:rsidRPr="007E5419">
        <w:rPr>
          <w:rFonts w:ascii="Book Antiqua" w:eastAsia="Calibri" w:hAnsi="Book Antiqua" w:cstheme="majorBidi"/>
          <w:sz w:val="24"/>
          <w:szCs w:val="24"/>
        </w:rPr>
        <w:t xml:space="preserve">the principle of rule of Sharia is Islamic law based on the agreement between the bank and other parties to hold funds or financing business activities, or other business declared in </w:t>
      </w:r>
      <w:r w:rsidRPr="007E5419">
        <w:rPr>
          <w:rFonts w:ascii="Book Antiqua" w:eastAsia="Calibri" w:hAnsi="Book Antiqua" w:cstheme="majorBidi"/>
          <w:sz w:val="24"/>
          <w:szCs w:val="24"/>
        </w:rPr>
        <w:lastRenderedPageBreak/>
        <w:t xml:space="preserve">accordance </w:t>
      </w:r>
      <w:r w:rsidR="00E63925" w:rsidRPr="007E5419">
        <w:rPr>
          <w:rFonts w:ascii="Book Antiqua" w:eastAsia="Calibri" w:hAnsi="Book Antiqua" w:cstheme="majorBidi"/>
          <w:sz w:val="24"/>
          <w:szCs w:val="24"/>
        </w:rPr>
        <w:t xml:space="preserve">to </w:t>
      </w:r>
      <w:r w:rsidRPr="007E5419">
        <w:rPr>
          <w:rFonts w:ascii="Book Antiqua" w:eastAsia="Calibri" w:hAnsi="Book Antiqua" w:cstheme="majorBidi"/>
          <w:sz w:val="24"/>
          <w:szCs w:val="24"/>
        </w:rPr>
        <w:t xml:space="preserve">sharia, among other financing based on the </w:t>
      </w:r>
      <w:r w:rsidR="00E63925" w:rsidRPr="007E5419">
        <w:rPr>
          <w:rFonts w:ascii="Book Antiqua" w:eastAsia="Calibri" w:hAnsi="Book Antiqua" w:cstheme="majorBidi"/>
          <w:sz w:val="24"/>
          <w:szCs w:val="24"/>
        </w:rPr>
        <w:t xml:space="preserve">profit sharing </w:t>
      </w:r>
      <w:r w:rsidRPr="007E5419">
        <w:rPr>
          <w:rFonts w:ascii="Book Antiqua" w:eastAsia="Calibri" w:hAnsi="Book Antiqua" w:cstheme="majorBidi"/>
          <w:sz w:val="24"/>
          <w:szCs w:val="24"/>
        </w:rPr>
        <w:t>principles (</w:t>
      </w:r>
      <w:r w:rsidRPr="007E5419">
        <w:rPr>
          <w:rFonts w:ascii="Book Antiqua" w:eastAsia="Calibri" w:hAnsi="Book Antiqua" w:cstheme="majorBidi"/>
          <w:i/>
          <w:iCs/>
          <w:sz w:val="24"/>
          <w:szCs w:val="24"/>
        </w:rPr>
        <w:t>mudaraba</w:t>
      </w:r>
      <w:r w:rsidRPr="007E5419">
        <w:rPr>
          <w:rFonts w:ascii="Book Antiqua" w:eastAsia="Calibri" w:hAnsi="Book Antiqua" w:cstheme="majorBidi"/>
          <w:sz w:val="24"/>
          <w:szCs w:val="24"/>
        </w:rPr>
        <w:t>), financing is based on the principle of equity (</w:t>
      </w:r>
      <w:r w:rsidRPr="007E5419">
        <w:rPr>
          <w:rFonts w:ascii="Book Antiqua" w:eastAsia="Calibri" w:hAnsi="Book Antiqua" w:cstheme="majorBidi"/>
          <w:i/>
          <w:iCs/>
          <w:sz w:val="24"/>
          <w:szCs w:val="24"/>
        </w:rPr>
        <w:t>musharaka</w:t>
      </w:r>
      <w:r w:rsidRPr="007E5419">
        <w:rPr>
          <w:rFonts w:ascii="Book Antiqua" w:eastAsia="Calibri" w:hAnsi="Book Antiqua" w:cstheme="majorBidi"/>
          <w:sz w:val="24"/>
          <w:szCs w:val="24"/>
        </w:rPr>
        <w:t>), the principle of buying and selling goods with profit (</w:t>
      </w:r>
      <w:r w:rsidRPr="007E5419">
        <w:rPr>
          <w:rFonts w:ascii="Book Antiqua" w:eastAsia="Calibri" w:hAnsi="Book Antiqua" w:cstheme="majorBidi"/>
          <w:i/>
          <w:iCs/>
          <w:sz w:val="24"/>
          <w:szCs w:val="24"/>
        </w:rPr>
        <w:t>murabaha</w:t>
      </w:r>
      <w:r w:rsidRPr="007E5419">
        <w:rPr>
          <w:rFonts w:ascii="Book Antiqua" w:eastAsia="Calibri" w:hAnsi="Book Antiqua" w:cstheme="majorBidi"/>
          <w:sz w:val="24"/>
          <w:szCs w:val="24"/>
        </w:rPr>
        <w:t>), or the financing of capital goods is based on the principle of rent pure without selection (</w:t>
      </w:r>
      <w:r w:rsidRPr="007E5419">
        <w:rPr>
          <w:rFonts w:ascii="Book Antiqua" w:eastAsia="Calibri" w:hAnsi="Book Antiqua" w:cstheme="majorBidi"/>
          <w:i/>
          <w:iCs/>
          <w:sz w:val="24"/>
          <w:szCs w:val="24"/>
        </w:rPr>
        <w:t>ijara</w:t>
      </w:r>
      <w:r w:rsidRPr="007E5419">
        <w:rPr>
          <w:rFonts w:ascii="Book Antiqua" w:eastAsia="Calibri" w:hAnsi="Book Antiqua" w:cstheme="majorBidi"/>
          <w:sz w:val="24"/>
          <w:szCs w:val="24"/>
        </w:rPr>
        <w:t xml:space="preserve">), or with the selection of the transfer of ownership of goods leased from the bank by another party </w:t>
      </w:r>
      <w:r w:rsidRPr="007E5419">
        <w:rPr>
          <w:rFonts w:ascii="Book Antiqua" w:eastAsia="Calibri" w:hAnsi="Book Antiqua" w:cstheme="majorBidi"/>
          <w:i/>
          <w:iCs/>
          <w:sz w:val="24"/>
          <w:szCs w:val="24"/>
        </w:rPr>
        <w:t>(ijara wa iqtina</w:t>
      </w:r>
      <w:r w:rsidRPr="007E5419">
        <w:rPr>
          <w:rFonts w:ascii="Book Antiqua" w:eastAsia="Calibri" w:hAnsi="Book Antiqua" w:cstheme="majorBidi"/>
          <w:sz w:val="24"/>
          <w:szCs w:val="24"/>
        </w:rPr>
        <w:t>).</w:t>
      </w:r>
    </w:p>
    <w:p w:rsidR="00082F3E" w:rsidRPr="007E5419" w:rsidRDefault="00082F3E" w:rsidP="00C04792">
      <w:pPr>
        <w:tabs>
          <w:tab w:val="num" w:pos="360"/>
        </w:tabs>
        <w:spacing w:line="360" w:lineRule="auto"/>
        <w:ind w:left="36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From the exposure can be said that with the banking legislation of the new Islamic banking principles have been applied to the system for results as well as other principles in </w:t>
      </w:r>
      <w:r w:rsidRPr="007E5419">
        <w:rPr>
          <w:rFonts w:ascii="Book Antiqua" w:eastAsia="Calibri" w:hAnsi="Book Antiqua" w:cstheme="majorBidi"/>
          <w:i/>
          <w:iCs/>
          <w:sz w:val="24"/>
          <w:szCs w:val="24"/>
        </w:rPr>
        <w:t>fiqh mu'amalah</w:t>
      </w:r>
      <w:r w:rsidRPr="007E5419">
        <w:rPr>
          <w:rFonts w:ascii="Book Antiqua" w:eastAsia="Calibri" w:hAnsi="Book Antiqua" w:cstheme="majorBidi"/>
          <w:sz w:val="24"/>
          <w:szCs w:val="24"/>
        </w:rPr>
        <w:t xml:space="preserve"> like </w:t>
      </w:r>
      <w:r w:rsidR="00B967F5" w:rsidRPr="007E5419">
        <w:rPr>
          <w:rFonts w:ascii="Book Antiqua" w:eastAsia="Calibri" w:hAnsi="Book Antiqua" w:cstheme="majorBidi"/>
          <w:i/>
          <w:iCs/>
          <w:sz w:val="24"/>
          <w:szCs w:val="24"/>
        </w:rPr>
        <w:t>musharaka, mudaraba, i</w:t>
      </w:r>
      <w:r w:rsidRPr="007E5419">
        <w:rPr>
          <w:rFonts w:ascii="Book Antiqua" w:eastAsia="Calibri" w:hAnsi="Book Antiqua" w:cstheme="majorBidi"/>
          <w:i/>
          <w:iCs/>
          <w:sz w:val="24"/>
          <w:szCs w:val="24"/>
        </w:rPr>
        <w:t>jara</w:t>
      </w:r>
      <w:r w:rsidRPr="007E5419">
        <w:rPr>
          <w:rFonts w:ascii="Book Antiqua" w:eastAsia="Calibri" w:hAnsi="Book Antiqua" w:cstheme="majorBidi"/>
          <w:sz w:val="24"/>
          <w:szCs w:val="24"/>
        </w:rPr>
        <w:t xml:space="preserve"> and so forth. In other words</w:t>
      </w:r>
      <w:r w:rsidR="00B967F5" w:rsidRPr="007E5419">
        <w:rPr>
          <w:rFonts w:ascii="Book Antiqua" w:eastAsia="Calibri" w:hAnsi="Book Antiqua" w:cstheme="majorBidi"/>
          <w:sz w:val="24"/>
          <w:szCs w:val="24"/>
        </w:rPr>
        <w:t>, the</w:t>
      </w:r>
      <w:r w:rsidRPr="007E5419">
        <w:rPr>
          <w:rFonts w:ascii="Book Antiqua" w:eastAsia="Calibri" w:hAnsi="Book Antiqua" w:cstheme="majorBidi"/>
          <w:sz w:val="24"/>
          <w:szCs w:val="24"/>
        </w:rPr>
        <w:t xml:space="preserve"> regulation has justified the implementation of the banking system of Shariah (Islamic banking) in Indonesia.</w:t>
      </w:r>
    </w:p>
    <w:p w:rsidR="00082F3E" w:rsidRPr="007E5419" w:rsidRDefault="00BD1930" w:rsidP="00C04792">
      <w:pPr>
        <w:pStyle w:val="ListParagraph"/>
        <w:numPr>
          <w:ilvl w:val="0"/>
          <w:numId w:val="11"/>
        </w:numPr>
        <w:tabs>
          <w:tab w:val="num" w:pos="720"/>
        </w:tabs>
        <w:spacing w:line="360" w:lineRule="auto"/>
        <w:jc w:val="both"/>
        <w:rPr>
          <w:rFonts w:ascii="Book Antiqua" w:eastAsia="Calibri" w:hAnsi="Book Antiqua" w:cstheme="majorBidi"/>
          <w:b/>
          <w:bCs/>
          <w:i/>
          <w:iCs/>
          <w:sz w:val="24"/>
          <w:szCs w:val="24"/>
        </w:rPr>
      </w:pPr>
      <w:r w:rsidRPr="007E5419">
        <w:rPr>
          <w:rFonts w:ascii="Book Antiqua" w:eastAsia="Calibri" w:hAnsi="Book Antiqua" w:cstheme="majorBidi"/>
          <w:b/>
          <w:bCs/>
          <w:sz w:val="24"/>
          <w:szCs w:val="24"/>
        </w:rPr>
        <w:t>The a</w:t>
      </w:r>
      <w:r w:rsidR="00082F3E" w:rsidRPr="007E5419">
        <w:rPr>
          <w:rFonts w:ascii="Book Antiqua" w:eastAsia="Calibri" w:hAnsi="Book Antiqua" w:cstheme="majorBidi"/>
          <w:b/>
          <w:bCs/>
          <w:sz w:val="24"/>
          <w:szCs w:val="24"/>
        </w:rPr>
        <w:t xml:space="preserve">ct </w:t>
      </w:r>
      <w:r w:rsidRPr="007E5419">
        <w:rPr>
          <w:rFonts w:ascii="Book Antiqua" w:eastAsia="Calibri" w:hAnsi="Book Antiqua" w:cstheme="majorBidi"/>
          <w:b/>
          <w:bCs/>
          <w:sz w:val="24"/>
          <w:szCs w:val="24"/>
        </w:rPr>
        <w:t xml:space="preserve">of </w:t>
      </w:r>
      <w:r w:rsidR="00082F3E" w:rsidRPr="007E5419">
        <w:rPr>
          <w:rFonts w:ascii="Book Antiqua" w:eastAsia="Calibri" w:hAnsi="Book Antiqua" w:cstheme="majorBidi"/>
          <w:b/>
          <w:bCs/>
          <w:sz w:val="24"/>
          <w:szCs w:val="24"/>
        </w:rPr>
        <w:t xml:space="preserve">Hajj </w:t>
      </w:r>
    </w:p>
    <w:p w:rsidR="00082F3E" w:rsidRPr="007E5419" w:rsidRDefault="00B55B0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T</w:t>
      </w:r>
      <w:r w:rsidR="00082F3E" w:rsidRPr="007E5419">
        <w:rPr>
          <w:rFonts w:ascii="Book Antiqua" w:eastAsia="Calibri" w:hAnsi="Book Antiqua" w:cstheme="majorBidi"/>
          <w:sz w:val="24"/>
          <w:szCs w:val="24"/>
        </w:rPr>
        <w:t xml:space="preserve">he law on the Hajj </w:t>
      </w:r>
      <w:r w:rsidRPr="007E5419">
        <w:rPr>
          <w:rFonts w:ascii="Book Antiqua" w:eastAsia="Calibri" w:hAnsi="Book Antiqua" w:cstheme="majorBidi"/>
          <w:sz w:val="24"/>
          <w:szCs w:val="24"/>
        </w:rPr>
        <w:t>wa</w:t>
      </w:r>
      <w:r w:rsidR="00082F3E" w:rsidRPr="007E5419">
        <w:rPr>
          <w:rFonts w:ascii="Book Antiqua" w:eastAsia="Calibri" w:hAnsi="Book Antiqua" w:cstheme="majorBidi"/>
          <w:sz w:val="24"/>
          <w:szCs w:val="24"/>
        </w:rPr>
        <w:t xml:space="preserve">s </w:t>
      </w:r>
      <w:r w:rsidRPr="007E5419">
        <w:rPr>
          <w:rFonts w:ascii="Book Antiqua" w:eastAsia="Calibri" w:hAnsi="Book Antiqua" w:cstheme="majorBidi"/>
          <w:sz w:val="24"/>
          <w:szCs w:val="24"/>
        </w:rPr>
        <w:t xml:space="preserve">also an inisiatif </w:t>
      </w:r>
      <w:r w:rsidR="00082F3E" w:rsidRPr="007E5419">
        <w:rPr>
          <w:rFonts w:ascii="Book Antiqua" w:eastAsia="Calibri" w:hAnsi="Book Antiqua" w:cstheme="majorBidi"/>
          <w:sz w:val="24"/>
          <w:szCs w:val="24"/>
        </w:rPr>
        <w:t xml:space="preserve">bill, the bill drafted and formulated by the Parliament for the proposed and decreed, on the basis of the right of initiative of the Parliament. The background of filing of the bill </w:t>
      </w:r>
      <w:r w:rsidRPr="007E5419">
        <w:rPr>
          <w:rFonts w:ascii="Book Antiqua" w:eastAsia="Calibri" w:hAnsi="Book Antiqua" w:cstheme="majorBidi"/>
          <w:sz w:val="24"/>
          <w:szCs w:val="24"/>
        </w:rPr>
        <w:t>wa</w:t>
      </w:r>
      <w:r w:rsidR="00082F3E" w:rsidRPr="007E5419">
        <w:rPr>
          <w:rFonts w:ascii="Book Antiqua" w:eastAsia="Calibri" w:hAnsi="Book Antiqua" w:cstheme="majorBidi"/>
          <w:sz w:val="24"/>
          <w:szCs w:val="24"/>
        </w:rPr>
        <w:t>s that the pilgrimage has been done by the people of Indonesia for centuries, and requires coordinated action of government in an effort to ensure the independence of its citizens to worship according to their respective religions, as well as the increasing number of Muslims making the pilgrimage year to year</w:t>
      </w:r>
      <w:r w:rsidRPr="007E5419">
        <w:rPr>
          <w:rFonts w:ascii="Book Antiqua" w:eastAsia="Calibri" w:hAnsi="Book Antiqua" w:cstheme="majorBidi"/>
          <w:sz w:val="24"/>
          <w:szCs w:val="24"/>
        </w:rPr>
        <w:t>. A</w:t>
      </w:r>
      <w:r w:rsidR="00082F3E" w:rsidRPr="007E5419">
        <w:rPr>
          <w:rFonts w:ascii="Book Antiqua" w:eastAsia="Calibri" w:hAnsi="Book Antiqua" w:cstheme="majorBidi"/>
          <w:sz w:val="24"/>
          <w:szCs w:val="24"/>
        </w:rPr>
        <w:t>round the year 1995/1996</w:t>
      </w:r>
      <w:r w:rsidRPr="007E5419">
        <w:rPr>
          <w:rFonts w:ascii="Book Antiqua" w:eastAsia="Calibri" w:hAnsi="Book Antiqua" w:cstheme="majorBidi"/>
          <w:sz w:val="24"/>
          <w:szCs w:val="24"/>
        </w:rPr>
        <w:t>, the</w:t>
      </w:r>
      <w:r w:rsidR="00082F3E" w:rsidRPr="007E5419">
        <w:rPr>
          <w:rFonts w:ascii="Book Antiqua" w:eastAsia="Calibri" w:hAnsi="Book Antiqua" w:cstheme="majorBidi"/>
          <w:sz w:val="24"/>
          <w:szCs w:val="24"/>
        </w:rPr>
        <w:t xml:space="preserve"> excess of the quota caus</w:t>
      </w:r>
      <w:r w:rsidRPr="007E5419">
        <w:rPr>
          <w:rFonts w:ascii="Book Antiqua" w:eastAsia="Calibri" w:hAnsi="Book Antiqua" w:cstheme="majorBidi"/>
          <w:sz w:val="24"/>
          <w:szCs w:val="24"/>
        </w:rPr>
        <w:t>ed</w:t>
      </w:r>
      <w:r w:rsidR="00082F3E" w:rsidRPr="007E5419">
        <w:rPr>
          <w:rFonts w:ascii="Book Antiqua" w:eastAsia="Calibri" w:hAnsi="Book Antiqua" w:cstheme="majorBidi"/>
          <w:sz w:val="24"/>
          <w:szCs w:val="24"/>
        </w:rPr>
        <w:t xml:space="preserve"> various problems.</w:t>
      </w:r>
      <w:r w:rsidR="00082F3E" w:rsidRPr="007E5419">
        <w:rPr>
          <w:rStyle w:val="FootnoteReference"/>
          <w:rFonts w:ascii="Book Antiqua" w:eastAsia="Calibri" w:hAnsi="Book Antiqua" w:cstheme="majorBidi"/>
          <w:sz w:val="24"/>
          <w:szCs w:val="24"/>
        </w:rPr>
        <w:footnoteReference w:id="30"/>
      </w:r>
      <w:r w:rsidRPr="007E5419">
        <w:rPr>
          <w:rFonts w:ascii="Book Antiqua" w:eastAsia="Calibri" w:hAnsi="Book Antiqua" w:cstheme="majorBidi"/>
          <w:sz w:val="24"/>
          <w:szCs w:val="24"/>
        </w:rPr>
        <w:t xml:space="preserve"> </w:t>
      </w:r>
      <w:r w:rsidR="00082F3E" w:rsidRPr="007E5419">
        <w:rPr>
          <w:rFonts w:ascii="Book Antiqua" w:eastAsia="Calibri" w:hAnsi="Book Antiqua" w:cstheme="majorBidi"/>
          <w:sz w:val="24"/>
          <w:szCs w:val="24"/>
        </w:rPr>
        <w:t xml:space="preserve">During this time the legislation concerning the organization of Hajj listed in </w:t>
      </w:r>
      <w:r w:rsidR="00082F3E" w:rsidRPr="007E5419">
        <w:rPr>
          <w:rFonts w:ascii="Book Antiqua" w:eastAsia="Calibri" w:hAnsi="Book Antiqua" w:cstheme="majorBidi"/>
          <w:i/>
          <w:iCs/>
          <w:sz w:val="24"/>
          <w:szCs w:val="24"/>
        </w:rPr>
        <w:t>Pelgrims Ordinance</w:t>
      </w:r>
      <w:r w:rsidR="00082F3E" w:rsidRPr="007E5419">
        <w:rPr>
          <w:rFonts w:ascii="Book Antiqua" w:eastAsia="Calibri" w:hAnsi="Book Antiqua" w:cstheme="majorBidi"/>
          <w:sz w:val="24"/>
          <w:szCs w:val="24"/>
        </w:rPr>
        <w:t xml:space="preserve"> of 1922 including </w:t>
      </w:r>
      <w:r w:rsidRPr="007E5419">
        <w:rPr>
          <w:rFonts w:ascii="Book Antiqua" w:eastAsia="Calibri" w:hAnsi="Book Antiqua" w:cstheme="majorBidi"/>
          <w:sz w:val="24"/>
          <w:szCs w:val="24"/>
        </w:rPr>
        <w:t xml:space="preserve">its </w:t>
      </w:r>
      <w:r w:rsidR="00082F3E" w:rsidRPr="007E5419">
        <w:rPr>
          <w:rFonts w:ascii="Book Antiqua" w:eastAsia="Calibri" w:hAnsi="Book Antiqua" w:cstheme="majorBidi"/>
          <w:sz w:val="24"/>
          <w:szCs w:val="24"/>
        </w:rPr>
        <w:t xml:space="preserve">changes and enhancements, and </w:t>
      </w:r>
      <w:r w:rsidR="00082F3E" w:rsidRPr="007E5419">
        <w:rPr>
          <w:rFonts w:ascii="Book Antiqua" w:eastAsia="Calibri" w:hAnsi="Book Antiqua" w:cstheme="majorBidi"/>
          <w:i/>
          <w:iCs/>
          <w:sz w:val="24"/>
          <w:szCs w:val="24"/>
        </w:rPr>
        <w:t>Pelgrims Verordering</w:t>
      </w:r>
      <w:r w:rsidR="00082F3E" w:rsidRPr="007E5419">
        <w:rPr>
          <w:rFonts w:ascii="Book Antiqua" w:eastAsia="Calibri" w:hAnsi="Book Antiqua" w:cstheme="majorBidi"/>
          <w:sz w:val="24"/>
          <w:szCs w:val="24"/>
        </w:rPr>
        <w:t xml:space="preserve"> 1938, and a wide variety of laws and regulations governing the organization of </w:t>
      </w:r>
      <w:r w:rsidR="00082F3E" w:rsidRPr="007E5419">
        <w:rPr>
          <w:rFonts w:ascii="Book Antiqua" w:eastAsia="Calibri" w:hAnsi="Book Antiqua" w:cstheme="majorBidi"/>
          <w:sz w:val="24"/>
          <w:szCs w:val="24"/>
        </w:rPr>
        <w:lastRenderedPageBreak/>
        <w:t>the Hajj, the PP No. 3 of 1960 on the Implementation of the pilgrimage is interdepartemantal field, Presidential Decree no. 6 of 1969 on the Implementation of Hajj Affairs by the Government, and Presidential Decree No. 62 of 1995 on organizing the Hajj Affairs. These regulations are considered no longer appropriate to the situation and condition of Indonesia, the legislation that is valid for this need to be customized and upgraded to become law.</w:t>
      </w:r>
      <w:r w:rsidR="00082F3E" w:rsidRPr="007E5419">
        <w:rPr>
          <w:rStyle w:val="FootnoteReference"/>
          <w:rFonts w:ascii="Book Antiqua" w:eastAsia="Calibri" w:hAnsi="Book Antiqua" w:cstheme="majorBidi"/>
          <w:sz w:val="24"/>
          <w:szCs w:val="24"/>
        </w:rPr>
        <w:footnoteReference w:id="31"/>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The purpose of the legislation organizing the Hajj is to establish the mechanism for administering the pilgrimage from registration pilgrims, coaching, implementation of the pilgrimage in Saudi Arabia, to pilgrims back in Indonesia, and p</w:t>
      </w:r>
      <w:r w:rsidR="00EB0110" w:rsidRPr="007E5419">
        <w:rPr>
          <w:rFonts w:ascii="Book Antiqua" w:eastAsia="Calibri" w:hAnsi="Book Antiqua" w:cstheme="majorBidi"/>
          <w:sz w:val="24"/>
          <w:szCs w:val="24"/>
        </w:rPr>
        <w:t>rotection against the candidate</w:t>
      </w:r>
      <w:r w:rsidRPr="007E5419">
        <w:rPr>
          <w:rFonts w:ascii="Book Antiqua" w:eastAsia="Calibri" w:hAnsi="Book Antiqua" w:cstheme="majorBidi"/>
          <w:sz w:val="24"/>
          <w:szCs w:val="24"/>
        </w:rPr>
        <w:t>/ pilgrims on the principle of Equality position as citizens countries, in order to materialize the organization of the pilgrimage that is safe, orderly and smoothly in accordance with the demands of religion.</w:t>
      </w:r>
      <w:r w:rsidRPr="007E5419">
        <w:rPr>
          <w:rStyle w:val="FootnoteReference"/>
          <w:rFonts w:ascii="Book Antiqua" w:eastAsia="Calibri" w:hAnsi="Book Antiqua" w:cstheme="majorBidi"/>
          <w:sz w:val="24"/>
          <w:szCs w:val="24"/>
        </w:rPr>
        <w:footnoteReference w:id="32"/>
      </w:r>
    </w:p>
    <w:p w:rsidR="00082F3E" w:rsidRPr="007E5419" w:rsidRDefault="00EB0110"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The law </w:t>
      </w:r>
      <w:r w:rsidR="00082F3E" w:rsidRPr="007E5419">
        <w:rPr>
          <w:rFonts w:ascii="Book Antiqua" w:eastAsia="Calibri" w:hAnsi="Book Antiqua" w:cstheme="majorBidi"/>
          <w:sz w:val="24"/>
          <w:szCs w:val="24"/>
        </w:rPr>
        <w:t xml:space="preserve">no. 17 of 1999 on Hajj </w:t>
      </w:r>
      <w:r w:rsidRPr="007E5419">
        <w:rPr>
          <w:rFonts w:ascii="Book Antiqua" w:eastAsia="Calibri" w:hAnsi="Book Antiqua" w:cstheme="majorBidi"/>
          <w:sz w:val="24"/>
          <w:szCs w:val="24"/>
        </w:rPr>
        <w:t>wa</w:t>
      </w:r>
      <w:r w:rsidR="00082F3E" w:rsidRPr="007E5419">
        <w:rPr>
          <w:rFonts w:ascii="Book Antiqua" w:eastAsia="Calibri" w:hAnsi="Book Antiqua" w:cstheme="majorBidi"/>
          <w:sz w:val="24"/>
          <w:szCs w:val="24"/>
        </w:rPr>
        <w:t>s</w:t>
      </w:r>
      <w:r w:rsidRPr="007E5419">
        <w:rPr>
          <w:rFonts w:ascii="Book Antiqua" w:eastAsia="Calibri" w:hAnsi="Book Antiqua" w:cstheme="majorBidi"/>
          <w:sz w:val="24"/>
          <w:szCs w:val="24"/>
        </w:rPr>
        <w:t xml:space="preserve"> enacted</w:t>
      </w:r>
      <w:r w:rsidR="00082F3E" w:rsidRPr="007E5419">
        <w:rPr>
          <w:rFonts w:ascii="Book Antiqua" w:eastAsia="Calibri" w:hAnsi="Book Antiqua" w:cstheme="majorBidi"/>
          <w:sz w:val="24"/>
          <w:szCs w:val="24"/>
        </w:rPr>
        <w:t xml:space="preserve">. As stated in article 4 that the organization of the Hajj by the principles of justice have the opportunity, protection and legal certainty in accordance with Pancasila and the </w:t>
      </w:r>
      <w:r w:rsidRPr="007E5419">
        <w:rPr>
          <w:rFonts w:ascii="Book Antiqua" w:eastAsia="Calibri" w:hAnsi="Book Antiqua" w:cstheme="majorBidi"/>
          <w:sz w:val="24"/>
          <w:szCs w:val="24"/>
        </w:rPr>
        <w:t xml:space="preserve">Constitution </w:t>
      </w:r>
      <w:r w:rsidR="00082F3E" w:rsidRPr="007E5419">
        <w:rPr>
          <w:rFonts w:ascii="Book Antiqua" w:eastAsia="Calibri" w:hAnsi="Book Antiqua" w:cstheme="majorBidi"/>
          <w:sz w:val="24"/>
          <w:szCs w:val="24"/>
        </w:rPr>
        <w:t xml:space="preserve">1945, and article 5 that the implementation of the Hajj aims to provide guidance, care, and protection as well as possible through the system and management Providing good so that implementation of the pilgrimage can walk safely, orderly, smooth and comfortable in accordance with the demands of religious pilgrims as well as independently in order to obtain Hajj </w:t>
      </w:r>
      <w:r w:rsidR="00082F3E" w:rsidRPr="007E5419">
        <w:rPr>
          <w:rFonts w:ascii="Book Antiqua" w:eastAsia="Calibri" w:hAnsi="Book Antiqua" w:cstheme="majorBidi"/>
          <w:i/>
          <w:iCs/>
          <w:sz w:val="24"/>
          <w:szCs w:val="24"/>
        </w:rPr>
        <w:t>mabrur</w:t>
      </w:r>
      <w:r w:rsidR="00082F3E" w:rsidRPr="007E5419">
        <w:rPr>
          <w:rFonts w:ascii="Book Antiqua" w:eastAsia="Calibri" w:hAnsi="Book Antiqua" w:cstheme="majorBidi"/>
          <w:sz w:val="24"/>
          <w:szCs w:val="24"/>
        </w:rPr>
        <w:t>. Therefore</w:t>
      </w:r>
      <w:r w:rsidRPr="007E5419">
        <w:rPr>
          <w:rFonts w:ascii="Book Antiqua" w:eastAsia="Calibri" w:hAnsi="Book Antiqua" w:cstheme="majorBidi"/>
          <w:sz w:val="24"/>
          <w:szCs w:val="24"/>
        </w:rPr>
        <w:t>,</w:t>
      </w:r>
      <w:r w:rsidR="00082F3E" w:rsidRPr="007E5419">
        <w:rPr>
          <w:rFonts w:ascii="Book Antiqua" w:eastAsia="Calibri" w:hAnsi="Book Antiqua" w:cstheme="majorBidi"/>
          <w:sz w:val="24"/>
          <w:szCs w:val="24"/>
        </w:rPr>
        <w:t xml:space="preserve"> the </w:t>
      </w:r>
      <w:r w:rsidR="00082F3E" w:rsidRPr="007E5419">
        <w:rPr>
          <w:rFonts w:ascii="Book Antiqua" w:eastAsia="Calibri" w:hAnsi="Book Antiqua" w:cstheme="majorBidi"/>
          <w:sz w:val="24"/>
          <w:szCs w:val="24"/>
        </w:rPr>
        <w:lastRenderedPageBreak/>
        <w:t xml:space="preserve">material law on Hajj </w:t>
      </w:r>
      <w:r w:rsidRPr="007E5419">
        <w:rPr>
          <w:rFonts w:ascii="Book Antiqua" w:eastAsia="Calibri" w:hAnsi="Book Antiqua" w:cstheme="majorBidi"/>
          <w:sz w:val="24"/>
          <w:szCs w:val="24"/>
        </w:rPr>
        <w:t>is</w:t>
      </w:r>
      <w:r w:rsidR="00082F3E" w:rsidRPr="007E5419">
        <w:rPr>
          <w:rFonts w:ascii="Book Antiqua" w:eastAsia="Calibri" w:hAnsi="Book Antiqua" w:cstheme="majorBidi"/>
          <w:sz w:val="24"/>
          <w:szCs w:val="24"/>
        </w:rPr>
        <w:t xml:space="preserve"> merely regulatory</w:t>
      </w:r>
      <w:r w:rsidR="003F6793" w:rsidRPr="007E5419">
        <w:rPr>
          <w:rFonts w:ascii="Book Antiqua" w:eastAsia="Calibri" w:hAnsi="Book Antiqua" w:cstheme="majorBidi"/>
          <w:sz w:val="24"/>
          <w:szCs w:val="24"/>
        </w:rPr>
        <w:t xml:space="preserve">. It </w:t>
      </w:r>
      <w:r w:rsidR="00082F3E" w:rsidRPr="007E5419">
        <w:rPr>
          <w:rFonts w:ascii="Book Antiqua" w:eastAsia="Calibri" w:hAnsi="Book Antiqua" w:cstheme="majorBidi"/>
          <w:sz w:val="24"/>
          <w:szCs w:val="24"/>
        </w:rPr>
        <w:t xml:space="preserve">does not talk about the rituals or procedures of the pilgrimage as a religious </w:t>
      </w:r>
      <w:r w:rsidR="00082F3E" w:rsidRPr="007E5419">
        <w:rPr>
          <w:rFonts w:ascii="Book Antiqua" w:eastAsia="Calibri" w:hAnsi="Book Antiqua" w:cstheme="majorBidi"/>
          <w:i/>
          <w:iCs/>
          <w:sz w:val="24"/>
          <w:szCs w:val="24"/>
        </w:rPr>
        <w:t>rit</w:t>
      </w:r>
      <w:r w:rsidR="003F6793" w:rsidRPr="007E5419">
        <w:rPr>
          <w:rFonts w:ascii="Book Antiqua" w:eastAsia="Calibri" w:hAnsi="Book Antiqua" w:cstheme="majorBidi"/>
          <w:i/>
          <w:iCs/>
          <w:sz w:val="24"/>
          <w:szCs w:val="24"/>
        </w:rPr>
        <w:t>us</w:t>
      </w:r>
      <w:r w:rsidR="00082F3E" w:rsidRPr="007E5419">
        <w:rPr>
          <w:rFonts w:ascii="Book Antiqua" w:eastAsia="Calibri" w:hAnsi="Book Antiqua" w:cstheme="majorBidi"/>
          <w:sz w:val="24"/>
          <w:szCs w:val="24"/>
        </w:rPr>
        <w:t xml:space="preserve"> -like discussion about the terms and the pillars of hajj. It can be seen from the chapters are discussed, such as on general provisions, principles and objectives, organization, costs, registration, guidance, health, immigration, transportation, luggage, accommodation, organizing the Hajj particular, the organization of pilgrimage, and provisions criminal. In the chapter VI of the guidance states that the Minister is obliged to establish the pattern and manner of coaching pilgrims, and the Minister is obliged to issue guidelines and guides the rituals of the pilgrimage.</w:t>
      </w:r>
      <w:r w:rsidR="00082F3E" w:rsidRPr="007E5419">
        <w:rPr>
          <w:rStyle w:val="FootnoteReference"/>
          <w:rFonts w:ascii="Book Antiqua" w:eastAsia="Calibri" w:hAnsi="Book Antiqua" w:cstheme="majorBidi"/>
          <w:sz w:val="24"/>
          <w:szCs w:val="24"/>
        </w:rPr>
        <w:footnoteReference w:id="33"/>
      </w:r>
    </w:p>
    <w:p w:rsidR="00082F3E" w:rsidRPr="007E5419" w:rsidRDefault="00082F3E" w:rsidP="00C04792">
      <w:pPr>
        <w:pStyle w:val="ListParagraph"/>
        <w:numPr>
          <w:ilvl w:val="0"/>
          <w:numId w:val="11"/>
        </w:numPr>
        <w:tabs>
          <w:tab w:val="num" w:pos="720"/>
        </w:tabs>
        <w:spacing w:line="360" w:lineRule="auto"/>
        <w:jc w:val="both"/>
        <w:rPr>
          <w:rFonts w:ascii="Book Antiqua" w:eastAsia="Calibri" w:hAnsi="Book Antiqua" w:cstheme="majorBidi"/>
          <w:b/>
          <w:bCs/>
          <w:sz w:val="24"/>
          <w:szCs w:val="24"/>
        </w:rPr>
      </w:pPr>
      <w:r w:rsidRPr="007E5419">
        <w:rPr>
          <w:rFonts w:ascii="Book Antiqua" w:eastAsia="Calibri" w:hAnsi="Book Antiqua" w:cstheme="majorBidi"/>
          <w:b/>
          <w:bCs/>
          <w:sz w:val="24"/>
          <w:szCs w:val="24"/>
        </w:rPr>
        <w:t>Zakat Management Act</w:t>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In contrast to La</w:t>
      </w:r>
      <w:r w:rsidR="00EC2DEB" w:rsidRPr="007E5419">
        <w:rPr>
          <w:rFonts w:ascii="Book Antiqua" w:eastAsia="Calibri" w:hAnsi="Book Antiqua" w:cstheme="majorBidi"/>
          <w:sz w:val="24"/>
          <w:szCs w:val="24"/>
        </w:rPr>
        <w:t>w No. 17 of 1999 on Hajj which wa</w:t>
      </w:r>
      <w:r w:rsidRPr="007E5419">
        <w:rPr>
          <w:rFonts w:ascii="Book Antiqua" w:eastAsia="Calibri" w:hAnsi="Book Antiqua" w:cstheme="majorBidi"/>
          <w:sz w:val="24"/>
          <w:szCs w:val="24"/>
        </w:rPr>
        <w:t xml:space="preserve">s </w:t>
      </w:r>
      <w:r w:rsidR="00EC2DEB" w:rsidRPr="007E5419">
        <w:rPr>
          <w:rFonts w:ascii="Book Antiqua" w:eastAsia="Calibri" w:hAnsi="Book Antiqua" w:cstheme="majorBidi"/>
          <w:sz w:val="24"/>
          <w:szCs w:val="24"/>
        </w:rPr>
        <w:t xml:space="preserve">an initiative </w:t>
      </w:r>
      <w:r w:rsidRPr="007E5419">
        <w:rPr>
          <w:rFonts w:ascii="Book Antiqua" w:eastAsia="Calibri" w:hAnsi="Book Antiqua" w:cstheme="majorBidi"/>
          <w:sz w:val="24"/>
          <w:szCs w:val="24"/>
        </w:rPr>
        <w:t xml:space="preserve">Bill, Law No. 38 of 1999 on the management of Zakat </w:t>
      </w:r>
      <w:r w:rsidR="00EC2DEB" w:rsidRPr="007E5419">
        <w:rPr>
          <w:rFonts w:ascii="Book Antiqua" w:eastAsia="Calibri" w:hAnsi="Book Antiqua" w:cstheme="majorBidi"/>
          <w:sz w:val="24"/>
          <w:szCs w:val="24"/>
        </w:rPr>
        <w:t>wa</w:t>
      </w:r>
      <w:r w:rsidRPr="007E5419">
        <w:rPr>
          <w:rFonts w:ascii="Book Antiqua" w:eastAsia="Calibri" w:hAnsi="Book Antiqua" w:cstheme="majorBidi"/>
          <w:sz w:val="24"/>
          <w:szCs w:val="24"/>
        </w:rPr>
        <w:t>s submitted by the government to the letter of the President No. R.31 / PU / VI / 1999 dated June 24, 1999. The government expressed the Bill on Management of Zakat to the Parliament and commissioned the Minister of Religion, who was held by Malik Fajar-representing the government in a joint discussion.</w:t>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Among the proposed ration</w:t>
      </w:r>
      <w:r w:rsidR="00AD202A" w:rsidRPr="007E5419">
        <w:rPr>
          <w:rFonts w:ascii="Book Antiqua" w:eastAsia="Calibri" w:hAnsi="Book Antiqua" w:cstheme="majorBidi"/>
          <w:sz w:val="24"/>
          <w:szCs w:val="24"/>
        </w:rPr>
        <w:t>s</w:t>
      </w:r>
      <w:r w:rsidRPr="007E5419">
        <w:rPr>
          <w:rFonts w:ascii="Book Antiqua" w:eastAsia="Calibri" w:hAnsi="Book Antiqua" w:cstheme="majorBidi"/>
          <w:sz w:val="24"/>
          <w:szCs w:val="24"/>
        </w:rPr>
        <w:t xml:space="preserve"> at the time was that the zakat is one of the pillars and the duty of every Muslim who is able, which if managed properly will </w:t>
      </w:r>
      <w:r w:rsidR="00AD202A" w:rsidRPr="007E5419">
        <w:rPr>
          <w:rFonts w:ascii="Book Antiqua" w:eastAsia="Calibri" w:hAnsi="Book Antiqua" w:cstheme="majorBidi"/>
          <w:sz w:val="24"/>
          <w:szCs w:val="24"/>
        </w:rPr>
        <w:t>become</w:t>
      </w:r>
      <w:r w:rsidRPr="007E5419">
        <w:rPr>
          <w:rFonts w:ascii="Book Antiqua" w:eastAsia="Calibri" w:hAnsi="Book Antiqua" w:cstheme="majorBidi"/>
          <w:sz w:val="24"/>
          <w:szCs w:val="24"/>
        </w:rPr>
        <w:t xml:space="preserve"> a potential source of funds that can be use</w:t>
      </w:r>
      <w:r w:rsidR="00AD202A" w:rsidRPr="007E5419">
        <w:rPr>
          <w:rFonts w:ascii="Book Antiqua" w:eastAsia="Calibri" w:hAnsi="Book Antiqua" w:cstheme="majorBidi"/>
          <w:sz w:val="24"/>
          <w:szCs w:val="24"/>
        </w:rPr>
        <w:t>d to alleviate poverty, create</w:t>
      </w:r>
      <w:r w:rsidRPr="007E5419">
        <w:rPr>
          <w:rFonts w:ascii="Book Antiqua" w:eastAsia="Calibri" w:hAnsi="Book Antiqua" w:cstheme="majorBidi"/>
          <w:sz w:val="24"/>
          <w:szCs w:val="24"/>
        </w:rPr>
        <w:t xml:space="preserve"> prosperity and social justice. Therefore, </w:t>
      </w:r>
      <w:r w:rsidRPr="007E5419">
        <w:rPr>
          <w:rFonts w:ascii="Book Antiqua" w:eastAsia="Calibri" w:hAnsi="Book Antiqua" w:cstheme="majorBidi"/>
          <w:sz w:val="24"/>
          <w:szCs w:val="24"/>
        </w:rPr>
        <w:lastRenderedPageBreak/>
        <w:t>it is necessary to manage zakat to the maximum and professional organization established by the government.</w:t>
      </w:r>
      <w:r w:rsidRPr="007E5419">
        <w:rPr>
          <w:rStyle w:val="FootnoteReference"/>
          <w:rFonts w:ascii="Book Antiqua" w:eastAsia="Calibri" w:hAnsi="Book Antiqua" w:cstheme="majorBidi"/>
          <w:sz w:val="24"/>
          <w:szCs w:val="24"/>
        </w:rPr>
        <w:footnoteReference w:id="34"/>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Through the </w:t>
      </w:r>
      <w:r w:rsidR="00AD202A" w:rsidRPr="007E5419">
        <w:rPr>
          <w:rFonts w:ascii="Book Antiqua" w:eastAsia="Calibri" w:hAnsi="Book Antiqua" w:cstheme="majorBidi"/>
          <w:sz w:val="24"/>
          <w:szCs w:val="24"/>
        </w:rPr>
        <w:t xml:space="preserve">Project of </w:t>
      </w:r>
      <w:r w:rsidRPr="007E5419">
        <w:rPr>
          <w:rFonts w:ascii="Book Antiqua" w:eastAsia="Calibri" w:hAnsi="Book Antiqua" w:cstheme="majorBidi"/>
          <w:sz w:val="24"/>
          <w:szCs w:val="24"/>
        </w:rPr>
        <w:t xml:space="preserve">Center </w:t>
      </w:r>
      <w:r w:rsidR="00AD202A" w:rsidRPr="007E5419">
        <w:rPr>
          <w:rFonts w:ascii="Book Antiqua" w:eastAsia="Calibri" w:hAnsi="Book Antiqua" w:cstheme="majorBidi"/>
          <w:sz w:val="24"/>
          <w:szCs w:val="24"/>
        </w:rPr>
        <w:t xml:space="preserve">Law </w:t>
      </w:r>
      <w:r w:rsidRPr="007E5419">
        <w:rPr>
          <w:rFonts w:ascii="Book Antiqua" w:eastAsia="Calibri" w:hAnsi="Book Antiqua" w:cstheme="majorBidi"/>
          <w:sz w:val="24"/>
          <w:szCs w:val="24"/>
        </w:rPr>
        <w:t>Plann</w:t>
      </w:r>
      <w:r w:rsidR="00AD202A" w:rsidRPr="007E5419">
        <w:rPr>
          <w:rFonts w:ascii="Book Antiqua" w:eastAsia="Calibri" w:hAnsi="Book Antiqua" w:cstheme="majorBidi"/>
          <w:sz w:val="24"/>
          <w:szCs w:val="24"/>
        </w:rPr>
        <w:t>ing</w:t>
      </w:r>
      <w:r w:rsidRPr="007E5419">
        <w:rPr>
          <w:rFonts w:ascii="Book Antiqua" w:eastAsia="Calibri" w:hAnsi="Book Antiqua" w:cstheme="majorBidi"/>
          <w:sz w:val="24"/>
          <w:szCs w:val="24"/>
        </w:rPr>
        <w:t xml:space="preserve"> and Codification of the Na</w:t>
      </w:r>
      <w:r w:rsidR="00AD202A" w:rsidRPr="007E5419">
        <w:rPr>
          <w:rFonts w:ascii="Book Antiqua" w:eastAsia="Calibri" w:hAnsi="Book Antiqua" w:cstheme="majorBidi"/>
          <w:sz w:val="24"/>
          <w:szCs w:val="24"/>
        </w:rPr>
        <w:t>tional Law Development Agency at</w:t>
      </w:r>
      <w:r w:rsidRPr="007E5419">
        <w:rPr>
          <w:rFonts w:ascii="Book Antiqua" w:eastAsia="Calibri" w:hAnsi="Book Antiqua" w:cstheme="majorBidi"/>
          <w:sz w:val="24"/>
          <w:szCs w:val="24"/>
        </w:rPr>
        <w:t xml:space="preserve"> the Department of Justice Republic Indonesia in 1884/1885 have been prepared Academic Legislation on Zakat by a working team comprising representatives from the Ministry of Religious Affairs and the Ministry of Justice, but these activities have not been followed up by efforts to prepare bill on Zakat Management. Since the beginning Repelita I through appeals the Government has made efforts to promote religious activities zakat, infaq and sadaqah are implementing fully carried out by the community through the establishment of </w:t>
      </w:r>
      <w:r w:rsidRPr="007E5419">
        <w:rPr>
          <w:rFonts w:ascii="Book Antiqua" w:eastAsia="Calibri" w:hAnsi="Book Antiqua" w:cstheme="majorBidi"/>
          <w:i/>
          <w:iCs/>
          <w:sz w:val="24"/>
          <w:szCs w:val="24"/>
        </w:rPr>
        <w:t>Badan Amil Zakat</w:t>
      </w:r>
      <w:r w:rsidRPr="007E5419">
        <w:rPr>
          <w:rFonts w:ascii="Book Antiqua" w:eastAsia="Calibri" w:hAnsi="Book Antiqua" w:cstheme="majorBidi"/>
          <w:sz w:val="24"/>
          <w:szCs w:val="24"/>
        </w:rPr>
        <w:t xml:space="preserve">, </w:t>
      </w:r>
      <w:r w:rsidRPr="007E5419">
        <w:rPr>
          <w:rFonts w:ascii="Book Antiqua" w:eastAsia="Calibri" w:hAnsi="Book Antiqua" w:cstheme="majorBidi"/>
          <w:i/>
          <w:iCs/>
          <w:sz w:val="24"/>
          <w:szCs w:val="24"/>
        </w:rPr>
        <w:t>Infaq</w:t>
      </w:r>
      <w:r w:rsidRPr="007E5419">
        <w:rPr>
          <w:rFonts w:ascii="Book Antiqua" w:eastAsia="Calibri" w:hAnsi="Book Antiqua" w:cstheme="majorBidi"/>
          <w:sz w:val="24"/>
          <w:szCs w:val="24"/>
        </w:rPr>
        <w:t xml:space="preserve"> and </w:t>
      </w:r>
      <w:r w:rsidRPr="007E5419">
        <w:rPr>
          <w:rFonts w:ascii="Book Antiqua" w:eastAsia="Calibri" w:hAnsi="Book Antiqua" w:cstheme="majorBidi"/>
          <w:i/>
          <w:iCs/>
          <w:sz w:val="24"/>
          <w:szCs w:val="24"/>
        </w:rPr>
        <w:t>Sadaqah (BAZIS</w:t>
      </w:r>
      <w:r w:rsidRPr="007E5419">
        <w:rPr>
          <w:rFonts w:ascii="Book Antiqua" w:eastAsia="Calibri" w:hAnsi="Book Antiqua" w:cstheme="majorBidi"/>
          <w:sz w:val="24"/>
          <w:szCs w:val="24"/>
        </w:rPr>
        <w:t>) in these areas, but the results have not been as expected. In 1991 the Minister of Religious Affairs and Minister of the Interior seeks to improve supervision on</w:t>
      </w:r>
      <w:r w:rsidR="00AD202A" w:rsidRPr="007E5419">
        <w:rPr>
          <w:rFonts w:ascii="Book Antiqua" w:eastAsia="Calibri" w:hAnsi="Book Antiqua" w:cstheme="majorBidi"/>
          <w:sz w:val="24"/>
          <w:szCs w:val="24"/>
        </w:rPr>
        <w:t xml:space="preserve"> </w:t>
      </w:r>
      <w:r w:rsidRPr="007E5419">
        <w:rPr>
          <w:rFonts w:ascii="Book Antiqua" w:eastAsia="Calibri" w:hAnsi="Book Antiqua" w:cstheme="majorBidi"/>
          <w:i/>
          <w:iCs/>
          <w:sz w:val="24"/>
          <w:szCs w:val="24"/>
        </w:rPr>
        <w:t>Bazis</w:t>
      </w:r>
      <w:r w:rsidRPr="007E5419">
        <w:rPr>
          <w:rFonts w:ascii="Book Antiqua" w:eastAsia="Calibri" w:hAnsi="Book Antiqua" w:cstheme="majorBidi"/>
          <w:sz w:val="24"/>
          <w:szCs w:val="24"/>
        </w:rPr>
        <w:t xml:space="preserve"> in the region through decree No. 29 and 47 on the Development </w:t>
      </w:r>
      <w:r w:rsidRPr="007E5419">
        <w:rPr>
          <w:rFonts w:ascii="Book Antiqua" w:eastAsia="Calibri" w:hAnsi="Book Antiqua" w:cstheme="majorBidi"/>
          <w:i/>
          <w:iCs/>
          <w:sz w:val="24"/>
          <w:szCs w:val="24"/>
        </w:rPr>
        <w:t>Badan Amil Zakat</w:t>
      </w:r>
      <w:r w:rsidRPr="007E5419">
        <w:rPr>
          <w:rFonts w:ascii="Book Antiqua" w:eastAsia="Calibri" w:hAnsi="Book Antiqua" w:cstheme="majorBidi"/>
          <w:sz w:val="24"/>
          <w:szCs w:val="24"/>
        </w:rPr>
        <w:t xml:space="preserve"> and </w:t>
      </w:r>
      <w:r w:rsidRPr="007E5419">
        <w:rPr>
          <w:rFonts w:ascii="Book Antiqua" w:eastAsia="Calibri" w:hAnsi="Book Antiqua" w:cstheme="majorBidi"/>
          <w:i/>
          <w:iCs/>
          <w:sz w:val="24"/>
          <w:szCs w:val="24"/>
        </w:rPr>
        <w:t>Sadaqah Infaq (BAZIS</w:t>
      </w:r>
      <w:r w:rsidRPr="007E5419">
        <w:rPr>
          <w:rFonts w:ascii="Book Antiqua" w:eastAsia="Calibri" w:hAnsi="Book Antiqua" w:cstheme="majorBidi"/>
          <w:sz w:val="24"/>
          <w:szCs w:val="24"/>
        </w:rPr>
        <w:t>) followed by the Minister of Religious Instruction No. 15 of 1991 and minister of interior Instruction No. 7 of 1991 on the Implementation of the decree.</w:t>
      </w:r>
      <w:r w:rsidRPr="007E5419">
        <w:rPr>
          <w:rStyle w:val="FootnoteReference"/>
          <w:rFonts w:ascii="Book Antiqua" w:eastAsia="Calibri" w:hAnsi="Book Antiqua" w:cstheme="majorBidi"/>
          <w:sz w:val="24"/>
          <w:szCs w:val="24"/>
        </w:rPr>
        <w:footnoteReference w:id="35"/>
      </w:r>
      <w:r w:rsidR="00AD202A" w:rsidRPr="007E5419">
        <w:rPr>
          <w:rFonts w:ascii="Book Antiqua" w:eastAsia="Calibri" w:hAnsi="Book Antiqua" w:cstheme="majorBidi"/>
          <w:sz w:val="24"/>
          <w:szCs w:val="24"/>
        </w:rPr>
        <w:t xml:space="preserve"> </w:t>
      </w:r>
      <w:r w:rsidRPr="007E5419">
        <w:rPr>
          <w:rFonts w:ascii="Book Antiqua" w:eastAsia="Calibri" w:hAnsi="Book Antiqua" w:cstheme="majorBidi"/>
          <w:sz w:val="24"/>
          <w:szCs w:val="24"/>
        </w:rPr>
        <w:t xml:space="preserve">The National Working Group I </w:t>
      </w:r>
      <w:r w:rsidR="00AD202A" w:rsidRPr="007E5419">
        <w:rPr>
          <w:rFonts w:ascii="Book Antiqua" w:eastAsia="Calibri" w:hAnsi="Book Antiqua" w:cstheme="majorBidi"/>
          <w:sz w:val="24"/>
          <w:szCs w:val="24"/>
        </w:rPr>
        <w:t xml:space="preserve">of </w:t>
      </w:r>
      <w:r w:rsidRPr="007E5419">
        <w:rPr>
          <w:rFonts w:ascii="Book Antiqua" w:eastAsia="Calibri" w:hAnsi="Book Antiqua" w:cstheme="majorBidi"/>
          <w:i/>
          <w:iCs/>
          <w:sz w:val="24"/>
          <w:szCs w:val="24"/>
        </w:rPr>
        <w:t>ZIS</w:t>
      </w:r>
      <w:r w:rsidRPr="007E5419">
        <w:rPr>
          <w:rFonts w:ascii="Book Antiqua" w:eastAsia="Calibri" w:hAnsi="Book Antiqua" w:cstheme="majorBidi"/>
          <w:sz w:val="24"/>
          <w:szCs w:val="24"/>
        </w:rPr>
        <w:t xml:space="preserve"> and Zakat Forum on January 7, 1999 has recommended the urgent need to prepare a bill on the Management of Zakat, which then drafted a bill on management of charitable and legislated in Law No. 38 of 1999 on Zakat Management.</w:t>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lastRenderedPageBreak/>
        <w:t>Material legislation on the management of Zakat is also a lot that is regulative. This can be seen in the chapters discussed them on zakat management organizations, oversight, and sanctions. In the material zakat management mentioned the establishment of Amil Zakat from the center to the District and Sub-district, which carry out the management and supervision of zakat.</w:t>
      </w:r>
    </w:p>
    <w:p w:rsidR="00082F3E" w:rsidRPr="007E5419" w:rsidRDefault="00575E6F" w:rsidP="00C04792">
      <w:pPr>
        <w:pStyle w:val="ListParagraph"/>
        <w:numPr>
          <w:ilvl w:val="0"/>
          <w:numId w:val="11"/>
        </w:numPr>
        <w:tabs>
          <w:tab w:val="num" w:pos="720"/>
        </w:tabs>
        <w:spacing w:line="360" w:lineRule="auto"/>
        <w:jc w:val="both"/>
        <w:rPr>
          <w:rFonts w:ascii="Book Antiqua" w:eastAsia="Calibri" w:hAnsi="Book Antiqua" w:cstheme="majorBidi"/>
          <w:b/>
          <w:bCs/>
          <w:sz w:val="24"/>
          <w:szCs w:val="24"/>
        </w:rPr>
      </w:pPr>
      <w:r w:rsidRPr="007E5419">
        <w:rPr>
          <w:rFonts w:ascii="Book Antiqua" w:eastAsia="Calibri" w:hAnsi="Book Antiqua" w:cstheme="majorBidi"/>
          <w:b/>
          <w:bCs/>
          <w:sz w:val="24"/>
          <w:szCs w:val="24"/>
        </w:rPr>
        <w:t xml:space="preserve">Amendment of </w:t>
      </w:r>
      <w:r w:rsidR="001E06A8" w:rsidRPr="007E5419">
        <w:rPr>
          <w:rFonts w:ascii="Book Antiqua" w:eastAsia="Calibri" w:hAnsi="Book Antiqua" w:cstheme="majorBidi"/>
          <w:b/>
          <w:bCs/>
          <w:sz w:val="24"/>
          <w:szCs w:val="24"/>
        </w:rPr>
        <w:t>Religion Court</w:t>
      </w:r>
      <w:r w:rsidR="00082F3E" w:rsidRPr="007E5419">
        <w:rPr>
          <w:rFonts w:ascii="Book Antiqua" w:eastAsia="Calibri" w:hAnsi="Book Antiqua" w:cstheme="majorBidi"/>
          <w:b/>
          <w:bCs/>
          <w:sz w:val="24"/>
          <w:szCs w:val="24"/>
        </w:rPr>
        <w:t>s</w:t>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In 2006, </w:t>
      </w:r>
      <w:r w:rsidR="00575E6F" w:rsidRPr="007E5419">
        <w:rPr>
          <w:rFonts w:ascii="Book Antiqua" w:eastAsia="Calibri" w:hAnsi="Book Antiqua" w:cstheme="majorBidi"/>
          <w:sz w:val="24"/>
          <w:szCs w:val="24"/>
        </w:rPr>
        <w:t xml:space="preserve">the Act No. 7 of 1989 on </w:t>
      </w:r>
      <w:r w:rsidR="001E06A8" w:rsidRPr="007E5419">
        <w:rPr>
          <w:rFonts w:ascii="Book Antiqua" w:eastAsia="Calibri" w:hAnsi="Book Antiqua" w:cstheme="majorBidi"/>
          <w:sz w:val="24"/>
          <w:szCs w:val="24"/>
        </w:rPr>
        <w:t>Religion Court</w:t>
      </w:r>
      <w:r w:rsidR="00575E6F" w:rsidRPr="007E5419">
        <w:rPr>
          <w:rFonts w:ascii="Book Antiqua" w:eastAsia="Calibri" w:hAnsi="Book Antiqua" w:cstheme="majorBidi"/>
          <w:sz w:val="24"/>
          <w:szCs w:val="24"/>
        </w:rPr>
        <w:t>s was amended</w:t>
      </w:r>
      <w:r w:rsidRPr="007E5419">
        <w:rPr>
          <w:rFonts w:ascii="Book Antiqua" w:eastAsia="Calibri" w:hAnsi="Book Antiqua" w:cstheme="majorBidi"/>
          <w:sz w:val="24"/>
          <w:szCs w:val="24"/>
        </w:rPr>
        <w:t xml:space="preserve"> </w:t>
      </w:r>
      <w:r w:rsidR="00575E6F" w:rsidRPr="007E5419">
        <w:rPr>
          <w:rFonts w:ascii="Book Antiqua" w:eastAsia="Calibri" w:hAnsi="Book Antiqua" w:cstheme="majorBidi"/>
          <w:sz w:val="24"/>
          <w:szCs w:val="24"/>
        </w:rPr>
        <w:t xml:space="preserve">by </w:t>
      </w:r>
      <w:r w:rsidRPr="007E5419">
        <w:rPr>
          <w:rFonts w:ascii="Book Antiqua" w:eastAsia="Calibri" w:hAnsi="Book Antiqua" w:cstheme="majorBidi"/>
          <w:sz w:val="24"/>
          <w:szCs w:val="24"/>
        </w:rPr>
        <w:t>Act No. 3 of 2006 on Amendment of</w:t>
      </w:r>
      <w:r w:rsidR="00575E6F" w:rsidRPr="007E5419">
        <w:rPr>
          <w:rFonts w:ascii="Book Antiqua" w:eastAsia="Calibri" w:hAnsi="Book Antiqua" w:cstheme="majorBidi"/>
          <w:sz w:val="24"/>
          <w:szCs w:val="24"/>
        </w:rPr>
        <w:t xml:space="preserve"> Act No. 7 of 1989 on </w:t>
      </w:r>
      <w:r w:rsidR="001E06A8" w:rsidRPr="007E5419">
        <w:rPr>
          <w:rFonts w:ascii="Book Antiqua" w:eastAsia="Calibri" w:hAnsi="Book Antiqua" w:cstheme="majorBidi"/>
          <w:sz w:val="24"/>
          <w:szCs w:val="24"/>
        </w:rPr>
        <w:t>Religion Court</w:t>
      </w:r>
      <w:r w:rsidR="00575E6F" w:rsidRPr="007E5419">
        <w:rPr>
          <w:rFonts w:ascii="Book Antiqua" w:eastAsia="Calibri" w:hAnsi="Book Antiqua" w:cstheme="majorBidi"/>
          <w:sz w:val="24"/>
          <w:szCs w:val="24"/>
        </w:rPr>
        <w:t>s</w:t>
      </w:r>
      <w:r w:rsidRPr="007E5419">
        <w:rPr>
          <w:rFonts w:ascii="Book Antiqua" w:eastAsia="Calibri" w:hAnsi="Book Antiqua" w:cstheme="majorBidi"/>
          <w:sz w:val="24"/>
          <w:szCs w:val="24"/>
        </w:rPr>
        <w:t>. With the amendment of this law stated that the</w:t>
      </w:r>
      <w:r w:rsidR="00575E6F" w:rsidRPr="007E5419">
        <w:rPr>
          <w:rFonts w:ascii="Book Antiqua" w:eastAsia="Calibri" w:hAnsi="Book Antiqua" w:cstheme="majorBidi"/>
          <w:sz w:val="24"/>
          <w:szCs w:val="24"/>
        </w:rPr>
        <w:t xml:space="preserve"> </w:t>
      </w:r>
      <w:r w:rsidR="001E06A8" w:rsidRPr="007E5419">
        <w:rPr>
          <w:rFonts w:ascii="Book Antiqua" w:eastAsia="Calibri" w:hAnsi="Book Antiqua" w:cstheme="majorBidi"/>
          <w:sz w:val="24"/>
          <w:szCs w:val="24"/>
        </w:rPr>
        <w:t>Religion Court</w:t>
      </w:r>
      <w:r w:rsidRPr="007E5419">
        <w:rPr>
          <w:rFonts w:ascii="Book Antiqua" w:eastAsia="Calibri" w:hAnsi="Book Antiqua" w:cstheme="majorBidi"/>
          <w:sz w:val="24"/>
          <w:szCs w:val="24"/>
        </w:rPr>
        <w:t xml:space="preserve"> is one of the courts under the Supreme Court, alo</w:t>
      </w:r>
      <w:r w:rsidR="00575E6F" w:rsidRPr="007E5419">
        <w:rPr>
          <w:rFonts w:ascii="Book Antiqua" w:eastAsia="Calibri" w:hAnsi="Book Antiqua" w:cstheme="majorBidi"/>
          <w:sz w:val="24"/>
          <w:szCs w:val="24"/>
        </w:rPr>
        <w:t>ng with other justice that is Publik Court</w:t>
      </w:r>
      <w:r w:rsidRPr="007E5419">
        <w:rPr>
          <w:rFonts w:ascii="Book Antiqua" w:eastAsia="Calibri" w:hAnsi="Book Antiqua" w:cstheme="majorBidi"/>
          <w:sz w:val="24"/>
          <w:szCs w:val="24"/>
        </w:rPr>
        <w:t xml:space="preserve">, the Administrative Court and Military Courts. Amendment Act also expands the authority of the </w:t>
      </w:r>
      <w:r w:rsidR="001E06A8" w:rsidRPr="007E5419">
        <w:rPr>
          <w:rFonts w:ascii="Book Antiqua" w:eastAsia="Calibri" w:hAnsi="Book Antiqua" w:cstheme="majorBidi"/>
          <w:sz w:val="24"/>
          <w:szCs w:val="24"/>
        </w:rPr>
        <w:t>Religion Court</w:t>
      </w:r>
      <w:r w:rsidR="00575E6F" w:rsidRPr="007E5419">
        <w:rPr>
          <w:rFonts w:ascii="Book Antiqua" w:eastAsia="Calibri" w:hAnsi="Book Antiqua" w:cstheme="majorBidi"/>
          <w:sz w:val="24"/>
          <w:szCs w:val="24"/>
        </w:rPr>
        <w:t xml:space="preserve"> </w:t>
      </w:r>
      <w:r w:rsidRPr="007E5419">
        <w:rPr>
          <w:rFonts w:ascii="Book Antiqua" w:eastAsia="Calibri" w:hAnsi="Book Antiqua" w:cstheme="majorBidi"/>
          <w:sz w:val="24"/>
          <w:szCs w:val="24"/>
        </w:rPr>
        <w:t>in accordance with the development of the law and the needs of the Muslim community in Indonesia today.</w:t>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Along with the proliferatio</w:t>
      </w:r>
      <w:r w:rsidR="001B5DC2" w:rsidRPr="007E5419">
        <w:rPr>
          <w:rFonts w:ascii="Book Antiqua" w:eastAsia="Calibri" w:hAnsi="Book Antiqua" w:cstheme="majorBidi"/>
          <w:sz w:val="24"/>
          <w:szCs w:val="24"/>
        </w:rPr>
        <w:t>n of Islamic economic discourse</w:t>
      </w:r>
      <w:r w:rsidRPr="007E5419">
        <w:rPr>
          <w:rFonts w:ascii="Book Antiqua" w:eastAsia="Calibri" w:hAnsi="Book Antiqua" w:cstheme="majorBidi"/>
          <w:sz w:val="24"/>
          <w:szCs w:val="24"/>
        </w:rPr>
        <w:t xml:space="preserve"> </w:t>
      </w:r>
      <w:r w:rsidR="001B5DC2" w:rsidRPr="007E5419">
        <w:rPr>
          <w:rFonts w:ascii="Book Antiqua" w:eastAsia="Calibri" w:hAnsi="Book Antiqua" w:cstheme="majorBidi"/>
          <w:sz w:val="24"/>
          <w:szCs w:val="24"/>
        </w:rPr>
        <w:t xml:space="preserve">and the </w:t>
      </w:r>
      <w:r w:rsidRPr="007E5419">
        <w:rPr>
          <w:rFonts w:ascii="Book Antiqua" w:eastAsia="Calibri" w:hAnsi="Book Antiqua" w:cstheme="majorBidi"/>
          <w:sz w:val="24"/>
          <w:szCs w:val="24"/>
        </w:rPr>
        <w:t>develop</w:t>
      </w:r>
      <w:r w:rsidR="001B5DC2" w:rsidRPr="007E5419">
        <w:rPr>
          <w:rFonts w:ascii="Book Antiqua" w:eastAsia="Calibri" w:hAnsi="Book Antiqua" w:cstheme="majorBidi"/>
          <w:sz w:val="24"/>
          <w:szCs w:val="24"/>
        </w:rPr>
        <w:t>ment</w:t>
      </w:r>
      <w:r w:rsidRPr="007E5419">
        <w:rPr>
          <w:rFonts w:ascii="Book Antiqua" w:eastAsia="Calibri" w:hAnsi="Book Antiqua" w:cstheme="majorBidi"/>
          <w:sz w:val="24"/>
          <w:szCs w:val="24"/>
        </w:rPr>
        <w:t xml:space="preserve"> </w:t>
      </w:r>
      <w:r w:rsidR="001B5DC2" w:rsidRPr="007E5419">
        <w:rPr>
          <w:rFonts w:ascii="Book Antiqua" w:eastAsia="Calibri" w:hAnsi="Book Antiqua" w:cstheme="majorBidi"/>
          <w:sz w:val="24"/>
          <w:szCs w:val="24"/>
        </w:rPr>
        <w:t xml:space="preserve">of shariah </w:t>
      </w:r>
      <w:r w:rsidRPr="007E5419">
        <w:rPr>
          <w:rFonts w:ascii="Book Antiqua" w:eastAsia="Calibri" w:hAnsi="Book Antiqua" w:cstheme="majorBidi"/>
          <w:sz w:val="24"/>
          <w:szCs w:val="24"/>
        </w:rPr>
        <w:t>businesses and financial, such as banks Shari'ah, the Shari'ah insurance, up</w:t>
      </w:r>
      <w:r w:rsidR="001B5DC2" w:rsidRPr="007E5419">
        <w:rPr>
          <w:rFonts w:ascii="Book Antiqua" w:eastAsia="Calibri" w:hAnsi="Book Antiqua" w:cstheme="majorBidi"/>
          <w:sz w:val="24"/>
          <w:szCs w:val="24"/>
        </w:rPr>
        <w:t xml:space="preserve"> to the capital market Shari'ah,</w:t>
      </w:r>
      <w:r w:rsidRPr="007E5419">
        <w:rPr>
          <w:rFonts w:ascii="Book Antiqua" w:eastAsia="Calibri" w:hAnsi="Book Antiqua" w:cstheme="majorBidi"/>
          <w:sz w:val="24"/>
          <w:szCs w:val="24"/>
        </w:rPr>
        <w:t xml:space="preserve">  will </w:t>
      </w:r>
      <w:r w:rsidR="001B5DC2" w:rsidRPr="007E5419">
        <w:rPr>
          <w:rFonts w:ascii="Book Antiqua" w:eastAsia="Calibri" w:hAnsi="Book Antiqua" w:cstheme="majorBidi"/>
          <w:sz w:val="24"/>
          <w:szCs w:val="24"/>
        </w:rPr>
        <w:t xml:space="preserve">increase </w:t>
      </w:r>
      <w:r w:rsidRPr="007E5419">
        <w:rPr>
          <w:rFonts w:ascii="Book Antiqua" w:eastAsia="Calibri" w:hAnsi="Book Antiqua" w:cstheme="majorBidi"/>
          <w:sz w:val="24"/>
          <w:szCs w:val="24"/>
        </w:rPr>
        <w:t xml:space="preserve">also </w:t>
      </w:r>
      <w:r w:rsidR="001B5DC2" w:rsidRPr="007E5419">
        <w:rPr>
          <w:rFonts w:ascii="Book Antiqua" w:eastAsia="Calibri" w:hAnsi="Book Antiqua" w:cstheme="majorBidi"/>
          <w:sz w:val="24"/>
          <w:szCs w:val="24"/>
        </w:rPr>
        <w:t xml:space="preserve">the Islamic economics </w:t>
      </w:r>
      <w:r w:rsidRPr="007E5419">
        <w:rPr>
          <w:rFonts w:ascii="Book Antiqua" w:eastAsia="Calibri" w:hAnsi="Book Antiqua" w:cstheme="majorBidi"/>
          <w:sz w:val="24"/>
          <w:szCs w:val="24"/>
        </w:rPr>
        <w:t xml:space="preserve">disputes. The </w:t>
      </w:r>
      <w:r w:rsidR="001B5DC2" w:rsidRPr="007E5419">
        <w:rPr>
          <w:rFonts w:ascii="Book Antiqua" w:eastAsia="Calibri" w:hAnsi="Book Antiqua" w:cstheme="majorBidi"/>
          <w:sz w:val="24"/>
          <w:szCs w:val="24"/>
        </w:rPr>
        <w:t>new a</w:t>
      </w:r>
      <w:r w:rsidRPr="007E5419">
        <w:rPr>
          <w:rFonts w:ascii="Book Antiqua" w:eastAsia="Calibri" w:hAnsi="Book Antiqua" w:cstheme="majorBidi"/>
          <w:sz w:val="24"/>
          <w:szCs w:val="24"/>
        </w:rPr>
        <w:t xml:space="preserve">mandement also add an authority of the </w:t>
      </w:r>
      <w:r w:rsidR="001E06A8" w:rsidRPr="007E5419">
        <w:rPr>
          <w:rFonts w:ascii="Book Antiqua" w:eastAsia="Calibri" w:hAnsi="Book Antiqua" w:cstheme="majorBidi"/>
          <w:sz w:val="24"/>
          <w:szCs w:val="24"/>
        </w:rPr>
        <w:t>Religion Court</w:t>
      </w:r>
      <w:r w:rsidRPr="007E5419">
        <w:rPr>
          <w:rFonts w:ascii="Book Antiqua" w:eastAsia="Calibri" w:hAnsi="Book Antiqua" w:cstheme="majorBidi"/>
          <w:sz w:val="24"/>
          <w:szCs w:val="24"/>
        </w:rPr>
        <w:t xml:space="preserve">, which is to resolve </w:t>
      </w:r>
      <w:r w:rsidR="001B5DC2" w:rsidRPr="007E5419">
        <w:rPr>
          <w:rFonts w:ascii="Book Antiqua" w:eastAsia="Calibri" w:hAnsi="Book Antiqua" w:cstheme="majorBidi"/>
          <w:sz w:val="24"/>
          <w:szCs w:val="24"/>
        </w:rPr>
        <w:t xml:space="preserve">the </w:t>
      </w:r>
      <w:r w:rsidRPr="007E5419">
        <w:rPr>
          <w:rFonts w:ascii="Book Antiqua" w:eastAsia="Calibri" w:hAnsi="Book Antiqua" w:cstheme="majorBidi"/>
          <w:sz w:val="24"/>
          <w:szCs w:val="24"/>
        </w:rPr>
        <w:t>disputes of Islamic economics.</w:t>
      </w:r>
    </w:p>
    <w:p w:rsidR="00082F3E" w:rsidRPr="007E5419" w:rsidRDefault="00082F3E" w:rsidP="00C04792">
      <w:pPr>
        <w:tabs>
          <w:tab w:val="num" w:pos="720"/>
        </w:tabs>
        <w:spacing w:line="360" w:lineRule="auto"/>
        <w:ind w:left="720" w:firstLine="720"/>
        <w:jc w:val="both"/>
        <w:rPr>
          <w:rFonts w:ascii="Book Antiqua" w:eastAsia="Calibri" w:hAnsi="Book Antiqua" w:cstheme="majorBidi"/>
          <w:sz w:val="24"/>
          <w:szCs w:val="24"/>
        </w:rPr>
      </w:pPr>
      <w:r w:rsidRPr="007E5419">
        <w:rPr>
          <w:rFonts w:ascii="Book Antiqua" w:eastAsia="Calibri" w:hAnsi="Book Antiqua" w:cstheme="majorBidi"/>
          <w:sz w:val="24"/>
          <w:szCs w:val="24"/>
        </w:rPr>
        <w:t>In more detail, some of the changes in the Law include</w:t>
      </w:r>
      <w:r w:rsidR="003C235B" w:rsidRPr="007E5419">
        <w:rPr>
          <w:rFonts w:ascii="Book Antiqua" w:eastAsia="Calibri" w:hAnsi="Book Antiqua" w:cstheme="majorBidi"/>
          <w:sz w:val="24"/>
          <w:szCs w:val="24"/>
        </w:rPr>
        <w:t>:</w:t>
      </w:r>
      <w:r w:rsidRPr="007E5419">
        <w:rPr>
          <w:rStyle w:val="FootnoteReference"/>
          <w:rFonts w:ascii="Book Antiqua" w:eastAsia="Calibri" w:hAnsi="Book Antiqua" w:cstheme="majorBidi"/>
          <w:sz w:val="24"/>
          <w:szCs w:val="24"/>
        </w:rPr>
        <w:footnoteReference w:id="36"/>
      </w:r>
    </w:p>
    <w:p w:rsidR="00082F3E" w:rsidRPr="007E5419" w:rsidRDefault="00ED587B" w:rsidP="00C04792">
      <w:pPr>
        <w:numPr>
          <w:ilvl w:val="1"/>
          <w:numId w:val="4"/>
        </w:numPr>
        <w:spacing w:after="0"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lastRenderedPageBreak/>
        <w:t>E</w:t>
      </w:r>
      <w:r w:rsidR="00082F3E" w:rsidRPr="007E5419">
        <w:rPr>
          <w:rFonts w:ascii="Book Antiqua" w:eastAsia="Calibri" w:hAnsi="Book Antiqua" w:cstheme="majorBidi"/>
          <w:sz w:val="24"/>
          <w:szCs w:val="24"/>
        </w:rPr>
        <w:t xml:space="preserve">nhance the dignity and position of the </w:t>
      </w:r>
      <w:r w:rsidR="001E06A8" w:rsidRPr="007E5419">
        <w:rPr>
          <w:rFonts w:ascii="Book Antiqua" w:eastAsia="Calibri" w:hAnsi="Book Antiqua" w:cstheme="majorBidi"/>
          <w:sz w:val="24"/>
          <w:szCs w:val="24"/>
        </w:rPr>
        <w:t>Religion Court</w:t>
      </w:r>
      <w:r w:rsidR="00943F29" w:rsidRPr="007E5419">
        <w:rPr>
          <w:rFonts w:ascii="Book Antiqua" w:eastAsia="Calibri" w:hAnsi="Book Antiqua" w:cstheme="majorBidi"/>
          <w:sz w:val="24"/>
          <w:szCs w:val="24"/>
        </w:rPr>
        <w:t xml:space="preserve"> as a sub-system institution</w:t>
      </w:r>
      <w:r w:rsidR="00082F3E" w:rsidRPr="007E5419">
        <w:rPr>
          <w:rFonts w:ascii="Book Antiqua" w:eastAsia="Calibri" w:hAnsi="Book Antiqua" w:cstheme="majorBidi"/>
          <w:sz w:val="24"/>
          <w:szCs w:val="24"/>
        </w:rPr>
        <w:t xml:space="preserve"> of judicial power under the Supreme Court, where the previous law has </w:t>
      </w:r>
      <w:r w:rsidR="00943F29" w:rsidRPr="007E5419">
        <w:rPr>
          <w:rFonts w:ascii="Book Antiqua" w:eastAsia="Calibri" w:hAnsi="Book Antiqua" w:cstheme="majorBidi"/>
          <w:sz w:val="24"/>
          <w:szCs w:val="24"/>
        </w:rPr>
        <w:t xml:space="preserve">also </w:t>
      </w:r>
      <w:r w:rsidR="00082F3E" w:rsidRPr="007E5419">
        <w:rPr>
          <w:rFonts w:ascii="Book Antiqua" w:eastAsia="Calibri" w:hAnsi="Book Antiqua" w:cstheme="majorBidi"/>
          <w:sz w:val="24"/>
          <w:szCs w:val="24"/>
        </w:rPr>
        <w:t xml:space="preserve">increased the </w:t>
      </w:r>
      <w:r w:rsidR="001E06A8" w:rsidRPr="007E5419">
        <w:rPr>
          <w:rFonts w:ascii="Book Antiqua" w:eastAsia="Calibri" w:hAnsi="Book Antiqua" w:cstheme="majorBidi"/>
          <w:sz w:val="24"/>
          <w:szCs w:val="24"/>
        </w:rPr>
        <w:t>Religion Court</w:t>
      </w:r>
      <w:r w:rsidR="00082F3E" w:rsidRPr="007E5419">
        <w:rPr>
          <w:rFonts w:ascii="Book Antiqua" w:eastAsia="Calibri" w:hAnsi="Book Antiqua" w:cstheme="majorBidi"/>
          <w:sz w:val="24"/>
          <w:szCs w:val="24"/>
        </w:rPr>
        <w:t xml:space="preserve"> as an independent judiciary, independent to the District Court.</w:t>
      </w:r>
    </w:p>
    <w:p w:rsidR="00082F3E" w:rsidRPr="007E5419" w:rsidRDefault="00082F3E" w:rsidP="00C04792">
      <w:pPr>
        <w:numPr>
          <w:ilvl w:val="1"/>
          <w:numId w:val="4"/>
        </w:numPr>
        <w:spacing w:after="0"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Position, duties and functions of the </w:t>
      </w:r>
      <w:r w:rsidR="001E06A8" w:rsidRPr="007E5419">
        <w:rPr>
          <w:rFonts w:ascii="Book Antiqua" w:eastAsia="Calibri" w:hAnsi="Book Antiqua" w:cstheme="majorBidi"/>
          <w:sz w:val="24"/>
          <w:szCs w:val="24"/>
        </w:rPr>
        <w:t>Religion Court</w:t>
      </w:r>
      <w:r w:rsidRPr="007E5419">
        <w:rPr>
          <w:rFonts w:ascii="Book Antiqua" w:eastAsia="Calibri" w:hAnsi="Book Antiqua" w:cstheme="majorBidi"/>
          <w:sz w:val="24"/>
          <w:szCs w:val="24"/>
        </w:rPr>
        <w:t xml:space="preserve"> </w:t>
      </w:r>
      <w:r w:rsidR="00943F29" w:rsidRPr="007E5419">
        <w:rPr>
          <w:rFonts w:ascii="Book Antiqua" w:eastAsia="Calibri" w:hAnsi="Book Antiqua" w:cstheme="majorBidi"/>
          <w:sz w:val="24"/>
          <w:szCs w:val="24"/>
        </w:rPr>
        <w:t xml:space="preserve">are </w:t>
      </w:r>
      <w:r w:rsidRPr="007E5419">
        <w:rPr>
          <w:rFonts w:ascii="Book Antiqua" w:eastAsia="Calibri" w:hAnsi="Book Antiqua" w:cstheme="majorBidi"/>
          <w:sz w:val="24"/>
          <w:szCs w:val="24"/>
        </w:rPr>
        <w:t>adapted to the demands for reform, the 1945 results amandemant, Law No. 4 of 2004 and Law No. 5 of 2004 as a modern and independent judiciary.</w:t>
      </w:r>
    </w:p>
    <w:p w:rsidR="00082F3E" w:rsidRPr="007E5419" w:rsidRDefault="00943F29" w:rsidP="00C04792">
      <w:pPr>
        <w:numPr>
          <w:ilvl w:val="1"/>
          <w:numId w:val="4"/>
        </w:numPr>
        <w:spacing w:after="0"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The jurisdiction of </w:t>
      </w:r>
      <w:r w:rsidR="001E06A8" w:rsidRPr="007E5419">
        <w:rPr>
          <w:rFonts w:ascii="Book Antiqua" w:eastAsia="Calibri" w:hAnsi="Book Antiqua" w:cstheme="majorBidi"/>
          <w:sz w:val="24"/>
          <w:szCs w:val="24"/>
        </w:rPr>
        <w:t>Religion Court</w:t>
      </w:r>
      <w:r w:rsidR="00082F3E" w:rsidRPr="007E5419">
        <w:rPr>
          <w:rFonts w:ascii="Book Antiqua" w:eastAsia="Calibri" w:hAnsi="Book Antiqua" w:cstheme="majorBidi"/>
          <w:sz w:val="24"/>
          <w:szCs w:val="24"/>
        </w:rPr>
        <w:t xml:space="preserve"> </w:t>
      </w:r>
      <w:r w:rsidRPr="007E5419">
        <w:rPr>
          <w:rFonts w:ascii="Book Antiqua" w:eastAsia="Calibri" w:hAnsi="Book Antiqua" w:cstheme="majorBidi"/>
          <w:sz w:val="24"/>
          <w:szCs w:val="24"/>
        </w:rPr>
        <w:t xml:space="preserve">was </w:t>
      </w:r>
      <w:r w:rsidR="00082F3E" w:rsidRPr="007E5419">
        <w:rPr>
          <w:rFonts w:ascii="Book Antiqua" w:eastAsia="Calibri" w:hAnsi="Book Antiqua" w:cstheme="majorBidi"/>
          <w:sz w:val="24"/>
          <w:szCs w:val="24"/>
        </w:rPr>
        <w:t>expanded to include Islamic civil matters and some criminal cases Islam (for Shari'ah Court in NAD) reaffirmed his absolute</w:t>
      </w:r>
      <w:r w:rsidR="0055454A" w:rsidRPr="007E5419">
        <w:rPr>
          <w:rFonts w:ascii="Book Antiqua" w:eastAsia="Calibri" w:hAnsi="Book Antiqua" w:cstheme="majorBidi"/>
          <w:sz w:val="24"/>
          <w:szCs w:val="24"/>
        </w:rPr>
        <w:t xml:space="preserve"> authority</w:t>
      </w:r>
      <w:r w:rsidR="00082F3E" w:rsidRPr="007E5419">
        <w:rPr>
          <w:rFonts w:ascii="Book Antiqua" w:eastAsia="Calibri" w:hAnsi="Book Antiqua" w:cstheme="majorBidi"/>
          <w:sz w:val="24"/>
          <w:szCs w:val="24"/>
        </w:rPr>
        <w:t xml:space="preserve">, so there is no longer an option in the case of inheritance law, restrictions with property disputes and other civil and other clauses complicated. </w:t>
      </w:r>
      <w:r w:rsidR="0055454A" w:rsidRPr="007E5419">
        <w:rPr>
          <w:rFonts w:ascii="Book Antiqua" w:eastAsia="Calibri" w:hAnsi="Book Antiqua" w:cstheme="majorBidi"/>
          <w:sz w:val="24"/>
          <w:szCs w:val="24"/>
        </w:rPr>
        <w:t>It also a</w:t>
      </w:r>
      <w:r w:rsidR="00082F3E" w:rsidRPr="007E5419">
        <w:rPr>
          <w:rFonts w:ascii="Book Antiqua" w:eastAsia="Calibri" w:hAnsi="Book Antiqua" w:cstheme="majorBidi"/>
          <w:sz w:val="24"/>
          <w:szCs w:val="24"/>
        </w:rPr>
        <w:t xml:space="preserve">ffirmed the subject of the law, namely that </w:t>
      </w:r>
      <w:r w:rsidR="0055454A" w:rsidRPr="007E5419">
        <w:rPr>
          <w:rFonts w:ascii="Book Antiqua" w:eastAsia="Calibri" w:hAnsi="Book Antiqua" w:cstheme="majorBidi"/>
          <w:sz w:val="24"/>
          <w:szCs w:val="24"/>
        </w:rPr>
        <w:t>the seeker</w:t>
      </w:r>
      <w:r w:rsidR="00082F3E" w:rsidRPr="007E5419">
        <w:rPr>
          <w:rFonts w:ascii="Book Antiqua" w:eastAsia="Calibri" w:hAnsi="Book Antiqua" w:cstheme="majorBidi"/>
          <w:sz w:val="24"/>
          <w:szCs w:val="24"/>
        </w:rPr>
        <w:t xml:space="preserve"> of justice in </w:t>
      </w:r>
      <w:r w:rsidR="001E06A8" w:rsidRPr="007E5419">
        <w:rPr>
          <w:rFonts w:ascii="Book Antiqua" w:eastAsia="Calibri" w:hAnsi="Book Antiqua" w:cstheme="majorBidi"/>
          <w:sz w:val="24"/>
          <w:szCs w:val="24"/>
        </w:rPr>
        <w:t>Religion Court</w:t>
      </w:r>
      <w:r w:rsidR="00082F3E" w:rsidRPr="007E5419">
        <w:rPr>
          <w:rFonts w:ascii="Book Antiqua" w:eastAsia="Calibri" w:hAnsi="Book Antiqua" w:cstheme="majorBidi"/>
          <w:sz w:val="24"/>
          <w:szCs w:val="24"/>
        </w:rPr>
        <w:t xml:space="preserve"> is that everyone, citizen or foreigner seeking </w:t>
      </w:r>
      <w:r w:rsidR="0055454A" w:rsidRPr="007E5419">
        <w:rPr>
          <w:rFonts w:ascii="Book Antiqua" w:eastAsia="Calibri" w:hAnsi="Book Antiqua" w:cstheme="majorBidi"/>
          <w:sz w:val="24"/>
          <w:szCs w:val="24"/>
        </w:rPr>
        <w:t xml:space="preserve">the justice </w:t>
      </w:r>
      <w:r w:rsidR="00082F3E" w:rsidRPr="007E5419">
        <w:rPr>
          <w:rFonts w:ascii="Book Antiqua" w:eastAsia="Calibri" w:hAnsi="Book Antiqua" w:cstheme="majorBidi"/>
          <w:sz w:val="24"/>
          <w:szCs w:val="24"/>
        </w:rPr>
        <w:t xml:space="preserve">on </w:t>
      </w:r>
      <w:r w:rsidR="0055454A" w:rsidRPr="007E5419">
        <w:rPr>
          <w:rFonts w:ascii="Book Antiqua" w:eastAsia="Calibri" w:hAnsi="Book Antiqua" w:cstheme="majorBidi"/>
          <w:sz w:val="24"/>
          <w:szCs w:val="24"/>
        </w:rPr>
        <w:t xml:space="preserve">the </w:t>
      </w:r>
      <w:r w:rsidR="00082F3E" w:rsidRPr="007E5419">
        <w:rPr>
          <w:rFonts w:ascii="Book Antiqua" w:eastAsia="Calibri" w:hAnsi="Book Antiqua" w:cstheme="majorBidi"/>
          <w:sz w:val="24"/>
          <w:szCs w:val="24"/>
        </w:rPr>
        <w:t xml:space="preserve">trial in Indonesia, was referred to the people who </w:t>
      </w:r>
      <w:r w:rsidR="0055454A" w:rsidRPr="007E5419">
        <w:rPr>
          <w:rFonts w:ascii="Book Antiqua" w:eastAsia="Calibri" w:hAnsi="Book Antiqua" w:cstheme="majorBidi"/>
          <w:sz w:val="24"/>
          <w:szCs w:val="24"/>
        </w:rPr>
        <w:t xml:space="preserve">are Muslims, </w:t>
      </w:r>
      <w:r w:rsidR="00082F3E" w:rsidRPr="007E5419">
        <w:rPr>
          <w:rFonts w:ascii="Book Antiqua" w:eastAsia="Calibri" w:hAnsi="Book Antiqua" w:cstheme="majorBidi"/>
          <w:sz w:val="24"/>
          <w:szCs w:val="24"/>
        </w:rPr>
        <w:t xml:space="preserve">included person or legal </w:t>
      </w:r>
      <w:r w:rsidR="0055454A" w:rsidRPr="007E5419">
        <w:rPr>
          <w:rFonts w:ascii="Book Antiqua" w:eastAsia="Calibri" w:hAnsi="Book Antiqua" w:cstheme="majorBidi"/>
          <w:sz w:val="24"/>
          <w:szCs w:val="24"/>
        </w:rPr>
        <w:t xml:space="preserve">corpotation </w:t>
      </w:r>
      <w:r w:rsidR="00082F3E" w:rsidRPr="007E5419">
        <w:rPr>
          <w:rFonts w:ascii="Book Antiqua" w:eastAsia="Calibri" w:hAnsi="Book Antiqua" w:cstheme="majorBidi"/>
          <w:sz w:val="24"/>
          <w:szCs w:val="24"/>
        </w:rPr>
        <w:t xml:space="preserve">which </w:t>
      </w:r>
      <w:r w:rsidR="0055454A" w:rsidRPr="007E5419">
        <w:rPr>
          <w:rFonts w:ascii="Book Antiqua" w:eastAsia="Calibri" w:hAnsi="Book Antiqua" w:cstheme="majorBidi"/>
          <w:sz w:val="24"/>
          <w:szCs w:val="24"/>
        </w:rPr>
        <w:t xml:space="preserve">is built according to </w:t>
      </w:r>
      <w:r w:rsidR="00082F3E" w:rsidRPr="007E5419">
        <w:rPr>
          <w:rFonts w:ascii="Book Antiqua" w:eastAsia="Calibri" w:hAnsi="Book Antiqua" w:cstheme="majorBidi"/>
          <w:sz w:val="24"/>
          <w:szCs w:val="24"/>
        </w:rPr>
        <w:t>the Islamic law</w:t>
      </w:r>
      <w:r w:rsidR="0055454A" w:rsidRPr="007E5419">
        <w:rPr>
          <w:rFonts w:ascii="Book Antiqua" w:eastAsia="Calibri" w:hAnsi="Book Antiqua" w:cstheme="majorBidi"/>
          <w:sz w:val="24"/>
          <w:szCs w:val="24"/>
        </w:rPr>
        <w:t xml:space="preserve">. All is </w:t>
      </w:r>
      <w:r w:rsidR="00082F3E" w:rsidRPr="007E5419">
        <w:rPr>
          <w:rFonts w:ascii="Book Antiqua" w:eastAsia="Calibri" w:hAnsi="Book Antiqua" w:cstheme="majorBidi"/>
          <w:sz w:val="24"/>
          <w:szCs w:val="24"/>
        </w:rPr>
        <w:t>regard</w:t>
      </w:r>
      <w:r w:rsidR="0055454A" w:rsidRPr="007E5419">
        <w:rPr>
          <w:rFonts w:ascii="Book Antiqua" w:eastAsia="Calibri" w:hAnsi="Book Antiqua" w:cstheme="majorBidi"/>
          <w:sz w:val="24"/>
          <w:szCs w:val="24"/>
        </w:rPr>
        <w:t>ed</w:t>
      </w:r>
      <w:r w:rsidR="00082F3E" w:rsidRPr="007E5419">
        <w:rPr>
          <w:rFonts w:ascii="Book Antiqua" w:eastAsia="Calibri" w:hAnsi="Book Antiqua" w:cstheme="majorBidi"/>
          <w:sz w:val="24"/>
          <w:szCs w:val="24"/>
        </w:rPr>
        <w:t xml:space="preserve"> </w:t>
      </w:r>
      <w:r w:rsidR="0055454A" w:rsidRPr="007E5419">
        <w:rPr>
          <w:rFonts w:ascii="Book Antiqua" w:eastAsia="Calibri" w:hAnsi="Book Antiqua" w:cstheme="majorBidi"/>
          <w:sz w:val="24"/>
          <w:szCs w:val="24"/>
        </w:rPr>
        <w:t xml:space="preserve">as </w:t>
      </w:r>
      <w:r w:rsidR="00082F3E" w:rsidRPr="007E5419">
        <w:rPr>
          <w:rFonts w:ascii="Book Antiqua" w:eastAsia="Calibri" w:hAnsi="Book Antiqua" w:cstheme="majorBidi"/>
          <w:sz w:val="24"/>
          <w:szCs w:val="24"/>
        </w:rPr>
        <w:t xml:space="preserve">matters </w:t>
      </w:r>
      <w:r w:rsidR="0055454A" w:rsidRPr="007E5419">
        <w:rPr>
          <w:rFonts w:ascii="Book Antiqua" w:eastAsia="Calibri" w:hAnsi="Book Antiqua" w:cstheme="majorBidi"/>
          <w:sz w:val="24"/>
          <w:szCs w:val="24"/>
        </w:rPr>
        <w:t xml:space="preserve">of Religion Court </w:t>
      </w:r>
      <w:r w:rsidR="00082F3E" w:rsidRPr="007E5419">
        <w:rPr>
          <w:rFonts w:ascii="Book Antiqua" w:eastAsia="Calibri" w:hAnsi="Book Antiqua" w:cstheme="majorBidi"/>
          <w:sz w:val="24"/>
          <w:szCs w:val="24"/>
        </w:rPr>
        <w:t>jurisdiction in accordance with Article 49 of the Basic Agrarian law No. 3 of 2006.</w:t>
      </w:r>
    </w:p>
    <w:p w:rsidR="00082F3E" w:rsidRPr="007E5419" w:rsidRDefault="00082F3E" w:rsidP="00C04792">
      <w:pPr>
        <w:numPr>
          <w:ilvl w:val="1"/>
          <w:numId w:val="4"/>
        </w:numPr>
        <w:spacing w:after="0"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Organization Religious Courts adjusted to the Supreme Court </w:t>
      </w:r>
      <w:r w:rsidR="009728C8" w:rsidRPr="007E5419">
        <w:rPr>
          <w:rFonts w:ascii="Book Antiqua" w:eastAsia="Calibri" w:hAnsi="Book Antiqua" w:cstheme="majorBidi"/>
          <w:sz w:val="24"/>
          <w:szCs w:val="24"/>
        </w:rPr>
        <w:t xml:space="preserve">may </w:t>
      </w:r>
      <w:r w:rsidRPr="007E5419">
        <w:rPr>
          <w:rFonts w:ascii="Book Antiqua" w:eastAsia="Calibri" w:hAnsi="Book Antiqua" w:cstheme="majorBidi"/>
          <w:sz w:val="24"/>
          <w:szCs w:val="24"/>
        </w:rPr>
        <w:t xml:space="preserve">open the </w:t>
      </w:r>
      <w:r w:rsidR="009728C8" w:rsidRPr="007E5419">
        <w:rPr>
          <w:rFonts w:ascii="Book Antiqua" w:eastAsia="Calibri" w:hAnsi="Book Antiqua" w:cstheme="majorBidi"/>
          <w:sz w:val="24"/>
          <w:szCs w:val="24"/>
        </w:rPr>
        <w:t xml:space="preserve">path </w:t>
      </w:r>
      <w:r w:rsidRPr="007E5419">
        <w:rPr>
          <w:rFonts w:ascii="Book Antiqua" w:eastAsia="Calibri" w:hAnsi="Book Antiqua" w:cstheme="majorBidi"/>
          <w:sz w:val="24"/>
          <w:szCs w:val="24"/>
        </w:rPr>
        <w:t xml:space="preserve">of career </w:t>
      </w:r>
      <w:r w:rsidR="009728C8" w:rsidRPr="007E5419">
        <w:rPr>
          <w:rFonts w:ascii="Book Antiqua" w:eastAsia="Calibri" w:hAnsi="Book Antiqua" w:cstheme="majorBidi"/>
          <w:sz w:val="24"/>
          <w:szCs w:val="24"/>
        </w:rPr>
        <w:t xml:space="preserve">into </w:t>
      </w:r>
      <w:r w:rsidR="001E06A8" w:rsidRPr="007E5419">
        <w:rPr>
          <w:rFonts w:ascii="Book Antiqua" w:eastAsia="Calibri" w:hAnsi="Book Antiqua" w:cstheme="majorBidi"/>
          <w:sz w:val="24"/>
          <w:szCs w:val="24"/>
        </w:rPr>
        <w:t>Religion Court</w:t>
      </w:r>
      <w:r w:rsidRPr="007E5419">
        <w:rPr>
          <w:rFonts w:ascii="Book Antiqua" w:eastAsia="Calibri" w:hAnsi="Book Antiqua" w:cstheme="majorBidi"/>
          <w:sz w:val="24"/>
          <w:szCs w:val="24"/>
        </w:rPr>
        <w:t xml:space="preserve"> officials to the Supreme Court, both the secretariat and the secretariat</w:t>
      </w:r>
      <w:r w:rsidR="009728C8" w:rsidRPr="007E5419">
        <w:rPr>
          <w:rFonts w:ascii="Book Antiqua" w:eastAsia="Calibri" w:hAnsi="Book Antiqua" w:cstheme="majorBidi"/>
          <w:sz w:val="24"/>
          <w:szCs w:val="24"/>
        </w:rPr>
        <w:t>.</w:t>
      </w:r>
    </w:p>
    <w:p w:rsidR="00082F3E" w:rsidRPr="007E5419" w:rsidRDefault="001E06A8" w:rsidP="00C04792">
      <w:pPr>
        <w:numPr>
          <w:ilvl w:val="1"/>
          <w:numId w:val="4"/>
        </w:numPr>
        <w:spacing w:after="0"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Religion Court </w:t>
      </w:r>
      <w:r w:rsidR="00082F3E" w:rsidRPr="007E5419">
        <w:rPr>
          <w:rFonts w:ascii="Book Antiqua" w:eastAsia="Calibri" w:hAnsi="Book Antiqua" w:cstheme="majorBidi"/>
          <w:sz w:val="24"/>
          <w:szCs w:val="24"/>
        </w:rPr>
        <w:t xml:space="preserve">is no longer a special court </w:t>
      </w:r>
      <w:r w:rsidR="003923A4" w:rsidRPr="007E5419">
        <w:rPr>
          <w:rFonts w:ascii="Book Antiqua" w:eastAsia="Calibri" w:hAnsi="Book Antiqua" w:cstheme="majorBidi"/>
          <w:sz w:val="24"/>
          <w:szCs w:val="24"/>
        </w:rPr>
        <w:t xml:space="preserve">beside the </w:t>
      </w:r>
      <w:r w:rsidR="00082F3E" w:rsidRPr="007E5419">
        <w:rPr>
          <w:rFonts w:ascii="Book Antiqua" w:eastAsia="Calibri" w:hAnsi="Book Antiqua" w:cstheme="majorBidi"/>
          <w:sz w:val="24"/>
          <w:szCs w:val="24"/>
        </w:rPr>
        <w:t xml:space="preserve">General Courts, but </w:t>
      </w:r>
      <w:r w:rsidR="003923A4" w:rsidRPr="007E5419">
        <w:rPr>
          <w:rFonts w:ascii="Book Antiqua" w:eastAsia="Calibri" w:hAnsi="Book Antiqua" w:cstheme="majorBidi"/>
          <w:sz w:val="24"/>
          <w:szCs w:val="24"/>
        </w:rPr>
        <w:t xml:space="preserve">it </w:t>
      </w:r>
      <w:r w:rsidR="00082F3E" w:rsidRPr="007E5419">
        <w:rPr>
          <w:rFonts w:ascii="Book Antiqua" w:eastAsia="Calibri" w:hAnsi="Book Antiqua" w:cstheme="majorBidi"/>
          <w:sz w:val="24"/>
          <w:szCs w:val="24"/>
        </w:rPr>
        <w:t xml:space="preserve">is a judicial environment as well as the general courts. Religious Courts can establish </w:t>
      </w:r>
      <w:r w:rsidR="003923A4" w:rsidRPr="007E5419">
        <w:rPr>
          <w:rFonts w:ascii="Book Antiqua" w:eastAsia="Calibri" w:hAnsi="Book Antiqua" w:cstheme="majorBidi"/>
          <w:sz w:val="24"/>
          <w:szCs w:val="24"/>
        </w:rPr>
        <w:t xml:space="preserve">a </w:t>
      </w:r>
      <w:r w:rsidR="00082F3E" w:rsidRPr="007E5419">
        <w:rPr>
          <w:rFonts w:ascii="Book Antiqua" w:eastAsia="Calibri" w:hAnsi="Book Antiqua" w:cstheme="majorBidi"/>
          <w:sz w:val="24"/>
          <w:szCs w:val="24"/>
        </w:rPr>
        <w:t xml:space="preserve">special court. NAD Shari'ah Court is an example of a special court within the </w:t>
      </w:r>
      <w:r w:rsidRPr="007E5419">
        <w:rPr>
          <w:rFonts w:ascii="Book Antiqua" w:eastAsia="Calibri" w:hAnsi="Book Antiqua" w:cstheme="majorBidi"/>
          <w:sz w:val="24"/>
          <w:szCs w:val="24"/>
        </w:rPr>
        <w:t xml:space="preserve">Religion </w:t>
      </w:r>
      <w:r w:rsidRPr="007E5419">
        <w:rPr>
          <w:rFonts w:ascii="Book Antiqua" w:eastAsia="Calibri" w:hAnsi="Book Antiqua" w:cstheme="majorBidi"/>
          <w:sz w:val="24"/>
          <w:szCs w:val="24"/>
        </w:rPr>
        <w:lastRenderedPageBreak/>
        <w:t>Court</w:t>
      </w:r>
      <w:r w:rsidR="00082F3E" w:rsidRPr="007E5419">
        <w:rPr>
          <w:rFonts w:ascii="Book Antiqua" w:eastAsia="Calibri" w:hAnsi="Book Antiqua" w:cstheme="majorBidi"/>
          <w:sz w:val="24"/>
          <w:szCs w:val="24"/>
        </w:rPr>
        <w:t xml:space="preserve"> throughout its authority regarding the authority of the </w:t>
      </w:r>
      <w:r w:rsidRPr="007E5419">
        <w:rPr>
          <w:rFonts w:ascii="Book Antiqua" w:eastAsia="Calibri" w:hAnsi="Book Antiqua" w:cstheme="majorBidi"/>
          <w:sz w:val="24"/>
          <w:szCs w:val="24"/>
        </w:rPr>
        <w:t>Religion Court</w:t>
      </w:r>
      <w:r w:rsidR="00082F3E" w:rsidRPr="007E5419">
        <w:rPr>
          <w:rFonts w:ascii="Book Antiqua" w:eastAsia="Calibri" w:hAnsi="Book Antiqua" w:cstheme="majorBidi"/>
          <w:sz w:val="24"/>
          <w:szCs w:val="24"/>
        </w:rPr>
        <w:t>, an</w:t>
      </w:r>
      <w:r w:rsidR="00594395" w:rsidRPr="007E5419">
        <w:rPr>
          <w:rFonts w:ascii="Book Antiqua" w:eastAsia="Calibri" w:hAnsi="Book Antiqua" w:cstheme="majorBidi"/>
          <w:sz w:val="24"/>
          <w:szCs w:val="24"/>
        </w:rPr>
        <w:t>d</w:t>
      </w:r>
      <w:r w:rsidR="00082F3E" w:rsidRPr="007E5419">
        <w:rPr>
          <w:rFonts w:ascii="Book Antiqua" w:eastAsia="Calibri" w:hAnsi="Book Antiqua" w:cstheme="majorBidi"/>
          <w:sz w:val="24"/>
          <w:szCs w:val="24"/>
        </w:rPr>
        <w:t xml:space="preserve"> also a special court within the general courts throughout its authority regarding the authority of the General Court (Article 3A of Law No. 3 of 2006 and the Explanatory Notes).</w:t>
      </w:r>
    </w:p>
    <w:p w:rsidR="00082F3E" w:rsidRPr="007E5419" w:rsidRDefault="00082F3E" w:rsidP="00C04792">
      <w:pPr>
        <w:spacing w:line="360" w:lineRule="auto"/>
        <w:ind w:left="360" w:firstLine="540"/>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 </w:t>
      </w:r>
      <w:r w:rsidR="00411889" w:rsidRPr="007E5419">
        <w:rPr>
          <w:rFonts w:ascii="Book Antiqua" w:eastAsia="Calibri" w:hAnsi="Book Antiqua" w:cstheme="majorBidi"/>
          <w:sz w:val="24"/>
          <w:szCs w:val="24"/>
        </w:rPr>
        <w:t xml:space="preserve">The </w:t>
      </w:r>
      <w:r w:rsidRPr="007E5419">
        <w:rPr>
          <w:rFonts w:ascii="Book Antiqua" w:eastAsia="Calibri" w:hAnsi="Book Antiqua" w:cstheme="majorBidi"/>
          <w:sz w:val="24"/>
          <w:szCs w:val="24"/>
        </w:rPr>
        <w:t>consideration</w:t>
      </w:r>
      <w:r w:rsidR="00411889" w:rsidRPr="007E5419">
        <w:rPr>
          <w:rFonts w:ascii="Book Antiqua" w:eastAsia="Calibri" w:hAnsi="Book Antiqua" w:cstheme="majorBidi"/>
          <w:sz w:val="24"/>
          <w:szCs w:val="24"/>
        </w:rPr>
        <w:t>s</w:t>
      </w:r>
      <w:r w:rsidRPr="007E5419">
        <w:rPr>
          <w:rFonts w:ascii="Book Antiqua" w:eastAsia="Calibri" w:hAnsi="Book Antiqua" w:cstheme="majorBidi"/>
          <w:sz w:val="24"/>
          <w:szCs w:val="24"/>
        </w:rPr>
        <w:t xml:space="preserve"> </w:t>
      </w:r>
      <w:r w:rsidR="00411889" w:rsidRPr="007E5419">
        <w:rPr>
          <w:rFonts w:ascii="Book Antiqua" w:eastAsia="Calibri" w:hAnsi="Book Antiqua" w:cstheme="majorBidi"/>
          <w:sz w:val="24"/>
          <w:szCs w:val="24"/>
        </w:rPr>
        <w:t xml:space="preserve">of </w:t>
      </w:r>
      <w:r w:rsidRPr="007E5419">
        <w:rPr>
          <w:rFonts w:ascii="Book Antiqua" w:eastAsia="Calibri" w:hAnsi="Book Antiqua" w:cstheme="majorBidi"/>
          <w:sz w:val="24"/>
          <w:szCs w:val="24"/>
        </w:rPr>
        <w:t>amendments are as follows:</w:t>
      </w:r>
      <w:r w:rsidRPr="007E5419">
        <w:rPr>
          <w:rStyle w:val="FootnoteReference"/>
          <w:rFonts w:ascii="Book Antiqua" w:eastAsia="Calibri" w:hAnsi="Book Antiqua" w:cstheme="majorBidi"/>
          <w:sz w:val="24"/>
          <w:szCs w:val="24"/>
        </w:rPr>
        <w:footnoteReference w:id="37"/>
      </w:r>
    </w:p>
    <w:p w:rsidR="00082F3E" w:rsidRPr="007E5419" w:rsidRDefault="00082F3E" w:rsidP="00C04792">
      <w:pPr>
        <w:spacing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a. the </w:t>
      </w:r>
      <w:r w:rsidR="00CB55BC" w:rsidRPr="007E5419">
        <w:rPr>
          <w:rFonts w:ascii="Book Antiqua" w:eastAsia="Calibri" w:hAnsi="Book Antiqua" w:cstheme="majorBidi"/>
          <w:sz w:val="24"/>
          <w:szCs w:val="24"/>
        </w:rPr>
        <w:t xml:space="preserve">general </w:t>
      </w:r>
      <w:r w:rsidRPr="007E5419">
        <w:rPr>
          <w:rFonts w:ascii="Book Antiqua" w:eastAsia="Calibri" w:hAnsi="Book Antiqua" w:cstheme="majorBidi"/>
          <w:sz w:val="24"/>
          <w:szCs w:val="24"/>
        </w:rPr>
        <w:t>reason</w:t>
      </w:r>
      <w:r w:rsidR="00CB55BC" w:rsidRPr="007E5419">
        <w:rPr>
          <w:rFonts w:ascii="Book Antiqua" w:eastAsia="Calibri" w:hAnsi="Book Antiqua" w:cstheme="majorBidi"/>
          <w:sz w:val="24"/>
          <w:szCs w:val="24"/>
        </w:rPr>
        <w:t>,</w:t>
      </w:r>
      <w:r w:rsidRPr="007E5419">
        <w:rPr>
          <w:rFonts w:ascii="Book Antiqua" w:eastAsia="Calibri" w:hAnsi="Book Antiqua" w:cstheme="majorBidi"/>
          <w:sz w:val="24"/>
          <w:szCs w:val="24"/>
        </w:rPr>
        <w:t xml:space="preserve"> that politics Indies always limit the powers of the </w:t>
      </w:r>
      <w:r w:rsidR="001E06A8" w:rsidRPr="007E5419">
        <w:rPr>
          <w:rFonts w:ascii="Book Antiqua" w:eastAsia="Calibri" w:hAnsi="Book Antiqua" w:cstheme="majorBidi"/>
          <w:sz w:val="24"/>
          <w:szCs w:val="24"/>
        </w:rPr>
        <w:t>Religion Court</w:t>
      </w:r>
      <w:r w:rsidRPr="007E5419">
        <w:rPr>
          <w:rFonts w:ascii="Book Antiqua" w:eastAsia="Calibri" w:hAnsi="Book Antiqua" w:cstheme="majorBidi"/>
          <w:sz w:val="24"/>
          <w:szCs w:val="24"/>
        </w:rPr>
        <w:t xml:space="preserve"> at that time.</w:t>
      </w:r>
      <w:r w:rsidR="00CB55BC" w:rsidRPr="007E5419">
        <w:rPr>
          <w:rFonts w:ascii="Book Antiqua" w:eastAsia="Calibri" w:hAnsi="Book Antiqua" w:cstheme="majorBidi"/>
          <w:sz w:val="24"/>
          <w:szCs w:val="24"/>
        </w:rPr>
        <w:t xml:space="preserve"> Therefore,</w:t>
      </w:r>
      <w:r w:rsidRPr="007E5419">
        <w:rPr>
          <w:rFonts w:ascii="Book Antiqua" w:eastAsia="Calibri" w:hAnsi="Book Antiqua" w:cstheme="majorBidi"/>
          <w:sz w:val="24"/>
          <w:szCs w:val="24"/>
        </w:rPr>
        <w:t xml:space="preserve"> along with democratization, this time as a judicial </w:t>
      </w:r>
      <w:r w:rsidR="001E06A8" w:rsidRPr="007E5419">
        <w:rPr>
          <w:rFonts w:ascii="Book Antiqua" w:eastAsia="Calibri" w:hAnsi="Book Antiqua" w:cstheme="majorBidi"/>
          <w:sz w:val="24"/>
          <w:szCs w:val="24"/>
        </w:rPr>
        <w:t>Religion Court</w:t>
      </w:r>
      <w:r w:rsidRPr="007E5419">
        <w:rPr>
          <w:rFonts w:ascii="Book Antiqua" w:eastAsia="Calibri" w:hAnsi="Book Antiqua" w:cstheme="majorBidi"/>
          <w:sz w:val="24"/>
          <w:szCs w:val="24"/>
        </w:rPr>
        <w:t xml:space="preserve"> State which is positioned parallel to the other courts at the Supreme Court, </w:t>
      </w:r>
      <w:r w:rsidR="00CB55BC" w:rsidRPr="007E5419">
        <w:rPr>
          <w:rFonts w:ascii="Book Antiqua" w:eastAsia="Calibri" w:hAnsi="Book Antiqua" w:cstheme="majorBidi"/>
          <w:sz w:val="24"/>
          <w:szCs w:val="24"/>
        </w:rPr>
        <w:t xml:space="preserve">is </w:t>
      </w:r>
      <w:r w:rsidRPr="007E5419">
        <w:rPr>
          <w:rFonts w:ascii="Book Antiqua" w:eastAsia="Calibri" w:hAnsi="Book Antiqua" w:cstheme="majorBidi"/>
          <w:sz w:val="24"/>
          <w:szCs w:val="24"/>
        </w:rPr>
        <w:t>granted the authority based on the needs of Muslims.</w:t>
      </w:r>
    </w:p>
    <w:p w:rsidR="00082F3E" w:rsidRPr="007E5419" w:rsidRDefault="00082F3E" w:rsidP="00C04792">
      <w:pPr>
        <w:spacing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b. </w:t>
      </w:r>
      <w:r w:rsidR="002E3FEE" w:rsidRPr="007E5419">
        <w:rPr>
          <w:rFonts w:ascii="Book Antiqua" w:eastAsia="Calibri" w:hAnsi="Book Antiqua" w:cstheme="majorBidi"/>
          <w:sz w:val="24"/>
          <w:szCs w:val="24"/>
        </w:rPr>
        <w:t xml:space="preserve">the </w:t>
      </w:r>
      <w:r w:rsidRPr="007E5419">
        <w:rPr>
          <w:rFonts w:ascii="Book Antiqua" w:eastAsia="Calibri" w:hAnsi="Book Antiqua" w:cstheme="majorBidi"/>
          <w:sz w:val="24"/>
          <w:szCs w:val="24"/>
        </w:rPr>
        <w:t xml:space="preserve">juridical reason is to adapt to changes in the 1945 Constitution and Law no. 4 of 2004 on Judicial </w:t>
      </w:r>
      <w:r w:rsidR="002E3FEE" w:rsidRPr="007E5419">
        <w:rPr>
          <w:rFonts w:ascii="Book Antiqua" w:eastAsia="Calibri" w:hAnsi="Book Antiqua" w:cstheme="majorBidi"/>
          <w:sz w:val="24"/>
          <w:szCs w:val="24"/>
        </w:rPr>
        <w:t>Authority</w:t>
      </w:r>
      <w:r w:rsidR="005B3DEA" w:rsidRPr="007E5419">
        <w:rPr>
          <w:rFonts w:ascii="Book Antiqua" w:eastAsia="Calibri" w:hAnsi="Book Antiqua" w:cstheme="majorBidi"/>
          <w:sz w:val="24"/>
          <w:szCs w:val="24"/>
        </w:rPr>
        <w:t>, and to</w:t>
      </w:r>
      <w:r w:rsidR="002E3FEE" w:rsidRPr="007E5419">
        <w:rPr>
          <w:rFonts w:ascii="Book Antiqua" w:eastAsia="Calibri" w:hAnsi="Book Antiqua" w:cstheme="majorBidi"/>
          <w:sz w:val="24"/>
          <w:szCs w:val="24"/>
        </w:rPr>
        <w:t xml:space="preserve"> </w:t>
      </w:r>
      <w:r w:rsidRPr="007E5419">
        <w:rPr>
          <w:rFonts w:ascii="Book Antiqua" w:eastAsia="Calibri" w:hAnsi="Book Antiqua" w:cstheme="majorBidi"/>
          <w:sz w:val="24"/>
          <w:szCs w:val="24"/>
        </w:rPr>
        <w:t>be adjusted by the needs of society and the development of national law.</w:t>
      </w:r>
    </w:p>
    <w:p w:rsidR="00082F3E" w:rsidRPr="007E5419" w:rsidRDefault="00082F3E" w:rsidP="00C04792">
      <w:pPr>
        <w:spacing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c. </w:t>
      </w:r>
      <w:r w:rsidR="002E3FEE" w:rsidRPr="007E5419">
        <w:rPr>
          <w:rFonts w:ascii="Book Antiqua" w:eastAsia="Calibri" w:hAnsi="Book Antiqua" w:cstheme="majorBidi"/>
          <w:sz w:val="24"/>
          <w:szCs w:val="24"/>
        </w:rPr>
        <w:t xml:space="preserve">the </w:t>
      </w:r>
      <w:r w:rsidRPr="007E5419">
        <w:rPr>
          <w:rFonts w:ascii="Book Antiqua" w:eastAsia="Calibri" w:hAnsi="Book Antiqua" w:cstheme="majorBidi"/>
          <w:sz w:val="24"/>
          <w:szCs w:val="24"/>
        </w:rPr>
        <w:t>special reasons are:</w:t>
      </w:r>
    </w:p>
    <w:p w:rsidR="00082F3E" w:rsidRPr="007E5419" w:rsidRDefault="00082F3E" w:rsidP="00C04792">
      <w:pPr>
        <w:spacing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1). The number of violations of </w:t>
      </w:r>
      <w:r w:rsidR="005B3DEA" w:rsidRPr="007E5419">
        <w:rPr>
          <w:rFonts w:ascii="Book Antiqua" w:eastAsia="Calibri" w:hAnsi="Book Antiqua" w:cstheme="majorBidi"/>
          <w:sz w:val="24"/>
          <w:szCs w:val="24"/>
        </w:rPr>
        <w:t xml:space="preserve">marriage </w:t>
      </w:r>
      <w:r w:rsidRPr="007E5419">
        <w:rPr>
          <w:rFonts w:ascii="Book Antiqua" w:eastAsia="Calibri" w:hAnsi="Book Antiqua" w:cstheme="majorBidi"/>
          <w:sz w:val="24"/>
          <w:szCs w:val="24"/>
        </w:rPr>
        <w:t xml:space="preserve">rules, and </w:t>
      </w:r>
      <w:r w:rsidR="005B3DEA" w:rsidRPr="007E5419">
        <w:rPr>
          <w:rFonts w:ascii="Book Antiqua" w:eastAsia="Calibri" w:hAnsi="Book Antiqua" w:cstheme="majorBidi"/>
          <w:sz w:val="24"/>
          <w:szCs w:val="24"/>
        </w:rPr>
        <w:t xml:space="preserve">their </w:t>
      </w:r>
      <w:r w:rsidRPr="007E5419">
        <w:rPr>
          <w:rFonts w:ascii="Book Antiqua" w:eastAsia="Calibri" w:hAnsi="Book Antiqua" w:cstheme="majorBidi"/>
          <w:sz w:val="24"/>
          <w:szCs w:val="24"/>
        </w:rPr>
        <w:t xml:space="preserve">sanctions are not effective, then </w:t>
      </w:r>
      <w:r w:rsidR="005B3DEA" w:rsidRPr="007E5419">
        <w:rPr>
          <w:rFonts w:ascii="Book Antiqua" w:eastAsia="Calibri" w:hAnsi="Book Antiqua" w:cstheme="majorBidi"/>
          <w:sz w:val="24"/>
          <w:szCs w:val="24"/>
        </w:rPr>
        <w:t xml:space="preserve">it </w:t>
      </w:r>
      <w:r w:rsidRPr="007E5419">
        <w:rPr>
          <w:rFonts w:ascii="Book Antiqua" w:eastAsia="Calibri" w:hAnsi="Book Antiqua" w:cstheme="majorBidi"/>
          <w:sz w:val="24"/>
          <w:szCs w:val="24"/>
        </w:rPr>
        <w:t>need</w:t>
      </w:r>
      <w:r w:rsidR="005B3DEA" w:rsidRPr="007E5419">
        <w:rPr>
          <w:rFonts w:ascii="Book Antiqua" w:eastAsia="Calibri" w:hAnsi="Book Antiqua" w:cstheme="majorBidi"/>
          <w:sz w:val="24"/>
          <w:szCs w:val="24"/>
        </w:rPr>
        <w:t>s</w:t>
      </w:r>
      <w:r w:rsidRPr="007E5419">
        <w:rPr>
          <w:rFonts w:ascii="Book Antiqua" w:eastAsia="Calibri" w:hAnsi="Book Antiqua" w:cstheme="majorBidi"/>
          <w:sz w:val="24"/>
          <w:szCs w:val="24"/>
        </w:rPr>
        <w:t xml:space="preserve"> for a legal shelter to be effective.</w:t>
      </w:r>
    </w:p>
    <w:p w:rsidR="00082F3E" w:rsidRPr="007E5419" w:rsidRDefault="00082F3E" w:rsidP="00C04792">
      <w:pPr>
        <w:spacing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2). In line with the formation of the Shariah Court which handled jinayah, require a legal shelter in the form of legislation.</w:t>
      </w:r>
    </w:p>
    <w:p w:rsidR="00082F3E" w:rsidRPr="007E5419" w:rsidRDefault="00082F3E" w:rsidP="00C04792">
      <w:pPr>
        <w:spacing w:line="360" w:lineRule="auto"/>
        <w:jc w:val="both"/>
        <w:rPr>
          <w:rFonts w:ascii="Book Antiqua" w:eastAsia="Calibri" w:hAnsi="Book Antiqua" w:cstheme="majorBidi"/>
          <w:sz w:val="24"/>
          <w:szCs w:val="24"/>
        </w:rPr>
      </w:pPr>
      <w:r w:rsidRPr="007E5419">
        <w:rPr>
          <w:rFonts w:ascii="Book Antiqua" w:eastAsia="Calibri" w:hAnsi="Book Antiqua" w:cstheme="majorBidi"/>
          <w:sz w:val="24"/>
          <w:szCs w:val="24"/>
        </w:rPr>
        <w:t xml:space="preserve">3) the concept of Islamic economics put the values </w:t>
      </w:r>
      <w:r w:rsidRPr="007E5419">
        <w:rPr>
          <w:rFonts w:ascii="Times New Roman" w:eastAsia="Calibri" w:hAnsi="Times New Roman" w:cs="Times New Roman"/>
          <w:sz w:val="24"/>
          <w:szCs w:val="24"/>
        </w:rPr>
        <w:t>​​</w:t>
      </w:r>
      <w:r w:rsidRPr="007E5419">
        <w:rPr>
          <w:rFonts w:ascii="Book Antiqua" w:eastAsia="Calibri" w:hAnsi="Book Antiqua" w:cstheme="majorBidi"/>
          <w:sz w:val="24"/>
          <w:szCs w:val="24"/>
        </w:rPr>
        <w:t xml:space="preserve">of Islam as the basis and foundation in economic activity in the framework of the public welfare. </w:t>
      </w:r>
      <w:r w:rsidR="005B3DEA" w:rsidRPr="007E5419">
        <w:rPr>
          <w:rFonts w:ascii="Book Antiqua" w:eastAsia="Calibri" w:hAnsi="Book Antiqua" w:cstheme="majorBidi"/>
          <w:sz w:val="24"/>
          <w:szCs w:val="24"/>
        </w:rPr>
        <w:t>The e</w:t>
      </w:r>
      <w:r w:rsidRPr="007E5419">
        <w:rPr>
          <w:rFonts w:ascii="Book Antiqua" w:eastAsia="Calibri" w:hAnsi="Book Antiqua" w:cstheme="majorBidi"/>
          <w:sz w:val="24"/>
          <w:szCs w:val="24"/>
        </w:rPr>
        <w:t xml:space="preserve">fforts to realize these values, is to establish social institutions (including economic institute) is based on sharia law. </w:t>
      </w:r>
      <w:r w:rsidR="005B3DEA" w:rsidRPr="007E5419">
        <w:rPr>
          <w:rFonts w:ascii="Book Antiqua" w:eastAsia="Calibri" w:hAnsi="Book Antiqua" w:cstheme="majorBidi"/>
          <w:sz w:val="24"/>
          <w:szCs w:val="24"/>
        </w:rPr>
        <w:t>T</w:t>
      </w:r>
      <w:r w:rsidRPr="007E5419">
        <w:rPr>
          <w:rFonts w:ascii="Book Antiqua" w:eastAsia="Calibri" w:hAnsi="Book Antiqua" w:cstheme="majorBidi"/>
          <w:sz w:val="24"/>
          <w:szCs w:val="24"/>
        </w:rPr>
        <w:t>here</w:t>
      </w:r>
      <w:r w:rsidR="005B3DEA" w:rsidRPr="007E5419">
        <w:rPr>
          <w:rFonts w:ascii="Book Antiqua" w:eastAsia="Calibri" w:hAnsi="Book Antiqua" w:cstheme="majorBidi"/>
          <w:sz w:val="24"/>
          <w:szCs w:val="24"/>
        </w:rPr>
        <w:t xml:space="preserve">fore, the Shari'ah </w:t>
      </w:r>
      <w:r w:rsidRPr="007E5419">
        <w:rPr>
          <w:rFonts w:ascii="Book Antiqua" w:eastAsia="Calibri" w:hAnsi="Book Antiqua" w:cstheme="majorBidi"/>
          <w:sz w:val="24"/>
          <w:szCs w:val="24"/>
        </w:rPr>
        <w:t>business dispute</w:t>
      </w:r>
      <w:r w:rsidR="005B3DEA" w:rsidRPr="007E5419">
        <w:rPr>
          <w:rFonts w:ascii="Book Antiqua" w:eastAsia="Calibri" w:hAnsi="Book Antiqua" w:cstheme="majorBidi"/>
          <w:sz w:val="24"/>
          <w:szCs w:val="24"/>
        </w:rPr>
        <w:t xml:space="preserve">s will become </w:t>
      </w:r>
      <w:r w:rsidRPr="007E5419">
        <w:rPr>
          <w:rFonts w:ascii="Book Antiqua" w:eastAsia="Calibri" w:hAnsi="Book Antiqua" w:cstheme="majorBidi"/>
          <w:sz w:val="24"/>
          <w:szCs w:val="24"/>
        </w:rPr>
        <w:t xml:space="preserve">the </w:t>
      </w:r>
      <w:r w:rsidR="005B3DEA" w:rsidRPr="007E5419">
        <w:rPr>
          <w:rFonts w:ascii="Book Antiqua" w:eastAsia="Calibri" w:hAnsi="Book Antiqua" w:cstheme="majorBidi"/>
          <w:sz w:val="24"/>
          <w:szCs w:val="24"/>
        </w:rPr>
        <w:t xml:space="preserve">jurisdiction of </w:t>
      </w:r>
      <w:r w:rsidRPr="007E5419">
        <w:rPr>
          <w:rFonts w:ascii="Book Antiqua" w:eastAsia="Calibri" w:hAnsi="Book Antiqua" w:cstheme="majorBidi"/>
          <w:sz w:val="24"/>
          <w:szCs w:val="24"/>
        </w:rPr>
        <w:t xml:space="preserve">this </w:t>
      </w:r>
      <w:r w:rsidR="001E06A8" w:rsidRPr="007E5419">
        <w:rPr>
          <w:rFonts w:ascii="Book Antiqua" w:eastAsia="Calibri" w:hAnsi="Book Antiqua" w:cstheme="majorBidi"/>
          <w:sz w:val="24"/>
          <w:szCs w:val="24"/>
        </w:rPr>
        <w:t>Religion Court</w:t>
      </w:r>
      <w:r w:rsidRPr="007E5419">
        <w:rPr>
          <w:rFonts w:ascii="Book Antiqua" w:eastAsia="Calibri" w:hAnsi="Book Antiqua" w:cstheme="majorBidi"/>
          <w:sz w:val="24"/>
          <w:szCs w:val="24"/>
        </w:rPr>
        <w:t>.</w:t>
      </w:r>
    </w:p>
    <w:p w:rsidR="00082F3E" w:rsidRPr="007E5419" w:rsidRDefault="00082F3E" w:rsidP="000B702C">
      <w:pPr>
        <w:pStyle w:val="ListParagraph"/>
        <w:numPr>
          <w:ilvl w:val="0"/>
          <w:numId w:val="11"/>
        </w:numPr>
        <w:spacing w:after="0" w:line="360" w:lineRule="auto"/>
        <w:jc w:val="both"/>
        <w:rPr>
          <w:rFonts w:ascii="Book Antiqua" w:eastAsia="Calibri" w:hAnsi="Book Antiqua" w:cstheme="majorBidi"/>
          <w:b/>
          <w:bCs/>
          <w:sz w:val="24"/>
          <w:szCs w:val="24"/>
        </w:rPr>
      </w:pPr>
      <w:r w:rsidRPr="007E5419">
        <w:rPr>
          <w:rFonts w:ascii="Book Antiqua" w:eastAsia="Calibri" w:hAnsi="Book Antiqua" w:cstheme="majorBidi"/>
          <w:b/>
          <w:bCs/>
          <w:sz w:val="24"/>
          <w:szCs w:val="24"/>
        </w:rPr>
        <w:lastRenderedPageBreak/>
        <w:t>The bill for Applied Legal Religious Court</w:t>
      </w:r>
    </w:p>
    <w:p w:rsidR="00082F3E" w:rsidRPr="007E5419" w:rsidRDefault="00082F3E" w:rsidP="00C04792">
      <w:pPr>
        <w:spacing w:line="360" w:lineRule="auto"/>
        <w:ind w:firstLine="540"/>
        <w:jc w:val="both"/>
        <w:rPr>
          <w:rFonts w:ascii="Book Antiqua" w:eastAsia="Calibri" w:hAnsi="Book Antiqua" w:cstheme="majorBidi"/>
          <w:sz w:val="24"/>
          <w:szCs w:val="24"/>
        </w:rPr>
      </w:pPr>
      <w:r w:rsidRPr="007E5419">
        <w:rPr>
          <w:rFonts w:ascii="Book Antiqua" w:eastAsia="Calibri" w:hAnsi="Book Antiqua" w:cstheme="majorBidi"/>
          <w:sz w:val="24"/>
          <w:szCs w:val="24"/>
        </w:rPr>
        <w:t>Law No. 1 of 1974 concerning marriage and PP No. 9 in 1975 as its implementing regulations, not enough for legal sebgai materially Religious Courts. Then the Islamic Law Compilation (KHI) established by Presiden</w:t>
      </w:r>
      <w:r w:rsidR="00963B34" w:rsidRPr="007E5419">
        <w:rPr>
          <w:rFonts w:ascii="Book Antiqua" w:eastAsia="Calibri" w:hAnsi="Book Antiqua" w:cstheme="majorBidi"/>
          <w:sz w:val="24"/>
          <w:szCs w:val="24"/>
        </w:rPr>
        <w:t xml:space="preserve">tial Instruction No. 1 of 1990 was used </w:t>
      </w:r>
      <w:r w:rsidRPr="007E5419">
        <w:rPr>
          <w:rFonts w:ascii="Book Antiqua" w:eastAsia="Calibri" w:hAnsi="Book Antiqua" w:cstheme="majorBidi"/>
          <w:sz w:val="24"/>
          <w:szCs w:val="24"/>
        </w:rPr>
        <w:t>as</w:t>
      </w:r>
      <w:r w:rsidR="00963B34" w:rsidRPr="007E5419">
        <w:rPr>
          <w:rFonts w:ascii="Book Antiqua" w:eastAsia="Calibri" w:hAnsi="Book Antiqua" w:cstheme="majorBidi"/>
          <w:sz w:val="24"/>
          <w:szCs w:val="24"/>
        </w:rPr>
        <w:t xml:space="preserve"> a guide for judges in religion</w:t>
      </w:r>
      <w:r w:rsidRPr="007E5419">
        <w:rPr>
          <w:rFonts w:ascii="Book Antiqua" w:eastAsia="Calibri" w:hAnsi="Book Antiqua" w:cstheme="majorBidi"/>
          <w:sz w:val="24"/>
          <w:szCs w:val="24"/>
        </w:rPr>
        <w:t xml:space="preserve"> courts. However, political </w:t>
      </w:r>
      <w:r w:rsidR="00963B34" w:rsidRPr="007E5419">
        <w:rPr>
          <w:rFonts w:ascii="Book Antiqua" w:eastAsia="Calibri" w:hAnsi="Book Antiqua" w:cstheme="majorBidi"/>
          <w:sz w:val="24"/>
          <w:szCs w:val="24"/>
        </w:rPr>
        <w:t xml:space="preserve">law of </w:t>
      </w:r>
      <w:r w:rsidRPr="007E5419">
        <w:rPr>
          <w:rFonts w:ascii="Book Antiqua" w:eastAsia="Calibri" w:hAnsi="Book Antiqua" w:cstheme="majorBidi"/>
          <w:sz w:val="24"/>
          <w:szCs w:val="24"/>
        </w:rPr>
        <w:t xml:space="preserve">Indonesian requires that the laws of material that formed the basis for the judges to examine and decide the case not enough to just be guided by a presidential order, but </w:t>
      </w:r>
      <w:r w:rsidR="00963B34" w:rsidRPr="007E5419">
        <w:rPr>
          <w:rFonts w:ascii="Book Antiqua" w:eastAsia="Calibri" w:hAnsi="Book Antiqua" w:cstheme="majorBidi"/>
          <w:sz w:val="24"/>
          <w:szCs w:val="24"/>
        </w:rPr>
        <w:t xml:space="preserve">it </w:t>
      </w:r>
      <w:r w:rsidRPr="007E5419">
        <w:rPr>
          <w:rFonts w:ascii="Book Antiqua" w:eastAsia="Calibri" w:hAnsi="Book Antiqua" w:cstheme="majorBidi"/>
          <w:sz w:val="24"/>
          <w:szCs w:val="24"/>
        </w:rPr>
        <w:t xml:space="preserve">must be based on substantive law governed by </w:t>
      </w:r>
      <w:r w:rsidR="00963B34" w:rsidRPr="007E5419">
        <w:rPr>
          <w:rFonts w:ascii="Book Antiqua" w:eastAsia="Calibri" w:hAnsi="Book Antiqua" w:cstheme="majorBidi"/>
          <w:sz w:val="24"/>
          <w:szCs w:val="24"/>
        </w:rPr>
        <w:t>legislated law</w:t>
      </w:r>
      <w:r w:rsidRPr="007E5419">
        <w:rPr>
          <w:rFonts w:ascii="Book Antiqua" w:eastAsia="Calibri" w:hAnsi="Book Antiqua" w:cstheme="majorBidi"/>
          <w:sz w:val="24"/>
          <w:szCs w:val="24"/>
        </w:rPr>
        <w:t>.</w:t>
      </w:r>
      <w:r w:rsidR="005A4636" w:rsidRPr="007E5419">
        <w:rPr>
          <w:rFonts w:ascii="Book Antiqua" w:eastAsia="Calibri" w:hAnsi="Book Antiqua" w:cstheme="majorBidi"/>
          <w:sz w:val="24"/>
          <w:szCs w:val="24"/>
        </w:rPr>
        <w:t xml:space="preserve"> KHI </w:t>
      </w:r>
      <w:r w:rsidRPr="007E5419">
        <w:rPr>
          <w:rFonts w:ascii="Book Antiqua" w:eastAsia="Calibri" w:hAnsi="Book Antiqua" w:cstheme="majorBidi"/>
          <w:sz w:val="24"/>
          <w:szCs w:val="24"/>
        </w:rPr>
        <w:t>has no legally binding force of law, although it proved to be effective as a reference to the judges</w:t>
      </w:r>
      <w:r w:rsidR="005A4636" w:rsidRPr="007E5419">
        <w:rPr>
          <w:rFonts w:ascii="Book Antiqua" w:eastAsia="Calibri" w:hAnsi="Book Antiqua" w:cstheme="majorBidi"/>
          <w:sz w:val="24"/>
          <w:szCs w:val="24"/>
        </w:rPr>
        <w:t xml:space="preserve">. </w:t>
      </w:r>
      <w:r w:rsidRPr="007E5419">
        <w:rPr>
          <w:rFonts w:ascii="Book Antiqua" w:eastAsia="Calibri" w:hAnsi="Book Antiqua" w:cstheme="majorBidi"/>
          <w:sz w:val="24"/>
          <w:szCs w:val="24"/>
        </w:rPr>
        <w:t>Therefore, we need a law that specifically regulates meteriil law applied in religious courts as guidance for judges.</w:t>
      </w:r>
      <w:r w:rsidR="005A4636" w:rsidRPr="007E5419">
        <w:rPr>
          <w:rFonts w:ascii="Book Antiqua" w:eastAsia="Calibri" w:hAnsi="Book Antiqua" w:cstheme="majorBidi"/>
          <w:sz w:val="24"/>
          <w:szCs w:val="24"/>
        </w:rPr>
        <w:t xml:space="preserve"> Unfortunately, this effort can’t be </w:t>
      </w:r>
      <w:r w:rsidR="00247556" w:rsidRPr="007E5419">
        <w:rPr>
          <w:rFonts w:ascii="Book Antiqua" w:eastAsia="Calibri" w:hAnsi="Book Antiqua" w:cstheme="majorBidi"/>
          <w:sz w:val="24"/>
          <w:szCs w:val="24"/>
        </w:rPr>
        <w:t xml:space="preserve">realized until this time. </w:t>
      </w:r>
    </w:p>
    <w:p w:rsidR="00F9619E" w:rsidRPr="007E5419" w:rsidRDefault="00D01F5C" w:rsidP="00C04792">
      <w:pPr>
        <w:autoSpaceDE w:val="0"/>
        <w:autoSpaceDN w:val="0"/>
        <w:spacing w:line="360" w:lineRule="auto"/>
        <w:jc w:val="both"/>
        <w:rPr>
          <w:rFonts w:ascii="Book Antiqua" w:hAnsi="Book Antiqua" w:cstheme="majorBidi"/>
          <w:b/>
          <w:bCs/>
          <w:sz w:val="24"/>
          <w:szCs w:val="24"/>
          <w:lang w:val="sv-SE"/>
        </w:rPr>
      </w:pPr>
      <w:r w:rsidRPr="007E5419">
        <w:rPr>
          <w:rFonts w:ascii="Book Antiqua" w:hAnsi="Book Antiqua" w:cstheme="majorBidi"/>
          <w:b/>
          <w:bCs/>
          <w:sz w:val="24"/>
          <w:szCs w:val="24"/>
          <w:lang w:val="sv-SE"/>
        </w:rPr>
        <w:t xml:space="preserve">Prospects and Problems Implementation of </w:t>
      </w:r>
      <w:r w:rsidR="00020B39" w:rsidRPr="007E5419">
        <w:rPr>
          <w:rFonts w:ascii="Book Antiqua" w:hAnsi="Book Antiqua" w:cstheme="majorBidi"/>
          <w:b/>
          <w:bCs/>
          <w:sz w:val="24"/>
          <w:szCs w:val="24"/>
          <w:lang w:val="sv-SE"/>
        </w:rPr>
        <w:t>Islamic Law in Indonesia</w:t>
      </w:r>
    </w:p>
    <w:p w:rsidR="00F9619E" w:rsidRPr="007E5419" w:rsidRDefault="00020B39" w:rsidP="00C04792">
      <w:pPr>
        <w:numPr>
          <w:ilvl w:val="0"/>
          <w:numId w:val="6"/>
        </w:numPr>
        <w:tabs>
          <w:tab w:val="clear" w:pos="720"/>
        </w:tabs>
        <w:autoSpaceDE w:val="0"/>
        <w:autoSpaceDN w:val="0"/>
        <w:spacing w:after="0" w:line="360" w:lineRule="auto"/>
        <w:ind w:left="360"/>
        <w:jc w:val="both"/>
        <w:rPr>
          <w:rFonts w:ascii="Book Antiqua" w:hAnsi="Book Antiqua" w:cstheme="majorBidi"/>
          <w:b/>
          <w:bCs/>
          <w:sz w:val="24"/>
          <w:szCs w:val="24"/>
          <w:lang w:val="sv-SE"/>
        </w:rPr>
      </w:pPr>
      <w:r w:rsidRPr="007E5419">
        <w:rPr>
          <w:rFonts w:ascii="Book Antiqua" w:hAnsi="Book Antiqua" w:cstheme="majorBidi"/>
          <w:b/>
          <w:bCs/>
          <w:sz w:val="24"/>
          <w:szCs w:val="24"/>
          <w:lang w:val="sv-SE"/>
        </w:rPr>
        <w:t>Epistemological P</w:t>
      </w:r>
      <w:r w:rsidR="00F9619E" w:rsidRPr="007E5419">
        <w:rPr>
          <w:rFonts w:ascii="Book Antiqua" w:hAnsi="Book Antiqua" w:cstheme="majorBidi"/>
          <w:b/>
          <w:bCs/>
          <w:sz w:val="24"/>
          <w:szCs w:val="24"/>
          <w:lang w:val="sv-SE"/>
        </w:rPr>
        <w:t xml:space="preserve">roblem </w:t>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Islamic law is the law of God, but in the formation of Islamic law formulated by the </w:t>
      </w:r>
      <w:r w:rsidR="00020B39" w:rsidRPr="007E5419">
        <w:rPr>
          <w:rFonts w:ascii="Book Antiqua" w:hAnsi="Book Antiqua" w:cstheme="majorBidi"/>
          <w:sz w:val="24"/>
          <w:szCs w:val="24"/>
          <w:lang w:val="sv-SE"/>
        </w:rPr>
        <w:t xml:space="preserve">Islamic </w:t>
      </w:r>
      <w:r w:rsidRPr="007E5419">
        <w:rPr>
          <w:rFonts w:ascii="Book Antiqua" w:hAnsi="Book Antiqua" w:cstheme="majorBidi"/>
          <w:sz w:val="24"/>
          <w:szCs w:val="24"/>
          <w:lang w:val="sv-SE"/>
        </w:rPr>
        <w:t>jurists. This can lead to the basic conflict between the revelation of God or the human mind (</w:t>
      </w:r>
      <w:r w:rsidR="00020B39" w:rsidRPr="007E5419">
        <w:rPr>
          <w:rFonts w:ascii="Book Antiqua" w:hAnsi="Book Antiqua" w:cstheme="majorBidi"/>
          <w:sz w:val="24"/>
          <w:szCs w:val="24"/>
          <w:lang w:val="sv-SE"/>
        </w:rPr>
        <w:t xml:space="preserve">the </w:t>
      </w:r>
      <w:r w:rsidRPr="007E5419">
        <w:rPr>
          <w:rFonts w:ascii="Book Antiqua" w:hAnsi="Book Antiqua" w:cstheme="majorBidi"/>
          <w:sz w:val="24"/>
          <w:szCs w:val="24"/>
          <w:lang w:val="sv-SE"/>
        </w:rPr>
        <w:t xml:space="preserve">thinking </w:t>
      </w:r>
      <w:r w:rsidR="00020B39" w:rsidRPr="007E5419">
        <w:rPr>
          <w:rFonts w:ascii="Book Antiqua" w:hAnsi="Book Antiqua" w:cstheme="majorBidi"/>
          <w:sz w:val="24"/>
          <w:szCs w:val="24"/>
          <w:lang w:val="sv-SE"/>
        </w:rPr>
        <w:t xml:space="preserve">of </w:t>
      </w:r>
      <w:r w:rsidRPr="007E5419">
        <w:rPr>
          <w:rFonts w:ascii="Book Antiqua" w:hAnsi="Book Antiqua" w:cstheme="majorBidi"/>
          <w:sz w:val="24"/>
          <w:szCs w:val="24"/>
          <w:lang w:val="sv-SE"/>
        </w:rPr>
        <w:t>jurists). Since the formation of Islamic law, there is disagreement about whether Islamic law derived from revelation or just a sense also plays a role in understanding Islamic law. This debate can be seen in some books of Fiqh ushul; between Ash'arite, Mu'tazila and Maturidiyah. Ash'arite group considers that Islamic law is known only from divine revelation, while Mu'tazila view that Islamic law can be known by human reason,</w:t>
      </w:r>
      <w:r w:rsidRPr="007E5419">
        <w:rPr>
          <w:rStyle w:val="FootnoteReference"/>
          <w:rFonts w:ascii="Book Antiqua" w:hAnsi="Book Antiqua" w:cstheme="majorBidi"/>
          <w:sz w:val="24"/>
          <w:szCs w:val="24"/>
        </w:rPr>
        <w:footnoteReference w:id="38"/>
      </w:r>
      <w:r w:rsidR="00020B39" w:rsidRPr="007E5419">
        <w:rPr>
          <w:rFonts w:ascii="Book Antiqua" w:hAnsi="Book Antiqua" w:cstheme="majorBidi"/>
          <w:sz w:val="24"/>
          <w:szCs w:val="24"/>
          <w:lang w:val="sv-SE"/>
        </w:rPr>
        <w:t xml:space="preserve"> while </w:t>
      </w:r>
      <w:r w:rsidRPr="007E5419">
        <w:rPr>
          <w:rFonts w:ascii="Book Antiqua" w:hAnsi="Book Antiqua" w:cstheme="majorBidi"/>
          <w:sz w:val="24"/>
          <w:szCs w:val="24"/>
        </w:rPr>
        <w:t xml:space="preserve">Maturidiyah as an act of compromise between the two is that Islamic law is derived from God's </w:t>
      </w:r>
      <w:r w:rsidRPr="007E5419">
        <w:rPr>
          <w:rFonts w:ascii="Book Antiqua" w:hAnsi="Book Antiqua" w:cstheme="majorBidi"/>
          <w:sz w:val="24"/>
          <w:szCs w:val="24"/>
        </w:rPr>
        <w:lastRenderedPageBreak/>
        <w:t xml:space="preserve">revelation and can be known by human reason. Differences of opinion also </w:t>
      </w:r>
      <w:r w:rsidR="00020B39" w:rsidRPr="007E5419">
        <w:rPr>
          <w:rFonts w:ascii="Book Antiqua" w:hAnsi="Book Antiqua" w:cstheme="majorBidi"/>
          <w:sz w:val="24"/>
          <w:szCs w:val="24"/>
        </w:rPr>
        <w:t xml:space="preserve">appear in </w:t>
      </w:r>
      <w:r w:rsidRPr="007E5419">
        <w:rPr>
          <w:rFonts w:ascii="Book Antiqua" w:hAnsi="Book Antiqua" w:cstheme="majorBidi"/>
          <w:sz w:val="24"/>
          <w:szCs w:val="24"/>
        </w:rPr>
        <w:t>the case of the ahl al-hadith and ahl ar-ra'yi, since the early days of the establishment of Islamic law that continues to the formation of Maliki and Hanafi.</w:t>
      </w:r>
      <w:r w:rsidRPr="007E5419">
        <w:rPr>
          <w:rStyle w:val="FootnoteReference"/>
          <w:rFonts w:ascii="Book Antiqua" w:hAnsi="Book Antiqua" w:cstheme="majorBidi"/>
          <w:sz w:val="24"/>
          <w:szCs w:val="24"/>
        </w:rPr>
        <w:footnoteReference w:id="39"/>
      </w:r>
      <w:r w:rsidRPr="007E5419">
        <w:rPr>
          <w:rFonts w:ascii="Book Antiqua" w:hAnsi="Book Antiqua" w:cstheme="majorBidi"/>
          <w:sz w:val="24"/>
          <w:szCs w:val="24"/>
        </w:rPr>
        <w:t xml:space="preserve"> The debate over these two streams Shafi'i compromised by analogy with the method (Qiyas)</w:t>
      </w:r>
      <w:r w:rsidR="00020B39" w:rsidRPr="007E5419">
        <w:rPr>
          <w:rFonts w:ascii="Book Antiqua" w:hAnsi="Book Antiqua" w:cstheme="majorBidi"/>
          <w:sz w:val="24"/>
          <w:szCs w:val="24"/>
        </w:rPr>
        <w:t>.</w:t>
      </w:r>
      <w:r w:rsidRPr="007E5419">
        <w:rPr>
          <w:rStyle w:val="FootnoteReference"/>
          <w:rFonts w:ascii="Book Antiqua" w:hAnsi="Book Antiqua" w:cstheme="majorBidi"/>
          <w:sz w:val="24"/>
          <w:szCs w:val="24"/>
          <w:lang w:val="sv-SE"/>
        </w:rPr>
        <w:footnoteReference w:id="40"/>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Noel J. Coulson noted several basic conflict in Islamic law, namely, the first conflict between revelation and reason-as exposed above, the second, the conflict between unity and diversity, namely that the laws of Shariah law is believed to be the single and uniform rules of conduct prescribed by God for His creatures on earth. But in reality, the </w:t>
      </w:r>
      <w:r w:rsidR="00020B39" w:rsidRPr="007E5419">
        <w:rPr>
          <w:rFonts w:ascii="Book Antiqua" w:hAnsi="Book Antiqua" w:cstheme="majorBidi"/>
          <w:sz w:val="24"/>
          <w:szCs w:val="24"/>
          <w:lang w:val="sv-SE"/>
        </w:rPr>
        <w:t xml:space="preserve">one of </w:t>
      </w:r>
      <w:r w:rsidRPr="007E5419">
        <w:rPr>
          <w:rFonts w:ascii="Book Antiqua" w:hAnsi="Book Antiqua" w:cstheme="majorBidi"/>
          <w:sz w:val="24"/>
          <w:szCs w:val="24"/>
          <w:lang w:val="sv-SE"/>
        </w:rPr>
        <w:t xml:space="preserve">shari'ah which can be understood in various ways. The conflict can be compromised by the concept of ijma '(consensus). This concept is the principle of unanimous approval of the jurists authorized to issue an opinion, has a binding and absolute authority. Third, the conflict between authority and freedom, that of whether the judge has the freedom to determine the law or must follow the legal authority that has been recognized. </w:t>
      </w:r>
      <w:r w:rsidR="008B6D22" w:rsidRPr="007E5419">
        <w:rPr>
          <w:rFonts w:ascii="Book Antiqua" w:hAnsi="Book Antiqua" w:cstheme="majorBidi"/>
          <w:sz w:val="24"/>
          <w:szCs w:val="24"/>
          <w:lang w:val="sv-SE"/>
        </w:rPr>
        <w:t>The e</w:t>
      </w:r>
      <w:r w:rsidRPr="007E5419">
        <w:rPr>
          <w:rFonts w:ascii="Book Antiqua" w:hAnsi="Book Antiqua" w:cstheme="majorBidi"/>
          <w:sz w:val="24"/>
          <w:szCs w:val="24"/>
          <w:lang w:val="sv-SE"/>
        </w:rPr>
        <w:t xml:space="preserve">fforts to understand the </w:t>
      </w:r>
      <w:r w:rsidR="008B6D22" w:rsidRPr="007E5419">
        <w:rPr>
          <w:rFonts w:ascii="Book Antiqua" w:hAnsi="Book Antiqua" w:cstheme="majorBidi"/>
          <w:sz w:val="24"/>
          <w:szCs w:val="24"/>
          <w:lang w:val="sv-SE"/>
        </w:rPr>
        <w:t xml:space="preserve">source of this Lord </w:t>
      </w:r>
      <w:r w:rsidRPr="007E5419">
        <w:rPr>
          <w:rFonts w:ascii="Book Antiqua" w:hAnsi="Book Antiqua" w:cstheme="majorBidi"/>
          <w:sz w:val="24"/>
          <w:szCs w:val="24"/>
          <w:lang w:val="sv-SE"/>
        </w:rPr>
        <w:t xml:space="preserve">law is </w:t>
      </w:r>
      <w:r w:rsidRPr="007E5419">
        <w:rPr>
          <w:rFonts w:ascii="Book Antiqua" w:hAnsi="Book Antiqua" w:cstheme="majorBidi"/>
          <w:sz w:val="24"/>
          <w:szCs w:val="24"/>
          <w:lang w:val="sv-SE"/>
        </w:rPr>
        <w:lastRenderedPageBreak/>
        <w:t xml:space="preserve">called </w:t>
      </w:r>
      <w:r w:rsidR="008B6D22" w:rsidRPr="007E5419">
        <w:rPr>
          <w:rFonts w:ascii="Book Antiqua" w:hAnsi="Book Antiqua" w:cstheme="majorBidi"/>
          <w:sz w:val="24"/>
          <w:szCs w:val="24"/>
          <w:lang w:val="sv-SE"/>
        </w:rPr>
        <w:t xml:space="preserve">by </w:t>
      </w:r>
      <w:r w:rsidRPr="007E5419">
        <w:rPr>
          <w:rFonts w:ascii="Book Antiqua" w:hAnsi="Book Antiqua" w:cstheme="majorBidi"/>
          <w:sz w:val="24"/>
          <w:szCs w:val="24"/>
          <w:lang w:val="sv-SE"/>
        </w:rPr>
        <w:t xml:space="preserve">ijtihad. Initially, the scholars have full freedom to perform ijtihad, but then there </w:t>
      </w:r>
      <w:r w:rsidR="008B6D22" w:rsidRPr="007E5419">
        <w:rPr>
          <w:rFonts w:ascii="Book Antiqua" w:hAnsi="Book Antiqua" w:cstheme="majorBidi"/>
          <w:sz w:val="24"/>
          <w:szCs w:val="24"/>
          <w:lang w:val="sv-SE"/>
        </w:rPr>
        <w:t xml:space="preserve">are </w:t>
      </w:r>
      <w:r w:rsidRPr="007E5419">
        <w:rPr>
          <w:rFonts w:ascii="Book Antiqua" w:hAnsi="Book Antiqua" w:cstheme="majorBidi"/>
          <w:sz w:val="24"/>
          <w:szCs w:val="24"/>
          <w:lang w:val="sv-SE"/>
        </w:rPr>
        <w:t xml:space="preserve">restrictions </w:t>
      </w:r>
      <w:r w:rsidR="008B6D22" w:rsidRPr="007E5419">
        <w:rPr>
          <w:rFonts w:ascii="Book Antiqua" w:hAnsi="Book Antiqua" w:cstheme="majorBidi"/>
          <w:sz w:val="24"/>
          <w:szCs w:val="24"/>
          <w:lang w:val="sv-SE"/>
        </w:rPr>
        <w:t xml:space="preserve">in </w:t>
      </w:r>
      <w:r w:rsidRPr="007E5419">
        <w:rPr>
          <w:rFonts w:ascii="Book Antiqua" w:hAnsi="Book Antiqua" w:cstheme="majorBidi"/>
          <w:sz w:val="24"/>
          <w:szCs w:val="24"/>
          <w:lang w:val="sv-SE"/>
        </w:rPr>
        <w:t>this ijtihad space.</w:t>
      </w:r>
      <w:r w:rsidRPr="007E5419">
        <w:rPr>
          <w:rStyle w:val="FootnoteReference"/>
          <w:rFonts w:ascii="Book Antiqua" w:hAnsi="Book Antiqua" w:cstheme="majorBidi"/>
          <w:sz w:val="24"/>
          <w:szCs w:val="24"/>
          <w:lang w:val="sv-SE"/>
        </w:rPr>
        <w:footnoteReference w:id="41"/>
      </w:r>
      <w:r w:rsidR="008B6D22" w:rsidRPr="007E5419">
        <w:rPr>
          <w:rFonts w:ascii="Book Antiqua" w:hAnsi="Book Antiqua" w:cstheme="majorBidi"/>
          <w:sz w:val="24"/>
          <w:szCs w:val="24"/>
          <w:lang w:val="sv-SE"/>
        </w:rPr>
        <w:t xml:space="preserve"> </w:t>
      </w:r>
    </w:p>
    <w:p w:rsidR="00F9619E" w:rsidRPr="007E5419" w:rsidRDefault="00131BC7"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This c</w:t>
      </w:r>
      <w:r w:rsidR="00F9619E" w:rsidRPr="007E5419">
        <w:rPr>
          <w:rFonts w:ascii="Book Antiqua" w:hAnsi="Book Antiqua" w:cstheme="majorBidi"/>
          <w:sz w:val="24"/>
          <w:szCs w:val="24"/>
          <w:lang w:val="sv-SE"/>
        </w:rPr>
        <w:t xml:space="preserve">onflicts </w:t>
      </w:r>
      <w:r w:rsidRPr="007E5419">
        <w:rPr>
          <w:rFonts w:ascii="Book Antiqua" w:hAnsi="Book Antiqua" w:cstheme="majorBidi"/>
          <w:sz w:val="24"/>
          <w:szCs w:val="24"/>
          <w:lang w:val="sv-SE"/>
        </w:rPr>
        <w:t xml:space="preserve">couses </w:t>
      </w:r>
      <w:r w:rsidR="00F9619E" w:rsidRPr="007E5419">
        <w:rPr>
          <w:rFonts w:ascii="Book Antiqua" w:hAnsi="Book Antiqua" w:cstheme="majorBidi"/>
          <w:sz w:val="24"/>
          <w:szCs w:val="24"/>
          <w:lang w:val="sv-SE"/>
        </w:rPr>
        <w:t>a partial understanding among Muslims</w:t>
      </w:r>
      <w:r w:rsidRPr="007E5419">
        <w:rPr>
          <w:rFonts w:ascii="Book Antiqua" w:hAnsi="Book Antiqua" w:cstheme="majorBidi"/>
          <w:sz w:val="24"/>
          <w:szCs w:val="24"/>
          <w:lang w:val="sv-SE"/>
        </w:rPr>
        <w:t xml:space="preserve"> in Islamic law</w:t>
      </w:r>
      <w:r w:rsidR="00F9619E"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It also r</w:t>
      </w:r>
      <w:r w:rsidR="00F9619E" w:rsidRPr="007E5419">
        <w:rPr>
          <w:rFonts w:ascii="Book Antiqua" w:hAnsi="Book Antiqua" w:cstheme="majorBidi"/>
          <w:sz w:val="24"/>
          <w:szCs w:val="24"/>
          <w:lang w:val="sv-SE"/>
        </w:rPr>
        <w:t>esult</w:t>
      </w:r>
      <w:r w:rsidRPr="007E5419">
        <w:rPr>
          <w:rFonts w:ascii="Book Antiqua" w:hAnsi="Book Antiqua" w:cstheme="majorBidi"/>
          <w:sz w:val="24"/>
          <w:szCs w:val="24"/>
          <w:lang w:val="sv-SE"/>
        </w:rPr>
        <w:t>s</w:t>
      </w:r>
      <w:r w:rsidR="00F9619E"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 xml:space="preserve">the </w:t>
      </w:r>
      <w:r w:rsidR="00F9619E" w:rsidRPr="007E5419">
        <w:rPr>
          <w:rFonts w:ascii="Book Antiqua" w:hAnsi="Book Antiqua" w:cstheme="majorBidi"/>
          <w:sz w:val="24"/>
          <w:szCs w:val="24"/>
          <w:lang w:val="sv-SE"/>
        </w:rPr>
        <w:t>two meanstrem thoughts</w:t>
      </w:r>
      <w:r w:rsidRPr="007E5419">
        <w:rPr>
          <w:rFonts w:ascii="Book Antiqua" w:hAnsi="Book Antiqua" w:cstheme="majorBidi"/>
          <w:sz w:val="24"/>
          <w:szCs w:val="24"/>
          <w:lang w:val="sv-SE"/>
        </w:rPr>
        <w:t xml:space="preserve">. </w:t>
      </w:r>
      <w:r w:rsidR="00F9619E" w:rsidRPr="007E5419">
        <w:rPr>
          <w:rFonts w:ascii="Book Antiqua" w:hAnsi="Book Antiqua" w:cstheme="majorBidi"/>
          <w:sz w:val="24"/>
          <w:szCs w:val="24"/>
          <w:lang w:val="sv-SE"/>
        </w:rPr>
        <w:t xml:space="preserve">On the other hand, the view </w:t>
      </w:r>
      <w:r w:rsidRPr="007E5419">
        <w:rPr>
          <w:rFonts w:ascii="Book Antiqua" w:hAnsi="Book Antiqua" w:cstheme="majorBidi"/>
          <w:sz w:val="24"/>
          <w:szCs w:val="24"/>
          <w:lang w:val="sv-SE"/>
        </w:rPr>
        <w:t xml:space="preserve">of </w:t>
      </w:r>
      <w:r w:rsidR="00F9619E" w:rsidRPr="007E5419">
        <w:rPr>
          <w:rFonts w:ascii="Book Antiqua" w:hAnsi="Book Antiqua" w:cstheme="majorBidi"/>
          <w:sz w:val="24"/>
          <w:szCs w:val="24"/>
          <w:lang w:val="sv-SE"/>
        </w:rPr>
        <w:t xml:space="preserve">Indonesian people against Islamic law -which has been legislated into law legislation -- also varied. </w:t>
      </w:r>
      <w:r w:rsidRPr="007E5419">
        <w:rPr>
          <w:rFonts w:ascii="Book Antiqua" w:hAnsi="Book Antiqua" w:cstheme="majorBidi"/>
          <w:sz w:val="24"/>
          <w:szCs w:val="24"/>
          <w:lang w:val="sv-SE"/>
        </w:rPr>
        <w:t>The first, view which</w:t>
      </w:r>
      <w:r w:rsidR="00F9619E" w:rsidRPr="007E5419">
        <w:rPr>
          <w:rFonts w:ascii="Book Antiqua" w:hAnsi="Book Antiqua" w:cstheme="majorBidi"/>
          <w:sz w:val="24"/>
          <w:szCs w:val="24"/>
          <w:lang w:val="sv-SE"/>
        </w:rPr>
        <w:t xml:space="preserve"> does not recognize the </w:t>
      </w:r>
      <w:r w:rsidRPr="007E5419">
        <w:rPr>
          <w:rFonts w:ascii="Book Antiqua" w:hAnsi="Book Antiqua" w:cstheme="majorBidi"/>
          <w:sz w:val="24"/>
          <w:szCs w:val="24"/>
          <w:lang w:val="sv-SE"/>
        </w:rPr>
        <w:t xml:space="preserve">Indonesian </w:t>
      </w:r>
      <w:r w:rsidR="00F9619E" w:rsidRPr="007E5419">
        <w:rPr>
          <w:rFonts w:ascii="Book Antiqua" w:hAnsi="Book Antiqua" w:cstheme="majorBidi"/>
          <w:sz w:val="24"/>
          <w:szCs w:val="24"/>
          <w:lang w:val="sv-SE"/>
        </w:rPr>
        <w:t xml:space="preserve">law as a rule that replaces the </w:t>
      </w:r>
      <w:r w:rsidRPr="007E5419">
        <w:rPr>
          <w:rFonts w:ascii="Book Antiqua" w:hAnsi="Book Antiqua" w:cstheme="majorBidi"/>
          <w:sz w:val="24"/>
          <w:szCs w:val="24"/>
          <w:lang w:val="sv-SE"/>
        </w:rPr>
        <w:t xml:space="preserve">Islamic </w:t>
      </w:r>
      <w:r w:rsidR="00F9619E" w:rsidRPr="007E5419">
        <w:rPr>
          <w:rFonts w:ascii="Book Antiqua" w:hAnsi="Book Antiqua" w:cstheme="majorBidi"/>
          <w:sz w:val="24"/>
          <w:szCs w:val="24"/>
          <w:lang w:val="sv-SE"/>
        </w:rPr>
        <w:t>legal rulings</w:t>
      </w:r>
      <w:r w:rsidRPr="007E5419">
        <w:rPr>
          <w:rFonts w:ascii="Book Antiqua" w:hAnsi="Book Antiqua" w:cstheme="majorBidi"/>
          <w:sz w:val="24"/>
          <w:szCs w:val="24"/>
          <w:lang w:val="sv-SE"/>
        </w:rPr>
        <w:t xml:space="preserve"> (</w:t>
      </w:r>
      <w:r w:rsidRPr="007E5419">
        <w:rPr>
          <w:rFonts w:ascii="Book Antiqua" w:hAnsi="Book Antiqua" w:cstheme="majorBidi"/>
          <w:i/>
          <w:iCs/>
          <w:sz w:val="24"/>
          <w:szCs w:val="24"/>
          <w:lang w:val="sv-SE"/>
        </w:rPr>
        <w:t>fiqh</w:t>
      </w:r>
      <w:r w:rsidRPr="007E5419">
        <w:rPr>
          <w:rFonts w:ascii="Book Antiqua" w:hAnsi="Book Antiqua" w:cstheme="majorBidi"/>
          <w:sz w:val="24"/>
          <w:szCs w:val="24"/>
          <w:lang w:val="sv-SE"/>
        </w:rPr>
        <w:t>)</w:t>
      </w:r>
      <w:r w:rsidR="00F9619E" w:rsidRPr="007E5419">
        <w:rPr>
          <w:rFonts w:ascii="Book Antiqua" w:hAnsi="Book Antiqua" w:cstheme="majorBidi"/>
          <w:sz w:val="24"/>
          <w:szCs w:val="24"/>
          <w:lang w:val="sv-SE"/>
        </w:rPr>
        <w:t>, becau</w:t>
      </w:r>
      <w:r w:rsidRPr="007E5419">
        <w:rPr>
          <w:rFonts w:ascii="Book Antiqua" w:hAnsi="Book Antiqua" w:cstheme="majorBidi"/>
          <w:sz w:val="24"/>
          <w:szCs w:val="24"/>
          <w:lang w:val="sv-SE"/>
        </w:rPr>
        <w:t xml:space="preserve">se Islamic law for them is what’s </w:t>
      </w:r>
      <w:r w:rsidR="00F9619E" w:rsidRPr="007E5419">
        <w:rPr>
          <w:rFonts w:ascii="Book Antiqua" w:hAnsi="Book Antiqua" w:cstheme="majorBidi"/>
          <w:sz w:val="24"/>
          <w:szCs w:val="24"/>
          <w:lang w:val="sv-SE"/>
        </w:rPr>
        <w:t xml:space="preserve">written in the books of fiqh. Second, </w:t>
      </w:r>
      <w:r w:rsidRPr="007E5419">
        <w:rPr>
          <w:rFonts w:ascii="Book Antiqua" w:hAnsi="Book Antiqua" w:cstheme="majorBidi"/>
          <w:sz w:val="24"/>
          <w:szCs w:val="24"/>
          <w:lang w:val="sv-SE"/>
        </w:rPr>
        <w:t xml:space="preserve">the view which </w:t>
      </w:r>
      <w:r w:rsidR="00F9619E" w:rsidRPr="007E5419">
        <w:rPr>
          <w:rFonts w:ascii="Book Antiqua" w:hAnsi="Book Antiqua" w:cstheme="majorBidi"/>
          <w:sz w:val="24"/>
          <w:szCs w:val="24"/>
          <w:lang w:val="sv-SE"/>
        </w:rPr>
        <w:t>recognize</w:t>
      </w:r>
      <w:r w:rsidRPr="007E5419">
        <w:rPr>
          <w:rFonts w:ascii="Book Antiqua" w:hAnsi="Book Antiqua" w:cstheme="majorBidi"/>
          <w:sz w:val="24"/>
          <w:szCs w:val="24"/>
          <w:lang w:val="sv-SE"/>
        </w:rPr>
        <w:t>s</w:t>
      </w:r>
      <w:r w:rsidR="00F9619E" w:rsidRPr="007E5419">
        <w:rPr>
          <w:rFonts w:ascii="Book Antiqua" w:hAnsi="Book Antiqua" w:cstheme="majorBidi"/>
          <w:sz w:val="24"/>
          <w:szCs w:val="24"/>
          <w:lang w:val="sv-SE"/>
        </w:rPr>
        <w:t xml:space="preserve"> these </w:t>
      </w:r>
      <w:r w:rsidRPr="007E5419">
        <w:rPr>
          <w:rFonts w:ascii="Book Antiqua" w:hAnsi="Book Antiqua" w:cstheme="majorBidi"/>
          <w:sz w:val="24"/>
          <w:szCs w:val="24"/>
          <w:lang w:val="sv-SE"/>
        </w:rPr>
        <w:t xml:space="preserve">Islamic Indonesian </w:t>
      </w:r>
      <w:r w:rsidR="00F9619E" w:rsidRPr="007E5419">
        <w:rPr>
          <w:rFonts w:ascii="Book Antiqua" w:hAnsi="Book Antiqua" w:cstheme="majorBidi"/>
          <w:sz w:val="24"/>
          <w:szCs w:val="24"/>
          <w:lang w:val="sv-SE"/>
        </w:rPr>
        <w:t xml:space="preserve">laws as laws that must be obeyed in his capacity as a citizen, and in </w:t>
      </w:r>
      <w:r w:rsidRPr="007E5419">
        <w:rPr>
          <w:rFonts w:ascii="Book Antiqua" w:hAnsi="Book Antiqua" w:cstheme="majorBidi"/>
          <w:sz w:val="24"/>
          <w:szCs w:val="24"/>
          <w:lang w:val="sv-SE"/>
        </w:rPr>
        <w:t xml:space="preserve">the </w:t>
      </w:r>
      <w:r w:rsidR="00F9619E" w:rsidRPr="007E5419">
        <w:rPr>
          <w:rFonts w:ascii="Book Antiqua" w:hAnsi="Book Antiqua" w:cstheme="majorBidi"/>
          <w:sz w:val="24"/>
          <w:szCs w:val="24"/>
          <w:lang w:val="sv-SE"/>
        </w:rPr>
        <w:t xml:space="preserve">same time as </w:t>
      </w:r>
      <w:r w:rsidRPr="007E5419">
        <w:rPr>
          <w:rFonts w:ascii="Book Antiqua" w:hAnsi="Book Antiqua" w:cstheme="majorBidi"/>
          <w:sz w:val="24"/>
          <w:szCs w:val="24"/>
          <w:lang w:val="sv-SE"/>
        </w:rPr>
        <w:t xml:space="preserve">they </w:t>
      </w:r>
      <w:r w:rsidR="00F9619E" w:rsidRPr="007E5419">
        <w:rPr>
          <w:rFonts w:ascii="Book Antiqua" w:hAnsi="Book Antiqua" w:cstheme="majorBidi"/>
          <w:sz w:val="24"/>
          <w:szCs w:val="24"/>
          <w:lang w:val="sv-SE"/>
        </w:rPr>
        <w:t xml:space="preserve">still </w:t>
      </w:r>
      <w:r w:rsidRPr="007E5419">
        <w:rPr>
          <w:rFonts w:ascii="Book Antiqua" w:hAnsi="Book Antiqua" w:cstheme="majorBidi"/>
          <w:sz w:val="24"/>
          <w:szCs w:val="24"/>
          <w:lang w:val="sv-SE"/>
        </w:rPr>
        <w:t xml:space="preserve">recognize </w:t>
      </w:r>
      <w:r w:rsidR="00F9619E" w:rsidRPr="007E5419">
        <w:rPr>
          <w:rFonts w:ascii="Book Antiqua" w:hAnsi="Book Antiqua" w:cstheme="majorBidi"/>
          <w:sz w:val="24"/>
          <w:szCs w:val="24"/>
          <w:lang w:val="sv-SE"/>
        </w:rPr>
        <w:t xml:space="preserve">and run the rules of fiqh. They said: "The case was valid according to religion, although it deviates from the provisions of the state." Such </w:t>
      </w:r>
      <w:r w:rsidRPr="007E5419">
        <w:rPr>
          <w:rFonts w:ascii="Book Antiqua" w:hAnsi="Book Antiqua" w:cstheme="majorBidi"/>
          <w:sz w:val="24"/>
          <w:szCs w:val="24"/>
          <w:lang w:val="sv-SE"/>
        </w:rPr>
        <w:t xml:space="preserve">as </w:t>
      </w:r>
      <w:r w:rsidR="00F9619E" w:rsidRPr="007E5419">
        <w:rPr>
          <w:rFonts w:ascii="Book Antiqua" w:hAnsi="Book Antiqua" w:cstheme="majorBidi"/>
          <w:sz w:val="24"/>
          <w:szCs w:val="24"/>
          <w:lang w:val="sv-SE"/>
        </w:rPr>
        <w:t xml:space="preserve">registration of marriages. </w:t>
      </w:r>
      <w:r w:rsidRPr="007E5419">
        <w:rPr>
          <w:rFonts w:ascii="Book Antiqua" w:hAnsi="Book Antiqua" w:cstheme="majorBidi"/>
          <w:sz w:val="24"/>
          <w:szCs w:val="24"/>
          <w:lang w:val="sv-SE"/>
        </w:rPr>
        <w:t xml:space="preserve">The </w:t>
      </w:r>
      <w:r w:rsidR="00F9619E" w:rsidRPr="007E5419">
        <w:rPr>
          <w:rFonts w:ascii="Book Antiqua" w:hAnsi="Book Antiqua" w:cstheme="majorBidi"/>
          <w:sz w:val="24"/>
          <w:szCs w:val="24"/>
          <w:lang w:val="sv-SE"/>
        </w:rPr>
        <w:t>third</w:t>
      </w:r>
      <w:r w:rsidRPr="007E5419">
        <w:rPr>
          <w:rFonts w:ascii="Book Antiqua" w:hAnsi="Book Antiqua" w:cstheme="majorBidi"/>
          <w:sz w:val="24"/>
          <w:szCs w:val="24"/>
          <w:lang w:val="sv-SE"/>
        </w:rPr>
        <w:t xml:space="preserve"> </w:t>
      </w:r>
      <w:r w:rsidR="00F9619E" w:rsidRPr="007E5419">
        <w:rPr>
          <w:rFonts w:ascii="Book Antiqua" w:hAnsi="Book Antiqua" w:cstheme="majorBidi"/>
          <w:sz w:val="24"/>
          <w:szCs w:val="24"/>
          <w:lang w:val="sv-SE"/>
        </w:rPr>
        <w:t xml:space="preserve"> view, </w:t>
      </w:r>
      <w:r w:rsidR="00DB40E4" w:rsidRPr="007E5419">
        <w:rPr>
          <w:rFonts w:ascii="Book Antiqua" w:hAnsi="Book Antiqua" w:cstheme="majorBidi"/>
          <w:sz w:val="24"/>
          <w:szCs w:val="24"/>
          <w:lang w:val="sv-SE"/>
        </w:rPr>
        <w:t xml:space="preserve">which </w:t>
      </w:r>
      <w:r w:rsidR="00F9619E" w:rsidRPr="007E5419">
        <w:rPr>
          <w:rFonts w:ascii="Book Antiqua" w:hAnsi="Book Antiqua" w:cstheme="majorBidi"/>
          <w:sz w:val="24"/>
          <w:szCs w:val="24"/>
          <w:lang w:val="sv-SE"/>
        </w:rPr>
        <w:t>regard the Act as state laws that regulate legitimate Muslims, and it is an Indonesian fiqh</w:t>
      </w:r>
      <w:r w:rsidRPr="007E5419">
        <w:rPr>
          <w:rFonts w:ascii="Book Antiqua" w:hAnsi="Book Antiqua" w:cstheme="majorBidi"/>
          <w:sz w:val="24"/>
          <w:szCs w:val="24"/>
          <w:lang w:val="sv-SE"/>
        </w:rPr>
        <w:t>.</w:t>
      </w:r>
      <w:r w:rsidR="00F9619E" w:rsidRPr="007E5419">
        <w:rPr>
          <w:rStyle w:val="FootnoteReference"/>
          <w:rFonts w:ascii="Book Antiqua" w:hAnsi="Book Antiqua" w:cstheme="majorBidi"/>
          <w:sz w:val="24"/>
          <w:szCs w:val="24"/>
          <w:lang w:val="sv-SE"/>
        </w:rPr>
        <w:footnoteReference w:id="42"/>
      </w:r>
    </w:p>
    <w:p w:rsidR="00F9619E" w:rsidRPr="007E5419" w:rsidRDefault="00F9619E" w:rsidP="00C04792">
      <w:pPr>
        <w:numPr>
          <w:ilvl w:val="0"/>
          <w:numId w:val="6"/>
        </w:numPr>
        <w:tabs>
          <w:tab w:val="clear" w:pos="720"/>
          <w:tab w:val="num" w:pos="360"/>
        </w:tabs>
        <w:autoSpaceDE w:val="0"/>
        <w:autoSpaceDN w:val="0"/>
        <w:spacing w:after="0" w:line="360" w:lineRule="auto"/>
        <w:ind w:hanging="720"/>
        <w:jc w:val="both"/>
        <w:rPr>
          <w:rFonts w:ascii="Book Antiqua" w:hAnsi="Book Antiqua" w:cstheme="majorBidi"/>
          <w:b/>
          <w:bCs/>
          <w:sz w:val="24"/>
          <w:szCs w:val="24"/>
          <w:lang w:val="sv-SE"/>
        </w:rPr>
      </w:pPr>
      <w:r w:rsidRPr="007E5419">
        <w:rPr>
          <w:rFonts w:ascii="Book Antiqua" w:hAnsi="Book Antiqua" w:cstheme="majorBidi"/>
          <w:b/>
          <w:bCs/>
          <w:sz w:val="24"/>
          <w:szCs w:val="24"/>
          <w:lang w:val="sv-SE"/>
        </w:rPr>
        <w:t>Methodological problem</w:t>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From the epistemological difference above, has implications for the methodological differences. </w:t>
      </w:r>
      <w:r w:rsidR="00297514" w:rsidRPr="007E5419">
        <w:rPr>
          <w:rFonts w:ascii="Book Antiqua" w:hAnsi="Book Antiqua" w:cstheme="majorBidi"/>
          <w:sz w:val="24"/>
          <w:szCs w:val="24"/>
          <w:lang w:val="sv-SE"/>
        </w:rPr>
        <w:t xml:space="preserve">The </w:t>
      </w:r>
      <w:r w:rsidRPr="007E5419">
        <w:rPr>
          <w:rFonts w:ascii="Book Antiqua" w:hAnsi="Book Antiqua" w:cstheme="majorBidi"/>
          <w:sz w:val="24"/>
          <w:szCs w:val="24"/>
          <w:lang w:val="sv-SE"/>
        </w:rPr>
        <w:t xml:space="preserve">groups who believe that Islamic law only comes from God's revelation, would see the source of law is the legal texts and the inventive methods tend textual and linguistic. While the group who believe that Islamic law is also derived from reason, it felt that not enough if only to see the texts </w:t>
      </w:r>
      <w:r w:rsidR="00297514" w:rsidRPr="007E5419">
        <w:rPr>
          <w:rFonts w:ascii="Book Antiqua" w:hAnsi="Book Antiqua" w:cstheme="majorBidi"/>
          <w:sz w:val="24"/>
          <w:szCs w:val="24"/>
          <w:lang w:val="sv-SE"/>
        </w:rPr>
        <w:t xml:space="preserve">as </w:t>
      </w:r>
      <w:r w:rsidRPr="007E5419">
        <w:rPr>
          <w:rFonts w:ascii="Book Antiqua" w:hAnsi="Book Antiqua" w:cstheme="majorBidi"/>
          <w:sz w:val="24"/>
          <w:szCs w:val="24"/>
          <w:lang w:val="sv-SE"/>
        </w:rPr>
        <w:t xml:space="preserve">textual then </w:t>
      </w:r>
      <w:r w:rsidR="00297514" w:rsidRPr="007E5419">
        <w:rPr>
          <w:rFonts w:ascii="Book Antiqua" w:hAnsi="Book Antiqua" w:cstheme="majorBidi"/>
          <w:sz w:val="24"/>
          <w:szCs w:val="24"/>
          <w:lang w:val="sv-SE"/>
        </w:rPr>
        <w:t xml:space="preserve">they </w:t>
      </w:r>
      <w:r w:rsidRPr="007E5419">
        <w:rPr>
          <w:rFonts w:ascii="Book Antiqua" w:hAnsi="Book Antiqua" w:cstheme="majorBidi"/>
          <w:sz w:val="24"/>
          <w:szCs w:val="24"/>
          <w:lang w:val="sv-SE"/>
        </w:rPr>
        <w:t xml:space="preserve">develop </w:t>
      </w:r>
      <w:r w:rsidR="00297514" w:rsidRPr="007E5419">
        <w:rPr>
          <w:rFonts w:ascii="Book Antiqua" w:hAnsi="Book Antiqua" w:cstheme="majorBidi"/>
          <w:sz w:val="24"/>
          <w:szCs w:val="24"/>
          <w:lang w:val="sv-SE"/>
        </w:rPr>
        <w:t xml:space="preserve">many </w:t>
      </w:r>
      <w:r w:rsidRPr="007E5419">
        <w:rPr>
          <w:rFonts w:ascii="Book Antiqua" w:hAnsi="Book Antiqua" w:cstheme="majorBidi"/>
          <w:sz w:val="24"/>
          <w:szCs w:val="24"/>
          <w:lang w:val="sv-SE"/>
        </w:rPr>
        <w:t>models of interpretation other linguistic methods.</w:t>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lastRenderedPageBreak/>
        <w:t>This difference has been around since the beginning of the establishment of Islamic law</w:t>
      </w:r>
      <w:r w:rsidR="0088620C"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During the development of the schools of fiqh also there are d</w:t>
      </w:r>
      <w:r w:rsidR="0088620C" w:rsidRPr="007E5419">
        <w:rPr>
          <w:rFonts w:ascii="Book Antiqua" w:hAnsi="Book Antiqua" w:cstheme="majorBidi"/>
          <w:sz w:val="24"/>
          <w:szCs w:val="24"/>
          <w:lang w:val="sv-SE"/>
        </w:rPr>
        <w:t xml:space="preserve">ifferent methods of </w:t>
      </w:r>
      <w:r w:rsidR="0088620C" w:rsidRPr="007E5419">
        <w:rPr>
          <w:rFonts w:ascii="Book Antiqua" w:hAnsi="Book Antiqua" w:cstheme="majorBidi"/>
          <w:i/>
          <w:iCs/>
          <w:sz w:val="24"/>
          <w:szCs w:val="24"/>
          <w:lang w:val="sv-SE"/>
        </w:rPr>
        <w:t>istinbat</w:t>
      </w:r>
      <w:r w:rsidRPr="007E5419">
        <w:rPr>
          <w:rFonts w:ascii="Book Antiqua" w:hAnsi="Book Antiqua" w:cstheme="majorBidi"/>
          <w:sz w:val="24"/>
          <w:szCs w:val="24"/>
          <w:lang w:val="sv-SE"/>
        </w:rPr>
        <w:t xml:space="preserve">. As seen in </w:t>
      </w:r>
      <w:r w:rsidRPr="007E5419">
        <w:rPr>
          <w:rFonts w:ascii="Book Antiqua" w:hAnsi="Book Antiqua" w:cstheme="majorBidi"/>
          <w:i/>
          <w:iCs/>
          <w:sz w:val="24"/>
          <w:szCs w:val="24"/>
          <w:lang w:val="sv-SE"/>
        </w:rPr>
        <w:t>usul fiqh</w:t>
      </w:r>
      <w:r w:rsidRPr="007E5419">
        <w:rPr>
          <w:rFonts w:ascii="Book Antiqua" w:hAnsi="Book Antiqua" w:cstheme="majorBidi"/>
          <w:sz w:val="24"/>
          <w:szCs w:val="24"/>
          <w:lang w:val="sv-SE"/>
        </w:rPr>
        <w:t xml:space="preserve"> discourse there are several production systems of meaning among other things, the first level, </w:t>
      </w:r>
      <w:r w:rsidRPr="007E5419">
        <w:rPr>
          <w:rFonts w:ascii="Book Antiqua" w:hAnsi="Book Antiqua" w:cstheme="majorBidi"/>
          <w:i/>
          <w:iCs/>
          <w:sz w:val="24"/>
          <w:szCs w:val="24"/>
          <w:lang w:val="sv-SE"/>
        </w:rPr>
        <w:t>manthuq an-</w:t>
      </w:r>
      <w:r w:rsidR="0088620C" w:rsidRPr="007E5419">
        <w:rPr>
          <w:rFonts w:ascii="Book Antiqua" w:hAnsi="Book Antiqua" w:cstheme="majorBidi"/>
          <w:i/>
          <w:iCs/>
          <w:sz w:val="24"/>
          <w:szCs w:val="24"/>
          <w:lang w:val="sv-SE"/>
        </w:rPr>
        <w:t>nash</w:t>
      </w:r>
      <w:r w:rsidRPr="007E5419">
        <w:rPr>
          <w:rFonts w:ascii="Book Antiqua" w:hAnsi="Book Antiqua" w:cstheme="majorBidi"/>
          <w:sz w:val="24"/>
          <w:szCs w:val="24"/>
          <w:lang w:val="sv-SE"/>
        </w:rPr>
        <w:t xml:space="preserve"> that discuss </w:t>
      </w:r>
      <w:r w:rsidRPr="007E5419">
        <w:rPr>
          <w:rFonts w:ascii="Book Antiqua" w:hAnsi="Book Antiqua" w:cstheme="majorBidi"/>
          <w:i/>
          <w:iCs/>
          <w:sz w:val="24"/>
          <w:szCs w:val="24"/>
          <w:lang w:val="sv-SE"/>
        </w:rPr>
        <w:t>sharih</w:t>
      </w:r>
      <w:r w:rsidRPr="007E5419">
        <w:rPr>
          <w:rStyle w:val="FootnoteReference"/>
          <w:rFonts w:ascii="Book Antiqua" w:hAnsi="Book Antiqua" w:cstheme="majorBidi"/>
          <w:i/>
          <w:iCs/>
          <w:spacing w:val="10"/>
          <w:sz w:val="24"/>
          <w:szCs w:val="24"/>
          <w:lang w:val="sv-SE"/>
        </w:rPr>
        <w:footnoteReference w:id="43"/>
      </w:r>
      <w:r w:rsidRPr="007E5419">
        <w:rPr>
          <w:rFonts w:ascii="Book Antiqua" w:hAnsi="Book Antiqua" w:cstheme="majorBidi"/>
          <w:spacing w:val="10"/>
          <w:sz w:val="24"/>
          <w:szCs w:val="24"/>
          <w:lang w:val="sv-SE"/>
        </w:rPr>
        <w:t xml:space="preserve"> </w:t>
      </w:r>
      <w:r w:rsidRPr="007E5419">
        <w:rPr>
          <w:rFonts w:ascii="Book Antiqua" w:hAnsi="Book Antiqua" w:cstheme="majorBidi"/>
          <w:sz w:val="24"/>
          <w:szCs w:val="24"/>
          <w:lang w:val="sv-SE"/>
        </w:rPr>
        <w:t xml:space="preserve">and </w:t>
      </w:r>
      <w:r w:rsidRPr="007E5419">
        <w:rPr>
          <w:rFonts w:ascii="Book Antiqua" w:hAnsi="Book Antiqua" w:cstheme="majorBidi"/>
          <w:i/>
          <w:iCs/>
          <w:sz w:val="24"/>
          <w:szCs w:val="24"/>
          <w:lang w:val="sv-SE"/>
        </w:rPr>
        <w:t>ghairu sharih</w:t>
      </w:r>
      <w:r w:rsidRPr="007E5419">
        <w:rPr>
          <w:rStyle w:val="FootnoteReference"/>
          <w:rFonts w:ascii="Book Antiqua" w:hAnsi="Book Antiqua" w:cstheme="majorBidi"/>
          <w:i/>
          <w:iCs/>
          <w:sz w:val="24"/>
          <w:szCs w:val="24"/>
          <w:lang w:val="sv-SE"/>
        </w:rPr>
        <w:footnoteReference w:id="44"/>
      </w:r>
      <w:r w:rsidR="0088620C"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 xml:space="preserve">Second, </w:t>
      </w:r>
      <w:r w:rsidR="0088620C" w:rsidRPr="007E5419">
        <w:rPr>
          <w:rFonts w:ascii="Book Antiqua" w:hAnsi="Book Antiqua" w:cstheme="majorBidi"/>
          <w:i/>
          <w:iCs/>
          <w:sz w:val="24"/>
          <w:szCs w:val="24"/>
          <w:lang w:val="sv-SE"/>
        </w:rPr>
        <w:t>mafhum an-nash</w:t>
      </w:r>
      <w:r w:rsidR="0088620C"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 xml:space="preserve">that discuss </w:t>
      </w:r>
      <w:r w:rsidR="0088620C" w:rsidRPr="007E5419">
        <w:rPr>
          <w:rFonts w:ascii="Book Antiqua" w:hAnsi="Book Antiqua" w:cstheme="majorBidi"/>
          <w:i/>
          <w:iCs/>
          <w:sz w:val="24"/>
          <w:szCs w:val="24"/>
          <w:lang w:val="sv-SE"/>
        </w:rPr>
        <w:t>mafhum muwafaqah</w:t>
      </w:r>
      <w:r w:rsidRPr="007E5419">
        <w:rPr>
          <w:rStyle w:val="FootnoteReference"/>
          <w:rFonts w:ascii="Book Antiqua" w:hAnsi="Book Antiqua" w:cstheme="majorBidi"/>
          <w:i/>
          <w:iCs/>
          <w:sz w:val="24"/>
          <w:szCs w:val="24"/>
          <w:lang w:val="sv-SE"/>
        </w:rPr>
        <w:footnoteReference w:id="45"/>
      </w:r>
      <w:r w:rsidRPr="007E5419">
        <w:rPr>
          <w:rFonts w:ascii="Book Antiqua" w:hAnsi="Book Antiqua" w:cstheme="majorBidi"/>
          <w:sz w:val="24"/>
          <w:szCs w:val="24"/>
          <w:lang w:val="sv-SE"/>
        </w:rPr>
        <w:t xml:space="preserve"> and </w:t>
      </w:r>
      <w:r w:rsidR="0088620C" w:rsidRPr="007E5419">
        <w:rPr>
          <w:rFonts w:ascii="Book Antiqua" w:hAnsi="Book Antiqua" w:cstheme="majorBidi"/>
          <w:i/>
          <w:iCs/>
          <w:sz w:val="24"/>
          <w:szCs w:val="24"/>
          <w:lang w:val="sv-SE"/>
        </w:rPr>
        <w:t>mafhum mukhalafah</w:t>
      </w:r>
      <w:r w:rsidRPr="007E5419">
        <w:rPr>
          <w:rStyle w:val="FootnoteReference"/>
          <w:rFonts w:ascii="Book Antiqua" w:hAnsi="Book Antiqua" w:cstheme="majorBidi"/>
          <w:i/>
          <w:iCs/>
          <w:sz w:val="24"/>
          <w:szCs w:val="24"/>
          <w:lang w:val="sv-SE"/>
        </w:rPr>
        <w:footnoteReference w:id="46"/>
      </w:r>
      <w:r w:rsidRPr="007E5419">
        <w:rPr>
          <w:rFonts w:ascii="Book Antiqua" w:hAnsi="Book Antiqua" w:cstheme="majorBidi"/>
          <w:sz w:val="24"/>
          <w:szCs w:val="24"/>
          <w:lang w:val="sv-SE"/>
        </w:rPr>
        <w:t xml:space="preserve">, Third, </w:t>
      </w:r>
      <w:r w:rsidRPr="007E5419">
        <w:rPr>
          <w:rFonts w:ascii="Book Antiqua" w:hAnsi="Book Antiqua" w:cstheme="majorBidi"/>
          <w:i/>
          <w:iCs/>
          <w:sz w:val="24"/>
          <w:szCs w:val="24"/>
          <w:lang w:val="sv-SE"/>
        </w:rPr>
        <w:t>ma'qul</w:t>
      </w:r>
      <w:r w:rsidRPr="007E5419">
        <w:rPr>
          <w:rFonts w:ascii="Book Antiqua" w:hAnsi="Book Antiqua" w:cstheme="majorBidi"/>
          <w:sz w:val="24"/>
          <w:szCs w:val="24"/>
          <w:lang w:val="sv-SE"/>
        </w:rPr>
        <w:t xml:space="preserve"> </w:t>
      </w:r>
      <w:hyperlink r:id="rId9" w:history="1">
        <w:r w:rsidRPr="007E5419">
          <w:rPr>
            <w:rFonts w:ascii="Book Antiqua" w:hAnsi="Book Antiqua" w:cstheme="majorBidi"/>
            <w:i/>
            <w:iCs/>
            <w:sz w:val="24"/>
            <w:szCs w:val="24"/>
            <w:lang w:val="sv-SE"/>
          </w:rPr>
          <w:t>an-nash</w:t>
        </w:r>
      </w:hyperlink>
      <w:r w:rsidRPr="007E5419">
        <w:rPr>
          <w:rFonts w:ascii="Book Antiqua" w:hAnsi="Book Antiqua" w:cstheme="majorBidi"/>
          <w:sz w:val="24"/>
          <w:szCs w:val="24"/>
          <w:lang w:val="sv-SE"/>
        </w:rPr>
        <w:t xml:space="preserve"> </w:t>
      </w:r>
      <w:r w:rsidR="0088620C" w:rsidRPr="007E5419">
        <w:rPr>
          <w:rFonts w:ascii="Book Antiqua" w:hAnsi="Book Antiqua" w:cstheme="majorBidi"/>
          <w:sz w:val="24"/>
          <w:szCs w:val="24"/>
          <w:lang w:val="sv-SE"/>
        </w:rPr>
        <w:t xml:space="preserve">that relates to </w:t>
      </w:r>
      <w:r w:rsidR="0088620C" w:rsidRPr="007E5419">
        <w:rPr>
          <w:rFonts w:ascii="Book Antiqua" w:hAnsi="Book Antiqua" w:cstheme="majorBidi"/>
          <w:i/>
          <w:iCs/>
          <w:sz w:val="24"/>
          <w:szCs w:val="24"/>
          <w:lang w:val="sv-SE"/>
        </w:rPr>
        <w:t>ijtihad</w:t>
      </w:r>
      <w:r w:rsidR="0088620C" w:rsidRPr="007E5419">
        <w:rPr>
          <w:rFonts w:ascii="Book Antiqua" w:hAnsi="Book Antiqua" w:cstheme="majorBidi"/>
          <w:sz w:val="24"/>
          <w:szCs w:val="24"/>
          <w:lang w:val="sv-SE"/>
        </w:rPr>
        <w:t xml:space="preserve"> </w:t>
      </w:r>
      <w:r w:rsidRPr="007E5419">
        <w:rPr>
          <w:rFonts w:ascii="Book Antiqua" w:hAnsi="Book Antiqua" w:cstheme="majorBidi"/>
          <w:i/>
          <w:iCs/>
          <w:sz w:val="24"/>
          <w:szCs w:val="24"/>
          <w:lang w:val="sv-SE"/>
        </w:rPr>
        <w:t>ta'lili</w:t>
      </w:r>
      <w:r w:rsidRPr="007E5419">
        <w:rPr>
          <w:rFonts w:ascii="Book Antiqua" w:hAnsi="Book Antiqua" w:cstheme="majorBidi"/>
          <w:sz w:val="24"/>
          <w:szCs w:val="24"/>
          <w:lang w:val="sv-SE"/>
        </w:rPr>
        <w:t xml:space="preserve"> ie</w:t>
      </w:r>
      <w:r w:rsidR="0088620C" w:rsidRPr="007E5419">
        <w:rPr>
          <w:rFonts w:ascii="Book Antiqua" w:hAnsi="Book Antiqua" w:cstheme="majorBidi"/>
          <w:sz w:val="24"/>
          <w:szCs w:val="24"/>
          <w:lang w:val="sv-SE"/>
        </w:rPr>
        <w:t>. to</w:t>
      </w:r>
      <w:r w:rsidRPr="007E5419">
        <w:rPr>
          <w:rFonts w:ascii="Book Antiqua" w:hAnsi="Book Antiqua" w:cstheme="majorBidi"/>
          <w:sz w:val="24"/>
          <w:szCs w:val="24"/>
          <w:lang w:val="sv-SE"/>
        </w:rPr>
        <w:t xml:space="preserve"> fine the law by </w:t>
      </w:r>
      <w:r w:rsidRPr="007E5419">
        <w:rPr>
          <w:rFonts w:ascii="Book Antiqua" w:hAnsi="Book Antiqua" w:cstheme="majorBidi"/>
          <w:i/>
          <w:iCs/>
          <w:sz w:val="24"/>
          <w:szCs w:val="24"/>
          <w:lang w:val="sv-SE"/>
        </w:rPr>
        <w:t>illat</w:t>
      </w:r>
      <w:r w:rsidRPr="007E5419">
        <w:rPr>
          <w:rFonts w:ascii="Book Antiqua" w:hAnsi="Book Antiqua" w:cstheme="majorBidi"/>
          <w:sz w:val="24"/>
          <w:szCs w:val="24"/>
          <w:lang w:val="sv-SE"/>
        </w:rPr>
        <w:t xml:space="preserve"> (method qiyas</w:t>
      </w:r>
      <w:r w:rsidRPr="007E5419">
        <w:rPr>
          <w:rStyle w:val="FootnoteReference"/>
          <w:rFonts w:ascii="Book Antiqua" w:hAnsi="Book Antiqua" w:cstheme="majorBidi"/>
          <w:sz w:val="24"/>
          <w:szCs w:val="24"/>
          <w:lang w:val="sv-SE"/>
        </w:rPr>
        <w:footnoteReference w:id="47"/>
      </w:r>
      <w:r w:rsidRPr="007E5419">
        <w:rPr>
          <w:rFonts w:ascii="Book Antiqua" w:hAnsi="Book Antiqua" w:cstheme="majorBidi"/>
          <w:sz w:val="24"/>
          <w:szCs w:val="24"/>
          <w:lang w:val="sv-SE"/>
        </w:rPr>
        <w:t>)</w:t>
      </w:r>
      <w:r w:rsidR="0088620C" w:rsidRPr="007E5419">
        <w:rPr>
          <w:rFonts w:ascii="Book Antiqua" w:hAnsi="Book Antiqua" w:cstheme="majorBidi"/>
          <w:sz w:val="24"/>
          <w:szCs w:val="24"/>
          <w:lang w:val="sv-SE"/>
        </w:rPr>
        <w:t>;</w:t>
      </w:r>
      <w:r w:rsidRPr="007E5419">
        <w:rPr>
          <w:rFonts w:ascii="Book Antiqua" w:hAnsi="Book Antiqua" w:cstheme="majorBidi"/>
          <w:sz w:val="24"/>
          <w:szCs w:val="24"/>
          <w:lang w:val="sv-SE"/>
        </w:rPr>
        <w:t xml:space="preserve"> And the fourth, </w:t>
      </w:r>
      <w:r w:rsidR="009A4AC5" w:rsidRPr="007E5419">
        <w:rPr>
          <w:rFonts w:ascii="Book Antiqua" w:hAnsi="Book Antiqua" w:cstheme="majorBidi"/>
          <w:i/>
          <w:iCs/>
          <w:sz w:val="24"/>
          <w:szCs w:val="24"/>
          <w:lang w:val="sv-SE"/>
        </w:rPr>
        <w:t>ruh an-nash</w:t>
      </w:r>
      <w:r w:rsidR="009A4AC5" w:rsidRPr="007E5419">
        <w:rPr>
          <w:rFonts w:ascii="Book Antiqua" w:hAnsi="Book Antiqua" w:cstheme="majorBidi"/>
          <w:sz w:val="24"/>
          <w:szCs w:val="24"/>
          <w:lang w:val="sv-SE"/>
        </w:rPr>
        <w:t xml:space="preserve"> that relates to </w:t>
      </w:r>
      <w:r w:rsidR="009A4AC5" w:rsidRPr="007E5419">
        <w:rPr>
          <w:rFonts w:ascii="Book Antiqua" w:hAnsi="Book Antiqua" w:cstheme="majorBidi"/>
          <w:i/>
          <w:iCs/>
          <w:sz w:val="24"/>
          <w:szCs w:val="24"/>
          <w:lang w:val="sv-SE"/>
        </w:rPr>
        <w:t>ijtihad</w:t>
      </w:r>
      <w:r w:rsidR="009A4AC5" w:rsidRPr="007E5419">
        <w:rPr>
          <w:rFonts w:ascii="Book Antiqua" w:hAnsi="Book Antiqua" w:cstheme="majorBidi"/>
          <w:sz w:val="24"/>
          <w:szCs w:val="24"/>
          <w:lang w:val="sv-SE"/>
        </w:rPr>
        <w:t xml:space="preserve"> </w:t>
      </w:r>
      <w:r w:rsidRPr="007E5419">
        <w:rPr>
          <w:rFonts w:ascii="Book Antiqua" w:hAnsi="Book Antiqua" w:cstheme="majorBidi"/>
          <w:i/>
          <w:iCs/>
          <w:sz w:val="24"/>
          <w:szCs w:val="24"/>
          <w:lang w:val="sv-SE"/>
        </w:rPr>
        <w:t>ta'lili</w:t>
      </w:r>
      <w:r w:rsidRPr="007E5419">
        <w:rPr>
          <w:rFonts w:ascii="Book Antiqua" w:hAnsi="Book Antiqua" w:cstheme="majorBidi"/>
          <w:sz w:val="24"/>
          <w:szCs w:val="24"/>
          <w:lang w:val="sv-SE"/>
        </w:rPr>
        <w:t xml:space="preserve"> as establish</w:t>
      </w:r>
      <w:r w:rsidR="009A4AC5" w:rsidRPr="007E5419">
        <w:rPr>
          <w:rFonts w:ascii="Book Antiqua" w:hAnsi="Book Antiqua" w:cstheme="majorBidi"/>
          <w:sz w:val="24"/>
          <w:szCs w:val="24"/>
          <w:lang w:val="sv-SE"/>
        </w:rPr>
        <w:t>ing</w:t>
      </w:r>
      <w:r w:rsidRPr="007E5419">
        <w:rPr>
          <w:rFonts w:ascii="Book Antiqua" w:hAnsi="Book Antiqua" w:cstheme="majorBidi"/>
          <w:sz w:val="24"/>
          <w:szCs w:val="24"/>
          <w:lang w:val="sv-SE"/>
        </w:rPr>
        <w:t xml:space="preserve"> laws with </w:t>
      </w:r>
      <w:r w:rsidRPr="007E5419">
        <w:rPr>
          <w:rFonts w:ascii="Book Antiqua" w:hAnsi="Book Antiqua" w:cstheme="majorBidi"/>
          <w:i/>
          <w:iCs/>
          <w:sz w:val="24"/>
          <w:szCs w:val="24"/>
          <w:lang w:val="sv-SE"/>
        </w:rPr>
        <w:t>mashalahah</w:t>
      </w:r>
      <w:r w:rsidRPr="007E5419">
        <w:rPr>
          <w:rFonts w:ascii="Book Antiqua" w:hAnsi="Book Antiqua" w:cstheme="majorBidi"/>
          <w:sz w:val="24"/>
          <w:szCs w:val="24"/>
          <w:lang w:val="sv-SE"/>
        </w:rPr>
        <w:t xml:space="preserve"> and wisdom, or so-called </w:t>
      </w:r>
      <w:r w:rsidRPr="007E5419">
        <w:rPr>
          <w:rFonts w:ascii="Book Antiqua" w:hAnsi="Book Antiqua" w:cstheme="majorBidi"/>
          <w:i/>
          <w:iCs/>
          <w:sz w:val="24"/>
          <w:szCs w:val="24"/>
          <w:lang w:val="sv-SE"/>
        </w:rPr>
        <w:t>istishlah</w:t>
      </w:r>
      <w:r w:rsidR="008E687E" w:rsidRPr="007E5419">
        <w:rPr>
          <w:rFonts w:ascii="Book Antiqua" w:hAnsi="Book Antiqua" w:cstheme="majorBidi"/>
          <w:i/>
          <w:iCs/>
          <w:sz w:val="24"/>
          <w:szCs w:val="24"/>
          <w:lang w:val="sv-SE"/>
        </w:rPr>
        <w:t>.</w:t>
      </w:r>
      <w:r w:rsidRPr="007E5419">
        <w:rPr>
          <w:rStyle w:val="FootnoteReference"/>
          <w:rFonts w:ascii="Book Antiqua" w:hAnsi="Book Antiqua" w:cstheme="majorBidi"/>
          <w:i/>
          <w:iCs/>
          <w:sz w:val="24"/>
          <w:szCs w:val="24"/>
          <w:lang w:val="sv-SE"/>
        </w:rPr>
        <w:footnoteReference w:id="48"/>
      </w:r>
    </w:p>
    <w:p w:rsidR="00F9619E" w:rsidRPr="007E5419" w:rsidRDefault="008E687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T</w:t>
      </w:r>
      <w:r w:rsidR="00F9619E" w:rsidRPr="007E5419">
        <w:rPr>
          <w:rFonts w:ascii="Book Antiqua" w:hAnsi="Book Antiqua" w:cstheme="majorBidi"/>
          <w:sz w:val="24"/>
          <w:szCs w:val="24"/>
          <w:lang w:val="sv-SE"/>
        </w:rPr>
        <w:t xml:space="preserve">he development of contemporary </w:t>
      </w:r>
      <w:r w:rsidRPr="007E5419">
        <w:rPr>
          <w:rFonts w:ascii="Book Antiqua" w:hAnsi="Book Antiqua" w:cstheme="majorBidi"/>
          <w:i/>
          <w:iCs/>
          <w:sz w:val="24"/>
          <w:szCs w:val="24"/>
          <w:lang w:val="sv-SE"/>
        </w:rPr>
        <w:t xml:space="preserve">ushul </w:t>
      </w:r>
      <w:r w:rsidR="00F9619E" w:rsidRPr="007E5419">
        <w:rPr>
          <w:rFonts w:ascii="Book Antiqua" w:hAnsi="Book Antiqua" w:cstheme="majorBidi"/>
          <w:i/>
          <w:iCs/>
          <w:sz w:val="24"/>
          <w:szCs w:val="24"/>
          <w:lang w:val="sv-SE"/>
        </w:rPr>
        <w:t>fiqh</w:t>
      </w:r>
      <w:r w:rsidR="00F9619E"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 xml:space="preserve">also have </w:t>
      </w:r>
      <w:r w:rsidR="00F9619E" w:rsidRPr="007E5419">
        <w:rPr>
          <w:rFonts w:ascii="Book Antiqua" w:hAnsi="Book Antiqua" w:cstheme="majorBidi"/>
          <w:sz w:val="24"/>
          <w:szCs w:val="24"/>
          <w:lang w:val="sv-SE"/>
        </w:rPr>
        <w:t>discussed a method of understanding the new Islamic law such as the method of interpretation of the double movement proposed by Fazlur Rahman</w:t>
      </w:r>
      <w:r w:rsidR="00F9619E" w:rsidRPr="007E5419">
        <w:rPr>
          <w:rStyle w:val="FootnoteReference"/>
          <w:rFonts w:ascii="Book Antiqua" w:hAnsi="Book Antiqua" w:cstheme="majorBidi"/>
          <w:sz w:val="24"/>
          <w:szCs w:val="24"/>
          <w:lang w:val="sv-SE"/>
        </w:rPr>
        <w:footnoteReference w:id="49"/>
      </w:r>
      <w:r w:rsidR="00F9619E" w:rsidRPr="007E5419">
        <w:rPr>
          <w:rFonts w:ascii="Book Antiqua" w:hAnsi="Book Antiqua" w:cstheme="majorBidi"/>
          <w:sz w:val="24"/>
          <w:szCs w:val="24"/>
          <w:lang w:val="sv-SE"/>
        </w:rPr>
        <w:t xml:space="preserve">, Naskh </w:t>
      </w:r>
      <w:r w:rsidR="00F9619E" w:rsidRPr="007E5419">
        <w:rPr>
          <w:rFonts w:ascii="Book Antiqua" w:hAnsi="Book Antiqua" w:cstheme="majorBidi"/>
          <w:sz w:val="24"/>
          <w:szCs w:val="24"/>
          <w:lang w:val="sv-SE"/>
        </w:rPr>
        <w:lastRenderedPageBreak/>
        <w:t xml:space="preserve">reversal method which </w:t>
      </w:r>
      <w:r w:rsidRPr="007E5419">
        <w:rPr>
          <w:rFonts w:ascii="Book Antiqua" w:hAnsi="Book Antiqua" w:cstheme="majorBidi"/>
          <w:sz w:val="24"/>
          <w:szCs w:val="24"/>
          <w:lang w:val="sv-SE"/>
        </w:rPr>
        <w:t xml:space="preserve">was introduced </w:t>
      </w:r>
      <w:r w:rsidR="00F9619E" w:rsidRPr="007E5419">
        <w:rPr>
          <w:rFonts w:ascii="Book Antiqua" w:hAnsi="Book Antiqua" w:cstheme="majorBidi"/>
          <w:sz w:val="24"/>
          <w:szCs w:val="24"/>
          <w:lang w:val="sv-SE"/>
        </w:rPr>
        <w:t>n by Mahmoud Taha</w:t>
      </w:r>
      <w:r w:rsidR="00F9619E" w:rsidRPr="007E5419">
        <w:rPr>
          <w:rStyle w:val="FootnoteReference"/>
          <w:rFonts w:ascii="Book Antiqua" w:hAnsi="Book Antiqua" w:cstheme="majorBidi"/>
          <w:sz w:val="24"/>
          <w:szCs w:val="24"/>
          <w:lang w:val="sv-SE"/>
        </w:rPr>
        <w:footnoteReference w:id="50"/>
      </w:r>
      <w:r w:rsidR="00F9619E" w:rsidRPr="007E5419">
        <w:rPr>
          <w:rFonts w:ascii="Book Antiqua" w:hAnsi="Book Antiqua" w:cstheme="majorBidi"/>
          <w:sz w:val="24"/>
          <w:szCs w:val="24"/>
          <w:lang w:val="sv-SE"/>
        </w:rPr>
        <w:t xml:space="preserve">, Methods of </w:t>
      </w:r>
      <w:r w:rsidR="00F9619E" w:rsidRPr="007E5419">
        <w:rPr>
          <w:rFonts w:ascii="Book Antiqua" w:hAnsi="Book Antiqua" w:cstheme="majorBidi"/>
          <w:i/>
          <w:iCs/>
          <w:sz w:val="24"/>
          <w:szCs w:val="24"/>
          <w:lang w:val="sv-SE"/>
        </w:rPr>
        <w:t>hudud</w:t>
      </w:r>
      <w:r w:rsidR="00F9619E" w:rsidRPr="007E5419">
        <w:rPr>
          <w:rFonts w:ascii="Book Antiqua" w:hAnsi="Book Antiqua" w:cstheme="majorBidi"/>
          <w:sz w:val="24"/>
          <w:szCs w:val="24"/>
          <w:lang w:val="sv-SE"/>
        </w:rPr>
        <w:t xml:space="preserve"> / theory of limits proposed by Muhammad Shahrur</w:t>
      </w:r>
      <w:r w:rsidR="00F9619E" w:rsidRPr="007E5419">
        <w:rPr>
          <w:rStyle w:val="FootnoteReference"/>
          <w:rFonts w:ascii="Book Antiqua" w:hAnsi="Book Antiqua" w:cstheme="majorBidi"/>
          <w:sz w:val="24"/>
          <w:szCs w:val="24"/>
          <w:lang w:val="sv-SE"/>
        </w:rPr>
        <w:footnoteReference w:id="51"/>
      </w:r>
      <w:r w:rsidRPr="007E5419">
        <w:rPr>
          <w:rFonts w:ascii="Book Antiqua" w:hAnsi="Book Antiqua" w:cstheme="majorBidi"/>
          <w:sz w:val="24"/>
          <w:szCs w:val="24"/>
          <w:lang w:val="sv-SE"/>
        </w:rPr>
        <w:t xml:space="preserve"> </w:t>
      </w:r>
      <w:r w:rsidR="00F9619E" w:rsidRPr="007E5419">
        <w:rPr>
          <w:rFonts w:ascii="Book Antiqua" w:hAnsi="Book Antiqua" w:cstheme="majorBidi"/>
          <w:sz w:val="24"/>
          <w:szCs w:val="24"/>
          <w:lang w:val="sv-SE"/>
        </w:rPr>
        <w:t>and many more. The other method that combines the texts normatively and empirically reality society has also been developed by Louay Sofi</w:t>
      </w:r>
      <w:r w:rsidRPr="007E5419">
        <w:rPr>
          <w:rFonts w:ascii="Book Antiqua" w:hAnsi="Book Antiqua" w:cstheme="majorBidi"/>
          <w:sz w:val="24"/>
          <w:szCs w:val="24"/>
          <w:lang w:val="sv-SE"/>
        </w:rPr>
        <w:t>.</w:t>
      </w:r>
      <w:r w:rsidR="00F9619E" w:rsidRPr="007E5419">
        <w:rPr>
          <w:rStyle w:val="FootnoteReference"/>
          <w:rFonts w:ascii="Book Antiqua" w:hAnsi="Book Antiqua" w:cstheme="majorBidi"/>
          <w:sz w:val="24"/>
          <w:szCs w:val="24"/>
          <w:lang w:val="sv-SE"/>
        </w:rPr>
        <w:footnoteReference w:id="52"/>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These methodological problems present in the formulation phase of Islamic law to be applied in a country. Therefore, the aspirations of the application of </w:t>
      </w:r>
      <w:r w:rsidR="008E687E" w:rsidRPr="007E5419">
        <w:rPr>
          <w:rFonts w:ascii="Book Antiqua" w:hAnsi="Book Antiqua" w:cstheme="majorBidi"/>
          <w:sz w:val="24"/>
          <w:szCs w:val="24"/>
          <w:lang w:val="sv-SE"/>
        </w:rPr>
        <w:t xml:space="preserve">Islamic </w:t>
      </w:r>
      <w:r w:rsidRPr="007E5419">
        <w:rPr>
          <w:rFonts w:ascii="Book Antiqua" w:hAnsi="Book Antiqua" w:cstheme="majorBidi"/>
          <w:sz w:val="24"/>
          <w:szCs w:val="24"/>
          <w:lang w:val="sv-SE"/>
        </w:rPr>
        <w:t xml:space="preserve">law in Indonesia should </w:t>
      </w:r>
      <w:r w:rsidR="008E687E" w:rsidRPr="007E5419">
        <w:rPr>
          <w:rFonts w:ascii="Book Antiqua" w:hAnsi="Book Antiqua" w:cstheme="majorBidi"/>
          <w:sz w:val="24"/>
          <w:szCs w:val="24"/>
          <w:lang w:val="sv-SE"/>
        </w:rPr>
        <w:t xml:space="preserve">also </w:t>
      </w:r>
      <w:r w:rsidRPr="007E5419">
        <w:rPr>
          <w:rFonts w:ascii="Book Antiqua" w:hAnsi="Book Antiqua" w:cstheme="majorBidi"/>
          <w:sz w:val="24"/>
          <w:szCs w:val="24"/>
          <w:lang w:val="sv-SE"/>
        </w:rPr>
        <w:t>consider the methodological problems.</w:t>
      </w:r>
    </w:p>
    <w:p w:rsidR="00F9619E" w:rsidRPr="007E5419" w:rsidRDefault="00F9619E" w:rsidP="00C04792">
      <w:pPr>
        <w:numPr>
          <w:ilvl w:val="0"/>
          <w:numId w:val="6"/>
        </w:numPr>
        <w:tabs>
          <w:tab w:val="clear" w:pos="720"/>
        </w:tabs>
        <w:autoSpaceDE w:val="0"/>
        <w:autoSpaceDN w:val="0"/>
        <w:spacing w:after="0" w:line="360" w:lineRule="auto"/>
        <w:ind w:left="360"/>
        <w:jc w:val="both"/>
        <w:rPr>
          <w:rFonts w:ascii="Book Antiqua" w:hAnsi="Book Antiqua" w:cstheme="majorBidi"/>
          <w:b/>
          <w:bCs/>
          <w:sz w:val="24"/>
          <w:szCs w:val="24"/>
          <w:lang w:val="sv-SE"/>
        </w:rPr>
      </w:pPr>
      <w:r w:rsidRPr="007E5419">
        <w:rPr>
          <w:rFonts w:ascii="Book Antiqua" w:hAnsi="Book Antiqua" w:cstheme="majorBidi"/>
          <w:b/>
          <w:bCs/>
          <w:sz w:val="24"/>
          <w:szCs w:val="24"/>
          <w:lang w:val="sv-SE"/>
        </w:rPr>
        <w:lastRenderedPageBreak/>
        <w:t>Political problem</w:t>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Formalization of Islamic law, or in other words, to implement Islamic law in </w:t>
      </w:r>
      <w:r w:rsidR="008E687E" w:rsidRPr="007E5419">
        <w:rPr>
          <w:rFonts w:ascii="Book Antiqua" w:hAnsi="Book Antiqua" w:cstheme="majorBidi"/>
          <w:sz w:val="24"/>
          <w:szCs w:val="24"/>
          <w:lang w:val="sv-SE"/>
        </w:rPr>
        <w:t xml:space="preserve">Indonesia </w:t>
      </w:r>
      <w:r w:rsidRPr="007E5419">
        <w:rPr>
          <w:rFonts w:ascii="Book Antiqua" w:hAnsi="Book Antiqua" w:cstheme="majorBidi"/>
          <w:sz w:val="24"/>
          <w:szCs w:val="24"/>
          <w:lang w:val="sv-SE"/>
        </w:rPr>
        <w:t>require</w:t>
      </w:r>
      <w:r w:rsidR="008E687E" w:rsidRPr="007E5419">
        <w:rPr>
          <w:rFonts w:ascii="Book Antiqua" w:hAnsi="Book Antiqua" w:cstheme="majorBidi"/>
          <w:sz w:val="24"/>
          <w:szCs w:val="24"/>
          <w:lang w:val="sv-SE"/>
        </w:rPr>
        <w:t>s</w:t>
      </w:r>
      <w:r w:rsidRPr="007E5419">
        <w:rPr>
          <w:rFonts w:ascii="Book Antiqua" w:hAnsi="Book Antiqua" w:cstheme="majorBidi"/>
          <w:sz w:val="24"/>
          <w:szCs w:val="24"/>
          <w:lang w:val="sv-SE"/>
        </w:rPr>
        <w:t xml:space="preserve"> political forces that will support it. In </w:t>
      </w:r>
      <w:r w:rsidR="008E687E" w:rsidRPr="007E5419">
        <w:rPr>
          <w:rFonts w:ascii="Book Antiqua" w:hAnsi="Book Antiqua" w:cstheme="majorBidi"/>
          <w:sz w:val="24"/>
          <w:szCs w:val="24"/>
          <w:lang w:val="sv-SE"/>
        </w:rPr>
        <w:t xml:space="preserve">many </w:t>
      </w:r>
      <w:r w:rsidRPr="007E5419">
        <w:rPr>
          <w:rFonts w:ascii="Book Antiqua" w:hAnsi="Book Antiqua" w:cstheme="majorBidi"/>
          <w:sz w:val="24"/>
          <w:szCs w:val="24"/>
          <w:lang w:val="sv-SE"/>
        </w:rPr>
        <w:t xml:space="preserve">countries that embrace Continental European legal systems, enforcement of the law </w:t>
      </w:r>
      <w:r w:rsidR="008E687E" w:rsidRPr="007E5419">
        <w:rPr>
          <w:rFonts w:ascii="Book Antiqua" w:hAnsi="Book Antiqua" w:cstheme="majorBidi"/>
          <w:sz w:val="24"/>
          <w:szCs w:val="24"/>
          <w:lang w:val="sv-SE"/>
        </w:rPr>
        <w:t xml:space="preserve">is done </w:t>
      </w:r>
      <w:r w:rsidRPr="007E5419">
        <w:rPr>
          <w:rFonts w:ascii="Book Antiqua" w:hAnsi="Book Antiqua" w:cstheme="majorBidi"/>
          <w:sz w:val="24"/>
          <w:szCs w:val="24"/>
          <w:lang w:val="sv-SE"/>
        </w:rPr>
        <w:t>through the legislative process by the legislature. Therefore we need members of the legislature who will fight for the imposition of Islamic law.</w:t>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In the context of the post-New Order Indonesia, the political problems in the application of Islamic law is the aspiration polarization of Islamic parties in the implementation of Islamic law as well as the competition between the political stream (primarily between nationalist and Islamist groups) in the executive </w:t>
      </w:r>
      <w:r w:rsidR="008E687E" w:rsidRPr="007E5419">
        <w:rPr>
          <w:rFonts w:ascii="Book Antiqua" w:hAnsi="Book Antiqua" w:cstheme="majorBidi"/>
          <w:sz w:val="24"/>
          <w:szCs w:val="24"/>
          <w:lang w:val="sv-SE"/>
        </w:rPr>
        <w:t>institutions</w:t>
      </w:r>
      <w:r w:rsidRPr="007E5419">
        <w:rPr>
          <w:rFonts w:ascii="Book Antiqua" w:hAnsi="Book Antiqua" w:cstheme="majorBidi"/>
          <w:sz w:val="24"/>
          <w:szCs w:val="24"/>
          <w:lang w:val="sv-SE"/>
        </w:rPr>
        <w:t xml:space="preserve">. In the multiparty era, these parties can be mapped into a nationalist party and the party based on religion (Islam and Christianity), in this regard, </w:t>
      </w:r>
      <w:r w:rsidR="008E687E" w:rsidRPr="007E5419">
        <w:rPr>
          <w:rFonts w:ascii="Book Antiqua" w:hAnsi="Book Antiqua" w:cstheme="majorBidi"/>
          <w:sz w:val="24"/>
          <w:szCs w:val="24"/>
          <w:lang w:val="sv-SE"/>
        </w:rPr>
        <w:t>the Islamic party. Islamic Parties</w:t>
      </w:r>
      <w:r w:rsidRPr="007E5419">
        <w:rPr>
          <w:rFonts w:ascii="Book Antiqua" w:hAnsi="Book Antiqua" w:cstheme="majorBidi"/>
          <w:sz w:val="24"/>
          <w:szCs w:val="24"/>
          <w:lang w:val="sv-SE"/>
        </w:rPr>
        <w:t xml:space="preserve"> are just a few of the whole party</w:t>
      </w:r>
      <w:r w:rsidR="008E687E" w:rsidRPr="007E5419">
        <w:rPr>
          <w:rFonts w:ascii="Book Antiqua" w:hAnsi="Book Antiqua" w:cstheme="majorBidi"/>
          <w:sz w:val="24"/>
          <w:szCs w:val="24"/>
          <w:lang w:val="sv-SE"/>
        </w:rPr>
        <w:t xml:space="preserve"> in Indonesia, but there was a same </w:t>
      </w:r>
      <w:r w:rsidRPr="007E5419">
        <w:rPr>
          <w:rFonts w:ascii="Book Antiqua" w:hAnsi="Book Antiqua" w:cstheme="majorBidi"/>
          <w:sz w:val="24"/>
          <w:szCs w:val="24"/>
          <w:lang w:val="sv-SE"/>
        </w:rPr>
        <w:t>understanding in the implementation of Islamic Shariah</w:t>
      </w:r>
      <w:r w:rsidR="008E687E" w:rsidRPr="007E5419">
        <w:rPr>
          <w:rFonts w:ascii="Book Antiqua" w:hAnsi="Book Antiqua" w:cstheme="majorBidi"/>
          <w:sz w:val="24"/>
          <w:szCs w:val="24"/>
          <w:lang w:val="sv-SE"/>
        </w:rPr>
        <w:t>.</w:t>
      </w:r>
    </w:p>
    <w:p w:rsidR="00F9619E" w:rsidRPr="007E5419" w:rsidRDefault="00F9619E" w:rsidP="00C04792">
      <w:pPr>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In relation to </w:t>
      </w:r>
      <w:r w:rsidR="000512FA" w:rsidRPr="007E5419">
        <w:rPr>
          <w:rFonts w:ascii="Book Antiqua" w:hAnsi="Book Antiqua" w:cstheme="majorBidi"/>
          <w:sz w:val="24"/>
          <w:szCs w:val="24"/>
          <w:lang w:val="sv-SE"/>
        </w:rPr>
        <w:t>the aspiration</w:t>
      </w:r>
      <w:r w:rsidRPr="007E5419">
        <w:rPr>
          <w:rFonts w:ascii="Book Antiqua" w:hAnsi="Book Antiqua" w:cstheme="majorBidi"/>
          <w:sz w:val="24"/>
          <w:szCs w:val="24"/>
          <w:lang w:val="sv-SE"/>
        </w:rPr>
        <w:t xml:space="preserve"> on the implementation of Islamic</w:t>
      </w:r>
      <w:r w:rsidR="000512FA" w:rsidRPr="007E5419">
        <w:rPr>
          <w:rFonts w:ascii="Book Antiqua" w:hAnsi="Book Antiqua" w:cstheme="majorBidi"/>
          <w:sz w:val="24"/>
          <w:szCs w:val="24"/>
          <w:lang w:val="sv-SE"/>
        </w:rPr>
        <w:t xml:space="preserve"> law</w:t>
      </w:r>
      <w:r w:rsidRPr="007E5419">
        <w:rPr>
          <w:rFonts w:ascii="Book Antiqua" w:hAnsi="Book Antiqua" w:cstheme="majorBidi"/>
          <w:sz w:val="24"/>
          <w:szCs w:val="24"/>
          <w:lang w:val="sv-SE"/>
        </w:rPr>
        <w:t xml:space="preserve">, the Islamic Party can be mapped </w:t>
      </w:r>
      <w:r w:rsidR="000512FA" w:rsidRPr="007E5419">
        <w:rPr>
          <w:rFonts w:ascii="Book Antiqua" w:hAnsi="Book Antiqua" w:cstheme="majorBidi"/>
          <w:sz w:val="24"/>
          <w:szCs w:val="24"/>
          <w:lang w:val="sv-SE"/>
        </w:rPr>
        <w:t>in</w:t>
      </w:r>
      <w:r w:rsidRPr="007E5419">
        <w:rPr>
          <w:rFonts w:ascii="Book Antiqua" w:hAnsi="Book Antiqua" w:cstheme="majorBidi"/>
          <w:sz w:val="24"/>
          <w:szCs w:val="24"/>
          <w:lang w:val="sv-SE"/>
        </w:rPr>
        <w:t>to groups</w:t>
      </w:r>
      <w:r w:rsidR="000512FA" w:rsidRPr="007E5419">
        <w:rPr>
          <w:rFonts w:ascii="Book Antiqua" w:hAnsi="Book Antiqua" w:cstheme="majorBidi"/>
          <w:sz w:val="24"/>
          <w:szCs w:val="24"/>
          <w:lang w:val="sv-SE"/>
        </w:rPr>
        <w:t xml:space="preserve">. They are </w:t>
      </w:r>
      <w:r w:rsidRPr="007E5419">
        <w:rPr>
          <w:rFonts w:ascii="Book Antiqua" w:hAnsi="Book Antiqua" w:cstheme="majorBidi"/>
          <w:sz w:val="24"/>
          <w:szCs w:val="24"/>
          <w:lang w:val="sv-SE"/>
        </w:rPr>
        <w:t>liberal, modernist and conservative</w:t>
      </w:r>
      <w:r w:rsidR="000512FA" w:rsidRPr="007E5419">
        <w:rPr>
          <w:rFonts w:ascii="Book Antiqua" w:hAnsi="Book Antiqua" w:cstheme="majorBidi"/>
          <w:sz w:val="24"/>
          <w:szCs w:val="24"/>
          <w:lang w:val="sv-SE"/>
        </w:rPr>
        <w:t xml:space="preserve"> of </w:t>
      </w:r>
      <w:r w:rsidR="00E27D76" w:rsidRPr="007E5419">
        <w:rPr>
          <w:rFonts w:ascii="Book Antiqua" w:hAnsi="Book Antiqua" w:cstheme="majorBidi"/>
          <w:sz w:val="24"/>
          <w:szCs w:val="24"/>
          <w:lang w:val="sv-SE"/>
        </w:rPr>
        <w:t xml:space="preserve">the </w:t>
      </w:r>
      <w:r w:rsidR="000512FA" w:rsidRPr="007E5419">
        <w:rPr>
          <w:rFonts w:ascii="Book Antiqua" w:hAnsi="Book Antiqua" w:cstheme="majorBidi"/>
          <w:sz w:val="24"/>
          <w:szCs w:val="24"/>
          <w:lang w:val="sv-SE"/>
        </w:rPr>
        <w:t>Islamic party</w:t>
      </w:r>
      <w:r w:rsidRPr="007E5419">
        <w:rPr>
          <w:rFonts w:ascii="Book Antiqua" w:hAnsi="Book Antiqua" w:cstheme="majorBidi"/>
          <w:sz w:val="24"/>
          <w:szCs w:val="24"/>
          <w:lang w:val="sv-SE"/>
        </w:rPr>
        <w:t>.</w:t>
      </w:r>
      <w:r w:rsidR="00CF1A64" w:rsidRPr="007E5419">
        <w:rPr>
          <w:rStyle w:val="FootnoteReference"/>
          <w:rFonts w:ascii="Book Antiqua" w:hAnsi="Book Antiqua" w:cstheme="majorBidi"/>
          <w:sz w:val="24"/>
          <w:szCs w:val="24"/>
          <w:lang w:val="sv-SE"/>
        </w:rPr>
        <w:footnoteReference w:id="53"/>
      </w:r>
      <w:r w:rsidR="00E27D76"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 xml:space="preserve">Liberal Islamic party groups in this case is a </w:t>
      </w:r>
      <w:r w:rsidRPr="007E5419">
        <w:rPr>
          <w:rFonts w:ascii="Book Antiqua" w:hAnsi="Book Antiqua" w:cstheme="majorBidi"/>
          <w:sz w:val="24"/>
          <w:szCs w:val="24"/>
          <w:lang w:val="sv-SE"/>
        </w:rPr>
        <w:lastRenderedPageBreak/>
        <w:t>mass-based party of Muslims, but does not carry the aspirations of the application of sharia law. For them Islam is a religion that is carried by each person individually, without any interference from the state for pemberlakukannya. This group emphasizes the propagation of Islam culturally. Modernist Islamic party group that is mass-based party of Muslims who carry the aspirations of the application of sharia law, but they must first formulate it in formulatif, it may even be legal darfating to be a bill that will be legislated into national law. Meanwhile, a group of conservative Islamic party, namely that carries the aspirations of the application of sharia law, but have not defined it in certain formulations to be decreed. They consider Islamic law is what is in the Qur'an and in the hadith and fiqh formulated. They also fight for the implementation of sharia law through the constitution, the amendment of Article 29UUD 1945.</w:t>
      </w:r>
      <w:r w:rsidR="00E27D76" w:rsidRPr="007E5419">
        <w:rPr>
          <w:rFonts w:ascii="Book Antiqua" w:hAnsi="Book Antiqua" w:cstheme="majorBidi"/>
          <w:sz w:val="24"/>
          <w:szCs w:val="24"/>
          <w:lang w:val="sv-SE"/>
        </w:rPr>
        <w:t xml:space="preserve"> These d</w:t>
      </w:r>
      <w:r w:rsidRPr="007E5419">
        <w:rPr>
          <w:rFonts w:ascii="Book Antiqua" w:hAnsi="Book Antiqua" w:cstheme="majorBidi"/>
          <w:sz w:val="24"/>
          <w:szCs w:val="24"/>
          <w:lang w:val="sv-SE"/>
        </w:rPr>
        <w:t>ifferences understanding of Islamic law among Islamic parties have become a problem in the application of Shari'ah itself.</w:t>
      </w:r>
    </w:p>
    <w:p w:rsidR="00F9619E" w:rsidRPr="007E5419" w:rsidRDefault="00F9619E" w:rsidP="00C04792">
      <w:pPr>
        <w:autoSpaceDE w:val="0"/>
        <w:autoSpaceDN w:val="0"/>
        <w:spacing w:after="0" w:line="360" w:lineRule="auto"/>
        <w:jc w:val="both"/>
        <w:rPr>
          <w:rFonts w:ascii="Book Antiqua" w:hAnsi="Book Antiqua" w:cstheme="majorBidi"/>
          <w:b/>
          <w:bCs/>
          <w:sz w:val="24"/>
          <w:szCs w:val="24"/>
        </w:rPr>
      </w:pPr>
      <w:r w:rsidRPr="007E5419">
        <w:rPr>
          <w:rFonts w:ascii="Book Antiqua" w:hAnsi="Book Antiqua" w:cstheme="majorBidi"/>
          <w:b/>
          <w:bCs/>
          <w:sz w:val="24"/>
          <w:szCs w:val="24"/>
        </w:rPr>
        <w:t xml:space="preserve">Alternative Strategies of </w:t>
      </w:r>
      <w:r w:rsidR="00631709" w:rsidRPr="007E5419">
        <w:rPr>
          <w:rFonts w:ascii="Book Antiqua" w:hAnsi="Book Antiqua" w:cstheme="majorBidi"/>
          <w:b/>
          <w:bCs/>
          <w:sz w:val="24"/>
          <w:szCs w:val="24"/>
        </w:rPr>
        <w:t xml:space="preserve">Islamic Law Implementation </w:t>
      </w:r>
      <w:r w:rsidRPr="007E5419">
        <w:rPr>
          <w:rFonts w:ascii="Book Antiqua" w:hAnsi="Book Antiqua" w:cstheme="majorBidi"/>
          <w:b/>
          <w:bCs/>
          <w:sz w:val="24"/>
          <w:szCs w:val="24"/>
        </w:rPr>
        <w:t>in Indonesia</w:t>
      </w:r>
    </w:p>
    <w:p w:rsidR="00F9619E" w:rsidRPr="007E5419" w:rsidRDefault="00F9619E"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rPr>
        <w:lastRenderedPageBreak/>
        <w:t xml:space="preserve">By looking at the map of thoughts and aspirations on the application of </w:t>
      </w:r>
      <w:r w:rsidR="00631709" w:rsidRPr="007E5419">
        <w:rPr>
          <w:rFonts w:ascii="Book Antiqua" w:hAnsi="Book Antiqua" w:cstheme="majorBidi"/>
          <w:sz w:val="24"/>
          <w:szCs w:val="24"/>
        </w:rPr>
        <w:t xml:space="preserve">Islamic </w:t>
      </w:r>
      <w:r w:rsidRPr="007E5419">
        <w:rPr>
          <w:rFonts w:ascii="Book Antiqua" w:hAnsi="Book Antiqua" w:cstheme="majorBidi"/>
          <w:sz w:val="24"/>
          <w:szCs w:val="24"/>
        </w:rPr>
        <w:t xml:space="preserve">law in Indonesia mentioned above, it can be seen that basically the majority of the Islamic party wants </w:t>
      </w:r>
      <w:r w:rsidR="00A32950" w:rsidRPr="007E5419">
        <w:rPr>
          <w:rFonts w:ascii="Book Antiqua" w:hAnsi="Book Antiqua" w:cstheme="majorBidi"/>
          <w:sz w:val="24"/>
          <w:szCs w:val="24"/>
        </w:rPr>
        <w:t xml:space="preserve">to </w:t>
      </w:r>
      <w:r w:rsidRPr="007E5419">
        <w:rPr>
          <w:rFonts w:ascii="Book Antiqua" w:hAnsi="Book Antiqua" w:cstheme="majorBidi"/>
          <w:sz w:val="24"/>
          <w:szCs w:val="24"/>
        </w:rPr>
        <w:t>appl</w:t>
      </w:r>
      <w:r w:rsidR="00A32950" w:rsidRPr="007E5419">
        <w:rPr>
          <w:rFonts w:ascii="Book Antiqua" w:hAnsi="Book Antiqua" w:cstheme="majorBidi"/>
          <w:sz w:val="24"/>
          <w:szCs w:val="24"/>
        </w:rPr>
        <w:t>y</w:t>
      </w:r>
      <w:r w:rsidRPr="007E5419">
        <w:rPr>
          <w:rFonts w:ascii="Book Antiqua" w:hAnsi="Book Antiqua" w:cstheme="majorBidi"/>
          <w:sz w:val="24"/>
          <w:szCs w:val="24"/>
        </w:rPr>
        <w:t xml:space="preserve"> of </w:t>
      </w:r>
      <w:r w:rsidR="00A32950" w:rsidRPr="007E5419">
        <w:rPr>
          <w:rFonts w:ascii="Book Antiqua" w:hAnsi="Book Antiqua" w:cstheme="majorBidi"/>
          <w:sz w:val="24"/>
          <w:szCs w:val="24"/>
        </w:rPr>
        <w:t xml:space="preserve">Islamic </w:t>
      </w:r>
      <w:r w:rsidRPr="007E5419">
        <w:rPr>
          <w:rFonts w:ascii="Book Antiqua" w:hAnsi="Book Antiqua" w:cstheme="majorBidi"/>
          <w:sz w:val="24"/>
          <w:szCs w:val="24"/>
        </w:rPr>
        <w:t xml:space="preserve">law in Indonesia, </w:t>
      </w:r>
      <w:r w:rsidR="00A32950" w:rsidRPr="007E5419">
        <w:rPr>
          <w:rFonts w:ascii="Book Antiqua" w:hAnsi="Book Antiqua" w:cstheme="majorBidi"/>
          <w:sz w:val="24"/>
          <w:szCs w:val="24"/>
        </w:rPr>
        <w:t xml:space="preserve">but they have various </w:t>
      </w:r>
      <w:r w:rsidRPr="007E5419">
        <w:rPr>
          <w:rFonts w:ascii="Book Antiqua" w:hAnsi="Book Antiqua" w:cstheme="majorBidi"/>
          <w:sz w:val="24"/>
          <w:szCs w:val="24"/>
        </w:rPr>
        <w:t xml:space="preserve">strategy, through the constitution, legislation and propagation of Islam culturally. From some of these strategies can be done, but gradually: first, legislation and propaganda strategy culturally can be performed simultaneously. Because basically the application of the </w:t>
      </w:r>
      <w:r w:rsidR="00A32950" w:rsidRPr="007E5419">
        <w:rPr>
          <w:rFonts w:ascii="Book Antiqua" w:hAnsi="Book Antiqua" w:cstheme="majorBidi"/>
          <w:sz w:val="24"/>
          <w:szCs w:val="24"/>
        </w:rPr>
        <w:t xml:space="preserve">Islamic </w:t>
      </w:r>
      <w:r w:rsidRPr="007E5419">
        <w:rPr>
          <w:rFonts w:ascii="Book Antiqua" w:hAnsi="Book Antiqua" w:cstheme="majorBidi"/>
          <w:sz w:val="24"/>
          <w:szCs w:val="24"/>
        </w:rPr>
        <w:t xml:space="preserve">law requires juridical validity through legislation, while also requires the readiness of society to accept and comply with such regulations. The struggle for the implementation of </w:t>
      </w:r>
      <w:r w:rsidR="00A32950" w:rsidRPr="007E5419">
        <w:rPr>
          <w:rFonts w:ascii="Book Antiqua" w:hAnsi="Book Antiqua" w:cstheme="majorBidi"/>
          <w:sz w:val="24"/>
          <w:szCs w:val="24"/>
        </w:rPr>
        <w:t xml:space="preserve">Islamic </w:t>
      </w:r>
      <w:r w:rsidRPr="007E5419">
        <w:rPr>
          <w:rFonts w:ascii="Book Antiqua" w:hAnsi="Book Antiqua" w:cstheme="majorBidi"/>
          <w:sz w:val="24"/>
          <w:szCs w:val="24"/>
        </w:rPr>
        <w:t>law through the constitution by integrating the seven words of the Jakarta Charter, it is still hard to do because there are groups of people who are resistant to the hat.</w:t>
      </w:r>
    </w:p>
    <w:p w:rsidR="00F9619E" w:rsidRPr="007E5419" w:rsidRDefault="00F9619E"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The assumption that the Jakarta Charter would lead to division and discord between religions and even internal Islamic religion itself still dominates the thinking of Indonesian society, then it is this strategy requires the preparation of a very heavy, at both the formulation, socialization, and at the political level (for a hat this requires political force who support both in the legislature, the majlis, as well as mass organizations, and society in general).</w:t>
      </w:r>
    </w:p>
    <w:p w:rsidR="00F9619E" w:rsidRPr="007E5419" w:rsidRDefault="00F9619E"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In the concept of reform in Islamic law, legislation is </w:t>
      </w:r>
      <w:r w:rsidR="00A32950" w:rsidRPr="007E5419">
        <w:rPr>
          <w:rFonts w:ascii="Book Antiqua" w:hAnsi="Book Antiqua" w:cstheme="majorBidi"/>
          <w:sz w:val="24"/>
          <w:szCs w:val="24"/>
          <w:lang w:val="sv-SE"/>
        </w:rPr>
        <w:t xml:space="preserve">the best effort </w:t>
      </w:r>
      <w:r w:rsidRPr="007E5419">
        <w:rPr>
          <w:rFonts w:ascii="Book Antiqua" w:hAnsi="Book Antiqua" w:cstheme="majorBidi"/>
          <w:sz w:val="24"/>
          <w:szCs w:val="24"/>
          <w:lang w:val="sv-SE"/>
        </w:rPr>
        <w:t xml:space="preserve">Islamic law in order to adapt to the Western legal system which has now been adopted in many Muslim countries, including Indonesia. Legislation is done by formulating Islamic laws in the form of legal rules drafted with chapters and </w:t>
      </w:r>
      <w:r w:rsidR="00A32950" w:rsidRPr="007E5419">
        <w:rPr>
          <w:rFonts w:ascii="Book Antiqua" w:hAnsi="Book Antiqua" w:cstheme="majorBidi"/>
          <w:sz w:val="24"/>
          <w:szCs w:val="24"/>
          <w:lang w:val="sv-SE"/>
        </w:rPr>
        <w:t xml:space="preserve"> articles </w:t>
      </w:r>
      <w:r w:rsidRPr="007E5419">
        <w:rPr>
          <w:rFonts w:ascii="Book Antiqua" w:hAnsi="Book Antiqua" w:cstheme="majorBidi"/>
          <w:sz w:val="24"/>
          <w:szCs w:val="24"/>
          <w:lang w:val="sv-SE"/>
        </w:rPr>
        <w:t xml:space="preserve">(in legal drafting) to be proposed as a Bill to the </w:t>
      </w:r>
      <w:r w:rsidR="00A32950" w:rsidRPr="007E5419">
        <w:rPr>
          <w:rFonts w:ascii="Book Antiqua" w:hAnsi="Book Antiqua" w:cstheme="majorBidi"/>
          <w:sz w:val="24"/>
          <w:szCs w:val="24"/>
          <w:lang w:val="sv-SE"/>
        </w:rPr>
        <w:t>legislature</w:t>
      </w:r>
      <w:r w:rsidRPr="007E5419">
        <w:rPr>
          <w:rFonts w:ascii="Book Antiqua" w:hAnsi="Book Antiqua" w:cstheme="majorBidi"/>
          <w:sz w:val="24"/>
          <w:szCs w:val="24"/>
          <w:lang w:val="sv-SE"/>
        </w:rPr>
        <w:t xml:space="preserve"> for approval, then ratified gazetted </w:t>
      </w:r>
      <w:r w:rsidR="00A32950" w:rsidRPr="007E5419">
        <w:rPr>
          <w:rFonts w:ascii="Book Antiqua" w:hAnsi="Book Antiqua" w:cstheme="majorBidi"/>
          <w:sz w:val="24"/>
          <w:szCs w:val="24"/>
          <w:lang w:val="sv-SE"/>
        </w:rPr>
        <w:t xml:space="preserve">as </w:t>
      </w:r>
      <w:r w:rsidRPr="007E5419">
        <w:rPr>
          <w:rFonts w:ascii="Book Antiqua" w:hAnsi="Book Antiqua" w:cstheme="majorBidi"/>
          <w:sz w:val="24"/>
          <w:szCs w:val="24"/>
          <w:lang w:val="sv-SE"/>
        </w:rPr>
        <w:t>a regulation legislation.</w:t>
      </w:r>
    </w:p>
    <w:p w:rsidR="00F9619E" w:rsidRPr="007E5419" w:rsidRDefault="00A32950"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T</w:t>
      </w:r>
      <w:r w:rsidR="00F9619E" w:rsidRPr="007E5419">
        <w:rPr>
          <w:rFonts w:ascii="Book Antiqua" w:hAnsi="Book Antiqua" w:cstheme="majorBidi"/>
          <w:sz w:val="24"/>
          <w:szCs w:val="24"/>
          <w:lang w:val="sv-SE"/>
        </w:rPr>
        <w:t>he stages that must be carried out within the framework of Islamic law legislation</w:t>
      </w:r>
      <w:r w:rsidRPr="007E5419">
        <w:rPr>
          <w:rFonts w:ascii="Book Antiqua" w:hAnsi="Book Antiqua" w:cstheme="majorBidi"/>
          <w:sz w:val="24"/>
          <w:szCs w:val="24"/>
          <w:lang w:val="sv-SE"/>
        </w:rPr>
        <w:t xml:space="preserve"> are</w:t>
      </w:r>
      <w:r w:rsidR="00F9619E" w:rsidRPr="007E5419">
        <w:rPr>
          <w:rFonts w:ascii="Book Antiqua" w:hAnsi="Book Antiqua" w:cstheme="majorBidi"/>
          <w:sz w:val="24"/>
          <w:szCs w:val="24"/>
          <w:lang w:val="sv-SE"/>
        </w:rPr>
        <w:t>:</w:t>
      </w:r>
    </w:p>
    <w:p w:rsidR="00F9619E" w:rsidRPr="007E5419" w:rsidRDefault="00F9619E" w:rsidP="00C04792">
      <w:pPr>
        <w:numPr>
          <w:ilvl w:val="0"/>
          <w:numId w:val="7"/>
        </w:numPr>
        <w:tabs>
          <w:tab w:val="clear" w:pos="720"/>
        </w:tabs>
        <w:autoSpaceDE w:val="0"/>
        <w:autoSpaceDN w:val="0"/>
        <w:spacing w:after="0" w:line="360" w:lineRule="auto"/>
        <w:ind w:left="360"/>
        <w:jc w:val="both"/>
        <w:rPr>
          <w:rFonts w:ascii="Book Antiqua" w:hAnsi="Book Antiqua" w:cstheme="majorBidi"/>
          <w:b/>
          <w:bCs/>
          <w:sz w:val="24"/>
          <w:szCs w:val="24"/>
          <w:lang w:val="sv-SE"/>
        </w:rPr>
      </w:pPr>
      <w:r w:rsidRPr="007E5419">
        <w:rPr>
          <w:rFonts w:ascii="Book Antiqua" w:hAnsi="Book Antiqua" w:cstheme="majorBidi"/>
          <w:b/>
          <w:bCs/>
          <w:sz w:val="24"/>
          <w:szCs w:val="24"/>
          <w:lang w:val="sv-SE"/>
        </w:rPr>
        <w:lastRenderedPageBreak/>
        <w:t>Formulation</w:t>
      </w:r>
      <w:r w:rsidR="00A32950" w:rsidRPr="007E5419">
        <w:rPr>
          <w:rFonts w:ascii="Book Antiqua" w:hAnsi="Book Antiqua" w:cstheme="majorBidi"/>
          <w:b/>
          <w:bCs/>
          <w:sz w:val="24"/>
          <w:szCs w:val="24"/>
          <w:lang w:val="sv-SE"/>
        </w:rPr>
        <w:t xml:space="preserve"> Stage</w:t>
      </w:r>
    </w:p>
    <w:p w:rsidR="00F9619E" w:rsidRPr="007E5419" w:rsidRDefault="00F9619E"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In this stage should be disaggregated material which Islamic law would be decreed. Fiqh </w:t>
      </w:r>
      <w:r w:rsidR="00A32950" w:rsidRPr="007E5419">
        <w:rPr>
          <w:rFonts w:ascii="Book Antiqua" w:hAnsi="Book Antiqua" w:cstheme="majorBidi"/>
          <w:sz w:val="24"/>
          <w:szCs w:val="24"/>
          <w:lang w:val="sv-SE"/>
        </w:rPr>
        <w:t xml:space="preserve">for the example, </w:t>
      </w:r>
      <w:r w:rsidRPr="007E5419">
        <w:rPr>
          <w:rFonts w:ascii="Book Antiqua" w:hAnsi="Book Antiqua" w:cstheme="majorBidi"/>
          <w:sz w:val="24"/>
          <w:szCs w:val="24"/>
          <w:lang w:val="sv-SE"/>
        </w:rPr>
        <w:t>divided into several aspects including individual aspects (relationships with God ansich) such as pray</w:t>
      </w:r>
      <w:r w:rsidR="00A32950" w:rsidRPr="007E5419">
        <w:rPr>
          <w:rFonts w:ascii="Book Antiqua" w:hAnsi="Book Antiqua" w:cstheme="majorBidi"/>
          <w:sz w:val="24"/>
          <w:szCs w:val="24"/>
          <w:lang w:val="sv-SE"/>
        </w:rPr>
        <w:t>ing</w:t>
      </w:r>
      <w:r w:rsidRPr="007E5419">
        <w:rPr>
          <w:rFonts w:ascii="Book Antiqua" w:hAnsi="Book Antiqua" w:cstheme="majorBidi"/>
          <w:sz w:val="24"/>
          <w:szCs w:val="24"/>
          <w:lang w:val="sv-SE"/>
        </w:rPr>
        <w:t>, fasting, ethics (eating, drinking, defecating, etc.), aspects of worship associated with social and cultural aspects such as Friday pray</w:t>
      </w:r>
      <w:r w:rsidR="00A32950" w:rsidRPr="007E5419">
        <w:rPr>
          <w:rFonts w:ascii="Book Antiqua" w:hAnsi="Book Antiqua" w:cstheme="majorBidi"/>
          <w:sz w:val="24"/>
          <w:szCs w:val="24"/>
          <w:lang w:val="sv-SE"/>
        </w:rPr>
        <w:t>ing</w:t>
      </w:r>
      <w:r w:rsidRPr="007E5419">
        <w:rPr>
          <w:rFonts w:ascii="Book Antiqua" w:hAnsi="Book Antiqua" w:cstheme="majorBidi"/>
          <w:sz w:val="24"/>
          <w:szCs w:val="24"/>
          <w:lang w:val="sv-SE"/>
        </w:rPr>
        <w:t xml:space="preserve">, as well as mu'amalah fiqh material in the field related to social and cultural aspects, which need the juridical rules, such as </w:t>
      </w:r>
      <w:r w:rsidR="00A32950" w:rsidRPr="007E5419">
        <w:rPr>
          <w:rFonts w:ascii="Book Antiqua" w:hAnsi="Book Antiqua" w:cstheme="majorBidi"/>
          <w:sz w:val="24"/>
          <w:szCs w:val="24"/>
          <w:lang w:val="sv-SE"/>
        </w:rPr>
        <w:t xml:space="preserve">marriage </w:t>
      </w:r>
      <w:r w:rsidRPr="007E5419">
        <w:rPr>
          <w:rFonts w:ascii="Book Antiqua" w:hAnsi="Book Antiqua" w:cstheme="majorBidi"/>
          <w:sz w:val="24"/>
          <w:szCs w:val="24"/>
          <w:lang w:val="sv-SE"/>
        </w:rPr>
        <w:t>and</w:t>
      </w:r>
      <w:r w:rsidR="00A32950" w:rsidRPr="007E5419">
        <w:rPr>
          <w:rFonts w:ascii="Book Antiqua" w:hAnsi="Book Antiqua" w:cstheme="majorBidi"/>
          <w:sz w:val="24"/>
          <w:szCs w:val="24"/>
          <w:lang w:val="sv-SE"/>
        </w:rPr>
        <w:t xml:space="preserve"> divorce</w:t>
      </w:r>
      <w:r w:rsidRPr="007E5419">
        <w:rPr>
          <w:rFonts w:ascii="Book Antiqua" w:hAnsi="Book Antiqua" w:cstheme="majorBidi"/>
          <w:sz w:val="24"/>
          <w:szCs w:val="24"/>
          <w:lang w:val="sv-SE"/>
        </w:rPr>
        <w:t>, inherita</w:t>
      </w:r>
      <w:r w:rsidR="00A32950" w:rsidRPr="007E5419">
        <w:rPr>
          <w:rFonts w:ascii="Book Antiqua" w:hAnsi="Book Antiqua" w:cstheme="majorBidi"/>
          <w:sz w:val="24"/>
          <w:szCs w:val="24"/>
          <w:lang w:val="sv-SE"/>
        </w:rPr>
        <w:t xml:space="preserve">nce, </w:t>
      </w:r>
      <w:r w:rsidRPr="007E5419">
        <w:rPr>
          <w:rFonts w:ascii="Book Antiqua" w:hAnsi="Book Antiqua" w:cstheme="majorBidi"/>
          <w:i/>
          <w:iCs/>
          <w:sz w:val="24"/>
          <w:szCs w:val="24"/>
          <w:lang w:val="sv-SE"/>
        </w:rPr>
        <w:t>wakaf</w:t>
      </w:r>
      <w:r w:rsidRPr="007E5419">
        <w:rPr>
          <w:rFonts w:ascii="Book Antiqua" w:hAnsi="Book Antiqua" w:cstheme="majorBidi"/>
          <w:sz w:val="24"/>
          <w:szCs w:val="24"/>
          <w:lang w:val="sv-SE"/>
        </w:rPr>
        <w:t xml:space="preserve">, </w:t>
      </w:r>
      <w:r w:rsidRPr="007E5419">
        <w:rPr>
          <w:rFonts w:ascii="Book Antiqua" w:hAnsi="Book Antiqua" w:cstheme="majorBidi"/>
          <w:i/>
          <w:iCs/>
          <w:sz w:val="24"/>
          <w:szCs w:val="24"/>
          <w:lang w:val="sv-SE"/>
        </w:rPr>
        <w:t>zakat</w:t>
      </w:r>
      <w:r w:rsidRPr="007E5419">
        <w:rPr>
          <w:rFonts w:ascii="Book Antiqua" w:hAnsi="Book Antiqua" w:cstheme="majorBidi"/>
          <w:sz w:val="24"/>
          <w:szCs w:val="24"/>
          <w:lang w:val="sv-SE"/>
        </w:rPr>
        <w:t xml:space="preserve"> management, and so on. The last material that should be formalized in legislation while the issue of fiqh in individual aspects of worship do not require setting legally. In this formulation stage should also be defined methods to be used to understand the legal materials, so it can be a definition of law in accordance with the realities and needs of the community.</w:t>
      </w:r>
    </w:p>
    <w:p w:rsidR="00F9619E" w:rsidRPr="007E5419" w:rsidRDefault="00F9619E"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Schools of this formulation should involve all among Muslims with the representation of the scholars, scientists in related disciplines, academics and community leaders in order to get unanimity. </w:t>
      </w:r>
      <w:r w:rsidR="00A32950" w:rsidRPr="007E5419">
        <w:rPr>
          <w:rFonts w:ascii="Book Antiqua" w:hAnsi="Book Antiqua" w:cstheme="majorBidi"/>
          <w:sz w:val="24"/>
          <w:szCs w:val="24"/>
          <w:lang w:val="sv-SE"/>
        </w:rPr>
        <w:t xml:space="preserve">This </w:t>
      </w:r>
      <w:r w:rsidRPr="007E5419">
        <w:rPr>
          <w:rFonts w:ascii="Book Antiqua" w:hAnsi="Book Antiqua" w:cstheme="majorBidi"/>
          <w:sz w:val="24"/>
          <w:szCs w:val="24"/>
          <w:lang w:val="sv-SE"/>
        </w:rPr>
        <w:t xml:space="preserve">formulation </w:t>
      </w:r>
      <w:r w:rsidR="00A32950" w:rsidRPr="007E5419">
        <w:rPr>
          <w:rFonts w:ascii="Book Antiqua" w:hAnsi="Book Antiqua" w:cstheme="majorBidi"/>
          <w:sz w:val="24"/>
          <w:szCs w:val="24"/>
          <w:lang w:val="sv-SE"/>
        </w:rPr>
        <w:t xml:space="preserve">stage </w:t>
      </w:r>
      <w:r w:rsidRPr="007E5419">
        <w:rPr>
          <w:rFonts w:ascii="Book Antiqua" w:hAnsi="Book Antiqua" w:cstheme="majorBidi"/>
          <w:sz w:val="24"/>
          <w:szCs w:val="24"/>
          <w:lang w:val="sv-SE"/>
        </w:rPr>
        <w:t xml:space="preserve">as synonymous with the concept of </w:t>
      </w:r>
      <w:r w:rsidR="00A32950" w:rsidRPr="007E5419">
        <w:rPr>
          <w:rFonts w:ascii="Book Antiqua" w:hAnsi="Book Antiqua" w:cstheme="majorBidi"/>
          <w:sz w:val="24"/>
          <w:szCs w:val="24"/>
          <w:lang w:val="sv-SE"/>
        </w:rPr>
        <w:t>earlier</w:t>
      </w:r>
      <w:r w:rsidR="00A32950" w:rsidRPr="007E5419">
        <w:rPr>
          <w:rFonts w:ascii="Book Antiqua" w:hAnsi="Book Antiqua" w:cstheme="majorBidi"/>
          <w:i/>
          <w:iCs/>
          <w:sz w:val="24"/>
          <w:szCs w:val="24"/>
          <w:lang w:val="sv-SE"/>
        </w:rPr>
        <w:t xml:space="preserve"> </w:t>
      </w:r>
      <w:r w:rsidRPr="007E5419">
        <w:rPr>
          <w:rFonts w:ascii="Book Antiqua" w:hAnsi="Book Antiqua" w:cstheme="majorBidi"/>
          <w:i/>
          <w:iCs/>
          <w:sz w:val="24"/>
          <w:szCs w:val="24"/>
          <w:lang w:val="sv-SE"/>
        </w:rPr>
        <w:t>ijma 'ulama</w:t>
      </w:r>
      <w:r w:rsidRPr="007E5419">
        <w:rPr>
          <w:rFonts w:ascii="Book Antiqua" w:hAnsi="Book Antiqua" w:cstheme="majorBidi"/>
          <w:sz w:val="24"/>
          <w:szCs w:val="24"/>
          <w:lang w:val="sv-SE"/>
        </w:rPr>
        <w:t xml:space="preserve">, but if the ijma' is an agreement of Muslims as a whole, </w:t>
      </w:r>
      <w:r w:rsidR="00A32950" w:rsidRPr="007E5419">
        <w:rPr>
          <w:rFonts w:ascii="Book Antiqua" w:hAnsi="Book Antiqua" w:cstheme="majorBidi"/>
          <w:sz w:val="24"/>
          <w:szCs w:val="24"/>
          <w:lang w:val="sv-SE"/>
        </w:rPr>
        <w:t xml:space="preserve">but </w:t>
      </w:r>
      <w:r w:rsidRPr="007E5419">
        <w:rPr>
          <w:rFonts w:ascii="Book Antiqua" w:hAnsi="Book Antiqua" w:cstheme="majorBidi"/>
          <w:sz w:val="24"/>
          <w:szCs w:val="24"/>
          <w:lang w:val="sv-SE"/>
        </w:rPr>
        <w:t xml:space="preserve">the </w:t>
      </w:r>
      <w:r w:rsidRPr="007E5419">
        <w:rPr>
          <w:rFonts w:ascii="Book Antiqua" w:hAnsi="Book Antiqua" w:cstheme="majorBidi"/>
          <w:i/>
          <w:iCs/>
          <w:sz w:val="24"/>
          <w:szCs w:val="24"/>
          <w:lang w:val="sv-SE"/>
        </w:rPr>
        <w:t>ijma</w:t>
      </w:r>
      <w:r w:rsidR="00A32950" w:rsidRPr="007E5419">
        <w:rPr>
          <w:rFonts w:ascii="Book Antiqua" w:hAnsi="Book Antiqua" w:cstheme="majorBidi"/>
          <w:sz w:val="24"/>
          <w:szCs w:val="24"/>
          <w:lang w:val="sv-SE"/>
        </w:rPr>
        <w:t xml:space="preserve"> </w:t>
      </w:r>
      <w:r w:rsidRPr="007E5419">
        <w:rPr>
          <w:rFonts w:ascii="Book Antiqua" w:hAnsi="Book Antiqua" w:cstheme="majorBidi"/>
          <w:sz w:val="24"/>
          <w:szCs w:val="24"/>
          <w:lang w:val="sv-SE"/>
        </w:rPr>
        <w:t xml:space="preserve">in the formulation of Islamic law in Indonesia is </w:t>
      </w:r>
      <w:r w:rsidR="009D5559" w:rsidRPr="007E5419">
        <w:rPr>
          <w:rFonts w:ascii="Book Antiqua" w:hAnsi="Book Antiqua" w:cstheme="majorBidi"/>
          <w:sz w:val="24"/>
          <w:szCs w:val="24"/>
          <w:lang w:val="sv-SE"/>
        </w:rPr>
        <w:t xml:space="preserve">”Indonesian local </w:t>
      </w:r>
      <w:r w:rsidRPr="007E5419">
        <w:rPr>
          <w:rFonts w:ascii="Book Antiqua" w:hAnsi="Book Antiqua" w:cstheme="majorBidi"/>
          <w:i/>
          <w:iCs/>
          <w:sz w:val="24"/>
          <w:szCs w:val="24"/>
          <w:lang w:val="sv-SE"/>
        </w:rPr>
        <w:t>ijma</w:t>
      </w:r>
      <w:r w:rsidR="009D5559" w:rsidRPr="007E5419">
        <w:rPr>
          <w:rFonts w:ascii="Book Antiqua" w:hAnsi="Book Antiqua" w:cstheme="majorBidi"/>
          <w:i/>
          <w:iCs/>
          <w:sz w:val="24"/>
          <w:szCs w:val="24"/>
          <w:lang w:val="sv-SE"/>
        </w:rPr>
        <w:t>”</w:t>
      </w:r>
      <w:r w:rsidRPr="007E5419">
        <w:rPr>
          <w:rFonts w:ascii="Book Antiqua" w:hAnsi="Book Antiqua" w:cstheme="majorBidi"/>
          <w:sz w:val="24"/>
          <w:szCs w:val="24"/>
          <w:lang w:val="sv-SE"/>
        </w:rPr>
        <w:t>.</w:t>
      </w:r>
    </w:p>
    <w:p w:rsidR="00F9619E" w:rsidRPr="007E5419" w:rsidRDefault="00F9619E" w:rsidP="00C04792">
      <w:pPr>
        <w:numPr>
          <w:ilvl w:val="0"/>
          <w:numId w:val="7"/>
        </w:numPr>
        <w:tabs>
          <w:tab w:val="clear" w:pos="720"/>
        </w:tabs>
        <w:autoSpaceDE w:val="0"/>
        <w:autoSpaceDN w:val="0"/>
        <w:spacing w:after="0" w:line="360" w:lineRule="auto"/>
        <w:ind w:left="360"/>
        <w:jc w:val="both"/>
        <w:rPr>
          <w:rFonts w:ascii="Book Antiqua" w:hAnsi="Book Antiqua" w:cstheme="majorBidi"/>
          <w:b/>
          <w:bCs/>
          <w:sz w:val="24"/>
          <w:szCs w:val="24"/>
          <w:lang w:val="sv-SE"/>
        </w:rPr>
      </w:pPr>
      <w:r w:rsidRPr="007E5419">
        <w:rPr>
          <w:rFonts w:ascii="Book Antiqua" w:hAnsi="Book Antiqua" w:cstheme="majorBidi"/>
          <w:b/>
          <w:bCs/>
          <w:sz w:val="24"/>
          <w:szCs w:val="24"/>
          <w:lang w:val="sv-SE"/>
        </w:rPr>
        <w:t>Socialization</w:t>
      </w:r>
      <w:r w:rsidR="009D5559" w:rsidRPr="007E5419">
        <w:rPr>
          <w:rFonts w:ascii="Book Antiqua" w:hAnsi="Book Antiqua" w:cstheme="majorBidi"/>
          <w:b/>
          <w:bCs/>
          <w:sz w:val="24"/>
          <w:szCs w:val="24"/>
          <w:lang w:val="sv-SE"/>
        </w:rPr>
        <w:t xml:space="preserve"> Stage</w:t>
      </w:r>
    </w:p>
    <w:p w:rsidR="00F9619E" w:rsidRPr="007E5419" w:rsidRDefault="009D5559"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T</w:t>
      </w:r>
      <w:r w:rsidR="00F9619E" w:rsidRPr="007E5419">
        <w:rPr>
          <w:rFonts w:ascii="Book Antiqua" w:hAnsi="Book Antiqua" w:cstheme="majorBidi"/>
          <w:sz w:val="24"/>
          <w:szCs w:val="24"/>
          <w:lang w:val="sv-SE"/>
        </w:rPr>
        <w:t xml:space="preserve">he law is </w:t>
      </w:r>
      <w:r w:rsidRPr="007E5419">
        <w:rPr>
          <w:rFonts w:ascii="Book Antiqua" w:hAnsi="Book Antiqua" w:cstheme="majorBidi"/>
          <w:sz w:val="24"/>
          <w:szCs w:val="24"/>
          <w:lang w:val="sv-SE"/>
        </w:rPr>
        <w:t xml:space="preserve">basically </w:t>
      </w:r>
      <w:r w:rsidR="00F9619E" w:rsidRPr="007E5419">
        <w:rPr>
          <w:rFonts w:ascii="Book Antiqua" w:hAnsi="Book Antiqua" w:cstheme="majorBidi"/>
          <w:sz w:val="24"/>
          <w:szCs w:val="24"/>
          <w:lang w:val="sv-SE"/>
        </w:rPr>
        <w:t>a rule that contains a command and assessment within society itself.</w:t>
      </w:r>
      <w:r w:rsidR="00F9619E" w:rsidRPr="007E5419">
        <w:rPr>
          <w:rStyle w:val="FootnoteReference"/>
          <w:rFonts w:ascii="Book Antiqua" w:hAnsi="Book Antiqua" w:cstheme="majorBidi"/>
          <w:sz w:val="24"/>
          <w:szCs w:val="24"/>
          <w:lang w:val="sv-SE"/>
        </w:rPr>
        <w:footnoteReference w:id="54"/>
      </w:r>
      <w:r w:rsidRPr="007E5419">
        <w:rPr>
          <w:rFonts w:ascii="Book Antiqua" w:hAnsi="Book Antiqua" w:cstheme="majorBidi"/>
          <w:sz w:val="24"/>
          <w:szCs w:val="24"/>
          <w:lang w:val="sv-SE"/>
        </w:rPr>
        <w:t xml:space="preserve"> </w:t>
      </w:r>
      <w:r w:rsidR="00F9619E" w:rsidRPr="007E5419">
        <w:rPr>
          <w:rFonts w:ascii="Book Antiqua" w:hAnsi="Book Antiqua" w:cstheme="majorBidi"/>
          <w:sz w:val="24"/>
          <w:szCs w:val="24"/>
          <w:lang w:val="sv-SE"/>
        </w:rPr>
        <w:t xml:space="preserve">However, with their ideas of positivism </w:t>
      </w:r>
      <w:r w:rsidRPr="007E5419">
        <w:rPr>
          <w:rFonts w:ascii="Book Antiqua" w:hAnsi="Book Antiqua" w:cstheme="majorBidi"/>
          <w:sz w:val="24"/>
          <w:szCs w:val="24"/>
          <w:lang w:val="sv-SE"/>
        </w:rPr>
        <w:t xml:space="preserve">in </w:t>
      </w:r>
      <w:r w:rsidR="00F9619E" w:rsidRPr="007E5419">
        <w:rPr>
          <w:rFonts w:ascii="Book Antiqua" w:hAnsi="Book Antiqua" w:cstheme="majorBidi"/>
          <w:sz w:val="24"/>
          <w:szCs w:val="24"/>
          <w:lang w:val="sv-SE"/>
        </w:rPr>
        <w:t xml:space="preserve">various aspects of human life, including the law, then the law becomes a positive regulatory formalized through juridical justification of a country. However, </w:t>
      </w:r>
      <w:r w:rsidR="00F9619E" w:rsidRPr="007E5419">
        <w:rPr>
          <w:rFonts w:ascii="Book Antiqua" w:hAnsi="Book Antiqua" w:cstheme="majorBidi"/>
          <w:sz w:val="24"/>
          <w:szCs w:val="24"/>
          <w:lang w:val="sv-SE"/>
        </w:rPr>
        <w:lastRenderedPageBreak/>
        <w:t>with the</w:t>
      </w:r>
      <w:r w:rsidRPr="007E5419">
        <w:rPr>
          <w:rFonts w:ascii="Book Antiqua" w:hAnsi="Book Antiqua" w:cstheme="majorBidi"/>
          <w:sz w:val="24"/>
          <w:szCs w:val="24"/>
          <w:lang w:val="sv-SE"/>
        </w:rPr>
        <w:t xml:space="preserve"> positivization</w:t>
      </w:r>
      <w:r w:rsidR="00F9619E" w:rsidRPr="007E5419">
        <w:rPr>
          <w:rFonts w:ascii="Book Antiqua" w:hAnsi="Book Antiqua" w:cstheme="majorBidi"/>
          <w:sz w:val="24"/>
          <w:szCs w:val="24"/>
          <w:lang w:val="sv-SE"/>
        </w:rPr>
        <w:t xml:space="preserve"> or formalization of the law should not eliminate the law as </w:t>
      </w:r>
      <w:r w:rsidRPr="007E5419">
        <w:rPr>
          <w:rFonts w:ascii="Book Antiqua" w:hAnsi="Book Antiqua" w:cstheme="majorBidi"/>
          <w:sz w:val="24"/>
          <w:szCs w:val="24"/>
          <w:lang w:val="sv-SE"/>
        </w:rPr>
        <w:t xml:space="preserve">a living law </w:t>
      </w:r>
      <w:r w:rsidR="00F9619E" w:rsidRPr="007E5419">
        <w:rPr>
          <w:rFonts w:ascii="Book Antiqua" w:hAnsi="Book Antiqua" w:cstheme="majorBidi"/>
          <w:sz w:val="24"/>
          <w:szCs w:val="24"/>
          <w:lang w:val="sv-SE"/>
        </w:rPr>
        <w:t>in society. Therefore, the law should be the aspirations of the people, and the formalization of the law should be the formalization of rules that have been living in the community. Thus, the socialization of the law is necessary in the context of a legal formalization. Within this context, the cultural approach Islamic law is indispensable in order to socialize Islamic law in society, to prepare a legal enforceability.</w:t>
      </w:r>
    </w:p>
    <w:p w:rsidR="00F9619E" w:rsidRPr="007E5419" w:rsidRDefault="00F9619E"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The applicability of the law (</w:t>
      </w:r>
      <w:r w:rsidRPr="007E5419">
        <w:rPr>
          <w:rFonts w:ascii="Book Antiqua" w:hAnsi="Book Antiqua" w:cstheme="majorBidi"/>
          <w:i/>
          <w:iCs/>
          <w:sz w:val="24"/>
          <w:szCs w:val="24"/>
          <w:lang w:val="sv-SE"/>
        </w:rPr>
        <w:t xml:space="preserve">das </w:t>
      </w:r>
      <w:r w:rsidR="009D5559" w:rsidRPr="007E5419">
        <w:rPr>
          <w:rFonts w:ascii="Book Antiqua" w:hAnsi="Book Antiqua" w:cstheme="majorBidi"/>
          <w:i/>
          <w:iCs/>
          <w:sz w:val="24"/>
          <w:szCs w:val="24"/>
          <w:lang w:val="sv-SE"/>
        </w:rPr>
        <w:t xml:space="preserve">geltung </w:t>
      </w:r>
      <w:r w:rsidRPr="007E5419">
        <w:rPr>
          <w:rFonts w:ascii="Book Antiqua" w:hAnsi="Book Antiqua" w:cstheme="majorBidi"/>
          <w:i/>
          <w:iCs/>
          <w:sz w:val="24"/>
          <w:szCs w:val="24"/>
          <w:lang w:val="sv-SE"/>
        </w:rPr>
        <w:t>das recht</w:t>
      </w:r>
      <w:r w:rsidR="009D5559" w:rsidRPr="007E5419">
        <w:rPr>
          <w:rFonts w:ascii="Book Antiqua" w:hAnsi="Book Antiqua" w:cstheme="majorBidi"/>
          <w:sz w:val="24"/>
          <w:szCs w:val="24"/>
          <w:lang w:val="sv-SE"/>
        </w:rPr>
        <w:t xml:space="preserve"> theory</w:t>
      </w:r>
      <w:r w:rsidRPr="007E5419">
        <w:rPr>
          <w:rFonts w:ascii="Book Antiqua" w:hAnsi="Book Antiqua" w:cstheme="majorBidi"/>
          <w:sz w:val="24"/>
          <w:szCs w:val="24"/>
          <w:lang w:val="sv-SE"/>
        </w:rPr>
        <w:t>) there are three</w:t>
      </w:r>
      <w:r w:rsidR="009D5559" w:rsidRPr="007E5419">
        <w:rPr>
          <w:rFonts w:ascii="Book Antiqua" w:hAnsi="Book Antiqua" w:cstheme="majorBidi"/>
          <w:sz w:val="24"/>
          <w:szCs w:val="24"/>
          <w:lang w:val="sv-SE"/>
        </w:rPr>
        <w:t xml:space="preserve"> aspects.</w:t>
      </w:r>
      <w:r w:rsidRPr="007E5419">
        <w:rPr>
          <w:rStyle w:val="FootnoteReference"/>
          <w:rFonts w:ascii="Book Antiqua" w:hAnsi="Book Antiqua" w:cstheme="majorBidi"/>
          <w:sz w:val="24"/>
          <w:szCs w:val="24"/>
          <w:lang w:val="sv-SE"/>
        </w:rPr>
        <w:footnoteReference w:id="55"/>
      </w:r>
      <w:r w:rsidRPr="007E5419">
        <w:rPr>
          <w:rFonts w:ascii="Book Antiqua" w:hAnsi="Book Antiqua" w:cstheme="majorBidi"/>
          <w:sz w:val="24"/>
          <w:szCs w:val="24"/>
          <w:vertAlign w:val="superscript"/>
          <w:lang w:val="sv-SE"/>
        </w:rPr>
        <w:t xml:space="preserve"> </w:t>
      </w:r>
      <w:r w:rsidR="009D5559" w:rsidRPr="007E5419">
        <w:rPr>
          <w:rFonts w:ascii="Book Antiqua" w:hAnsi="Book Antiqua" w:cstheme="majorBidi"/>
          <w:sz w:val="24"/>
          <w:szCs w:val="24"/>
          <w:vertAlign w:val="superscript"/>
          <w:lang w:val="sv-SE"/>
        </w:rPr>
        <w:t xml:space="preserve"> </w:t>
      </w:r>
      <w:r w:rsidR="009D5559" w:rsidRPr="007E5419">
        <w:rPr>
          <w:rFonts w:ascii="Book Antiqua" w:hAnsi="Book Antiqua" w:cstheme="majorBidi"/>
          <w:sz w:val="24"/>
          <w:szCs w:val="24"/>
          <w:lang w:val="sv-SE"/>
        </w:rPr>
        <w:t>F</w:t>
      </w:r>
      <w:r w:rsidRPr="007E5419">
        <w:rPr>
          <w:rFonts w:ascii="Book Antiqua" w:hAnsi="Book Antiqua" w:cstheme="majorBidi"/>
          <w:sz w:val="24"/>
          <w:szCs w:val="24"/>
          <w:lang w:val="sv-SE"/>
        </w:rPr>
        <w:t xml:space="preserve">irstly, the judicial enforceability of the law apply if </w:t>
      </w:r>
      <w:r w:rsidR="009D5559" w:rsidRPr="007E5419">
        <w:rPr>
          <w:rFonts w:ascii="Book Antiqua" w:hAnsi="Book Antiqua" w:cstheme="majorBidi"/>
          <w:sz w:val="24"/>
          <w:szCs w:val="24"/>
          <w:lang w:val="sv-SE"/>
        </w:rPr>
        <w:t xml:space="preserve">it’s </w:t>
      </w:r>
      <w:r w:rsidRPr="007E5419">
        <w:rPr>
          <w:rFonts w:ascii="Book Antiqua" w:hAnsi="Book Antiqua" w:cstheme="majorBidi"/>
          <w:sz w:val="24"/>
          <w:szCs w:val="24"/>
          <w:lang w:val="sv-SE"/>
        </w:rPr>
        <w:t xml:space="preserve">enacted procedurally in the state, second, that the enforceability of sociological laws apply if </w:t>
      </w:r>
      <w:r w:rsidR="009D5559" w:rsidRPr="007E5419">
        <w:rPr>
          <w:rFonts w:ascii="Book Antiqua" w:hAnsi="Book Antiqua" w:cstheme="majorBidi"/>
          <w:sz w:val="24"/>
          <w:szCs w:val="24"/>
          <w:lang w:val="sv-SE"/>
        </w:rPr>
        <w:t xml:space="preserve">it’s </w:t>
      </w:r>
      <w:r w:rsidRPr="007E5419">
        <w:rPr>
          <w:rFonts w:ascii="Book Antiqua" w:hAnsi="Book Antiqua" w:cstheme="majorBidi"/>
          <w:sz w:val="24"/>
          <w:szCs w:val="24"/>
          <w:lang w:val="sv-SE"/>
        </w:rPr>
        <w:t xml:space="preserve">accepted in society and enforceability of philosophical ie third law applies if </w:t>
      </w:r>
      <w:r w:rsidR="009D5559" w:rsidRPr="007E5419">
        <w:rPr>
          <w:rFonts w:ascii="Book Antiqua" w:hAnsi="Book Antiqua" w:cstheme="majorBidi"/>
          <w:sz w:val="24"/>
          <w:szCs w:val="24"/>
          <w:lang w:val="sv-SE"/>
        </w:rPr>
        <w:t xml:space="preserve">it’s </w:t>
      </w:r>
      <w:r w:rsidRPr="007E5419">
        <w:rPr>
          <w:rFonts w:ascii="Book Antiqua" w:hAnsi="Book Antiqua" w:cstheme="majorBidi"/>
          <w:sz w:val="24"/>
          <w:szCs w:val="24"/>
          <w:lang w:val="sv-SE"/>
        </w:rPr>
        <w:t xml:space="preserve">appropriate philosophical values </w:t>
      </w:r>
      <w:r w:rsidRPr="007E5419">
        <w:rPr>
          <w:rFonts w:ascii="Times New Roman" w:hAnsi="Times New Roman" w:cs="Times New Roman"/>
          <w:sz w:val="24"/>
          <w:szCs w:val="24"/>
          <w:lang w:val="sv-SE"/>
        </w:rPr>
        <w:t>​​</w:t>
      </w:r>
      <w:r w:rsidRPr="007E5419">
        <w:rPr>
          <w:rFonts w:ascii="Book Antiqua" w:hAnsi="Book Antiqua" w:cstheme="majorBidi"/>
          <w:sz w:val="24"/>
          <w:szCs w:val="24"/>
          <w:lang w:val="sv-SE"/>
        </w:rPr>
        <w:t xml:space="preserve">of society. Therefore, besides the juridical formalization of Islamic law, Islamic law socialization </w:t>
      </w:r>
      <w:r w:rsidR="009D5559" w:rsidRPr="007E5419">
        <w:rPr>
          <w:rFonts w:ascii="Book Antiqua" w:hAnsi="Book Antiqua" w:cstheme="majorBidi"/>
          <w:sz w:val="24"/>
          <w:szCs w:val="24"/>
          <w:lang w:val="sv-SE"/>
        </w:rPr>
        <w:t xml:space="preserve">is also needed </w:t>
      </w:r>
      <w:r w:rsidRPr="007E5419">
        <w:rPr>
          <w:rFonts w:ascii="Book Antiqua" w:hAnsi="Book Antiqua" w:cstheme="majorBidi"/>
          <w:sz w:val="24"/>
          <w:szCs w:val="24"/>
          <w:lang w:val="sv-SE"/>
        </w:rPr>
        <w:t>both before and after the formalization of Islamic law.</w:t>
      </w:r>
    </w:p>
    <w:p w:rsidR="00F9619E" w:rsidRPr="007E5419" w:rsidRDefault="00F9619E" w:rsidP="00C04792">
      <w:pPr>
        <w:numPr>
          <w:ilvl w:val="0"/>
          <w:numId w:val="7"/>
        </w:numPr>
        <w:tabs>
          <w:tab w:val="clear" w:pos="720"/>
          <w:tab w:val="num" w:pos="360"/>
        </w:tabs>
        <w:autoSpaceDE w:val="0"/>
        <w:autoSpaceDN w:val="0"/>
        <w:spacing w:after="0" w:line="360" w:lineRule="auto"/>
        <w:ind w:hanging="720"/>
        <w:jc w:val="both"/>
        <w:rPr>
          <w:rFonts w:ascii="Book Antiqua" w:hAnsi="Book Antiqua" w:cstheme="majorBidi"/>
          <w:b/>
          <w:sz w:val="24"/>
          <w:szCs w:val="24"/>
          <w:lang w:val="sv-SE"/>
        </w:rPr>
      </w:pPr>
      <w:r w:rsidRPr="007E5419">
        <w:rPr>
          <w:rFonts w:ascii="Book Antiqua" w:hAnsi="Book Antiqua" w:cstheme="majorBidi"/>
          <w:b/>
          <w:sz w:val="24"/>
          <w:szCs w:val="24"/>
          <w:lang w:val="sv-SE"/>
        </w:rPr>
        <w:t xml:space="preserve">Political </w:t>
      </w:r>
      <w:r w:rsidR="009D5559" w:rsidRPr="007E5419">
        <w:rPr>
          <w:rFonts w:ascii="Book Antiqua" w:hAnsi="Book Antiqua" w:cstheme="majorBidi"/>
          <w:b/>
          <w:sz w:val="24"/>
          <w:szCs w:val="24"/>
          <w:lang w:val="sv-SE"/>
        </w:rPr>
        <w:t>S</w:t>
      </w:r>
      <w:r w:rsidRPr="007E5419">
        <w:rPr>
          <w:rFonts w:ascii="Book Antiqua" w:hAnsi="Book Antiqua" w:cstheme="majorBidi"/>
          <w:b/>
          <w:sz w:val="24"/>
          <w:szCs w:val="24"/>
          <w:lang w:val="sv-SE"/>
        </w:rPr>
        <w:t>tage</w:t>
      </w:r>
    </w:p>
    <w:p w:rsidR="00F9619E" w:rsidRPr="007E5419" w:rsidRDefault="00F9619E"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After the formulation stage and socialization, the necessary strength </w:t>
      </w:r>
      <w:r w:rsidR="004D625D" w:rsidRPr="007E5419">
        <w:rPr>
          <w:rFonts w:ascii="Book Antiqua" w:hAnsi="Book Antiqua" w:cstheme="majorBidi"/>
          <w:sz w:val="24"/>
          <w:szCs w:val="24"/>
          <w:lang w:val="sv-SE"/>
        </w:rPr>
        <w:t xml:space="preserve">is </w:t>
      </w:r>
      <w:r w:rsidRPr="007E5419">
        <w:rPr>
          <w:rFonts w:ascii="Book Antiqua" w:hAnsi="Book Antiqua" w:cstheme="majorBidi"/>
          <w:sz w:val="24"/>
          <w:szCs w:val="24"/>
          <w:lang w:val="sv-SE"/>
        </w:rPr>
        <w:t xml:space="preserve">to support the rule of law </w:t>
      </w:r>
      <w:r w:rsidR="004D625D" w:rsidRPr="007E5419">
        <w:rPr>
          <w:rFonts w:ascii="Book Antiqua" w:hAnsi="Book Antiqua" w:cstheme="majorBidi"/>
          <w:sz w:val="24"/>
          <w:szCs w:val="24"/>
          <w:lang w:val="sv-SE"/>
        </w:rPr>
        <w:t xml:space="preserve">to find </w:t>
      </w:r>
      <w:r w:rsidRPr="007E5419">
        <w:rPr>
          <w:rFonts w:ascii="Book Antiqua" w:hAnsi="Book Antiqua" w:cstheme="majorBidi"/>
          <w:sz w:val="24"/>
          <w:szCs w:val="24"/>
          <w:lang w:val="sv-SE"/>
        </w:rPr>
        <w:t>legally by the state. In the Indonesian context, the efforts of these can be done through the government (executive) and the path of the legislature, because the legislation may be proposed by the government is the president or departments concerned with the approval of Parliament, nor by the Parliament's suggestions (</w:t>
      </w:r>
      <w:r w:rsidR="004D625D" w:rsidRPr="007E5419">
        <w:rPr>
          <w:rFonts w:ascii="Book Antiqua" w:hAnsi="Book Antiqua" w:cstheme="majorBidi"/>
          <w:sz w:val="24"/>
          <w:szCs w:val="24"/>
          <w:lang w:val="sv-SE"/>
        </w:rPr>
        <w:t xml:space="preserve">initiative </w:t>
      </w:r>
      <w:r w:rsidRPr="007E5419">
        <w:rPr>
          <w:rFonts w:ascii="Book Antiqua" w:hAnsi="Book Antiqua" w:cstheme="majorBidi"/>
          <w:sz w:val="24"/>
          <w:szCs w:val="24"/>
          <w:lang w:val="sv-SE"/>
        </w:rPr>
        <w:t>Bill) to be ratified by President</w:t>
      </w:r>
      <w:r w:rsidR="004D625D" w:rsidRPr="007E5419">
        <w:rPr>
          <w:rFonts w:ascii="Book Antiqua" w:hAnsi="Book Antiqua" w:cstheme="majorBidi"/>
          <w:sz w:val="24"/>
          <w:szCs w:val="24"/>
          <w:lang w:val="sv-SE"/>
        </w:rPr>
        <w:t xml:space="preserve"> agreement</w:t>
      </w:r>
      <w:r w:rsidRPr="007E5419">
        <w:rPr>
          <w:rFonts w:ascii="Book Antiqua" w:hAnsi="Book Antiqua" w:cstheme="majorBidi"/>
          <w:sz w:val="24"/>
          <w:szCs w:val="24"/>
          <w:lang w:val="sv-SE"/>
        </w:rPr>
        <w:t>.</w:t>
      </w:r>
      <w:r w:rsidRPr="007E5419">
        <w:rPr>
          <w:rStyle w:val="FootnoteReference"/>
          <w:rFonts w:ascii="Book Antiqua" w:hAnsi="Book Antiqua" w:cstheme="majorBidi"/>
          <w:sz w:val="24"/>
          <w:szCs w:val="24"/>
          <w:lang w:val="sv-SE"/>
        </w:rPr>
        <w:footnoteReference w:id="56"/>
      </w:r>
      <w:r w:rsidRPr="007E5419">
        <w:rPr>
          <w:rFonts w:ascii="Book Antiqua" w:hAnsi="Book Antiqua" w:cstheme="majorBidi"/>
          <w:sz w:val="24"/>
          <w:szCs w:val="24"/>
          <w:lang w:val="sv-SE"/>
        </w:rPr>
        <w:t xml:space="preserve"> </w:t>
      </w:r>
    </w:p>
    <w:p w:rsidR="00F9619E" w:rsidRPr="007E5419" w:rsidRDefault="00CB6E1C" w:rsidP="00C04792">
      <w:pPr>
        <w:autoSpaceDE w:val="0"/>
        <w:autoSpaceDN w:val="0"/>
        <w:spacing w:line="360" w:lineRule="auto"/>
        <w:ind w:firstLine="720"/>
        <w:jc w:val="both"/>
        <w:rPr>
          <w:rFonts w:ascii="Book Antiqua" w:hAnsi="Book Antiqua" w:cstheme="majorBidi"/>
          <w:sz w:val="24"/>
          <w:szCs w:val="24"/>
          <w:lang w:val="sv-SE"/>
        </w:rPr>
      </w:pPr>
      <w:r w:rsidRPr="007E5419">
        <w:rPr>
          <w:rFonts w:ascii="Book Antiqua" w:hAnsi="Book Antiqua" w:cstheme="majorBidi"/>
          <w:sz w:val="24"/>
          <w:szCs w:val="24"/>
          <w:lang w:val="sv-SE"/>
        </w:rPr>
        <w:lastRenderedPageBreak/>
        <w:t xml:space="preserve">Based on the discusses above, </w:t>
      </w:r>
      <w:r w:rsidR="00F9619E" w:rsidRPr="007E5419">
        <w:rPr>
          <w:rFonts w:ascii="Book Antiqua" w:hAnsi="Book Antiqua" w:cstheme="majorBidi"/>
          <w:sz w:val="24"/>
          <w:szCs w:val="24"/>
          <w:lang w:val="sv-SE"/>
        </w:rPr>
        <w:t>the formalization of Islamic law requires a political force that supported the bill</w:t>
      </w:r>
      <w:r w:rsidRPr="007E5419">
        <w:rPr>
          <w:rFonts w:ascii="Book Antiqua" w:hAnsi="Book Antiqua" w:cstheme="majorBidi"/>
          <w:sz w:val="24"/>
          <w:szCs w:val="24"/>
          <w:lang w:val="sv-SE"/>
        </w:rPr>
        <w:t xml:space="preserve"> of</w:t>
      </w:r>
      <w:r w:rsidR="00F9619E" w:rsidRPr="007E5419">
        <w:rPr>
          <w:rFonts w:ascii="Book Antiqua" w:hAnsi="Book Antiqua" w:cstheme="majorBidi"/>
          <w:sz w:val="24"/>
          <w:szCs w:val="24"/>
          <w:lang w:val="sv-SE"/>
        </w:rPr>
        <w:t xml:space="preserve"> 'Islamic law', both from a political party that sits as a representative in the House of Representatives, or the Muslims who sit on the executive government.</w:t>
      </w:r>
    </w:p>
    <w:p w:rsidR="00F9619E" w:rsidRPr="007E5419" w:rsidRDefault="00F94CEF" w:rsidP="00C04792">
      <w:pPr>
        <w:spacing w:line="360" w:lineRule="auto"/>
        <w:rPr>
          <w:rFonts w:ascii="Book Antiqua" w:hAnsi="Book Antiqua" w:cstheme="majorBidi"/>
          <w:b/>
          <w:bCs/>
          <w:sz w:val="24"/>
          <w:szCs w:val="24"/>
          <w:lang w:val="sv-SE"/>
        </w:rPr>
      </w:pPr>
      <w:r w:rsidRPr="007E5419">
        <w:rPr>
          <w:rFonts w:ascii="Book Antiqua" w:hAnsi="Book Antiqua" w:cstheme="majorBidi"/>
          <w:b/>
          <w:bCs/>
          <w:sz w:val="24"/>
          <w:szCs w:val="24"/>
          <w:lang w:val="sv-SE"/>
        </w:rPr>
        <w:t>Concluding Remark</w:t>
      </w:r>
    </w:p>
    <w:p w:rsidR="00F94CEF" w:rsidRPr="007E5419" w:rsidRDefault="00150AC3" w:rsidP="000B702C">
      <w:pPr>
        <w:spacing w:line="360" w:lineRule="auto"/>
        <w:ind w:firstLine="709"/>
        <w:jc w:val="both"/>
        <w:rPr>
          <w:rFonts w:ascii="Book Antiqua" w:hAnsi="Book Antiqua" w:cstheme="majorBidi"/>
          <w:sz w:val="24"/>
          <w:szCs w:val="24"/>
          <w:lang w:val="sv-SE"/>
        </w:rPr>
      </w:pPr>
      <w:r w:rsidRPr="007E5419">
        <w:rPr>
          <w:rFonts w:ascii="Book Antiqua" w:hAnsi="Book Antiqua" w:cstheme="majorBidi"/>
          <w:sz w:val="24"/>
          <w:szCs w:val="24"/>
          <w:lang w:val="sv-SE"/>
        </w:rPr>
        <w:t xml:space="preserve">Islamic law </w:t>
      </w:r>
      <w:r w:rsidR="000E3C09" w:rsidRPr="007E5419">
        <w:rPr>
          <w:rFonts w:ascii="Book Antiqua" w:hAnsi="Book Antiqua" w:cstheme="majorBidi"/>
          <w:sz w:val="24"/>
          <w:szCs w:val="24"/>
          <w:lang w:val="sv-SE"/>
        </w:rPr>
        <w:t xml:space="preserve">of Indonesia </w:t>
      </w:r>
      <w:r w:rsidRPr="007E5419">
        <w:rPr>
          <w:rFonts w:ascii="Book Antiqua" w:hAnsi="Book Antiqua" w:cstheme="majorBidi"/>
          <w:sz w:val="24"/>
          <w:szCs w:val="24"/>
          <w:lang w:val="sv-SE"/>
        </w:rPr>
        <w:t>ha</w:t>
      </w:r>
      <w:r w:rsidR="000E3C09" w:rsidRPr="007E5419">
        <w:rPr>
          <w:rFonts w:ascii="Book Antiqua" w:hAnsi="Book Antiqua" w:cstheme="majorBidi"/>
          <w:sz w:val="24"/>
          <w:szCs w:val="24"/>
          <w:lang w:val="sv-SE"/>
        </w:rPr>
        <w:t>s</w:t>
      </w:r>
      <w:r w:rsidRPr="007E5419">
        <w:rPr>
          <w:rFonts w:ascii="Book Antiqua" w:hAnsi="Book Antiqua" w:cstheme="majorBidi"/>
          <w:sz w:val="24"/>
          <w:szCs w:val="24"/>
          <w:lang w:val="sv-SE"/>
        </w:rPr>
        <w:t xml:space="preserve"> developed since </w:t>
      </w:r>
      <w:r w:rsidR="00E749A0" w:rsidRPr="007E5419">
        <w:rPr>
          <w:rFonts w:ascii="Book Antiqua" w:hAnsi="Book Antiqua" w:cstheme="majorBidi"/>
        </w:rPr>
        <w:t xml:space="preserve">Dutch East Indies Period. It mixed in </w:t>
      </w:r>
      <w:r w:rsidR="000E3C09" w:rsidRPr="007E5419">
        <w:rPr>
          <w:rFonts w:ascii="Book Antiqua" w:hAnsi="Book Antiqua" w:cstheme="majorBidi"/>
        </w:rPr>
        <w:t xml:space="preserve">the </w:t>
      </w:r>
      <w:r w:rsidR="00E749A0" w:rsidRPr="007E5419">
        <w:rPr>
          <w:rFonts w:ascii="Book Antiqua" w:hAnsi="Book Antiqua" w:cstheme="majorBidi"/>
        </w:rPr>
        <w:t xml:space="preserve">customary law of Indonesian muslim people. </w:t>
      </w:r>
      <w:r w:rsidR="00E749A0" w:rsidRPr="007E5419">
        <w:rPr>
          <w:rFonts w:ascii="Book Antiqua" w:hAnsi="Book Antiqua" w:cstheme="majorBidi"/>
          <w:sz w:val="24"/>
          <w:szCs w:val="24"/>
          <w:lang w:val="sv-SE"/>
        </w:rPr>
        <w:t>Indonesia in the post colonial period</w:t>
      </w:r>
      <w:r w:rsidR="000E3C09" w:rsidRPr="007E5419">
        <w:rPr>
          <w:rFonts w:ascii="Book Antiqua" w:hAnsi="Book Antiqua" w:cstheme="majorBidi"/>
          <w:sz w:val="24"/>
          <w:szCs w:val="24"/>
          <w:lang w:val="sv-SE"/>
        </w:rPr>
        <w:t>,</w:t>
      </w:r>
      <w:r w:rsidR="00E749A0" w:rsidRPr="007E5419">
        <w:rPr>
          <w:rFonts w:ascii="Book Antiqua" w:hAnsi="Book Antiqua" w:cstheme="majorBidi"/>
          <w:sz w:val="24"/>
          <w:szCs w:val="24"/>
          <w:lang w:val="sv-SE"/>
        </w:rPr>
        <w:t xml:space="preserve"> </w:t>
      </w:r>
      <w:r w:rsidR="000E3C09" w:rsidRPr="007E5419">
        <w:rPr>
          <w:rFonts w:ascii="Book Antiqua" w:hAnsi="Book Antiqua" w:cstheme="majorBidi"/>
        </w:rPr>
        <w:t>which uses Eropha Contnental Legal System makes a legislation to establish the national law. Therefore, Islamic law may become the national law if it’s drafted as a bill to be enacted,</w:t>
      </w:r>
      <w:r w:rsidR="00E749A0" w:rsidRPr="007E5419">
        <w:rPr>
          <w:rFonts w:ascii="Book Antiqua" w:hAnsi="Book Antiqua" w:cstheme="majorBidi"/>
          <w:sz w:val="24"/>
          <w:szCs w:val="24"/>
          <w:lang w:val="sv-SE"/>
        </w:rPr>
        <w:t xml:space="preserve"> </w:t>
      </w:r>
      <w:r w:rsidR="000E3C09" w:rsidRPr="007E5419">
        <w:rPr>
          <w:rFonts w:ascii="Book Antiqua" w:hAnsi="Book Antiqua" w:cstheme="majorBidi"/>
          <w:sz w:val="24"/>
          <w:szCs w:val="24"/>
          <w:lang w:val="sv-SE"/>
        </w:rPr>
        <w:t>s</w:t>
      </w:r>
      <w:r w:rsidR="00E749A0" w:rsidRPr="007E5419">
        <w:rPr>
          <w:rFonts w:ascii="Book Antiqua" w:hAnsi="Book Antiqua" w:cstheme="majorBidi"/>
          <w:sz w:val="24"/>
          <w:szCs w:val="24"/>
          <w:lang w:val="sv-SE"/>
        </w:rPr>
        <w:t xml:space="preserve">uch as marriage law (act of 1, 1974 on marriage), </w:t>
      </w:r>
      <w:r w:rsidR="000B702C" w:rsidRPr="007E5419">
        <w:rPr>
          <w:rFonts w:ascii="Book Antiqua" w:eastAsia="Calibri" w:hAnsi="Book Antiqua" w:cstheme="majorBidi"/>
          <w:sz w:val="24"/>
          <w:szCs w:val="24"/>
        </w:rPr>
        <w:t xml:space="preserve">law No. 10 of 1998 on the amendment of Law No. 7 of 1992 on Banking, </w:t>
      </w:r>
      <w:r w:rsidR="00E749A0" w:rsidRPr="007E5419">
        <w:rPr>
          <w:rFonts w:ascii="Book Antiqua" w:hAnsi="Book Antiqua" w:cstheme="majorBidi"/>
          <w:sz w:val="24"/>
          <w:szCs w:val="24"/>
          <w:lang w:val="sv-SE"/>
        </w:rPr>
        <w:t>the law n</w:t>
      </w:r>
      <w:r w:rsidR="00E749A0" w:rsidRPr="007E5419">
        <w:rPr>
          <w:rFonts w:ascii="Book Antiqua" w:hAnsi="Book Antiqua" w:cstheme="majorBidi"/>
        </w:rPr>
        <w:t xml:space="preserve">o. 35, 1999 on Zakat Management,  the law no. 17, 1999 on hajj, and the law no. </w:t>
      </w:r>
      <w:r w:rsidR="00E749A0" w:rsidRPr="007E5419">
        <w:rPr>
          <w:rFonts w:ascii="Book Antiqua" w:eastAsia="Calibri" w:hAnsi="Book Antiqua" w:cstheme="majorBidi"/>
          <w:sz w:val="24"/>
          <w:szCs w:val="24"/>
        </w:rPr>
        <w:t xml:space="preserve">3, 2006 on the Amandment of the law no. 7, 1989 on </w:t>
      </w:r>
      <w:r w:rsidR="000256AC">
        <w:rPr>
          <w:rFonts w:ascii="Book Antiqua" w:eastAsia="Calibri" w:hAnsi="Book Antiqua" w:cstheme="majorBidi"/>
          <w:sz w:val="24"/>
          <w:szCs w:val="24"/>
        </w:rPr>
        <w:t>r</w:t>
      </w:r>
      <w:r w:rsidR="00E749A0" w:rsidRPr="007E5419">
        <w:rPr>
          <w:rFonts w:ascii="Book Antiqua" w:eastAsia="Calibri" w:hAnsi="Book Antiqua" w:cstheme="majorBidi"/>
          <w:sz w:val="24"/>
          <w:szCs w:val="24"/>
        </w:rPr>
        <w:t>eligion Court.</w:t>
      </w:r>
      <w:r w:rsidR="00E749A0" w:rsidRPr="007E5419">
        <w:rPr>
          <w:rFonts w:ascii="Book Antiqua" w:hAnsi="Book Antiqua" w:cstheme="majorBidi"/>
        </w:rPr>
        <w:t xml:space="preserve"> </w:t>
      </w:r>
    </w:p>
    <w:p w:rsidR="004E0ED2" w:rsidRPr="007E5419" w:rsidRDefault="004E0ED2" w:rsidP="00AB5B76">
      <w:pPr>
        <w:rPr>
          <w:rFonts w:ascii="Book Antiqua" w:hAnsi="Book Antiqua" w:cstheme="majorBidi"/>
          <w:b/>
          <w:bCs/>
          <w:sz w:val="24"/>
          <w:szCs w:val="24"/>
          <w:lang w:val="sv-SE"/>
        </w:rPr>
      </w:pPr>
      <w:r w:rsidRPr="007E5419">
        <w:rPr>
          <w:rFonts w:ascii="Book Antiqua" w:hAnsi="Book Antiqua" w:cstheme="majorBidi"/>
          <w:b/>
          <w:bCs/>
          <w:sz w:val="24"/>
          <w:szCs w:val="24"/>
          <w:lang w:val="sv-SE"/>
        </w:rPr>
        <w:t xml:space="preserve">Bibliography </w:t>
      </w:r>
    </w:p>
    <w:p w:rsidR="004E0ED2" w:rsidRPr="007E5419" w:rsidRDefault="004E0ED2"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Ahmad Rofiq, </w:t>
      </w:r>
      <w:r w:rsidRPr="007E5419">
        <w:rPr>
          <w:rFonts w:ascii="Book Antiqua" w:hAnsi="Book Antiqua" w:cstheme="majorBidi"/>
          <w:i/>
          <w:iCs/>
          <w:sz w:val="24"/>
          <w:szCs w:val="24"/>
        </w:rPr>
        <w:t>Pembaharuan Hukum Islam di Indonesia</w:t>
      </w:r>
      <w:r w:rsidRPr="007E5419">
        <w:rPr>
          <w:rFonts w:ascii="Book Antiqua" w:hAnsi="Book Antiqua" w:cstheme="majorBidi"/>
          <w:sz w:val="24"/>
          <w:szCs w:val="24"/>
        </w:rPr>
        <w:t xml:space="preserve">, (Yogyakarta: Gema Media, 2001) </w:t>
      </w:r>
    </w:p>
    <w:p w:rsidR="00AB5B76" w:rsidRPr="007E5419" w:rsidRDefault="00AB5B76" w:rsidP="00C04792">
      <w:pPr>
        <w:pStyle w:val="FootnoteText"/>
        <w:ind w:left="709" w:hanging="709"/>
        <w:jc w:val="both"/>
        <w:rPr>
          <w:rFonts w:ascii="Book Antiqua" w:hAnsi="Book Antiqua" w:cstheme="majorBidi"/>
          <w:sz w:val="24"/>
          <w:szCs w:val="24"/>
        </w:rPr>
      </w:pPr>
    </w:p>
    <w:p w:rsidR="004E0ED2" w:rsidRPr="007E5419" w:rsidRDefault="004E0ED2" w:rsidP="00C04792">
      <w:pPr>
        <w:autoSpaceDE w:val="0"/>
        <w:autoSpaceDN w:val="0"/>
        <w:ind w:left="709" w:hanging="709"/>
        <w:jc w:val="both"/>
        <w:rPr>
          <w:rFonts w:ascii="Book Antiqua" w:hAnsi="Book Antiqua" w:cstheme="majorBidi"/>
          <w:spacing w:val="-2"/>
          <w:sz w:val="24"/>
          <w:szCs w:val="24"/>
          <w:lang w:val="sv-SE"/>
        </w:rPr>
      </w:pPr>
      <w:r w:rsidRPr="007E5419">
        <w:rPr>
          <w:rFonts w:ascii="Book Antiqua" w:hAnsi="Book Antiqua" w:cstheme="majorBidi"/>
          <w:sz w:val="24"/>
          <w:szCs w:val="24"/>
        </w:rPr>
        <w:t xml:space="preserve">Amir Syarifuddin, </w:t>
      </w:r>
      <w:r w:rsidRPr="007E5419">
        <w:rPr>
          <w:rFonts w:ascii="Book Antiqua" w:hAnsi="Book Antiqua" w:cstheme="majorBidi"/>
          <w:i/>
          <w:iCs/>
          <w:sz w:val="24"/>
          <w:szCs w:val="24"/>
          <w:lang w:val="sv-SE"/>
        </w:rPr>
        <w:t xml:space="preserve">Meretas Kebekuan Ijtihad: Isu-isu Penting Hukum Islam Kontemporer di Indonesia, </w:t>
      </w:r>
      <w:r w:rsidRPr="007E5419">
        <w:rPr>
          <w:rFonts w:ascii="Book Antiqua" w:hAnsi="Book Antiqua" w:cstheme="majorBidi"/>
          <w:sz w:val="24"/>
          <w:szCs w:val="24"/>
        </w:rPr>
        <w:t>(Jakarta: Ciputat Press, 2002).</w:t>
      </w:r>
    </w:p>
    <w:p w:rsidR="004E0ED2" w:rsidRPr="007E5419" w:rsidRDefault="004E0ED2"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Bahtiar Effendy, </w:t>
      </w:r>
      <w:r w:rsidRPr="007E5419">
        <w:rPr>
          <w:rFonts w:ascii="Book Antiqua" w:hAnsi="Book Antiqua" w:cstheme="majorBidi"/>
          <w:i/>
          <w:iCs/>
          <w:sz w:val="24"/>
          <w:szCs w:val="24"/>
        </w:rPr>
        <w:t xml:space="preserve">Islam dan Negara: Transformasi Pemikiran dan Praktik Politik Islam Indonesia, </w:t>
      </w:r>
      <w:r w:rsidRPr="007E5419">
        <w:rPr>
          <w:rFonts w:ascii="Book Antiqua" w:hAnsi="Book Antiqua" w:cstheme="majorBidi"/>
          <w:sz w:val="24"/>
          <w:szCs w:val="24"/>
        </w:rPr>
        <w:t>(Jakarta: Paramadina, 1998)</w:t>
      </w:r>
    </w:p>
    <w:p w:rsidR="004E0ED2" w:rsidRPr="007E5419" w:rsidRDefault="004E0ED2" w:rsidP="00C04792">
      <w:pPr>
        <w:pStyle w:val="FootnoteText"/>
        <w:ind w:left="709" w:hanging="709"/>
        <w:jc w:val="both"/>
        <w:rPr>
          <w:rFonts w:ascii="Book Antiqua" w:hAnsi="Book Antiqua" w:cstheme="majorBidi"/>
          <w:sz w:val="24"/>
          <w:szCs w:val="24"/>
        </w:rPr>
      </w:pPr>
    </w:p>
    <w:p w:rsidR="004E0ED2" w:rsidRPr="007E5419" w:rsidRDefault="004E0ED2"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Cik Hasan Basri, ‘Kompilasi Hukum Islam dalam Sistem Hukum Nasional’ dalam Cik Hasan Basri </w:t>
      </w:r>
      <w:r w:rsidRPr="007E5419">
        <w:rPr>
          <w:rFonts w:ascii="Book Antiqua" w:hAnsi="Book Antiqua" w:cstheme="majorBidi"/>
          <w:i/>
          <w:iCs/>
          <w:sz w:val="24"/>
          <w:szCs w:val="24"/>
        </w:rPr>
        <w:t>Kompilasi Hukum Islam dan Peradilan Agama dalam Sistem Hukum Nasional,</w:t>
      </w:r>
      <w:r w:rsidRPr="007E5419">
        <w:rPr>
          <w:rFonts w:ascii="Book Antiqua" w:hAnsi="Book Antiqua" w:cstheme="majorBidi"/>
          <w:sz w:val="24"/>
          <w:szCs w:val="24"/>
        </w:rPr>
        <w:t xml:space="preserve"> (Jakarta: Logos, 1999)</w:t>
      </w:r>
    </w:p>
    <w:p w:rsidR="004E0ED2" w:rsidRPr="007E5419" w:rsidRDefault="004E0ED2" w:rsidP="00C04792">
      <w:pPr>
        <w:pStyle w:val="FootnoteText"/>
        <w:ind w:left="709" w:hanging="709"/>
        <w:jc w:val="both"/>
        <w:rPr>
          <w:rFonts w:ascii="Book Antiqua" w:hAnsi="Book Antiqua" w:cstheme="majorBidi"/>
          <w:sz w:val="24"/>
          <w:szCs w:val="24"/>
        </w:rPr>
      </w:pPr>
    </w:p>
    <w:p w:rsidR="004E0ED2" w:rsidRPr="007E5419" w:rsidRDefault="004E0ED2" w:rsidP="00C04792">
      <w:pPr>
        <w:autoSpaceDE w:val="0"/>
        <w:autoSpaceDN w:val="0"/>
        <w:ind w:left="709" w:hanging="709"/>
        <w:jc w:val="both"/>
        <w:rPr>
          <w:rFonts w:ascii="Book Antiqua" w:hAnsi="Book Antiqua" w:cstheme="majorBidi"/>
          <w:spacing w:val="2"/>
          <w:sz w:val="24"/>
          <w:szCs w:val="24"/>
          <w:lang w:val="sv-SE"/>
        </w:rPr>
      </w:pPr>
      <w:r w:rsidRPr="007E5419">
        <w:rPr>
          <w:rFonts w:ascii="Book Antiqua" w:hAnsi="Book Antiqua" w:cstheme="majorBidi"/>
          <w:sz w:val="24"/>
          <w:szCs w:val="24"/>
          <w:lang w:val="sv-SE"/>
        </w:rPr>
        <w:lastRenderedPageBreak/>
        <w:t>Fazlur Rahman, Islam and Modernity: A Transfornrasi Intelectual, rather Language Ahsin Muhammad, Cet 2 (Bandung: Pustaka, 1995).</w:t>
      </w:r>
    </w:p>
    <w:p w:rsidR="0086482C" w:rsidRPr="007E5419" w:rsidRDefault="0086482C"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Joseph Schach, An Introduction to Islamic Law, (Oxford: Clarendom Press, 1982) </w:t>
      </w:r>
    </w:p>
    <w:p w:rsidR="0086482C" w:rsidRPr="007E5419" w:rsidRDefault="0086482C" w:rsidP="00C04792">
      <w:pPr>
        <w:pStyle w:val="FootnoteText"/>
        <w:ind w:left="709" w:hanging="709"/>
        <w:jc w:val="both"/>
        <w:rPr>
          <w:rFonts w:ascii="Book Antiqua" w:hAnsi="Book Antiqua" w:cstheme="majorBidi"/>
          <w:sz w:val="24"/>
          <w:szCs w:val="24"/>
        </w:rPr>
      </w:pPr>
    </w:p>
    <w:p w:rsidR="0086482C" w:rsidRPr="007E5419" w:rsidRDefault="0086482C"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Khalaf Abd al Wahhab, </w:t>
      </w:r>
      <w:r w:rsidRPr="007E5419">
        <w:rPr>
          <w:rFonts w:ascii="Book Antiqua" w:hAnsi="Book Antiqua" w:cstheme="majorBidi"/>
          <w:i/>
          <w:iCs/>
          <w:sz w:val="24"/>
          <w:szCs w:val="24"/>
        </w:rPr>
        <w:t>‘Ilmu Usul Fiqh,</w:t>
      </w:r>
      <w:r w:rsidRPr="007E5419">
        <w:rPr>
          <w:rFonts w:ascii="Book Antiqua" w:hAnsi="Book Antiqua" w:cstheme="majorBidi"/>
          <w:sz w:val="24"/>
          <w:szCs w:val="24"/>
        </w:rPr>
        <w:t xml:space="preserve"> (Cairo: Dar Al-Qalam, 1978)</w:t>
      </w:r>
    </w:p>
    <w:p w:rsidR="0086482C" w:rsidRPr="007E5419" w:rsidRDefault="0086482C" w:rsidP="00C04792">
      <w:pPr>
        <w:pStyle w:val="FootnoteText"/>
        <w:ind w:left="709" w:hanging="709"/>
        <w:jc w:val="both"/>
        <w:rPr>
          <w:rFonts w:ascii="Book Antiqua" w:hAnsi="Book Antiqua" w:cstheme="majorBidi"/>
          <w:sz w:val="24"/>
          <w:szCs w:val="24"/>
        </w:rPr>
      </w:pPr>
    </w:p>
    <w:p w:rsidR="00AB5B76" w:rsidRPr="007E5419" w:rsidRDefault="00AB5B76" w:rsidP="00C04792">
      <w:pPr>
        <w:pStyle w:val="FootnoteText"/>
        <w:ind w:left="709" w:hanging="709"/>
        <w:jc w:val="both"/>
        <w:rPr>
          <w:rFonts w:ascii="Book Antiqua" w:hAnsi="Book Antiqua" w:cstheme="majorBidi"/>
          <w:sz w:val="24"/>
          <w:szCs w:val="24"/>
          <w:lang w:val="sv-SE"/>
        </w:rPr>
      </w:pPr>
    </w:p>
    <w:p w:rsidR="004E0ED2" w:rsidRPr="007E5419" w:rsidRDefault="00AB5B76" w:rsidP="00C04792">
      <w:pPr>
        <w:autoSpaceDE w:val="0"/>
        <w:autoSpaceDN w:val="0"/>
        <w:ind w:left="709" w:hanging="709"/>
        <w:jc w:val="both"/>
        <w:rPr>
          <w:rFonts w:ascii="Book Antiqua" w:hAnsi="Book Antiqua" w:cstheme="majorBidi"/>
          <w:spacing w:val="-2"/>
          <w:sz w:val="24"/>
          <w:szCs w:val="24"/>
        </w:rPr>
      </w:pPr>
      <w:r w:rsidRPr="007E5419">
        <w:rPr>
          <w:rFonts w:ascii="Book Antiqua" w:hAnsi="Book Antiqua" w:cstheme="majorBidi"/>
          <w:sz w:val="24"/>
          <w:szCs w:val="24"/>
        </w:rPr>
        <w:t>Mahmoud Muhammed Taha, The Second Massage of Islam (Ar-Risalah Tsaniyah min al-Islam), rather Language Abdullahi Ahmed An-Naim, (Syracuse: Syracuse University Press, 1985)</w:t>
      </w:r>
    </w:p>
    <w:p w:rsidR="0086482C" w:rsidRPr="007E5419" w:rsidRDefault="0086482C"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Mahmud Syaltut in </w:t>
      </w:r>
      <w:r w:rsidRPr="007E5419">
        <w:rPr>
          <w:rFonts w:ascii="Book Antiqua" w:hAnsi="Book Antiqua" w:cstheme="majorBidi"/>
          <w:i/>
          <w:iCs/>
          <w:sz w:val="24"/>
          <w:szCs w:val="24"/>
        </w:rPr>
        <w:t>Aqidah Al-Islam wa shari'a</w:t>
      </w:r>
      <w:r w:rsidRPr="007E5419">
        <w:rPr>
          <w:rFonts w:ascii="Book Antiqua" w:hAnsi="Book Antiqua" w:cstheme="majorBidi"/>
          <w:sz w:val="24"/>
          <w:szCs w:val="24"/>
        </w:rPr>
        <w:t>, (Cairo: Dar Al-Qalam, 1966)</w:t>
      </w:r>
    </w:p>
    <w:p w:rsidR="0086482C" w:rsidRPr="007E5419" w:rsidRDefault="0086482C" w:rsidP="00C04792">
      <w:pPr>
        <w:pStyle w:val="FootnoteText"/>
        <w:ind w:left="709" w:hanging="709"/>
        <w:jc w:val="both"/>
        <w:rPr>
          <w:rFonts w:ascii="Book Antiqua" w:hAnsi="Book Antiqua" w:cstheme="majorBidi"/>
          <w:sz w:val="24"/>
          <w:szCs w:val="24"/>
        </w:rPr>
      </w:pPr>
    </w:p>
    <w:p w:rsidR="004E0ED2" w:rsidRPr="007E5419" w:rsidRDefault="004E0ED2"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Marc Galanter, The modernization of Law, in Modernizatio: The Dynamic of grouth, Voice of Amirican Forum of Lectures, 1966 </w:t>
      </w:r>
    </w:p>
    <w:p w:rsidR="00AB5B76" w:rsidRPr="007E5419" w:rsidRDefault="00AB5B76" w:rsidP="00C04792">
      <w:pPr>
        <w:pStyle w:val="FootnoteText"/>
        <w:ind w:left="709" w:hanging="709"/>
        <w:jc w:val="both"/>
        <w:rPr>
          <w:rFonts w:ascii="Book Antiqua" w:hAnsi="Book Antiqua" w:cstheme="majorBidi"/>
          <w:sz w:val="24"/>
          <w:szCs w:val="24"/>
        </w:rPr>
      </w:pPr>
    </w:p>
    <w:p w:rsidR="004E0ED2" w:rsidRPr="007E5419" w:rsidRDefault="004E0ED2"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Moh. Mahfudz MD, DKK (ed), </w:t>
      </w:r>
      <w:r w:rsidRPr="007E5419">
        <w:rPr>
          <w:rFonts w:ascii="Book Antiqua" w:hAnsi="Book Antiqua" w:cstheme="majorBidi"/>
          <w:i/>
          <w:iCs/>
          <w:sz w:val="24"/>
          <w:szCs w:val="24"/>
        </w:rPr>
        <w:t>Peradilan Agama dan Kompilasi hukum Islam Dalam tata Hukum di Indonesia</w:t>
      </w:r>
      <w:r w:rsidRPr="007E5419">
        <w:rPr>
          <w:rFonts w:ascii="Book Antiqua" w:hAnsi="Book Antiqua" w:cstheme="majorBidi"/>
          <w:sz w:val="24"/>
          <w:szCs w:val="24"/>
        </w:rPr>
        <w:t>, (Yogyakarta: UII Press, 1993).</w:t>
      </w:r>
    </w:p>
    <w:p w:rsidR="00AB5B76" w:rsidRPr="007E5419" w:rsidRDefault="00AB5B76" w:rsidP="00C04792">
      <w:pPr>
        <w:pStyle w:val="FootnoteText"/>
        <w:ind w:left="709" w:hanging="709"/>
        <w:jc w:val="both"/>
        <w:rPr>
          <w:rFonts w:ascii="Book Antiqua" w:hAnsi="Book Antiqua" w:cstheme="majorBidi"/>
          <w:sz w:val="24"/>
          <w:szCs w:val="24"/>
        </w:rPr>
      </w:pPr>
    </w:p>
    <w:p w:rsidR="00AB5B76" w:rsidRPr="007E5419" w:rsidRDefault="00AB5B76" w:rsidP="00C04792">
      <w:pPr>
        <w:autoSpaceDE w:val="0"/>
        <w:autoSpaceDN w:val="0"/>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Muhammad Abu Zahrah, </w:t>
      </w:r>
      <w:r w:rsidRPr="007E5419">
        <w:rPr>
          <w:rFonts w:ascii="Book Antiqua" w:hAnsi="Book Antiqua" w:cstheme="majorBidi"/>
          <w:i/>
          <w:iCs/>
          <w:sz w:val="24"/>
          <w:szCs w:val="24"/>
        </w:rPr>
        <w:t>Usul al-fiqh,</w:t>
      </w:r>
      <w:r w:rsidRPr="007E5419">
        <w:rPr>
          <w:rFonts w:ascii="Book Antiqua" w:hAnsi="Book Antiqua" w:cstheme="majorBidi"/>
          <w:sz w:val="24"/>
          <w:szCs w:val="24"/>
        </w:rPr>
        <w:t xml:space="preserve"> (Beirut: Dar Al-Fikr Al-Arabi, 1958). </w:t>
      </w:r>
    </w:p>
    <w:p w:rsidR="0086482C" w:rsidRPr="007E5419" w:rsidRDefault="00AB5B76" w:rsidP="00EB2588">
      <w:pPr>
        <w:autoSpaceDE w:val="0"/>
        <w:autoSpaceDN w:val="0"/>
        <w:ind w:left="709" w:hanging="709"/>
        <w:jc w:val="both"/>
        <w:rPr>
          <w:rFonts w:ascii="Book Antiqua" w:hAnsi="Book Antiqua" w:cstheme="majorBidi"/>
          <w:spacing w:val="2"/>
          <w:sz w:val="24"/>
          <w:szCs w:val="24"/>
          <w:lang w:val="sv-SE"/>
        </w:rPr>
      </w:pPr>
      <w:r w:rsidRPr="007E5419">
        <w:rPr>
          <w:rFonts w:ascii="Book Antiqua" w:hAnsi="Book Antiqua" w:cstheme="majorBidi"/>
          <w:sz w:val="24"/>
          <w:szCs w:val="24"/>
        </w:rPr>
        <w:t>Noel J. Coulson, Conflicts and tensions In Islamic Jurisprudence, (Chicago: The University Of Chicago Press, 1969)</w:t>
      </w:r>
    </w:p>
    <w:p w:rsidR="0086482C" w:rsidRPr="007E5419" w:rsidRDefault="0086482C"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Satjipto Raharjo, </w:t>
      </w:r>
      <w:r w:rsidRPr="007E5419">
        <w:rPr>
          <w:rFonts w:ascii="Book Antiqua" w:hAnsi="Book Antiqua" w:cstheme="majorBidi"/>
          <w:i/>
          <w:iCs/>
          <w:sz w:val="24"/>
          <w:szCs w:val="24"/>
        </w:rPr>
        <w:t>Hukum dan Masyarakat</w:t>
      </w:r>
      <w:r w:rsidRPr="007E5419">
        <w:rPr>
          <w:rFonts w:ascii="Book Antiqua" w:hAnsi="Book Antiqua" w:cstheme="majorBidi"/>
          <w:sz w:val="24"/>
          <w:szCs w:val="24"/>
        </w:rPr>
        <w:t>, (Bandung: Angkasa, 1980)</w:t>
      </w:r>
    </w:p>
    <w:p w:rsidR="00AB5B76" w:rsidRPr="007E5419" w:rsidRDefault="00AB5B76" w:rsidP="00EB2588">
      <w:pPr>
        <w:pStyle w:val="FootnoteText"/>
        <w:jc w:val="both"/>
        <w:rPr>
          <w:rFonts w:ascii="Book Antiqua" w:hAnsi="Book Antiqua" w:cstheme="majorBidi"/>
          <w:sz w:val="24"/>
          <w:szCs w:val="24"/>
        </w:rPr>
      </w:pPr>
    </w:p>
    <w:p w:rsidR="00EB2588" w:rsidRPr="007E5419" w:rsidRDefault="00EB2588" w:rsidP="00EB2588">
      <w:pPr>
        <w:autoSpaceDE w:val="0"/>
        <w:autoSpaceDN w:val="0"/>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Satjipto Raharjo, </w:t>
      </w:r>
      <w:r w:rsidRPr="007E5419">
        <w:rPr>
          <w:rFonts w:ascii="Book Antiqua" w:hAnsi="Book Antiqua" w:cstheme="majorBidi"/>
          <w:i/>
          <w:iCs/>
          <w:sz w:val="24"/>
          <w:szCs w:val="24"/>
          <w:lang w:val="sv-SE"/>
        </w:rPr>
        <w:t>Ilmu Hukum</w:t>
      </w:r>
      <w:r w:rsidRPr="007E5419">
        <w:rPr>
          <w:rFonts w:ascii="Book Antiqua" w:hAnsi="Book Antiqua" w:cstheme="majorBidi"/>
          <w:sz w:val="24"/>
          <w:szCs w:val="24"/>
          <w:lang w:val="sv-SE"/>
        </w:rPr>
        <w:t>,</w:t>
      </w:r>
      <w:r w:rsidRPr="007E5419">
        <w:rPr>
          <w:rFonts w:ascii="Book Antiqua" w:hAnsi="Book Antiqua" w:cstheme="majorBidi"/>
          <w:sz w:val="24"/>
          <w:szCs w:val="24"/>
        </w:rPr>
        <w:t xml:space="preserve"> (Bandung:</w:t>
      </w:r>
      <w:r w:rsidRPr="007E5419">
        <w:rPr>
          <w:rFonts w:ascii="Book Antiqua" w:hAnsi="Book Antiqua" w:cstheme="majorBidi"/>
          <w:sz w:val="24"/>
          <w:szCs w:val="24"/>
          <w:lang w:val="sv-SE"/>
        </w:rPr>
        <w:t xml:space="preserve"> Angkasa</w:t>
      </w:r>
      <w:r w:rsidRPr="007E5419">
        <w:rPr>
          <w:rFonts w:ascii="Book Antiqua" w:hAnsi="Book Antiqua" w:cstheme="majorBidi"/>
          <w:sz w:val="24"/>
          <w:szCs w:val="24"/>
        </w:rPr>
        <w:t>, 1880)</w:t>
      </w:r>
    </w:p>
    <w:p w:rsidR="0086482C" w:rsidRPr="007E5419" w:rsidRDefault="0086482C" w:rsidP="00C04792">
      <w:pPr>
        <w:autoSpaceDE w:val="0"/>
        <w:autoSpaceDN w:val="0"/>
        <w:ind w:left="709" w:hanging="709"/>
        <w:jc w:val="both"/>
        <w:rPr>
          <w:rFonts w:ascii="Book Antiqua" w:hAnsi="Book Antiqua" w:cstheme="majorBidi"/>
          <w:spacing w:val="-2"/>
          <w:sz w:val="24"/>
          <w:szCs w:val="24"/>
          <w:lang w:val="sv-SE"/>
        </w:rPr>
      </w:pPr>
      <w:r w:rsidRPr="007E5419">
        <w:rPr>
          <w:rFonts w:ascii="Book Antiqua" w:hAnsi="Book Antiqua" w:cstheme="majorBidi"/>
          <w:sz w:val="24"/>
          <w:szCs w:val="24"/>
        </w:rPr>
        <w:t xml:space="preserve">Shahrur Muhammad, </w:t>
      </w:r>
      <w:r w:rsidRPr="007E5419">
        <w:rPr>
          <w:rFonts w:ascii="Book Antiqua" w:hAnsi="Book Antiqua" w:cstheme="majorBidi"/>
          <w:i/>
          <w:iCs/>
          <w:sz w:val="24"/>
          <w:szCs w:val="24"/>
        </w:rPr>
        <w:t>Al-Kitab wa Al-Qur'an</w:t>
      </w:r>
      <w:r w:rsidRPr="007E5419">
        <w:rPr>
          <w:rFonts w:ascii="Book Antiqua" w:hAnsi="Book Antiqua" w:cstheme="majorBidi"/>
          <w:sz w:val="24"/>
          <w:szCs w:val="24"/>
        </w:rPr>
        <w:t>, (Damakus: Dar al-Ahali, 1992)</w:t>
      </w:r>
    </w:p>
    <w:p w:rsidR="00EB2588" w:rsidRPr="007E5419" w:rsidRDefault="00EB2588" w:rsidP="00EB2588">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Soedatyo Wignjosoebroto,</w:t>
      </w:r>
      <w:r w:rsidRPr="007E5419">
        <w:rPr>
          <w:rFonts w:ascii="Book Antiqua" w:hAnsi="Book Antiqua" w:cstheme="majorBidi"/>
          <w:i/>
          <w:iCs/>
          <w:sz w:val="24"/>
          <w:szCs w:val="24"/>
        </w:rPr>
        <w:t xml:space="preserve"> Dari Hukum Kolonial Ke Hukum Nasional, </w:t>
      </w:r>
      <w:r w:rsidRPr="007E5419">
        <w:rPr>
          <w:rFonts w:ascii="Book Antiqua" w:hAnsi="Book Antiqua" w:cstheme="majorBidi"/>
          <w:sz w:val="24"/>
          <w:szCs w:val="24"/>
        </w:rPr>
        <w:t>(Jakarta: Raja Grafindo, 1994)</w:t>
      </w:r>
    </w:p>
    <w:p w:rsidR="00EB2588" w:rsidRPr="007E5419" w:rsidRDefault="00EB2588" w:rsidP="00EB2588">
      <w:pPr>
        <w:pStyle w:val="FootnoteText"/>
        <w:ind w:left="709" w:hanging="709"/>
        <w:jc w:val="both"/>
        <w:rPr>
          <w:rFonts w:ascii="Book Antiqua" w:hAnsi="Book Antiqua" w:cstheme="majorBidi"/>
          <w:sz w:val="24"/>
          <w:szCs w:val="24"/>
        </w:rPr>
      </w:pPr>
    </w:p>
    <w:p w:rsidR="00EB2588" w:rsidRPr="007E5419" w:rsidRDefault="00EB2588" w:rsidP="00EB2588">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Sri Wahyuni, “Konsep Hukum Islam, hukum Romawi Jerman, dan Hukum Inggris (sebuah Studi Komparatif)”, in  </w:t>
      </w:r>
      <w:r w:rsidRPr="007E5419">
        <w:rPr>
          <w:rFonts w:ascii="Book Antiqua" w:hAnsi="Book Antiqua" w:cstheme="majorBidi"/>
          <w:i/>
          <w:iCs/>
          <w:sz w:val="24"/>
          <w:szCs w:val="24"/>
        </w:rPr>
        <w:t>Jurnal Ilmu Syari’ah Asy-Syir’ah</w:t>
      </w:r>
      <w:r w:rsidRPr="007E5419">
        <w:rPr>
          <w:rFonts w:ascii="Book Antiqua" w:hAnsi="Book Antiqua" w:cstheme="majorBidi"/>
          <w:sz w:val="24"/>
          <w:szCs w:val="24"/>
        </w:rPr>
        <w:t>, Faculty of Sharia Vol. 40, No. II, Th, 2006.</w:t>
      </w:r>
    </w:p>
    <w:p w:rsidR="00EB2588" w:rsidRPr="007E5419" w:rsidRDefault="00EB2588" w:rsidP="00EB2588">
      <w:pPr>
        <w:pStyle w:val="FootnoteText"/>
        <w:ind w:left="709" w:hanging="709"/>
        <w:jc w:val="both"/>
        <w:rPr>
          <w:rFonts w:ascii="Book Antiqua" w:hAnsi="Book Antiqua" w:cstheme="majorBidi"/>
          <w:sz w:val="24"/>
          <w:szCs w:val="24"/>
        </w:rPr>
      </w:pPr>
    </w:p>
    <w:p w:rsidR="00EB2588" w:rsidRPr="007E5419" w:rsidRDefault="00EB2588" w:rsidP="00EB2588">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 xml:space="preserve">Suparman Usman, </w:t>
      </w:r>
      <w:r w:rsidRPr="007E5419">
        <w:rPr>
          <w:rFonts w:ascii="Book Antiqua" w:hAnsi="Book Antiqua" w:cstheme="majorBidi"/>
          <w:i/>
          <w:iCs/>
          <w:sz w:val="24"/>
          <w:szCs w:val="24"/>
        </w:rPr>
        <w:t>Ikhtisar Hukum Waris Menurut Kitab Undang-undang Hukum Perdata (Burgrlijk Wetboek),</w:t>
      </w:r>
      <w:r w:rsidRPr="007E5419">
        <w:rPr>
          <w:rFonts w:ascii="Book Antiqua" w:hAnsi="Book Antiqua" w:cstheme="majorBidi"/>
          <w:sz w:val="24"/>
          <w:szCs w:val="24"/>
        </w:rPr>
        <w:t xml:space="preserve"> (Serang: Darul Ulum Press, 1993).</w:t>
      </w:r>
    </w:p>
    <w:p w:rsidR="00EB2588" w:rsidRPr="007E5419" w:rsidRDefault="00EB2588" w:rsidP="00EB2588">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lastRenderedPageBreak/>
        <w:t xml:space="preserve">Suparman Usman, </w:t>
      </w:r>
      <w:r w:rsidRPr="007E5419">
        <w:rPr>
          <w:rFonts w:ascii="Book Antiqua" w:hAnsi="Book Antiqua" w:cstheme="majorBidi"/>
          <w:i/>
          <w:iCs/>
          <w:sz w:val="24"/>
          <w:szCs w:val="24"/>
        </w:rPr>
        <w:t>Hukum Islam: Asas-asas dan pengantar Studi Hukum Islam dalam Tata Hukum Indonesia</w:t>
      </w:r>
      <w:r w:rsidRPr="007E5419">
        <w:rPr>
          <w:rFonts w:ascii="Book Antiqua" w:hAnsi="Book Antiqua" w:cstheme="majorBidi"/>
          <w:sz w:val="24"/>
          <w:szCs w:val="24"/>
        </w:rPr>
        <w:t>, (Jakarta: Gaya Media Pratama)</w:t>
      </w:r>
    </w:p>
    <w:p w:rsidR="00EB2588" w:rsidRPr="007E5419" w:rsidRDefault="00EB2588" w:rsidP="00EB2588">
      <w:pPr>
        <w:pStyle w:val="FootnoteText"/>
        <w:jc w:val="both"/>
        <w:rPr>
          <w:rFonts w:ascii="Book Antiqua" w:hAnsi="Book Antiqua" w:cstheme="majorBidi"/>
          <w:sz w:val="24"/>
          <w:szCs w:val="24"/>
        </w:rPr>
      </w:pPr>
    </w:p>
    <w:p w:rsidR="006F1947" w:rsidRPr="007E5419" w:rsidRDefault="0086482C" w:rsidP="00C04792">
      <w:pPr>
        <w:autoSpaceDE w:val="0"/>
        <w:autoSpaceDN w:val="0"/>
        <w:ind w:left="709" w:hanging="709"/>
        <w:jc w:val="both"/>
        <w:rPr>
          <w:rFonts w:ascii="Book Antiqua" w:hAnsi="Book Antiqua" w:cstheme="majorBidi"/>
          <w:sz w:val="24"/>
          <w:szCs w:val="24"/>
          <w:lang w:val="sv-SE"/>
        </w:rPr>
      </w:pPr>
      <w:r w:rsidRPr="007E5419">
        <w:rPr>
          <w:rFonts w:ascii="Book Antiqua" w:hAnsi="Book Antiqua" w:cstheme="majorBidi"/>
          <w:sz w:val="24"/>
          <w:szCs w:val="24"/>
        </w:rPr>
        <w:t xml:space="preserve">Suryono Sukanto, </w:t>
      </w:r>
      <w:r w:rsidRPr="007E5419">
        <w:rPr>
          <w:rFonts w:ascii="Book Antiqua" w:hAnsi="Book Antiqua" w:cstheme="majorBidi"/>
          <w:i/>
          <w:iCs/>
          <w:spacing w:val="-2"/>
          <w:sz w:val="24"/>
          <w:szCs w:val="24"/>
          <w:lang w:val="sv-SE"/>
        </w:rPr>
        <w:t>Kegunaan Sosiologi Hukum bagi Kajian Hukum</w:t>
      </w:r>
      <w:r w:rsidRPr="007E5419">
        <w:rPr>
          <w:rFonts w:ascii="Book Antiqua" w:hAnsi="Book Antiqua" w:cstheme="majorBidi"/>
          <w:sz w:val="24"/>
          <w:szCs w:val="24"/>
        </w:rPr>
        <w:t xml:space="preserve"> (Bandung: Citra Aditya Bakti, 1991</w:t>
      </w:r>
      <w:r w:rsidR="00AB5B76" w:rsidRPr="007E5419">
        <w:rPr>
          <w:rFonts w:ascii="Book Antiqua" w:hAnsi="Book Antiqua" w:cstheme="majorBidi"/>
          <w:sz w:val="24"/>
          <w:szCs w:val="24"/>
        </w:rPr>
        <w:t>)</w:t>
      </w:r>
    </w:p>
    <w:p w:rsidR="00AB5B76" w:rsidRPr="007E5419" w:rsidRDefault="00AB5B76" w:rsidP="00C04792">
      <w:pPr>
        <w:pStyle w:val="FootnoteText"/>
        <w:ind w:left="709" w:hanging="709"/>
        <w:jc w:val="both"/>
        <w:rPr>
          <w:rFonts w:ascii="Book Antiqua" w:hAnsi="Book Antiqua" w:cstheme="majorBidi"/>
          <w:sz w:val="24"/>
          <w:szCs w:val="24"/>
        </w:rPr>
      </w:pPr>
      <w:r w:rsidRPr="007E5419">
        <w:rPr>
          <w:rFonts w:ascii="Book Antiqua" w:hAnsi="Book Antiqua" w:cstheme="majorBidi"/>
          <w:sz w:val="24"/>
          <w:szCs w:val="24"/>
        </w:rPr>
        <w:t>Tahir Mahmood, Personal Law In Islamic Countries: History, Text and Comparative Analysis, (New Delhi: Academy of Law and Religion, 1987).</w:t>
      </w:r>
    </w:p>
    <w:p w:rsidR="006F1947" w:rsidRPr="007E5419" w:rsidRDefault="006F1947" w:rsidP="006F1947">
      <w:pPr>
        <w:rPr>
          <w:rFonts w:ascii="Book Antiqua" w:eastAsia="Calibri" w:hAnsi="Book Antiqua" w:cs="Arial"/>
        </w:rPr>
      </w:pPr>
    </w:p>
    <w:sectPr w:rsidR="006F1947" w:rsidRPr="007E5419" w:rsidSect="009A70FA">
      <w:footerReference w:type="default" r:id="rId10"/>
      <w:pgSz w:w="12240" w:h="15840"/>
      <w:pgMar w:top="2016" w:right="2016"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05" w:rsidRDefault="00CC3005" w:rsidP="00082F3E">
      <w:pPr>
        <w:spacing w:after="0" w:line="240" w:lineRule="auto"/>
      </w:pPr>
      <w:r>
        <w:separator/>
      </w:r>
    </w:p>
  </w:endnote>
  <w:endnote w:type="continuationSeparator" w:id="0">
    <w:p w:rsidR="00CC3005" w:rsidRDefault="00CC3005" w:rsidP="0008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1537"/>
      <w:docPartObj>
        <w:docPartGallery w:val="Page Numbers (Bottom of Page)"/>
        <w:docPartUnique/>
      </w:docPartObj>
    </w:sdtPr>
    <w:sdtEndPr/>
    <w:sdtContent>
      <w:p w:rsidR="00BC7902" w:rsidRDefault="00E63EF7">
        <w:pPr>
          <w:pStyle w:val="Footer"/>
          <w:jc w:val="center"/>
        </w:pPr>
        <w:r>
          <w:fldChar w:fldCharType="begin"/>
        </w:r>
        <w:r>
          <w:instrText xml:space="preserve"> PAGE   \* MERGEFORMAT </w:instrText>
        </w:r>
        <w:r>
          <w:fldChar w:fldCharType="separate"/>
        </w:r>
        <w:r w:rsidR="00CC50E3">
          <w:rPr>
            <w:noProof/>
          </w:rPr>
          <w:t>21</w:t>
        </w:r>
        <w:r>
          <w:rPr>
            <w:noProof/>
          </w:rPr>
          <w:fldChar w:fldCharType="end"/>
        </w:r>
      </w:p>
    </w:sdtContent>
  </w:sdt>
  <w:p w:rsidR="00BC7902" w:rsidRDefault="00BC7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05" w:rsidRDefault="00CC3005" w:rsidP="00082F3E">
      <w:pPr>
        <w:spacing w:after="0" w:line="240" w:lineRule="auto"/>
      </w:pPr>
      <w:r>
        <w:separator/>
      </w:r>
    </w:p>
  </w:footnote>
  <w:footnote w:type="continuationSeparator" w:id="0">
    <w:p w:rsidR="00CC3005" w:rsidRDefault="00CC3005" w:rsidP="00082F3E">
      <w:pPr>
        <w:spacing w:after="0" w:line="240" w:lineRule="auto"/>
      </w:pPr>
      <w:r>
        <w:continuationSeparator/>
      </w:r>
    </w:p>
  </w:footnote>
  <w:footnote w:id="1">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Islamic Law is an all embrancing body of religious duties, the totality of God's commands that Regulate the life of every Moslem in its aspects. Joseph Schach, An Introduction to Islamic Law, (Oxford: Clarendom Press, 1982), p. 1</w:t>
      </w:r>
    </w:p>
    <w:p w:rsidR="0086482C" w:rsidRPr="00EB2588" w:rsidRDefault="0086482C" w:rsidP="00EB2588">
      <w:pPr>
        <w:pStyle w:val="NoSpacing"/>
        <w:ind w:firstLine="709"/>
        <w:jc w:val="both"/>
        <w:rPr>
          <w:rFonts w:asciiTheme="majorBidi" w:hAnsiTheme="majorBidi" w:cstheme="majorBidi"/>
          <w:sz w:val="20"/>
          <w:szCs w:val="20"/>
        </w:rPr>
      </w:pPr>
    </w:p>
  </w:footnote>
  <w:footnote w:id="2">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When mentioning the Islamic Jurisprudence of Muslim community discussion about how to make the administration of justice yangbaru and constantly evolving over time is the time of Prophet, rashidun, the Umayyads and the next. </w:t>
      </w:r>
      <w:r w:rsidRPr="00EB2588">
        <w:rPr>
          <w:rFonts w:asciiTheme="majorBidi" w:hAnsiTheme="majorBidi" w:cstheme="majorBidi"/>
          <w:i/>
          <w:iCs/>
          <w:sz w:val="20"/>
          <w:szCs w:val="20"/>
        </w:rPr>
        <w:t>Ibid.,</w:t>
      </w:r>
      <w:r w:rsidRPr="00EB2588">
        <w:rPr>
          <w:rFonts w:asciiTheme="majorBidi" w:hAnsiTheme="majorBidi" w:cstheme="majorBidi"/>
          <w:sz w:val="20"/>
          <w:szCs w:val="20"/>
        </w:rPr>
        <w:t xml:space="preserve"> P 3.</w:t>
      </w:r>
    </w:p>
    <w:p w:rsidR="0086482C" w:rsidRPr="00EB2588" w:rsidRDefault="0086482C" w:rsidP="00EB2588">
      <w:pPr>
        <w:pStyle w:val="NoSpacing"/>
        <w:ind w:firstLine="709"/>
        <w:jc w:val="both"/>
        <w:rPr>
          <w:rFonts w:asciiTheme="majorBidi" w:hAnsiTheme="majorBidi" w:cstheme="majorBidi"/>
          <w:sz w:val="20"/>
          <w:szCs w:val="20"/>
        </w:rPr>
      </w:pPr>
    </w:p>
  </w:footnote>
  <w:footnote w:id="3">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Ahmad Rofiq, </w:t>
      </w:r>
      <w:r w:rsidRPr="00EB2588">
        <w:rPr>
          <w:rFonts w:asciiTheme="majorBidi" w:hAnsiTheme="majorBidi" w:cstheme="majorBidi"/>
          <w:i/>
          <w:iCs/>
          <w:sz w:val="20"/>
          <w:szCs w:val="20"/>
        </w:rPr>
        <w:t>Pembaharuan Hukum Islam di Indonesia</w:t>
      </w:r>
      <w:r w:rsidRPr="00EB2588">
        <w:rPr>
          <w:rFonts w:asciiTheme="majorBidi" w:hAnsiTheme="majorBidi" w:cstheme="majorBidi"/>
          <w:sz w:val="20"/>
          <w:szCs w:val="20"/>
        </w:rPr>
        <w:t>, (Yogyakarta: Gema Media, 2001), p. 1</w:t>
      </w:r>
    </w:p>
    <w:p w:rsidR="0086482C" w:rsidRPr="00EB2588" w:rsidRDefault="0086482C" w:rsidP="00EB2588">
      <w:pPr>
        <w:pStyle w:val="NoSpacing"/>
        <w:ind w:firstLine="709"/>
        <w:jc w:val="both"/>
        <w:rPr>
          <w:rFonts w:asciiTheme="majorBidi" w:hAnsiTheme="majorBidi" w:cstheme="majorBidi"/>
          <w:sz w:val="20"/>
          <w:szCs w:val="20"/>
        </w:rPr>
      </w:pPr>
    </w:p>
  </w:footnote>
  <w:footnote w:id="4">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Khalaf Abd al Wahhab, </w:t>
      </w:r>
      <w:r w:rsidRPr="00EB2588">
        <w:rPr>
          <w:rFonts w:asciiTheme="majorBidi" w:hAnsiTheme="majorBidi" w:cstheme="majorBidi"/>
          <w:i/>
          <w:iCs/>
          <w:sz w:val="20"/>
          <w:szCs w:val="20"/>
        </w:rPr>
        <w:t>‘Ilmu Usul Fiqh,</w:t>
      </w:r>
      <w:r w:rsidRPr="00EB2588">
        <w:rPr>
          <w:rFonts w:asciiTheme="majorBidi" w:hAnsiTheme="majorBidi" w:cstheme="majorBidi"/>
          <w:sz w:val="20"/>
          <w:szCs w:val="20"/>
        </w:rPr>
        <w:t xml:space="preserve"> (Cairo: Dar Al-Qalam, 1978), p. 11</w:t>
      </w:r>
    </w:p>
    <w:p w:rsidR="0086482C" w:rsidRPr="00EB2588" w:rsidRDefault="0086482C" w:rsidP="00EB2588">
      <w:pPr>
        <w:pStyle w:val="NoSpacing"/>
        <w:ind w:firstLine="709"/>
        <w:jc w:val="both"/>
        <w:rPr>
          <w:rFonts w:asciiTheme="majorBidi" w:hAnsiTheme="majorBidi" w:cstheme="majorBidi"/>
          <w:sz w:val="20"/>
          <w:szCs w:val="20"/>
        </w:rPr>
      </w:pPr>
    </w:p>
  </w:footnote>
  <w:footnote w:id="5">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This definition according to Mahmud Syaltut in </w:t>
      </w:r>
      <w:r w:rsidRPr="00EB2588">
        <w:rPr>
          <w:rFonts w:asciiTheme="majorBidi" w:hAnsiTheme="majorBidi" w:cstheme="majorBidi"/>
          <w:i/>
          <w:iCs/>
          <w:sz w:val="20"/>
          <w:szCs w:val="20"/>
        </w:rPr>
        <w:t>Aqidah Al-Islam wa shari'a</w:t>
      </w:r>
      <w:r w:rsidRPr="00EB2588">
        <w:rPr>
          <w:rFonts w:asciiTheme="majorBidi" w:hAnsiTheme="majorBidi" w:cstheme="majorBidi"/>
          <w:sz w:val="20"/>
          <w:szCs w:val="20"/>
        </w:rPr>
        <w:t>, (Cairo: Dar Al-Qalam, 1966), p. 12</w:t>
      </w:r>
    </w:p>
    <w:p w:rsidR="0086482C" w:rsidRPr="00EB2588" w:rsidRDefault="0086482C" w:rsidP="00EB2588">
      <w:pPr>
        <w:pStyle w:val="NoSpacing"/>
        <w:ind w:firstLine="709"/>
        <w:jc w:val="both"/>
        <w:rPr>
          <w:rFonts w:asciiTheme="majorBidi" w:hAnsiTheme="majorBidi" w:cstheme="majorBidi"/>
          <w:sz w:val="20"/>
          <w:szCs w:val="20"/>
        </w:rPr>
      </w:pPr>
    </w:p>
  </w:footnote>
  <w:footnote w:id="6">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Islamic law is devine law that is the law of God, while positive law is a human creation in the community. Law is a fundamental difference between Islamic law and positive law is that in Islamic law does not separate between law and morality, while in positive law, there is a separation between law and morality. So also sanctioned by Islamic law more eschatological, while in positive law there are strict sanctions imposed by society or the State. See, Sri Wahyuni, “Konsep Hukum Islam, hukum Romawi Jerman, dan Hukum Inggris (sebuah Studi Komparatif)”, in  </w:t>
      </w:r>
      <w:r w:rsidRPr="00EB2588">
        <w:rPr>
          <w:rFonts w:asciiTheme="majorBidi" w:hAnsiTheme="majorBidi" w:cstheme="majorBidi"/>
          <w:i/>
          <w:iCs/>
          <w:sz w:val="20"/>
          <w:szCs w:val="20"/>
        </w:rPr>
        <w:t>Jurnal Ilmu Syari’ah Asy-Syir’ah</w:t>
      </w:r>
      <w:r w:rsidRPr="00EB2588">
        <w:rPr>
          <w:rFonts w:asciiTheme="majorBidi" w:hAnsiTheme="majorBidi" w:cstheme="majorBidi"/>
          <w:sz w:val="20"/>
          <w:szCs w:val="20"/>
        </w:rPr>
        <w:t>, Faculty of Sharia Vol. 40, No. II, Th, 2006.</w:t>
      </w:r>
    </w:p>
    <w:p w:rsidR="0086482C" w:rsidRPr="00EB2588" w:rsidRDefault="0086482C" w:rsidP="00EB2588">
      <w:pPr>
        <w:pStyle w:val="NoSpacing"/>
        <w:ind w:firstLine="709"/>
        <w:jc w:val="both"/>
        <w:rPr>
          <w:rFonts w:asciiTheme="majorBidi" w:hAnsiTheme="majorBidi" w:cstheme="majorBidi"/>
          <w:sz w:val="20"/>
          <w:szCs w:val="20"/>
        </w:rPr>
      </w:pPr>
    </w:p>
  </w:footnote>
  <w:footnote w:id="7">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Positive law only covers legal norms which do not include legal norms in society such as religious norms, moral norms and the norms of courtesy. Satjipto Raharjo, </w:t>
      </w:r>
      <w:r w:rsidRPr="00EB2588">
        <w:rPr>
          <w:rFonts w:asciiTheme="majorBidi" w:hAnsiTheme="majorBidi" w:cstheme="majorBidi"/>
          <w:i/>
          <w:iCs/>
          <w:sz w:val="20"/>
          <w:szCs w:val="20"/>
        </w:rPr>
        <w:t>Ilmu Hukum</w:t>
      </w:r>
      <w:r w:rsidRPr="00EB2588">
        <w:rPr>
          <w:rFonts w:asciiTheme="majorBidi" w:hAnsiTheme="majorBidi" w:cstheme="majorBidi"/>
          <w:sz w:val="20"/>
          <w:szCs w:val="20"/>
        </w:rPr>
        <w:t xml:space="preserve"> (Bandung: Citra Aditya Bakti, 1996). </w:t>
      </w:r>
    </w:p>
  </w:footnote>
  <w:footnote w:id="8">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In the early days of the New Order occurred Islam phobia due to the incredible tension in the relationship between Islam and the state, so the state (government) take repressive action and tends to suppress Muslims and various movements, such as the Tanjung Priok case. Also in politics, the government passed Law No.3 of 1985 which make Pancasila as the sole foundation, so that some of the Islamic Party and Islamic organizations to replace Islam with the principles of Pancasila. It is called by Bahtiar Effendy with the domestication of Islamic activism, Bahtiar Effendy, </w:t>
      </w:r>
      <w:r w:rsidRPr="00EB2588">
        <w:rPr>
          <w:rFonts w:asciiTheme="majorBidi" w:hAnsiTheme="majorBidi" w:cstheme="majorBidi"/>
          <w:i/>
          <w:iCs/>
          <w:sz w:val="20"/>
          <w:szCs w:val="20"/>
        </w:rPr>
        <w:t xml:space="preserve">Islam dan Negara: Transformasi Pemikiran dan Praktik Politik Islam Indonesia, </w:t>
      </w:r>
      <w:r w:rsidRPr="00EB2588">
        <w:rPr>
          <w:rFonts w:asciiTheme="majorBidi" w:hAnsiTheme="majorBidi" w:cstheme="majorBidi"/>
          <w:sz w:val="20"/>
          <w:szCs w:val="20"/>
        </w:rPr>
        <w:t>(Jakarta: Paramadina, 1998), p. 111</w:t>
      </w:r>
    </w:p>
    <w:p w:rsidR="0086482C" w:rsidRPr="00EB2588" w:rsidRDefault="0086482C" w:rsidP="00EB2588">
      <w:pPr>
        <w:pStyle w:val="NoSpacing"/>
        <w:ind w:firstLine="709"/>
        <w:jc w:val="both"/>
        <w:rPr>
          <w:rFonts w:asciiTheme="majorBidi" w:hAnsiTheme="majorBidi" w:cstheme="majorBidi"/>
          <w:sz w:val="20"/>
          <w:szCs w:val="20"/>
        </w:rPr>
      </w:pPr>
    </w:p>
  </w:footnote>
  <w:footnote w:id="9">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KHI is often referred to as Fiqh Indonesia which is the result of ijma 'ulama Indonesia. Cik Hasan Basri, ‘Kompilasi Hukum Islam dalam Sistem Hukum Nasional’ dalam Cik Hasan Basri </w:t>
      </w:r>
      <w:r w:rsidRPr="00EB2588">
        <w:rPr>
          <w:rFonts w:asciiTheme="majorBidi" w:hAnsiTheme="majorBidi" w:cstheme="majorBidi"/>
          <w:i/>
          <w:iCs/>
          <w:sz w:val="20"/>
          <w:szCs w:val="20"/>
        </w:rPr>
        <w:t>Kompilasi Hukum Islam dan Peradilan Agama dalam Sistem Hukum Nasional,</w:t>
      </w:r>
      <w:r w:rsidRPr="00EB2588">
        <w:rPr>
          <w:rFonts w:asciiTheme="majorBidi" w:hAnsiTheme="majorBidi" w:cstheme="majorBidi"/>
          <w:sz w:val="20"/>
          <w:szCs w:val="20"/>
        </w:rPr>
        <w:t xml:space="preserve"> (Jakarta: Logos, 1999), p. 8</w:t>
      </w:r>
    </w:p>
    <w:p w:rsidR="0086482C" w:rsidRPr="00EB2588" w:rsidRDefault="0086482C" w:rsidP="00EB2588">
      <w:pPr>
        <w:pStyle w:val="NoSpacing"/>
        <w:ind w:firstLine="709"/>
        <w:jc w:val="both"/>
        <w:rPr>
          <w:rFonts w:asciiTheme="majorBidi" w:hAnsiTheme="majorBidi" w:cstheme="majorBidi"/>
          <w:sz w:val="20"/>
          <w:szCs w:val="20"/>
        </w:rPr>
      </w:pPr>
    </w:p>
  </w:footnote>
  <w:footnote w:id="10">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Suparman Usman, </w:t>
      </w:r>
      <w:r w:rsidRPr="00EB2588">
        <w:rPr>
          <w:rFonts w:asciiTheme="majorBidi" w:hAnsiTheme="majorBidi" w:cstheme="majorBidi"/>
          <w:i/>
          <w:iCs/>
          <w:sz w:val="20"/>
          <w:szCs w:val="20"/>
        </w:rPr>
        <w:t>Hukum Islam: Asas-asas dan pengantar Studi Hukum Islam dalam Tata Hukum Indonesia</w:t>
      </w:r>
      <w:r w:rsidRPr="00EB2588">
        <w:rPr>
          <w:rFonts w:asciiTheme="majorBidi" w:hAnsiTheme="majorBidi" w:cstheme="majorBidi"/>
          <w:sz w:val="20"/>
          <w:szCs w:val="20"/>
        </w:rPr>
        <w:t>, (Jakarta: Gaya Media Pratama),  p. 133</w:t>
      </w:r>
    </w:p>
    <w:p w:rsidR="0086482C" w:rsidRPr="00EB2588" w:rsidRDefault="0086482C" w:rsidP="00EB2588">
      <w:pPr>
        <w:pStyle w:val="NoSpacing"/>
        <w:ind w:firstLine="709"/>
        <w:jc w:val="both"/>
        <w:rPr>
          <w:rFonts w:asciiTheme="majorBidi" w:hAnsiTheme="majorBidi" w:cstheme="majorBidi"/>
          <w:sz w:val="20"/>
          <w:szCs w:val="20"/>
        </w:rPr>
      </w:pPr>
    </w:p>
  </w:footnote>
  <w:footnote w:id="11">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Soedatyo Wignjosoebroto,</w:t>
      </w:r>
      <w:r w:rsidRPr="00EB2588">
        <w:rPr>
          <w:rFonts w:asciiTheme="majorBidi" w:hAnsiTheme="majorBidi" w:cstheme="majorBidi"/>
          <w:i/>
          <w:iCs/>
          <w:sz w:val="20"/>
          <w:szCs w:val="20"/>
        </w:rPr>
        <w:t xml:space="preserve"> Dari Hukum Kolonial Ke Hukum Nasional, </w:t>
      </w:r>
      <w:r w:rsidRPr="00EB2588">
        <w:rPr>
          <w:rFonts w:asciiTheme="majorBidi" w:hAnsiTheme="majorBidi" w:cstheme="majorBidi"/>
          <w:sz w:val="20"/>
          <w:szCs w:val="20"/>
        </w:rPr>
        <w:t xml:space="preserve"> (Jakarta: Raja Grafindo, 1994),  p 1</w:t>
      </w:r>
    </w:p>
  </w:footnote>
  <w:footnote w:id="12">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Universal values ​​are treated equally and without discrimination both by differences in class, ethnicity, ancestry, and so forth. This idea is a liberal legal ideas inspired the French revolution. Codification and univikasi is an inherent part of the ideals of the liberals. </w:t>
      </w:r>
      <w:r w:rsidRPr="00EB2588">
        <w:rPr>
          <w:rFonts w:asciiTheme="majorBidi" w:hAnsiTheme="majorBidi" w:cstheme="majorBidi"/>
          <w:i/>
          <w:iCs/>
          <w:sz w:val="20"/>
          <w:szCs w:val="20"/>
        </w:rPr>
        <w:t>Ibid</w:t>
      </w:r>
      <w:r w:rsidRPr="00EB2588">
        <w:rPr>
          <w:rFonts w:asciiTheme="majorBidi" w:hAnsiTheme="majorBidi" w:cstheme="majorBidi"/>
          <w:sz w:val="20"/>
          <w:szCs w:val="20"/>
        </w:rPr>
        <w:t>., p. 37.</w:t>
      </w:r>
    </w:p>
    <w:p w:rsidR="0086482C" w:rsidRPr="00EB2588" w:rsidRDefault="0086482C" w:rsidP="00EB2588">
      <w:pPr>
        <w:pStyle w:val="NoSpacing"/>
        <w:ind w:firstLine="709"/>
        <w:jc w:val="both"/>
        <w:rPr>
          <w:rFonts w:asciiTheme="majorBidi" w:hAnsiTheme="majorBidi" w:cstheme="majorBidi"/>
          <w:sz w:val="20"/>
          <w:szCs w:val="20"/>
        </w:rPr>
      </w:pPr>
    </w:p>
  </w:footnote>
  <w:footnote w:id="13">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Ibid</w:t>
      </w:r>
      <w:r w:rsidRPr="00EB2588">
        <w:rPr>
          <w:rFonts w:asciiTheme="majorBidi" w:hAnsiTheme="majorBidi" w:cstheme="majorBidi"/>
          <w:sz w:val="20"/>
          <w:szCs w:val="20"/>
        </w:rPr>
        <w:t>., p. 5-8.</w:t>
      </w:r>
    </w:p>
  </w:footnote>
  <w:footnote w:id="14">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sz w:val="20"/>
          <w:szCs w:val="20"/>
        </w:rPr>
        <w:t>Ibid.</w:t>
      </w:r>
      <w:r w:rsidRPr="00EB2588">
        <w:rPr>
          <w:rFonts w:asciiTheme="majorBidi" w:hAnsiTheme="majorBidi" w:cstheme="majorBidi"/>
          <w:sz w:val="20"/>
          <w:szCs w:val="20"/>
        </w:rPr>
        <w:t>, P 10</w:t>
      </w:r>
    </w:p>
  </w:footnote>
  <w:footnote w:id="15">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sz w:val="20"/>
          <w:szCs w:val="20"/>
        </w:rPr>
        <w:t>Ibid</w:t>
      </w:r>
      <w:r w:rsidRPr="00EB2588">
        <w:rPr>
          <w:rFonts w:asciiTheme="majorBidi" w:hAnsiTheme="majorBidi" w:cstheme="majorBidi"/>
          <w:sz w:val="20"/>
          <w:szCs w:val="20"/>
        </w:rPr>
        <w:t>., P 8</w:t>
      </w:r>
    </w:p>
  </w:footnote>
  <w:footnote w:id="16">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Ibid</w:t>
      </w:r>
      <w:r w:rsidRPr="00EB2588">
        <w:rPr>
          <w:rFonts w:asciiTheme="majorBidi" w:hAnsiTheme="majorBidi" w:cstheme="majorBidi"/>
          <w:sz w:val="20"/>
          <w:szCs w:val="20"/>
        </w:rPr>
        <w:t>., p. 10</w:t>
      </w:r>
    </w:p>
  </w:footnote>
  <w:footnote w:id="17">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Ibid</w:t>
      </w:r>
      <w:r w:rsidRPr="00EB2588">
        <w:rPr>
          <w:rFonts w:asciiTheme="majorBidi" w:hAnsiTheme="majorBidi" w:cstheme="majorBidi"/>
          <w:sz w:val="20"/>
          <w:szCs w:val="20"/>
        </w:rPr>
        <w:t>., p. 10</w:t>
      </w:r>
    </w:p>
  </w:footnote>
  <w:footnote w:id="18">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Ibid</w:t>
      </w:r>
      <w:r w:rsidRPr="00EB2588">
        <w:rPr>
          <w:rFonts w:asciiTheme="majorBidi" w:hAnsiTheme="majorBidi" w:cstheme="majorBidi"/>
          <w:sz w:val="20"/>
          <w:szCs w:val="20"/>
        </w:rPr>
        <w:t>., p. 14</w:t>
      </w:r>
    </w:p>
  </w:footnote>
  <w:footnote w:id="19">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Ibid</w:t>
      </w:r>
      <w:r w:rsidRPr="00EB2588">
        <w:rPr>
          <w:rFonts w:asciiTheme="majorBidi" w:hAnsiTheme="majorBidi" w:cstheme="majorBidi"/>
          <w:sz w:val="20"/>
          <w:szCs w:val="20"/>
        </w:rPr>
        <w:t>., p 20</w:t>
      </w:r>
    </w:p>
  </w:footnote>
  <w:footnote w:id="20">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Modern law that is the law contains a provision that unity and uniform, transactional, universal in its application, the hierarchy in the implementation (judicial institutions), bureaucratically organized, carried out in a professional manner. Marc Galanter, The modernization of Law, in Modernizatio: The Dynamic of grouth, Voice of Amirican Forum of Lectures, 1966, pp 168-170. Satjipto Raharjo, </w:t>
      </w:r>
      <w:r w:rsidRPr="00EB2588">
        <w:rPr>
          <w:rFonts w:asciiTheme="majorBidi" w:hAnsiTheme="majorBidi" w:cstheme="majorBidi"/>
          <w:i/>
          <w:iCs/>
          <w:sz w:val="20"/>
          <w:szCs w:val="20"/>
        </w:rPr>
        <w:t>Hukum dan Masyarakat</w:t>
      </w:r>
      <w:r w:rsidRPr="00EB2588">
        <w:rPr>
          <w:rFonts w:asciiTheme="majorBidi" w:hAnsiTheme="majorBidi" w:cstheme="majorBidi"/>
          <w:sz w:val="20"/>
          <w:szCs w:val="20"/>
        </w:rPr>
        <w:t>, (Bandung: Angkasa, 1980), p. 157-159</w:t>
      </w:r>
    </w:p>
  </w:footnote>
  <w:footnote w:id="21">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This is a legacy of the Dutch colonial era. Soertadya Wignjosoebroto, </w:t>
      </w:r>
      <w:r w:rsidRPr="00EB2588">
        <w:rPr>
          <w:rFonts w:asciiTheme="majorBidi" w:hAnsiTheme="majorBidi" w:cstheme="majorBidi"/>
          <w:i/>
          <w:iCs/>
          <w:sz w:val="20"/>
          <w:szCs w:val="20"/>
        </w:rPr>
        <w:t>Dari huku Kolonial</w:t>
      </w:r>
      <w:r w:rsidRPr="00EB2588">
        <w:rPr>
          <w:rFonts w:asciiTheme="majorBidi" w:hAnsiTheme="majorBidi" w:cstheme="majorBidi"/>
          <w:sz w:val="20"/>
          <w:szCs w:val="20"/>
        </w:rPr>
        <w:t>.., p 11</w:t>
      </w:r>
    </w:p>
  </w:footnote>
  <w:footnote w:id="22">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Legal pluralism in Indonesia can not be avoided. Since the colonial period, there are three groupings of Indonesian citizens with a civil law system that is different is that this class of Europe using European civil law (BW), class Orientals use their customary law and son earth group using customary laws of indigenous people..</w:t>
      </w:r>
    </w:p>
    <w:p w:rsidR="0086482C" w:rsidRPr="00EB2588" w:rsidRDefault="0086482C" w:rsidP="00EB2588">
      <w:pPr>
        <w:pStyle w:val="NoSpacing"/>
        <w:ind w:firstLine="709"/>
        <w:jc w:val="both"/>
        <w:rPr>
          <w:rFonts w:asciiTheme="majorBidi" w:hAnsiTheme="majorBidi" w:cstheme="majorBidi"/>
          <w:sz w:val="20"/>
          <w:szCs w:val="20"/>
        </w:rPr>
      </w:pPr>
    </w:p>
  </w:footnote>
  <w:footnote w:id="23">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i/>
          <w:iCs/>
          <w:sz w:val="20"/>
          <w:szCs w:val="20"/>
        </w:rPr>
        <w:t xml:space="preserve"> Ibid</w:t>
      </w:r>
      <w:r w:rsidRPr="00EB2588">
        <w:rPr>
          <w:rFonts w:asciiTheme="majorBidi" w:hAnsiTheme="majorBidi" w:cstheme="majorBidi"/>
          <w:sz w:val="20"/>
          <w:szCs w:val="20"/>
        </w:rPr>
        <w:t>., p. 192</w:t>
      </w:r>
    </w:p>
  </w:footnote>
  <w:footnote w:id="24">
    <w:p w:rsidR="0086482C" w:rsidRPr="00EB2588" w:rsidRDefault="0086482C" w:rsidP="00EB2588">
      <w:pPr>
        <w:pStyle w:val="NoSpacing"/>
        <w:ind w:firstLine="709"/>
        <w:jc w:val="both"/>
        <w:rPr>
          <w:rFonts w:asciiTheme="majorBidi" w:eastAsia="Calibr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So there are three civil law in force, namely 1) the civil law contained in the draft Civil Code (Burgerlijk Wetboek) is declared applicable in Indonesia with Stbl. No. 23 dated 30 April 1847, and the changes are still in force, 2) civil law that exist in customary law of Indonesia, because the civil law applicable to the class of the earth's son since the Dutch colonial period, and 3) civil law contained in the provisions Islamic law is several civil provisions Islam declared valid for the original class of Indonesian Moslems. Suparman Usman, </w:t>
      </w:r>
      <w:r w:rsidRPr="00EB2588">
        <w:rPr>
          <w:rFonts w:asciiTheme="majorBidi" w:hAnsiTheme="majorBidi" w:cstheme="majorBidi"/>
          <w:i/>
          <w:iCs/>
          <w:sz w:val="20"/>
          <w:szCs w:val="20"/>
        </w:rPr>
        <w:t>Ikhtisar Hukum Waris Menurut Kitab Undang-undang Hukum Perdata (Burgrlijk Wetboek),</w:t>
      </w:r>
      <w:r w:rsidRPr="00EB2588">
        <w:rPr>
          <w:rFonts w:asciiTheme="majorBidi" w:hAnsiTheme="majorBidi" w:cstheme="majorBidi"/>
          <w:sz w:val="20"/>
          <w:szCs w:val="20"/>
        </w:rPr>
        <w:t xml:space="preserve"> (Serang: Darul Ulum Press, 1993), p. 15-16.</w:t>
      </w:r>
    </w:p>
    <w:p w:rsidR="0086482C" w:rsidRPr="00EB2588" w:rsidRDefault="0086482C" w:rsidP="00EB2588">
      <w:pPr>
        <w:pStyle w:val="NoSpacing"/>
        <w:ind w:firstLine="709"/>
        <w:jc w:val="both"/>
        <w:rPr>
          <w:rFonts w:asciiTheme="majorBidi" w:eastAsia="Calibri" w:hAnsiTheme="majorBidi" w:cstheme="majorBidi"/>
          <w:sz w:val="20"/>
          <w:szCs w:val="20"/>
        </w:rPr>
      </w:pPr>
      <w:r w:rsidRPr="00EB2588">
        <w:rPr>
          <w:rFonts w:asciiTheme="majorBidi" w:eastAsia="Calibri" w:hAnsiTheme="majorBidi" w:cstheme="majorBidi"/>
          <w:sz w:val="20"/>
          <w:szCs w:val="20"/>
        </w:rPr>
        <w:t xml:space="preserve"> </w:t>
      </w:r>
    </w:p>
  </w:footnote>
  <w:footnote w:id="25">
    <w:p w:rsidR="0086482C" w:rsidRPr="00EB2588" w:rsidRDefault="0086482C" w:rsidP="00EB2588">
      <w:pPr>
        <w:pStyle w:val="NoSpacing"/>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Soertadya Wignjosoebroto, </w:t>
      </w:r>
      <w:r w:rsidRPr="00EB2588">
        <w:rPr>
          <w:rFonts w:asciiTheme="majorBidi" w:hAnsiTheme="majorBidi" w:cstheme="majorBidi"/>
          <w:i/>
          <w:iCs/>
          <w:sz w:val="20"/>
          <w:szCs w:val="20"/>
        </w:rPr>
        <w:t>Dari Hukum Kolonial..,</w:t>
      </w:r>
      <w:r w:rsidRPr="00EB2588">
        <w:rPr>
          <w:rFonts w:asciiTheme="majorBidi" w:hAnsiTheme="majorBidi" w:cstheme="majorBidi"/>
          <w:sz w:val="20"/>
          <w:szCs w:val="20"/>
        </w:rPr>
        <w:t xml:space="preserve"> p. 15.</w:t>
      </w:r>
    </w:p>
  </w:footnote>
  <w:footnote w:id="26">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Tahir Mahmood, Personal Law In Islamic Countries: History, Text and Comparative Analysis, (New Delhi: Academy of Law and Religion, 1987), p. 206-207.</w:t>
      </w:r>
    </w:p>
    <w:p w:rsidR="0086482C" w:rsidRPr="00EB2588" w:rsidRDefault="0086482C" w:rsidP="00EB2588">
      <w:pPr>
        <w:pStyle w:val="NoSpacing"/>
        <w:ind w:firstLine="709"/>
        <w:jc w:val="both"/>
        <w:rPr>
          <w:rFonts w:asciiTheme="majorBidi" w:hAnsiTheme="majorBidi" w:cstheme="majorBidi"/>
          <w:sz w:val="20"/>
          <w:szCs w:val="20"/>
        </w:rPr>
      </w:pPr>
    </w:p>
  </w:footnote>
  <w:footnote w:id="27">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i/>
          <w:iCs/>
          <w:sz w:val="20"/>
          <w:szCs w:val="20"/>
        </w:rPr>
        <w:t>Ibid</w:t>
      </w:r>
      <w:r w:rsidRPr="00EB2588">
        <w:rPr>
          <w:rFonts w:asciiTheme="majorBidi" w:hAnsiTheme="majorBidi" w:cstheme="majorBidi"/>
          <w:sz w:val="20"/>
          <w:szCs w:val="20"/>
        </w:rPr>
        <w:t>., P. 207</w:t>
      </w:r>
    </w:p>
  </w:footnote>
  <w:footnote w:id="28">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Excerpted from Moh. Mahfudz MD, DKK (ed), </w:t>
      </w:r>
      <w:r w:rsidRPr="00EB2588">
        <w:rPr>
          <w:rFonts w:asciiTheme="majorBidi" w:hAnsiTheme="majorBidi" w:cstheme="majorBidi"/>
          <w:i/>
          <w:iCs/>
          <w:sz w:val="20"/>
          <w:szCs w:val="20"/>
        </w:rPr>
        <w:t>Peradilan Agama dan Kompilasi hukum Islam Dalam tata Hukum di Indonesia</w:t>
      </w:r>
      <w:r w:rsidRPr="00EB2588">
        <w:rPr>
          <w:rFonts w:asciiTheme="majorBidi" w:hAnsiTheme="majorBidi" w:cstheme="majorBidi"/>
          <w:sz w:val="20"/>
          <w:szCs w:val="20"/>
        </w:rPr>
        <w:t>, (Yogyakarta: UII Press, 1993), p. 1-5, 45- 53, 108- 118.</w:t>
      </w:r>
    </w:p>
  </w:footnote>
  <w:footnote w:id="29">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Excerpted from Explanation of the Minister of Finance representing the Government on the Draft Law on the Amendment of Law No. 7 of 1992 concerning Banking, in a plenary meeting of the Parliament, dated August 24, 1998, p. 1-2</w:t>
      </w:r>
    </w:p>
  </w:footnote>
  <w:footnote w:id="30">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Explanation Team proposer of the bill proposal tentnag initiative proposal Hajj Operation, p. 4</w:t>
      </w:r>
    </w:p>
  </w:footnote>
  <w:footnote w:id="31">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i/>
          <w:iCs/>
          <w:sz w:val="20"/>
          <w:szCs w:val="20"/>
        </w:rPr>
        <w:t>Ibid</w:t>
      </w:r>
      <w:r w:rsidRPr="00EB2588">
        <w:rPr>
          <w:rFonts w:asciiTheme="majorBidi" w:hAnsiTheme="majorBidi" w:cstheme="majorBidi"/>
          <w:sz w:val="20"/>
          <w:szCs w:val="20"/>
        </w:rPr>
        <w:t>., p. 8</w:t>
      </w:r>
    </w:p>
  </w:footnote>
  <w:footnote w:id="32">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i/>
          <w:iCs/>
          <w:sz w:val="20"/>
          <w:szCs w:val="20"/>
        </w:rPr>
        <w:t>Ibid</w:t>
      </w:r>
      <w:r w:rsidRPr="00EB2588">
        <w:rPr>
          <w:rFonts w:asciiTheme="majorBidi" w:hAnsiTheme="majorBidi" w:cstheme="majorBidi"/>
          <w:sz w:val="20"/>
          <w:szCs w:val="20"/>
        </w:rPr>
        <w:t>., p. 8</w:t>
      </w:r>
    </w:p>
  </w:footnote>
  <w:footnote w:id="33">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See Law No. 17 of 1999 on Hajj.</w:t>
      </w:r>
    </w:p>
  </w:footnote>
  <w:footnote w:id="34">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Statement of the Government before the plenary session of Parliament on the bill on Zakat Management, dated July 26, 1999, p. 2</w:t>
      </w:r>
    </w:p>
  </w:footnote>
  <w:footnote w:id="35">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Ibid.</w:t>
      </w:r>
      <w:r w:rsidRPr="00EB2588">
        <w:rPr>
          <w:rFonts w:asciiTheme="majorBidi" w:hAnsiTheme="majorBidi" w:cstheme="majorBidi"/>
          <w:sz w:val="20"/>
          <w:szCs w:val="20"/>
        </w:rPr>
        <w:t>, p. 3.</w:t>
      </w:r>
    </w:p>
  </w:footnote>
  <w:footnote w:id="36">
    <w:p w:rsidR="0086482C" w:rsidRPr="00EB2588" w:rsidRDefault="0086482C" w:rsidP="00EB2588">
      <w:pPr>
        <w:pStyle w:val="NoSpacing"/>
        <w:ind w:firstLine="709"/>
        <w:jc w:val="both"/>
        <w:rPr>
          <w:rFonts w:asciiTheme="majorBidi" w:hAnsiTheme="majorBidi" w:cstheme="majorBidi"/>
          <w:sz w:val="20"/>
          <w:szCs w:val="20"/>
          <w:lang w:val="id-ID"/>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Presented by Mukti Arto, seminar faculty of Shariah, which has been reflected in Syamsul Anwar et al., An Anthology of Islamic Legal Thought in Indonesia: Between ideals and reality, (Yogyakarta: Syrai'ah Press, 2008), p. 199-201</w:t>
      </w:r>
      <w:r w:rsidR="00C04792" w:rsidRPr="00EB2588">
        <w:rPr>
          <w:rFonts w:asciiTheme="majorBidi" w:hAnsiTheme="majorBidi" w:cstheme="majorBidi"/>
          <w:sz w:val="20"/>
          <w:szCs w:val="20"/>
          <w:lang w:val="id-ID"/>
        </w:rPr>
        <w:t>.</w:t>
      </w:r>
    </w:p>
  </w:footnote>
  <w:footnote w:id="37">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Ibid.,</w:t>
      </w:r>
      <w:r w:rsidRPr="00EB2588">
        <w:rPr>
          <w:rFonts w:asciiTheme="majorBidi" w:hAnsiTheme="majorBidi" w:cstheme="majorBidi"/>
          <w:sz w:val="20"/>
          <w:szCs w:val="20"/>
        </w:rPr>
        <w:t xml:space="preserve"> p. 171-175.</w:t>
      </w:r>
    </w:p>
  </w:footnote>
  <w:footnote w:id="38">
    <w:p w:rsidR="0086482C"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Khalaf Abd al Wahhab, </w:t>
      </w:r>
      <w:r w:rsidRPr="00EB2588">
        <w:rPr>
          <w:rFonts w:asciiTheme="majorBidi" w:hAnsiTheme="majorBidi" w:cstheme="majorBidi"/>
          <w:i/>
          <w:iCs/>
          <w:sz w:val="20"/>
          <w:szCs w:val="20"/>
          <w:lang w:val="sv-SE"/>
        </w:rPr>
        <w:t xml:space="preserve">`Ilmu Ushul Fiqh, </w:t>
      </w:r>
      <w:r w:rsidRPr="00EB2588">
        <w:rPr>
          <w:rFonts w:asciiTheme="majorBidi" w:hAnsiTheme="majorBidi" w:cstheme="majorBidi"/>
          <w:sz w:val="20"/>
          <w:szCs w:val="20"/>
        </w:rPr>
        <w:t>(Cairo: Dar Al-Qalam, 1978), p. 97- 99.</w:t>
      </w:r>
    </w:p>
    <w:p w:rsidR="00EB2588" w:rsidRPr="00EB2588" w:rsidRDefault="00EB2588" w:rsidP="00EB2588">
      <w:pPr>
        <w:pStyle w:val="NoSpacing"/>
        <w:ind w:firstLine="709"/>
        <w:jc w:val="both"/>
        <w:rPr>
          <w:rFonts w:asciiTheme="majorBidi" w:hAnsiTheme="majorBidi" w:cstheme="majorBidi"/>
          <w:sz w:val="20"/>
          <w:szCs w:val="20"/>
          <w:lang w:val="sv-SE"/>
        </w:rPr>
      </w:pPr>
    </w:p>
  </w:footnote>
  <w:footnote w:id="39">
    <w:p w:rsidR="0086482C"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Dissent has emerged since the time of the Prophet. At the time of the war with the Jews of Bani Quraidhah, the Prophet said to his Companions: "Whoever believes in Allah and the Last Day, let him not </w:t>
      </w:r>
      <w:r w:rsidRPr="00EB2588">
        <w:rPr>
          <w:rFonts w:asciiTheme="majorBidi" w:hAnsiTheme="majorBidi" w:cstheme="majorBidi"/>
          <w:i/>
          <w:iCs/>
          <w:sz w:val="20"/>
          <w:szCs w:val="20"/>
        </w:rPr>
        <w:t>Ashr</w:t>
      </w:r>
      <w:r w:rsidRPr="00EB2588">
        <w:rPr>
          <w:rFonts w:asciiTheme="majorBidi" w:hAnsiTheme="majorBidi" w:cstheme="majorBidi"/>
          <w:sz w:val="20"/>
          <w:szCs w:val="20"/>
        </w:rPr>
        <w:t xml:space="preserve"> prayer except (after arriving) dl Bani Quraidhah". Most of the Prophet's companions understand commands in order to Bani Quraidhah before sunset. So when it has not reached the Bani Quraidhah sun almost set, they stop and perform </w:t>
      </w:r>
      <w:r w:rsidRPr="00EB2588">
        <w:rPr>
          <w:rFonts w:asciiTheme="majorBidi" w:hAnsiTheme="majorBidi" w:cstheme="majorBidi"/>
          <w:i/>
          <w:iCs/>
          <w:sz w:val="20"/>
          <w:szCs w:val="20"/>
        </w:rPr>
        <w:t>Ashr</w:t>
      </w:r>
      <w:r w:rsidRPr="00EB2588">
        <w:rPr>
          <w:rFonts w:asciiTheme="majorBidi" w:hAnsiTheme="majorBidi" w:cstheme="majorBidi"/>
          <w:sz w:val="20"/>
          <w:szCs w:val="20"/>
        </w:rPr>
        <w:t xml:space="preserve"> prayer. While some friends to understand that the Prophet forbade Asr prayer before arriving at Bani Quraidhah. Thus while before getting to Bani Quraidhah the sun had set, they do not perform </w:t>
      </w:r>
      <w:r w:rsidRPr="00EB2588">
        <w:rPr>
          <w:rFonts w:asciiTheme="majorBidi" w:hAnsiTheme="majorBidi" w:cstheme="majorBidi"/>
          <w:i/>
          <w:iCs/>
          <w:sz w:val="20"/>
          <w:szCs w:val="20"/>
        </w:rPr>
        <w:t>Ashr</w:t>
      </w:r>
      <w:r w:rsidRPr="00EB2588">
        <w:rPr>
          <w:rFonts w:asciiTheme="majorBidi" w:hAnsiTheme="majorBidi" w:cstheme="majorBidi"/>
          <w:sz w:val="20"/>
          <w:szCs w:val="20"/>
        </w:rPr>
        <w:t xml:space="preserve"> prayer. AM. Nour Haj, `The Schools of Laws: Their Emergence and Validity Today 'in Intenational Seminar on Islamic Law at the Institute of </w:t>
      </w:r>
      <w:r w:rsidRPr="00EB2588">
        <w:rPr>
          <w:rFonts w:asciiTheme="majorBidi" w:hAnsiTheme="majorBidi" w:cstheme="majorBidi"/>
          <w:i/>
          <w:iCs/>
          <w:sz w:val="20"/>
          <w:szCs w:val="20"/>
        </w:rPr>
        <w:t xml:space="preserve">Administration Ahmadu Bello University, </w:t>
      </w:r>
      <w:r w:rsidRPr="00EB2588">
        <w:rPr>
          <w:rFonts w:asciiTheme="majorBidi" w:hAnsiTheme="majorBidi" w:cstheme="majorBidi"/>
          <w:sz w:val="20"/>
          <w:szCs w:val="20"/>
        </w:rPr>
        <w:t xml:space="preserve">april, 1976, p. 56. Then in the next period occurred schools of fiqh, in the time companions by geographical area, namely the school of Medina and Kufa. School of Medina bersfat traditionalists who always answer the question by using the Sunnah of the Prophet and the Companions pengapat and determination. The characters are Ibn Umar, Aisha, Ibn Abbas. While the rationalist school of Kufa is more use of text ra'yu (Sunnah and companions argument) in addressing the problem. The characters are Ibn Mas'ud, Ali Shuraih. </w:t>
      </w:r>
      <w:r w:rsidRPr="00EB2588">
        <w:rPr>
          <w:rFonts w:asciiTheme="majorBidi" w:hAnsiTheme="majorBidi" w:cstheme="majorBidi"/>
          <w:i/>
          <w:iCs/>
          <w:sz w:val="20"/>
          <w:szCs w:val="20"/>
        </w:rPr>
        <w:t>Ibid</w:t>
      </w:r>
      <w:r w:rsidRPr="00EB2588">
        <w:rPr>
          <w:rFonts w:asciiTheme="majorBidi" w:hAnsiTheme="majorBidi" w:cstheme="majorBidi"/>
          <w:sz w:val="20"/>
          <w:szCs w:val="20"/>
        </w:rPr>
        <w:t xml:space="preserve">., p. 60. Then came the priests of the other major schools, </w:t>
      </w:r>
      <w:r w:rsidRPr="00EB2588">
        <w:rPr>
          <w:rFonts w:asciiTheme="majorBidi" w:hAnsiTheme="majorBidi" w:cstheme="majorBidi"/>
          <w:i/>
          <w:iCs/>
          <w:sz w:val="20"/>
          <w:szCs w:val="20"/>
        </w:rPr>
        <w:t>Ibid</w:t>
      </w:r>
      <w:r w:rsidRPr="00EB2588">
        <w:rPr>
          <w:rFonts w:asciiTheme="majorBidi" w:hAnsiTheme="majorBidi" w:cstheme="majorBidi"/>
          <w:sz w:val="20"/>
          <w:szCs w:val="20"/>
        </w:rPr>
        <w:t>., p. 61.</w:t>
      </w:r>
    </w:p>
    <w:p w:rsidR="00EB2588" w:rsidRPr="00EB2588" w:rsidRDefault="00EB2588" w:rsidP="00EB2588">
      <w:pPr>
        <w:pStyle w:val="NoSpacing"/>
        <w:ind w:firstLine="709"/>
        <w:jc w:val="both"/>
        <w:rPr>
          <w:rFonts w:asciiTheme="majorBidi" w:hAnsiTheme="majorBidi" w:cstheme="majorBidi"/>
          <w:sz w:val="20"/>
          <w:szCs w:val="20"/>
          <w:lang w:val="sv-SE"/>
        </w:rPr>
      </w:pPr>
    </w:p>
  </w:footnote>
  <w:footnote w:id="40">
    <w:p w:rsidR="0086482C" w:rsidRPr="00EB2588" w:rsidRDefault="0086482C" w:rsidP="00EB2588">
      <w:pPr>
        <w:pStyle w:val="NoSpacing"/>
        <w:ind w:firstLine="709"/>
        <w:jc w:val="both"/>
        <w:rPr>
          <w:rFonts w:asciiTheme="majorBidi" w:hAnsiTheme="majorBidi" w:cstheme="majorBidi"/>
          <w:spacing w:val="2"/>
          <w:sz w:val="20"/>
          <w:szCs w:val="20"/>
          <w:lang w:val="sv-SE"/>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Imam Shafi'i considers that the law derived from revelation, but he also recognized the human mind in establishing the rule of law which are not regulated by the revelation. Sense function is to regulate new cases by way of imposing it on the principles of God's revelation that has set the same case. Hi this is called Qiyas. Noel J. Coulson, Conflicts and tensions In Islamic Jurisprudence, (Chicago: The University Of Chicago Press, 1969), p. 6.</w:t>
      </w:r>
    </w:p>
  </w:footnote>
  <w:footnote w:id="41">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Given a scholar whose diligence, then had disciples and followers who follow and develop his ideas, the formation of a school of Islamic law, since madzha formed by the authority and taqlid. This then restricts freedom of ijtihad. In development terms mujtahid tightened, even there is the doctrine of the closed doors of ijtihad.</w:t>
      </w:r>
    </w:p>
    <w:p w:rsidR="00BC7902" w:rsidRPr="00EB2588" w:rsidRDefault="00BC7902" w:rsidP="00EB2588">
      <w:pPr>
        <w:pStyle w:val="NoSpacing"/>
        <w:ind w:firstLine="709"/>
        <w:jc w:val="both"/>
        <w:rPr>
          <w:rFonts w:asciiTheme="majorBidi" w:hAnsiTheme="majorBidi" w:cstheme="majorBidi"/>
          <w:b/>
          <w:bCs/>
          <w:sz w:val="20"/>
          <w:szCs w:val="20"/>
        </w:rPr>
      </w:pPr>
    </w:p>
  </w:footnote>
  <w:footnote w:id="42">
    <w:p w:rsidR="0086482C" w:rsidRPr="00EB2588" w:rsidRDefault="0086482C" w:rsidP="00EB2588">
      <w:pPr>
        <w:pStyle w:val="NoSpacing"/>
        <w:ind w:firstLine="709"/>
        <w:jc w:val="both"/>
        <w:rPr>
          <w:rFonts w:asciiTheme="majorBidi" w:hAnsiTheme="majorBidi" w:cstheme="majorBidi"/>
          <w:spacing w:val="-2"/>
          <w:sz w:val="20"/>
          <w:szCs w:val="20"/>
          <w:lang w:val="sv-SE"/>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Amir Syarifuddin, </w:t>
      </w:r>
      <w:r w:rsidRPr="00EB2588">
        <w:rPr>
          <w:rFonts w:asciiTheme="majorBidi" w:hAnsiTheme="majorBidi" w:cstheme="majorBidi"/>
          <w:i/>
          <w:iCs/>
          <w:sz w:val="20"/>
          <w:szCs w:val="20"/>
          <w:lang w:val="sv-SE"/>
        </w:rPr>
        <w:t xml:space="preserve">Meretas Kebekuan Ijtihad: Isu-isu Penting Hukum Islam Kontemporer di Indonesia, </w:t>
      </w:r>
      <w:r w:rsidRPr="00EB2588">
        <w:rPr>
          <w:rFonts w:asciiTheme="majorBidi" w:hAnsiTheme="majorBidi" w:cstheme="majorBidi"/>
          <w:sz w:val="20"/>
          <w:szCs w:val="20"/>
        </w:rPr>
        <w:t>(Jakarta: Ciputat Press, 2002), p. 49- 50.</w:t>
      </w:r>
    </w:p>
  </w:footnote>
  <w:footnote w:id="43">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i/>
          <w:iCs/>
          <w:sz w:val="20"/>
          <w:szCs w:val="20"/>
        </w:rPr>
        <w:t>Lafadl</w:t>
      </w:r>
      <w:r w:rsidRPr="00EB2588">
        <w:rPr>
          <w:rFonts w:asciiTheme="majorBidi" w:hAnsiTheme="majorBidi" w:cstheme="majorBidi"/>
          <w:sz w:val="20"/>
          <w:szCs w:val="20"/>
        </w:rPr>
        <w:t xml:space="preserve"> terms of clarity can be divided into two, namely </w:t>
      </w:r>
      <w:r w:rsidRPr="00EB2588">
        <w:rPr>
          <w:rFonts w:asciiTheme="majorBidi" w:hAnsiTheme="majorBidi" w:cstheme="majorBidi"/>
          <w:i/>
          <w:iCs/>
          <w:sz w:val="20"/>
          <w:szCs w:val="20"/>
        </w:rPr>
        <w:t>sharih</w:t>
      </w:r>
      <w:r w:rsidRPr="00EB2588">
        <w:rPr>
          <w:rFonts w:asciiTheme="majorBidi" w:hAnsiTheme="majorBidi" w:cstheme="majorBidi"/>
          <w:sz w:val="20"/>
          <w:szCs w:val="20"/>
        </w:rPr>
        <w:t xml:space="preserve"> or </w:t>
      </w:r>
      <w:r w:rsidRPr="00EB2588">
        <w:rPr>
          <w:rFonts w:asciiTheme="majorBidi" w:hAnsiTheme="majorBidi" w:cstheme="majorBidi"/>
          <w:i/>
          <w:iCs/>
          <w:sz w:val="20"/>
          <w:szCs w:val="20"/>
        </w:rPr>
        <w:t>wadlih</w:t>
      </w:r>
      <w:r w:rsidRPr="00EB2588">
        <w:rPr>
          <w:rFonts w:asciiTheme="majorBidi" w:hAnsiTheme="majorBidi" w:cstheme="majorBidi"/>
          <w:sz w:val="20"/>
          <w:szCs w:val="20"/>
        </w:rPr>
        <w:t xml:space="preserve"> namely the clear, andnot require the explanation. </w:t>
      </w:r>
      <w:r w:rsidRPr="00EB2588">
        <w:rPr>
          <w:rFonts w:asciiTheme="majorBidi" w:hAnsiTheme="majorBidi" w:cstheme="majorBidi"/>
          <w:i/>
          <w:iCs/>
          <w:sz w:val="20"/>
          <w:szCs w:val="20"/>
        </w:rPr>
        <w:t>Wadlih Lafadl</w:t>
      </w:r>
      <w:r w:rsidRPr="00EB2588">
        <w:rPr>
          <w:rFonts w:asciiTheme="majorBidi" w:hAnsiTheme="majorBidi" w:cstheme="majorBidi"/>
          <w:sz w:val="20"/>
          <w:szCs w:val="20"/>
        </w:rPr>
        <w:t xml:space="preserve"> is divided into four levels, namely </w:t>
      </w:r>
      <w:r w:rsidRPr="00EB2588">
        <w:rPr>
          <w:rFonts w:asciiTheme="majorBidi" w:hAnsiTheme="majorBidi" w:cstheme="majorBidi"/>
          <w:i/>
          <w:iCs/>
          <w:sz w:val="20"/>
          <w:szCs w:val="20"/>
        </w:rPr>
        <w:t>dhahir, nash, mufassar,</w:t>
      </w:r>
      <w:r w:rsidRPr="00EB2588">
        <w:rPr>
          <w:rFonts w:asciiTheme="majorBidi" w:hAnsiTheme="majorBidi" w:cstheme="majorBidi"/>
          <w:sz w:val="20"/>
          <w:szCs w:val="20"/>
        </w:rPr>
        <w:t xml:space="preserve"> and the highest level </w:t>
      </w:r>
      <w:r w:rsidRPr="00EB2588">
        <w:rPr>
          <w:rFonts w:asciiTheme="majorBidi" w:hAnsiTheme="majorBidi" w:cstheme="majorBidi"/>
          <w:i/>
          <w:iCs/>
          <w:sz w:val="20"/>
          <w:szCs w:val="20"/>
        </w:rPr>
        <w:t>muhkam</w:t>
      </w:r>
      <w:r w:rsidRPr="00EB2588">
        <w:rPr>
          <w:rFonts w:asciiTheme="majorBidi" w:hAnsiTheme="majorBidi" w:cstheme="majorBidi"/>
          <w:sz w:val="20"/>
          <w:szCs w:val="20"/>
        </w:rPr>
        <w:t xml:space="preserve">. Muhammad Abu Zahrah, </w:t>
      </w:r>
      <w:r w:rsidRPr="00EB2588">
        <w:rPr>
          <w:rFonts w:asciiTheme="majorBidi" w:hAnsiTheme="majorBidi" w:cstheme="majorBidi"/>
          <w:i/>
          <w:iCs/>
          <w:sz w:val="20"/>
          <w:szCs w:val="20"/>
        </w:rPr>
        <w:t>Usul al-fiqh,</w:t>
      </w:r>
      <w:r w:rsidRPr="00EB2588">
        <w:rPr>
          <w:rFonts w:asciiTheme="majorBidi" w:hAnsiTheme="majorBidi" w:cstheme="majorBidi"/>
          <w:sz w:val="20"/>
          <w:szCs w:val="20"/>
        </w:rPr>
        <w:t xml:space="preserve"> (Beirut: Dar Al-Fikr Al-Arabi, 1958), p. 118- 124.</w:t>
      </w:r>
    </w:p>
    <w:p w:rsidR="00BC7902" w:rsidRPr="00EB2588" w:rsidRDefault="00BC7902" w:rsidP="00EB2588">
      <w:pPr>
        <w:pStyle w:val="NoSpacing"/>
        <w:ind w:firstLine="709"/>
        <w:jc w:val="both"/>
        <w:rPr>
          <w:rFonts w:asciiTheme="majorBidi" w:hAnsiTheme="majorBidi" w:cstheme="majorBidi"/>
          <w:spacing w:val="2"/>
          <w:sz w:val="20"/>
          <w:szCs w:val="20"/>
          <w:lang w:val="sv-SE"/>
        </w:rPr>
      </w:pPr>
    </w:p>
  </w:footnote>
  <w:footnote w:id="44">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i/>
          <w:iCs/>
          <w:sz w:val="20"/>
          <w:szCs w:val="20"/>
        </w:rPr>
        <w:t>Ghairu sharih</w:t>
      </w:r>
      <w:r w:rsidRPr="00EB2588">
        <w:rPr>
          <w:rFonts w:asciiTheme="majorBidi" w:hAnsiTheme="majorBidi" w:cstheme="majorBidi"/>
          <w:sz w:val="20"/>
          <w:szCs w:val="20"/>
        </w:rPr>
        <w:t xml:space="preserve"> or </w:t>
      </w:r>
      <w:r w:rsidRPr="00EB2588">
        <w:rPr>
          <w:rFonts w:asciiTheme="majorBidi" w:hAnsiTheme="majorBidi" w:cstheme="majorBidi"/>
          <w:i/>
          <w:iCs/>
          <w:sz w:val="20"/>
          <w:szCs w:val="20"/>
        </w:rPr>
        <w:t>ghairu wadlih</w:t>
      </w:r>
      <w:r w:rsidRPr="00EB2588">
        <w:rPr>
          <w:rFonts w:asciiTheme="majorBidi" w:hAnsiTheme="majorBidi" w:cstheme="majorBidi"/>
          <w:sz w:val="20"/>
          <w:szCs w:val="20"/>
        </w:rPr>
        <w:t xml:space="preserve"> ie. unclear </w:t>
      </w:r>
      <w:r w:rsidRPr="00EB2588">
        <w:rPr>
          <w:rFonts w:asciiTheme="majorBidi" w:hAnsiTheme="majorBidi" w:cstheme="majorBidi"/>
          <w:i/>
          <w:iCs/>
          <w:sz w:val="20"/>
          <w:szCs w:val="20"/>
        </w:rPr>
        <w:t xml:space="preserve">lafadl </w:t>
      </w:r>
      <w:r w:rsidRPr="00EB2588">
        <w:rPr>
          <w:rFonts w:asciiTheme="majorBidi" w:hAnsiTheme="majorBidi" w:cstheme="majorBidi"/>
          <w:sz w:val="20"/>
          <w:szCs w:val="20"/>
        </w:rPr>
        <w:t xml:space="preserve">whether absolute or in part. Divided into the </w:t>
      </w:r>
      <w:r w:rsidRPr="00EB2588">
        <w:rPr>
          <w:rFonts w:asciiTheme="majorBidi" w:hAnsiTheme="majorBidi" w:cstheme="majorBidi"/>
          <w:i/>
          <w:iCs/>
          <w:spacing w:val="-2"/>
          <w:sz w:val="20"/>
          <w:szCs w:val="20"/>
          <w:lang w:val="sv-SE"/>
        </w:rPr>
        <w:t xml:space="preserve">khafi, musykil, </w:t>
      </w:r>
      <w:r w:rsidRPr="00EB2588">
        <w:rPr>
          <w:rFonts w:asciiTheme="majorBidi" w:hAnsiTheme="majorBidi" w:cstheme="majorBidi"/>
          <w:i/>
          <w:iCs/>
          <w:sz w:val="20"/>
          <w:szCs w:val="20"/>
        </w:rPr>
        <w:t>mujmal</w:t>
      </w:r>
      <w:r w:rsidRPr="00EB2588">
        <w:rPr>
          <w:rFonts w:asciiTheme="majorBidi" w:hAnsiTheme="majorBidi" w:cstheme="majorBidi"/>
          <w:sz w:val="20"/>
          <w:szCs w:val="20"/>
        </w:rPr>
        <w:t xml:space="preserve"> and </w:t>
      </w:r>
      <w:r w:rsidRPr="00EB2588">
        <w:rPr>
          <w:rFonts w:asciiTheme="majorBidi" w:hAnsiTheme="majorBidi" w:cstheme="majorBidi"/>
          <w:i/>
          <w:iCs/>
          <w:sz w:val="20"/>
          <w:szCs w:val="20"/>
        </w:rPr>
        <w:t>mutasyabih</w:t>
      </w:r>
      <w:r w:rsidRPr="00EB2588">
        <w:rPr>
          <w:rFonts w:asciiTheme="majorBidi" w:hAnsiTheme="majorBidi" w:cstheme="majorBidi"/>
          <w:sz w:val="20"/>
          <w:szCs w:val="20"/>
        </w:rPr>
        <w:t>.</w:t>
      </w:r>
      <w:r w:rsidRPr="00EB2588">
        <w:rPr>
          <w:rFonts w:asciiTheme="majorBidi" w:hAnsiTheme="majorBidi" w:cstheme="majorBidi"/>
          <w:i/>
          <w:iCs/>
          <w:sz w:val="20"/>
          <w:szCs w:val="20"/>
        </w:rPr>
        <w:t xml:space="preserve"> Ibid</w:t>
      </w:r>
      <w:r w:rsidRPr="00EB2588">
        <w:rPr>
          <w:rFonts w:asciiTheme="majorBidi" w:hAnsiTheme="majorBidi" w:cstheme="majorBidi"/>
          <w:sz w:val="20"/>
          <w:szCs w:val="20"/>
        </w:rPr>
        <w:t>., p. 124- 134.</w:t>
      </w:r>
    </w:p>
    <w:p w:rsidR="00BC7902" w:rsidRPr="00EB2588" w:rsidRDefault="00BC7902" w:rsidP="00EB2588">
      <w:pPr>
        <w:pStyle w:val="NoSpacing"/>
        <w:ind w:firstLine="709"/>
        <w:jc w:val="both"/>
        <w:rPr>
          <w:rFonts w:asciiTheme="majorBidi" w:hAnsiTheme="majorBidi" w:cstheme="majorBidi"/>
          <w:spacing w:val="2"/>
          <w:sz w:val="20"/>
          <w:szCs w:val="20"/>
          <w:lang w:val="sv-SE"/>
        </w:rPr>
      </w:pPr>
    </w:p>
  </w:footnote>
  <w:footnote w:id="45">
    <w:p w:rsidR="0086482C" w:rsidRPr="00EB2588" w:rsidRDefault="0086482C" w:rsidP="00EB2588">
      <w:pPr>
        <w:pStyle w:val="NoSpacing"/>
        <w:ind w:firstLine="709"/>
        <w:jc w:val="both"/>
        <w:rPr>
          <w:rFonts w:asciiTheme="majorBidi" w:hAnsiTheme="majorBidi" w:cstheme="majorBidi"/>
          <w:sz w:val="20"/>
          <w:szCs w:val="20"/>
          <w:lang w:val="sv-SE"/>
        </w:rPr>
      </w:pPr>
      <w:r w:rsidRPr="00EB2588">
        <w:rPr>
          <w:rStyle w:val="FootnoteReference"/>
          <w:rFonts w:asciiTheme="majorBidi" w:hAnsiTheme="majorBidi" w:cstheme="majorBidi"/>
          <w:sz w:val="20"/>
          <w:szCs w:val="20"/>
        </w:rPr>
        <w:footnoteRef/>
      </w:r>
      <w:r w:rsidRPr="00EB2588">
        <w:rPr>
          <w:rFonts w:asciiTheme="majorBidi" w:hAnsiTheme="majorBidi" w:cstheme="majorBidi"/>
          <w:i/>
          <w:sz w:val="20"/>
          <w:szCs w:val="20"/>
          <w:lang w:val="sv-SE"/>
        </w:rPr>
        <w:t>M</w:t>
      </w:r>
      <w:r w:rsidRPr="00EB2588">
        <w:rPr>
          <w:rFonts w:asciiTheme="majorBidi" w:hAnsiTheme="majorBidi" w:cstheme="majorBidi"/>
          <w:i/>
          <w:iCs/>
          <w:spacing w:val="-2"/>
          <w:sz w:val="20"/>
          <w:szCs w:val="20"/>
          <w:lang w:val="sv-SE"/>
        </w:rPr>
        <w:t xml:space="preserve">afhum is </w:t>
      </w:r>
      <w:r w:rsidRPr="00EB2588">
        <w:rPr>
          <w:rFonts w:asciiTheme="majorBidi" w:hAnsiTheme="majorBidi" w:cstheme="majorBidi"/>
          <w:sz w:val="20"/>
          <w:szCs w:val="20"/>
          <w:lang w:val="sv-SE"/>
        </w:rPr>
        <w:t>a proposition that is not explicitly mentioned in the texts (</w:t>
      </w:r>
      <w:r w:rsidRPr="00EB2588">
        <w:rPr>
          <w:rFonts w:asciiTheme="majorBidi" w:hAnsiTheme="majorBidi" w:cstheme="majorBidi"/>
          <w:i/>
          <w:iCs/>
          <w:sz w:val="20"/>
          <w:szCs w:val="20"/>
          <w:lang w:val="sv-SE"/>
        </w:rPr>
        <w:t>manthuq</w:t>
      </w:r>
      <w:r w:rsidRPr="00EB2588">
        <w:rPr>
          <w:rFonts w:asciiTheme="majorBidi" w:hAnsiTheme="majorBidi" w:cstheme="majorBidi"/>
          <w:sz w:val="20"/>
          <w:szCs w:val="20"/>
          <w:lang w:val="sv-SE"/>
        </w:rPr>
        <w:t xml:space="preserve">). </w:t>
      </w:r>
      <w:r w:rsidRPr="00EB2588">
        <w:rPr>
          <w:rFonts w:asciiTheme="majorBidi" w:hAnsiTheme="majorBidi" w:cstheme="majorBidi"/>
          <w:i/>
          <w:sz w:val="20"/>
          <w:szCs w:val="20"/>
          <w:lang w:val="sv-SE"/>
        </w:rPr>
        <w:t>M</w:t>
      </w:r>
      <w:r w:rsidRPr="00EB2588">
        <w:rPr>
          <w:rFonts w:asciiTheme="majorBidi" w:hAnsiTheme="majorBidi" w:cstheme="majorBidi"/>
          <w:i/>
          <w:iCs/>
          <w:spacing w:val="-2"/>
          <w:sz w:val="20"/>
          <w:szCs w:val="20"/>
          <w:lang w:val="sv-SE"/>
        </w:rPr>
        <w:t xml:space="preserve">afhum </w:t>
      </w:r>
      <w:r w:rsidRPr="00EB2588">
        <w:rPr>
          <w:rFonts w:asciiTheme="majorBidi" w:hAnsiTheme="majorBidi" w:cstheme="majorBidi"/>
          <w:i/>
          <w:iCs/>
          <w:sz w:val="20"/>
          <w:szCs w:val="20"/>
          <w:lang w:val="sv-SE"/>
        </w:rPr>
        <w:t>Muwafaqah</w:t>
      </w:r>
      <w:r w:rsidRPr="00EB2588">
        <w:rPr>
          <w:rFonts w:asciiTheme="majorBidi" w:hAnsiTheme="majorBidi" w:cstheme="majorBidi"/>
          <w:sz w:val="20"/>
          <w:szCs w:val="20"/>
          <w:lang w:val="sv-SE"/>
        </w:rPr>
        <w:t xml:space="preserve"> that is not shown in lafadi but there are similarities in meaning. </w:t>
      </w:r>
      <w:r w:rsidRPr="00EB2588">
        <w:rPr>
          <w:rFonts w:asciiTheme="majorBidi" w:hAnsiTheme="majorBidi" w:cstheme="majorBidi"/>
          <w:i/>
          <w:iCs/>
          <w:sz w:val="20"/>
          <w:szCs w:val="20"/>
          <w:lang w:val="sv-SE"/>
        </w:rPr>
        <w:t>Ibid</w:t>
      </w:r>
      <w:r w:rsidRPr="00EB2588">
        <w:rPr>
          <w:rFonts w:asciiTheme="majorBidi" w:hAnsiTheme="majorBidi" w:cstheme="majorBidi"/>
          <w:sz w:val="20"/>
          <w:szCs w:val="20"/>
          <w:lang w:val="sv-SE"/>
        </w:rPr>
        <w:t xml:space="preserve">., p. 147th 148. </w:t>
      </w:r>
      <w:r w:rsidRPr="00EB2588">
        <w:rPr>
          <w:rFonts w:asciiTheme="majorBidi" w:hAnsiTheme="majorBidi" w:cstheme="majorBidi"/>
          <w:i/>
          <w:sz w:val="20"/>
          <w:szCs w:val="20"/>
          <w:lang w:val="sv-SE"/>
        </w:rPr>
        <w:t>M</w:t>
      </w:r>
      <w:r w:rsidRPr="00EB2588">
        <w:rPr>
          <w:rFonts w:asciiTheme="majorBidi" w:hAnsiTheme="majorBidi" w:cstheme="majorBidi"/>
          <w:i/>
          <w:iCs/>
          <w:spacing w:val="-2"/>
          <w:sz w:val="20"/>
          <w:szCs w:val="20"/>
          <w:lang w:val="sv-SE"/>
        </w:rPr>
        <w:t xml:space="preserve">afhum </w:t>
      </w:r>
      <w:r w:rsidRPr="00EB2588">
        <w:rPr>
          <w:rFonts w:asciiTheme="majorBidi" w:hAnsiTheme="majorBidi" w:cstheme="majorBidi"/>
          <w:i/>
          <w:iCs/>
          <w:sz w:val="20"/>
          <w:szCs w:val="20"/>
          <w:lang w:val="sv-SE"/>
        </w:rPr>
        <w:t>muwafaqah</w:t>
      </w:r>
      <w:r w:rsidRPr="00EB2588">
        <w:rPr>
          <w:rFonts w:asciiTheme="majorBidi" w:hAnsiTheme="majorBidi" w:cstheme="majorBidi"/>
          <w:sz w:val="20"/>
          <w:szCs w:val="20"/>
          <w:lang w:val="sv-SE"/>
        </w:rPr>
        <w:t xml:space="preserve"> this as argumentum per-analogian in the method of the invention positive law</w:t>
      </w:r>
      <w:r w:rsidR="00BC7902" w:rsidRPr="00EB2588">
        <w:rPr>
          <w:rFonts w:asciiTheme="majorBidi" w:hAnsiTheme="majorBidi" w:cstheme="majorBidi"/>
          <w:sz w:val="20"/>
          <w:szCs w:val="20"/>
          <w:lang w:val="sv-SE"/>
        </w:rPr>
        <w:t>.</w:t>
      </w:r>
    </w:p>
    <w:p w:rsidR="00BC7902" w:rsidRPr="00EB2588" w:rsidRDefault="00BC7902" w:rsidP="00EB2588">
      <w:pPr>
        <w:pStyle w:val="NoSpacing"/>
        <w:ind w:firstLine="709"/>
        <w:jc w:val="both"/>
        <w:rPr>
          <w:rFonts w:asciiTheme="majorBidi" w:hAnsiTheme="majorBidi" w:cstheme="majorBidi"/>
          <w:spacing w:val="2"/>
          <w:sz w:val="20"/>
          <w:szCs w:val="20"/>
          <w:lang w:val="sv-SE"/>
        </w:rPr>
      </w:pPr>
    </w:p>
  </w:footnote>
  <w:footnote w:id="46">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Mukhalafah understand that establishes the opposite of the law explicitly (manthuq) because there is no law (explicitly). Ibid., P. 148. It is like argumentum a contrario in the method of the invention-positive law</w:t>
      </w:r>
    </w:p>
    <w:p w:rsidR="00BC7902" w:rsidRPr="00EB2588" w:rsidRDefault="00BC7902" w:rsidP="00EB2588">
      <w:pPr>
        <w:pStyle w:val="NoSpacing"/>
        <w:ind w:firstLine="709"/>
        <w:jc w:val="both"/>
        <w:rPr>
          <w:rFonts w:asciiTheme="majorBidi" w:hAnsiTheme="majorBidi" w:cstheme="majorBidi"/>
          <w:spacing w:val="2"/>
          <w:sz w:val="20"/>
          <w:szCs w:val="20"/>
          <w:lang w:val="sv-SE"/>
        </w:rPr>
      </w:pPr>
    </w:p>
  </w:footnote>
  <w:footnote w:id="47">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Qiyas which explains the law of a case that does not exist in the texts with a case law that has been known and defined in the texts for their </w:t>
      </w:r>
      <w:r w:rsidRPr="00EB2588">
        <w:rPr>
          <w:rFonts w:asciiTheme="majorBidi" w:hAnsiTheme="majorBidi" w:cstheme="majorBidi"/>
          <w:i/>
          <w:iCs/>
          <w:sz w:val="20"/>
          <w:szCs w:val="20"/>
        </w:rPr>
        <w:t>illat</w:t>
      </w:r>
      <w:r w:rsidRPr="00EB2588">
        <w:rPr>
          <w:rFonts w:asciiTheme="majorBidi" w:hAnsiTheme="majorBidi" w:cstheme="majorBidi"/>
          <w:sz w:val="20"/>
          <w:szCs w:val="20"/>
        </w:rPr>
        <w:t>.</w:t>
      </w:r>
      <w:r w:rsidRPr="00EB2588">
        <w:rPr>
          <w:rFonts w:asciiTheme="majorBidi" w:hAnsiTheme="majorBidi" w:cstheme="majorBidi"/>
          <w:i/>
          <w:iCs/>
          <w:sz w:val="20"/>
          <w:szCs w:val="20"/>
        </w:rPr>
        <w:t xml:space="preserve"> Ibid</w:t>
      </w:r>
      <w:r w:rsidRPr="00EB2588">
        <w:rPr>
          <w:rFonts w:asciiTheme="majorBidi" w:hAnsiTheme="majorBidi" w:cstheme="majorBidi"/>
          <w:sz w:val="20"/>
          <w:szCs w:val="20"/>
        </w:rPr>
        <w:t>., p. 218.</w:t>
      </w:r>
    </w:p>
    <w:p w:rsidR="00BC7902" w:rsidRPr="00EB2588" w:rsidRDefault="00BC7902" w:rsidP="00EB2588">
      <w:pPr>
        <w:pStyle w:val="NoSpacing"/>
        <w:ind w:firstLine="709"/>
        <w:jc w:val="both"/>
        <w:rPr>
          <w:rFonts w:asciiTheme="majorBidi" w:hAnsiTheme="majorBidi" w:cstheme="majorBidi"/>
          <w:spacing w:val="2"/>
          <w:sz w:val="20"/>
          <w:szCs w:val="20"/>
          <w:lang w:val="sv-SE"/>
        </w:rPr>
      </w:pPr>
    </w:p>
  </w:footnote>
  <w:footnote w:id="48">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i/>
          <w:iCs/>
          <w:sz w:val="20"/>
          <w:szCs w:val="20"/>
        </w:rPr>
        <w:t>Istishlah</w:t>
      </w:r>
      <w:r w:rsidRPr="00EB2588">
        <w:rPr>
          <w:rFonts w:asciiTheme="majorBidi" w:hAnsiTheme="majorBidi" w:cstheme="majorBidi"/>
          <w:sz w:val="20"/>
          <w:szCs w:val="20"/>
        </w:rPr>
        <w:t xml:space="preserve"> which lays down the law based  in </w:t>
      </w:r>
      <w:r w:rsidRPr="00EB2588">
        <w:rPr>
          <w:rFonts w:asciiTheme="majorBidi" w:hAnsiTheme="majorBidi" w:cstheme="majorBidi"/>
          <w:i/>
          <w:iCs/>
          <w:sz w:val="20"/>
          <w:szCs w:val="20"/>
        </w:rPr>
        <w:t>mashlahah</w:t>
      </w:r>
      <w:r w:rsidRPr="00EB2588">
        <w:rPr>
          <w:rFonts w:asciiTheme="majorBidi" w:hAnsiTheme="majorBidi" w:cstheme="majorBidi"/>
          <w:sz w:val="20"/>
          <w:szCs w:val="20"/>
        </w:rPr>
        <w:t xml:space="preserve"> or wisdom. As for the kinds of </w:t>
      </w:r>
      <w:r w:rsidRPr="00EB2588">
        <w:rPr>
          <w:rFonts w:asciiTheme="majorBidi" w:hAnsiTheme="majorBidi" w:cstheme="majorBidi"/>
          <w:i/>
          <w:iCs/>
          <w:sz w:val="20"/>
          <w:szCs w:val="20"/>
        </w:rPr>
        <w:t>mashlahah</w:t>
      </w:r>
      <w:r w:rsidRPr="00EB2588">
        <w:rPr>
          <w:rFonts w:asciiTheme="majorBidi" w:hAnsiTheme="majorBidi" w:cstheme="majorBidi"/>
          <w:sz w:val="20"/>
          <w:szCs w:val="20"/>
        </w:rPr>
        <w:t xml:space="preserve"> ... See </w:t>
      </w:r>
      <w:r w:rsidRPr="00EB2588">
        <w:rPr>
          <w:rFonts w:asciiTheme="majorBidi" w:hAnsiTheme="majorBidi" w:cstheme="majorBidi"/>
          <w:i/>
          <w:iCs/>
          <w:sz w:val="20"/>
          <w:szCs w:val="20"/>
        </w:rPr>
        <w:t>Ibid</w:t>
      </w:r>
      <w:r w:rsidRPr="00EB2588">
        <w:rPr>
          <w:rFonts w:asciiTheme="majorBidi" w:hAnsiTheme="majorBidi" w:cstheme="majorBidi"/>
          <w:sz w:val="20"/>
          <w:szCs w:val="20"/>
        </w:rPr>
        <w:t xml:space="preserve">., </w:t>
      </w:r>
      <w:r w:rsidR="00BC7902" w:rsidRPr="00EB2588">
        <w:rPr>
          <w:rFonts w:asciiTheme="majorBidi" w:hAnsiTheme="majorBidi" w:cstheme="majorBidi"/>
          <w:sz w:val="20"/>
          <w:szCs w:val="20"/>
        </w:rPr>
        <w:t>p.</w:t>
      </w:r>
      <w:r w:rsidRPr="00EB2588">
        <w:rPr>
          <w:rFonts w:asciiTheme="majorBidi" w:hAnsiTheme="majorBidi" w:cstheme="majorBidi"/>
          <w:sz w:val="20"/>
          <w:szCs w:val="20"/>
        </w:rPr>
        <w:t>. 278</w:t>
      </w:r>
    </w:p>
    <w:p w:rsidR="00BC7902" w:rsidRPr="00EB2588" w:rsidRDefault="00BC7902" w:rsidP="00EB2588">
      <w:pPr>
        <w:pStyle w:val="NoSpacing"/>
        <w:ind w:firstLine="709"/>
        <w:jc w:val="both"/>
        <w:rPr>
          <w:rFonts w:asciiTheme="majorBidi" w:hAnsiTheme="majorBidi" w:cstheme="majorBidi"/>
          <w:spacing w:val="2"/>
          <w:sz w:val="20"/>
          <w:szCs w:val="20"/>
          <w:lang w:val="sv-SE"/>
        </w:rPr>
      </w:pPr>
    </w:p>
  </w:footnote>
  <w:footnote w:id="49">
    <w:p w:rsidR="0086482C" w:rsidRPr="00EB2588" w:rsidRDefault="0086482C" w:rsidP="00EB2588">
      <w:pPr>
        <w:pStyle w:val="NoSpacing"/>
        <w:ind w:firstLine="709"/>
        <w:jc w:val="both"/>
        <w:rPr>
          <w:rFonts w:asciiTheme="majorBidi" w:hAnsiTheme="majorBidi" w:cstheme="majorBidi"/>
          <w:sz w:val="20"/>
          <w:szCs w:val="20"/>
          <w:lang w:val="sv-SE"/>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lang w:val="sv-SE"/>
        </w:rPr>
        <w:t>He formulated two steps in the interpretation of the Qur'an, the first, to understand the meaning and significance of a statement by the historical circumstances in which the statement mengakaji A1 Qur'an it down, both the specific situation as well as the macro situation in society, second, to generalize answers specifically as a statement that the aims of moral-social public ... see Fazlur Rahman, Islam and Modernity: A Transfornrasi Intelectual, rather Language Ahsin Muhammad, Cet 2 (Bandung: Pustaka, 1995), p. 7</w:t>
      </w:r>
      <w:r w:rsidR="00BC7902" w:rsidRPr="00EB2588">
        <w:rPr>
          <w:rFonts w:asciiTheme="majorBidi" w:hAnsiTheme="majorBidi" w:cstheme="majorBidi"/>
          <w:sz w:val="20"/>
          <w:szCs w:val="20"/>
          <w:lang w:val="sv-SE"/>
        </w:rPr>
        <w:t>.</w:t>
      </w:r>
    </w:p>
    <w:p w:rsidR="00BC7902" w:rsidRPr="00EB2588" w:rsidRDefault="00BC7902" w:rsidP="00EB2588">
      <w:pPr>
        <w:pStyle w:val="NoSpacing"/>
        <w:ind w:firstLine="709"/>
        <w:jc w:val="both"/>
        <w:rPr>
          <w:rFonts w:asciiTheme="majorBidi" w:hAnsiTheme="majorBidi" w:cstheme="majorBidi"/>
          <w:spacing w:val="2"/>
          <w:sz w:val="20"/>
          <w:szCs w:val="20"/>
          <w:lang w:val="sv-SE"/>
        </w:rPr>
      </w:pPr>
    </w:p>
  </w:footnote>
  <w:footnote w:id="50">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He devides the A1 Quran verses into two parts: verses Makkah containing universal values ​​(the second massage) and the verses of the Medina in the form of practical laws of Islam (the first massage). In his concept pemalikan abrogated verses menasakh Makkah Medina verses. See, Mahmoud Muhammed Taha, The Second Massage of Islam (Ar-Risalah Tsaniyah min al-Islam), rather Language Abdullahi Ahmed An-Naim, (Syracuse: Syracuse University Press, 1985)</w:t>
      </w:r>
      <w:r w:rsidR="00BC7902" w:rsidRPr="00EB2588">
        <w:rPr>
          <w:rFonts w:asciiTheme="majorBidi" w:hAnsiTheme="majorBidi" w:cstheme="majorBidi"/>
          <w:sz w:val="20"/>
          <w:szCs w:val="20"/>
        </w:rPr>
        <w:t>.</w:t>
      </w:r>
    </w:p>
    <w:p w:rsidR="00BC7902" w:rsidRPr="00EB2588" w:rsidRDefault="00BC7902" w:rsidP="00EB2588">
      <w:pPr>
        <w:pStyle w:val="NoSpacing"/>
        <w:ind w:firstLine="709"/>
        <w:jc w:val="both"/>
        <w:rPr>
          <w:rFonts w:asciiTheme="majorBidi" w:hAnsiTheme="majorBidi" w:cstheme="majorBidi"/>
          <w:spacing w:val="-2"/>
          <w:sz w:val="20"/>
          <w:szCs w:val="20"/>
        </w:rPr>
      </w:pPr>
    </w:p>
  </w:footnote>
  <w:footnote w:id="51">
    <w:p w:rsidR="0086482C"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Shahrur formulate a method of interpreting texts by using mathematical theories (graph function). He divides </w:t>
      </w:r>
      <w:r w:rsidRPr="00EB2588">
        <w:rPr>
          <w:rFonts w:asciiTheme="majorBidi" w:hAnsiTheme="majorBidi" w:cstheme="majorBidi"/>
          <w:i/>
          <w:iCs/>
          <w:sz w:val="20"/>
          <w:szCs w:val="20"/>
        </w:rPr>
        <w:t>hudud</w:t>
      </w:r>
      <w:r w:rsidRPr="00EB2588">
        <w:rPr>
          <w:rFonts w:asciiTheme="majorBidi" w:hAnsiTheme="majorBidi" w:cstheme="majorBidi"/>
          <w:sz w:val="20"/>
          <w:szCs w:val="20"/>
        </w:rPr>
        <w:t xml:space="preserve"> / limit to 1) </w:t>
      </w:r>
      <w:r w:rsidRPr="00EB2588">
        <w:rPr>
          <w:rFonts w:asciiTheme="majorBidi" w:hAnsiTheme="majorBidi" w:cstheme="majorBidi"/>
          <w:i/>
          <w:iCs/>
          <w:sz w:val="20"/>
          <w:szCs w:val="20"/>
        </w:rPr>
        <w:t>Al-had al- adna</w:t>
      </w:r>
      <w:r w:rsidRPr="00EB2588">
        <w:rPr>
          <w:rFonts w:asciiTheme="majorBidi" w:hAnsiTheme="majorBidi" w:cstheme="majorBidi"/>
          <w:sz w:val="20"/>
          <w:szCs w:val="20"/>
        </w:rPr>
        <w:t xml:space="preserve"> that limit or lower limit, for example, the verse about marriage (An-Nisa '23), 2} </w:t>
      </w:r>
      <w:r w:rsidRPr="00EB2588">
        <w:rPr>
          <w:rFonts w:asciiTheme="majorBidi" w:hAnsiTheme="majorBidi" w:cstheme="majorBidi"/>
          <w:i/>
          <w:iCs/>
          <w:sz w:val="20"/>
          <w:szCs w:val="20"/>
        </w:rPr>
        <w:t>AI- had al-a'la</w:t>
      </w:r>
      <w:r w:rsidRPr="00EB2588">
        <w:rPr>
          <w:rFonts w:asciiTheme="majorBidi" w:hAnsiTheme="majorBidi" w:cstheme="majorBidi"/>
          <w:sz w:val="20"/>
          <w:szCs w:val="20"/>
        </w:rPr>
        <w:t xml:space="preserve">, with examples of cutting off the hands verse thief (al-Maidah 38), 3} </w:t>
      </w:r>
      <w:r w:rsidRPr="00EB2588">
        <w:rPr>
          <w:rFonts w:asciiTheme="majorBidi" w:hAnsiTheme="majorBidi" w:cstheme="majorBidi"/>
          <w:i/>
          <w:iCs/>
          <w:sz w:val="20"/>
          <w:szCs w:val="20"/>
        </w:rPr>
        <w:t>AI-had adna wa al--a'la</w:t>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Ma'an</w:t>
      </w:r>
      <w:r w:rsidRPr="00EB2588">
        <w:rPr>
          <w:rFonts w:asciiTheme="majorBidi" w:hAnsiTheme="majorBidi" w:cstheme="majorBidi"/>
          <w:sz w:val="20"/>
          <w:szCs w:val="20"/>
        </w:rPr>
        <w:t xml:space="preserve"> by example paragraph heir for boys and girls (An-Nisa '11, 12, 13), where the two is the highest limit for the section boys and one is the lowest limit for the girls section, 4} </w:t>
      </w:r>
      <w:r w:rsidRPr="00EB2588">
        <w:rPr>
          <w:rFonts w:asciiTheme="majorBidi" w:hAnsiTheme="majorBidi" w:cstheme="majorBidi"/>
          <w:i/>
          <w:iCs/>
          <w:sz w:val="20"/>
          <w:szCs w:val="20"/>
          <w:lang w:val="sv-SE"/>
        </w:rPr>
        <w:t xml:space="preserve">AI-had al-a'la wa al had at-adna </w:t>
      </w:r>
      <w:r w:rsidRPr="00EB2588">
        <w:rPr>
          <w:rFonts w:asciiTheme="majorBidi" w:hAnsiTheme="majorBidi" w:cstheme="majorBidi"/>
          <w:sz w:val="20"/>
          <w:szCs w:val="20"/>
        </w:rPr>
        <w:t xml:space="preserve">meet at one point, with sample volumes of verse about law on adultery (An-Nur 2), 5) </w:t>
      </w:r>
      <w:r w:rsidRPr="00EB2588">
        <w:rPr>
          <w:rFonts w:asciiTheme="majorBidi" w:hAnsiTheme="majorBidi" w:cstheme="majorBidi"/>
          <w:i/>
          <w:iCs/>
          <w:sz w:val="20"/>
          <w:szCs w:val="20"/>
        </w:rPr>
        <w:t>Al- had</w:t>
      </w:r>
      <w:r w:rsidRPr="00EB2588">
        <w:rPr>
          <w:rFonts w:asciiTheme="majorBidi" w:hAnsiTheme="majorBidi" w:cstheme="majorBidi"/>
          <w:sz w:val="20"/>
          <w:szCs w:val="20"/>
        </w:rPr>
        <w:t xml:space="preserve"> </w:t>
      </w:r>
      <w:r w:rsidRPr="00EB2588">
        <w:rPr>
          <w:rFonts w:asciiTheme="majorBidi" w:hAnsiTheme="majorBidi" w:cstheme="majorBidi"/>
          <w:i/>
          <w:iCs/>
          <w:sz w:val="20"/>
          <w:szCs w:val="20"/>
        </w:rPr>
        <w:t xml:space="preserve">al-a'la </w:t>
      </w:r>
      <w:r w:rsidRPr="00EB2588">
        <w:rPr>
          <w:rFonts w:asciiTheme="majorBidi" w:hAnsiTheme="majorBidi" w:cstheme="majorBidi"/>
          <w:sz w:val="20"/>
          <w:szCs w:val="20"/>
        </w:rPr>
        <w:t xml:space="preserve">become ynag perpendicular lines, with examples of verses concerning the prohibition to approach adultery (Al-Isra '32) and abominable deeds (Al-An'am 151), and 6} </w:t>
      </w:r>
      <w:r w:rsidRPr="00EB2588">
        <w:rPr>
          <w:rFonts w:asciiTheme="majorBidi" w:hAnsiTheme="majorBidi" w:cstheme="majorBidi"/>
          <w:i/>
          <w:iCs/>
          <w:sz w:val="20"/>
          <w:szCs w:val="20"/>
        </w:rPr>
        <w:t>Al-had  al-a'la</w:t>
      </w:r>
      <w:r w:rsidRPr="00EB2588">
        <w:rPr>
          <w:rFonts w:asciiTheme="majorBidi" w:hAnsiTheme="majorBidi" w:cstheme="majorBidi"/>
          <w:sz w:val="20"/>
          <w:szCs w:val="20"/>
        </w:rPr>
        <w:t xml:space="preserve"> curved can not exceed a point, while the </w:t>
      </w:r>
      <w:r w:rsidRPr="00EB2588">
        <w:rPr>
          <w:rFonts w:asciiTheme="majorBidi" w:hAnsiTheme="majorBidi" w:cstheme="majorBidi"/>
          <w:i/>
          <w:iCs/>
          <w:sz w:val="20"/>
          <w:szCs w:val="20"/>
        </w:rPr>
        <w:t>al- had al-adna</w:t>
      </w:r>
      <w:r w:rsidRPr="00EB2588">
        <w:rPr>
          <w:rFonts w:asciiTheme="majorBidi" w:hAnsiTheme="majorBidi" w:cstheme="majorBidi"/>
          <w:sz w:val="20"/>
          <w:szCs w:val="20"/>
        </w:rPr>
        <w:t xml:space="preserve"> to touch the line, with examples of usury and </w:t>
      </w:r>
      <w:r w:rsidRPr="00EB2588">
        <w:rPr>
          <w:rFonts w:asciiTheme="majorBidi" w:hAnsiTheme="majorBidi" w:cstheme="majorBidi"/>
          <w:i/>
          <w:iCs/>
          <w:sz w:val="20"/>
          <w:szCs w:val="20"/>
        </w:rPr>
        <w:t>Sadaqah</w:t>
      </w:r>
      <w:r w:rsidRPr="00EB2588">
        <w:rPr>
          <w:rFonts w:asciiTheme="majorBidi" w:hAnsiTheme="majorBidi" w:cstheme="majorBidi"/>
          <w:sz w:val="20"/>
          <w:szCs w:val="20"/>
        </w:rPr>
        <w:t xml:space="preserve">, which the usury is forbidden, and described upper limit while Sadaqah recommended and is described by the lowest limit. Shahrur Muhammad, </w:t>
      </w:r>
      <w:r w:rsidRPr="00EB2588">
        <w:rPr>
          <w:rFonts w:asciiTheme="majorBidi" w:hAnsiTheme="majorBidi" w:cstheme="majorBidi"/>
          <w:i/>
          <w:iCs/>
          <w:sz w:val="20"/>
          <w:szCs w:val="20"/>
        </w:rPr>
        <w:t>Al-Kitab wa Al-Qur'an</w:t>
      </w:r>
      <w:r w:rsidRPr="00EB2588">
        <w:rPr>
          <w:rFonts w:asciiTheme="majorBidi" w:hAnsiTheme="majorBidi" w:cstheme="majorBidi"/>
          <w:sz w:val="20"/>
          <w:szCs w:val="20"/>
        </w:rPr>
        <w:t xml:space="preserve">, (Damakus: Dar al-Ahali, 1992), hlm.543 </w:t>
      </w:r>
      <w:r w:rsidR="00EB2588">
        <w:rPr>
          <w:rFonts w:asciiTheme="majorBidi" w:hAnsiTheme="majorBidi" w:cstheme="majorBidi"/>
          <w:sz w:val="20"/>
          <w:szCs w:val="20"/>
        </w:rPr>
        <w:t>–</w:t>
      </w:r>
      <w:r w:rsidRPr="00EB2588">
        <w:rPr>
          <w:rFonts w:asciiTheme="majorBidi" w:hAnsiTheme="majorBidi" w:cstheme="majorBidi"/>
          <w:sz w:val="20"/>
          <w:szCs w:val="20"/>
        </w:rPr>
        <w:t xml:space="preserve"> 464</w:t>
      </w:r>
    </w:p>
    <w:p w:rsidR="00EB2588" w:rsidRPr="00EB2588" w:rsidRDefault="00EB2588" w:rsidP="00EB2588">
      <w:pPr>
        <w:pStyle w:val="NoSpacing"/>
        <w:ind w:firstLine="709"/>
        <w:jc w:val="both"/>
        <w:rPr>
          <w:rFonts w:asciiTheme="majorBidi" w:hAnsiTheme="majorBidi" w:cstheme="majorBidi"/>
          <w:spacing w:val="-2"/>
          <w:sz w:val="20"/>
          <w:szCs w:val="20"/>
          <w:lang w:val="sv-SE"/>
        </w:rPr>
      </w:pPr>
    </w:p>
  </w:footnote>
  <w:footnote w:id="52">
    <w:p w:rsidR="0086482C" w:rsidRPr="00EB2588" w:rsidRDefault="0086482C" w:rsidP="00EB2588">
      <w:pPr>
        <w:pStyle w:val="NoSpacing"/>
        <w:ind w:firstLine="709"/>
        <w:jc w:val="both"/>
        <w:rPr>
          <w:rFonts w:asciiTheme="majorBidi" w:hAnsiTheme="majorBidi" w:cstheme="majorBidi"/>
          <w:sz w:val="20"/>
          <w:szCs w:val="20"/>
          <w:lang w:val="sv-SE"/>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Louay Safi has formulated a framework and measures methodology to integrate normativity (revelation) and reason (empirical), as follows: First, the procedure of inference textual done by: a) identify the text (</w:t>
      </w:r>
      <w:r w:rsidRPr="00EB2588">
        <w:rPr>
          <w:rFonts w:asciiTheme="majorBidi" w:hAnsiTheme="majorBidi" w:cstheme="majorBidi"/>
          <w:i/>
          <w:iCs/>
          <w:sz w:val="20"/>
          <w:szCs w:val="20"/>
        </w:rPr>
        <w:t>nass</w:t>
      </w:r>
      <w:r w:rsidRPr="00EB2588">
        <w:rPr>
          <w:rFonts w:asciiTheme="majorBidi" w:hAnsiTheme="majorBidi" w:cstheme="majorBidi"/>
          <w:sz w:val="20"/>
          <w:szCs w:val="20"/>
        </w:rPr>
        <w:t xml:space="preserve">) which is relevant to the issue, b) understand and interpreting the meaning of the text., c) explain </w:t>
      </w:r>
      <w:r w:rsidRPr="00EB2588">
        <w:rPr>
          <w:rFonts w:asciiTheme="majorBidi" w:hAnsiTheme="majorBidi" w:cstheme="majorBidi"/>
          <w:i/>
          <w:iCs/>
          <w:sz w:val="20"/>
          <w:szCs w:val="20"/>
        </w:rPr>
        <w:t>ta'lil</w:t>
      </w:r>
      <w:r w:rsidRPr="00EB2588">
        <w:rPr>
          <w:rFonts w:asciiTheme="majorBidi" w:hAnsiTheme="majorBidi" w:cstheme="majorBidi"/>
          <w:sz w:val="20"/>
          <w:szCs w:val="20"/>
        </w:rPr>
        <w:t xml:space="preserve"> text, d} build a rule or general concepts derived from the text. Second, the inference procedure historically is to a) analyze the action of individuals in social phenomena discussed, b} classify the various forms of action based on the similarity or difference komponenenya (goals, motives, and rules), c) identifying universal rules that establish interaction among the various action groups, d} systematizing the universal rules. Third, the inference procedure texts and historical inference is then combined with the steps simultaneously, resulting in a systematization of rules derived from the text and action.</w:t>
      </w:r>
    </w:p>
    <w:p w:rsidR="0086482C" w:rsidRPr="00EB2588" w:rsidRDefault="0086482C" w:rsidP="00EB2588">
      <w:pPr>
        <w:pStyle w:val="NoSpacing"/>
        <w:ind w:firstLine="709"/>
        <w:jc w:val="both"/>
        <w:rPr>
          <w:rFonts w:asciiTheme="majorBidi" w:hAnsiTheme="majorBidi" w:cstheme="majorBidi"/>
          <w:sz w:val="20"/>
          <w:szCs w:val="20"/>
        </w:rPr>
      </w:pPr>
    </w:p>
  </w:footnote>
  <w:footnote w:id="53">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Din Samsuddin grouping of Islamic political thought in Indonesia during the New Order into three streams, namely; The first, which tends to maintain the formalistic forms of pre-conception of political Islam for example the importance of Islamic political parties were formally use the name of Islam, the symbols and phrases and idioms Islam, and the foundation of the constitutional organization of Islam. According to him, this group can be seen at the beginning of the New Order as a group that called for a return to the Jakarta Charter. Second, substantivistik which emphasizes the importance of substantial significance and reject formalistic forms of thinking. They emphasize the demands of the manifestations of Islamic values ​​in political activity, not institutional. Third, fundamentalism which tends to lift the back joints of Islam into the political reality now. Mainstream third is thought different from the other two mainstream, and assuming they have failed to show Islam as an answer in response to the political systemIndonesia, Fundamentalist groups in Indonesia is also influenced by the development of fundamentalism in the Islamic world. This group is often described as a splinter group with reactionary political stance, against the rulers and offer some sort of alternative. The group stressed the transformative character of Islam, they also support the transformation of society, both revolutionary and evolutionary. Samsuddin M. Din, Islam and Politics ..., p. 152- 160</w:t>
      </w:r>
    </w:p>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Fonts w:asciiTheme="majorBidi" w:hAnsiTheme="majorBidi" w:cstheme="majorBidi"/>
          <w:sz w:val="20"/>
          <w:szCs w:val="20"/>
        </w:rPr>
        <w:t>Bahtiar Effendy see two spectrum of Islamic political thought, namely; The first is that Islam should be the basis of the state, shari'a should be accepted as the constitution of the state, the nation-state (nation-state) contradicts the concept of ummah that knows no political boundaries and regionalism, the concept of democracy is not the same as the principles shura, and sebagaianya. Which is included in the categories of thought are Rashid Rida, Sayyid Qutb, Abul A'la Al-Mawdudi and Ali An Nadwi. See Erwin IJ Rosenthal, Islam in the Modern Nation-State, was quoted by Bahtiar Effendy, Islam and the State ..., p. 12</w:t>
      </w:r>
    </w:p>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r w:rsidRPr="00EB2588">
        <w:rPr>
          <w:rFonts w:asciiTheme="majorBidi" w:hAnsiTheme="majorBidi" w:cstheme="majorBidi"/>
          <w:sz w:val="20"/>
          <w:szCs w:val="20"/>
        </w:rPr>
        <w:t xml:space="preserve">In a few sentences Bahtiar use and formal legal term for a spectrum mention this idea. Second, the idea that Islam does not lay down a standard pattern of the theory of the state or political system must be implemented by Muslims, but the Qur'an contains the values ​​and teachings that are ethical about the social and political activity of mankind. These teachings include the principles of justice, equality, fraternity and liberty. Proponents of this idea is Muhammad Husain Haikal, Fazlur Rahman and Qamaruddin Khan. </w:t>
      </w:r>
      <w:r w:rsidRPr="00EB2588">
        <w:rPr>
          <w:rFonts w:asciiTheme="majorBidi" w:hAnsiTheme="majorBidi" w:cstheme="majorBidi"/>
          <w:i/>
          <w:iCs/>
          <w:sz w:val="20"/>
          <w:szCs w:val="20"/>
        </w:rPr>
        <w:t>Ibid</w:t>
      </w:r>
      <w:r w:rsidRPr="00EB2588">
        <w:rPr>
          <w:rFonts w:asciiTheme="majorBidi" w:hAnsiTheme="majorBidi" w:cstheme="majorBidi"/>
          <w:sz w:val="20"/>
          <w:szCs w:val="20"/>
        </w:rPr>
        <w:t>., p. 14. This idea is called the substantial thinking. This type of grouping is also used in research on Islamic political thought in Indonesia.</w:t>
      </w:r>
    </w:p>
    <w:p w:rsidR="0086482C" w:rsidRPr="00EB2588" w:rsidRDefault="0086482C" w:rsidP="00EB2588">
      <w:pPr>
        <w:pStyle w:val="NoSpacing"/>
        <w:ind w:firstLine="709"/>
        <w:jc w:val="both"/>
        <w:rPr>
          <w:rFonts w:asciiTheme="majorBidi" w:hAnsiTheme="majorBidi" w:cstheme="majorBidi"/>
          <w:sz w:val="20"/>
          <w:szCs w:val="20"/>
        </w:rPr>
      </w:pPr>
    </w:p>
    <w:p w:rsidR="0086482C" w:rsidRPr="00EB2588" w:rsidRDefault="0086482C" w:rsidP="00EB2588">
      <w:pPr>
        <w:pStyle w:val="NoSpacing"/>
        <w:ind w:firstLine="709"/>
        <w:jc w:val="both"/>
        <w:rPr>
          <w:rFonts w:asciiTheme="majorBidi" w:hAnsiTheme="majorBidi" w:cstheme="majorBidi"/>
          <w:sz w:val="20"/>
          <w:szCs w:val="20"/>
        </w:rPr>
      </w:pPr>
    </w:p>
  </w:footnote>
  <w:footnote w:id="54">
    <w:p w:rsidR="0086482C"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Satjipto Raharjo, </w:t>
      </w:r>
      <w:r w:rsidRPr="00EB2588">
        <w:rPr>
          <w:rFonts w:asciiTheme="majorBidi" w:hAnsiTheme="majorBidi" w:cstheme="majorBidi"/>
          <w:i/>
          <w:iCs/>
          <w:sz w:val="20"/>
          <w:szCs w:val="20"/>
          <w:lang w:val="sv-SE"/>
        </w:rPr>
        <w:t>Ilmu Hukum</w:t>
      </w:r>
      <w:r w:rsidRPr="00EB2588">
        <w:rPr>
          <w:rFonts w:asciiTheme="majorBidi" w:hAnsiTheme="majorBidi" w:cstheme="majorBidi"/>
          <w:sz w:val="20"/>
          <w:szCs w:val="20"/>
          <w:lang w:val="sv-SE"/>
        </w:rPr>
        <w:t>,</w:t>
      </w:r>
      <w:r w:rsidRPr="00EB2588">
        <w:rPr>
          <w:rFonts w:asciiTheme="majorBidi" w:hAnsiTheme="majorBidi" w:cstheme="majorBidi"/>
          <w:sz w:val="20"/>
          <w:szCs w:val="20"/>
        </w:rPr>
        <w:t xml:space="preserve"> (Bandung:</w:t>
      </w:r>
      <w:r w:rsidRPr="00EB2588">
        <w:rPr>
          <w:rFonts w:asciiTheme="majorBidi" w:hAnsiTheme="majorBidi" w:cstheme="majorBidi"/>
          <w:sz w:val="20"/>
          <w:szCs w:val="20"/>
          <w:lang w:val="sv-SE"/>
        </w:rPr>
        <w:t xml:space="preserve"> Angkasa</w:t>
      </w:r>
      <w:r w:rsidRPr="00EB2588">
        <w:rPr>
          <w:rFonts w:asciiTheme="majorBidi" w:hAnsiTheme="majorBidi" w:cstheme="majorBidi"/>
          <w:sz w:val="20"/>
          <w:szCs w:val="20"/>
        </w:rPr>
        <w:t>, 1880), p. 65- 66</w:t>
      </w:r>
      <w:r w:rsidR="00EB2588">
        <w:rPr>
          <w:rFonts w:asciiTheme="majorBidi" w:hAnsiTheme="majorBidi" w:cstheme="majorBidi"/>
          <w:sz w:val="20"/>
          <w:szCs w:val="20"/>
        </w:rPr>
        <w:t>.</w:t>
      </w:r>
    </w:p>
    <w:p w:rsidR="00EB2588" w:rsidRPr="00EB2588" w:rsidRDefault="00EB2588" w:rsidP="00EB2588">
      <w:pPr>
        <w:pStyle w:val="NoSpacing"/>
        <w:ind w:firstLine="709"/>
        <w:jc w:val="both"/>
        <w:rPr>
          <w:rFonts w:asciiTheme="majorBidi" w:hAnsiTheme="majorBidi" w:cstheme="majorBidi"/>
          <w:sz w:val="20"/>
          <w:szCs w:val="20"/>
          <w:lang w:val="sv-SE"/>
        </w:rPr>
      </w:pPr>
    </w:p>
  </w:footnote>
  <w:footnote w:id="55">
    <w:p w:rsidR="0086482C" w:rsidRPr="00EB2588" w:rsidRDefault="0086482C" w:rsidP="00EB2588">
      <w:pPr>
        <w:pStyle w:val="NoSpacing"/>
        <w:ind w:firstLine="709"/>
        <w:jc w:val="both"/>
        <w:rPr>
          <w:rFonts w:asciiTheme="majorBidi" w:hAnsiTheme="majorBidi" w:cstheme="majorBidi"/>
          <w:sz w:val="20"/>
          <w:szCs w:val="20"/>
          <w:lang w:val="sv-SE"/>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 xml:space="preserve"> Suryono Sukanto, </w:t>
      </w:r>
      <w:r w:rsidRPr="00EB2588">
        <w:rPr>
          <w:rFonts w:asciiTheme="majorBidi" w:hAnsiTheme="majorBidi" w:cstheme="majorBidi"/>
          <w:i/>
          <w:iCs/>
          <w:spacing w:val="-2"/>
          <w:sz w:val="20"/>
          <w:szCs w:val="20"/>
          <w:lang w:val="sv-SE"/>
        </w:rPr>
        <w:t>Kegunaan Sosiologi Hukum bagi Kajian Hukum</w:t>
      </w:r>
      <w:r w:rsidRPr="00EB2588">
        <w:rPr>
          <w:rFonts w:asciiTheme="majorBidi" w:hAnsiTheme="majorBidi" w:cstheme="majorBidi"/>
          <w:sz w:val="20"/>
          <w:szCs w:val="20"/>
        </w:rPr>
        <w:t xml:space="preserve"> (Bandung: Citra Aditya Bakti, 1991), p. 57.</w:t>
      </w:r>
    </w:p>
    <w:p w:rsidR="0086482C" w:rsidRPr="00EB2588" w:rsidRDefault="0086482C" w:rsidP="00EB2588">
      <w:pPr>
        <w:pStyle w:val="NoSpacing"/>
        <w:ind w:firstLine="709"/>
        <w:jc w:val="both"/>
        <w:rPr>
          <w:rFonts w:asciiTheme="majorBidi" w:hAnsiTheme="majorBidi" w:cstheme="majorBidi"/>
          <w:sz w:val="20"/>
          <w:szCs w:val="20"/>
        </w:rPr>
      </w:pPr>
    </w:p>
  </w:footnote>
  <w:footnote w:id="56">
    <w:p w:rsidR="0086482C" w:rsidRPr="00EB2588" w:rsidRDefault="0086482C" w:rsidP="00EB2588">
      <w:pPr>
        <w:pStyle w:val="NoSpacing"/>
        <w:ind w:firstLine="709"/>
        <w:jc w:val="both"/>
        <w:rPr>
          <w:rFonts w:asciiTheme="majorBidi" w:hAnsiTheme="majorBidi" w:cstheme="majorBidi"/>
          <w:sz w:val="20"/>
          <w:szCs w:val="20"/>
        </w:rPr>
      </w:pPr>
      <w:r w:rsidRPr="00EB2588">
        <w:rPr>
          <w:rStyle w:val="FootnoteReference"/>
          <w:rFonts w:asciiTheme="majorBidi" w:hAnsiTheme="majorBidi" w:cstheme="majorBidi"/>
          <w:sz w:val="20"/>
          <w:szCs w:val="20"/>
        </w:rPr>
        <w:footnoteRef/>
      </w:r>
      <w:r w:rsidRPr="00EB2588">
        <w:rPr>
          <w:rFonts w:asciiTheme="majorBidi" w:hAnsiTheme="majorBidi" w:cstheme="majorBidi"/>
          <w:sz w:val="20"/>
          <w:szCs w:val="20"/>
        </w:rPr>
        <w:t>Pursuant to Article 5 UUD 1945 (before amendment) which said that the president holds the power to make legislation to parliamentary approval; and Article 21 that 1) the members of the House of Representatives has the right to submit a draft law; 2) if the draft law, although approved by the House, is not authorized by the President, the draft had advanced further in the trial must not Parliament that period.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7F02"/>
    <w:multiLevelType w:val="hybridMultilevel"/>
    <w:tmpl w:val="D11A7A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2D954A1"/>
    <w:multiLevelType w:val="hybridMultilevel"/>
    <w:tmpl w:val="CED8BBC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9E4A1C"/>
    <w:multiLevelType w:val="hybridMultilevel"/>
    <w:tmpl w:val="9EE08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A5403"/>
    <w:multiLevelType w:val="hybridMultilevel"/>
    <w:tmpl w:val="16284872"/>
    <w:lvl w:ilvl="0" w:tplc="B48E5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8544BC"/>
    <w:multiLevelType w:val="hybridMultilevel"/>
    <w:tmpl w:val="A8763F3C"/>
    <w:lvl w:ilvl="0" w:tplc="39AE54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A93FE2"/>
    <w:multiLevelType w:val="hybridMultilevel"/>
    <w:tmpl w:val="18802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A2394"/>
    <w:multiLevelType w:val="hybridMultilevel"/>
    <w:tmpl w:val="6B3C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E46D6"/>
    <w:multiLevelType w:val="hybridMultilevel"/>
    <w:tmpl w:val="E7100FC4"/>
    <w:lvl w:ilvl="0" w:tplc="32985C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C2463"/>
    <w:multiLevelType w:val="hybridMultilevel"/>
    <w:tmpl w:val="FA2AE5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27A52"/>
    <w:multiLevelType w:val="hybridMultilevel"/>
    <w:tmpl w:val="98FA13C4"/>
    <w:lvl w:ilvl="0" w:tplc="8E909C4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nsid w:val="74F70864"/>
    <w:multiLevelType w:val="hybridMultilevel"/>
    <w:tmpl w:val="D946D8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9"/>
  </w:num>
  <w:num w:numId="4">
    <w:abstractNumId w:val="0"/>
  </w:num>
  <w:num w:numId="5">
    <w:abstractNumId w:val="1"/>
  </w:num>
  <w:num w:numId="6">
    <w:abstractNumId w:val="7"/>
  </w:num>
  <w:num w:numId="7">
    <w:abstractNumId w:val="4"/>
  </w:num>
  <w:num w:numId="8">
    <w:abstractNumId w:val="10"/>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2F3E"/>
    <w:rsid w:val="00002F60"/>
    <w:rsid w:val="00014263"/>
    <w:rsid w:val="00020B39"/>
    <w:rsid w:val="000256AC"/>
    <w:rsid w:val="000259E6"/>
    <w:rsid w:val="0003052A"/>
    <w:rsid w:val="000512FA"/>
    <w:rsid w:val="00082F3E"/>
    <w:rsid w:val="000A1AFB"/>
    <w:rsid w:val="000B702C"/>
    <w:rsid w:val="000D1513"/>
    <w:rsid w:val="000E3C09"/>
    <w:rsid w:val="00131310"/>
    <w:rsid w:val="00131BC7"/>
    <w:rsid w:val="00141CB9"/>
    <w:rsid w:val="00150AC3"/>
    <w:rsid w:val="001519B8"/>
    <w:rsid w:val="001609EC"/>
    <w:rsid w:val="001B5DC2"/>
    <w:rsid w:val="001C3647"/>
    <w:rsid w:val="001E06A8"/>
    <w:rsid w:val="001F14FC"/>
    <w:rsid w:val="001F2D39"/>
    <w:rsid w:val="00201144"/>
    <w:rsid w:val="002100EB"/>
    <w:rsid w:val="00247556"/>
    <w:rsid w:val="00297514"/>
    <w:rsid w:val="002A410A"/>
    <w:rsid w:val="002E3FEE"/>
    <w:rsid w:val="0035257F"/>
    <w:rsid w:val="003923A4"/>
    <w:rsid w:val="003A2B7B"/>
    <w:rsid w:val="003C235B"/>
    <w:rsid w:val="003F6793"/>
    <w:rsid w:val="004063CD"/>
    <w:rsid w:val="00411889"/>
    <w:rsid w:val="00425E85"/>
    <w:rsid w:val="0045165D"/>
    <w:rsid w:val="004C1981"/>
    <w:rsid w:val="004C3D0B"/>
    <w:rsid w:val="004D3E93"/>
    <w:rsid w:val="004D625D"/>
    <w:rsid w:val="004E0ED2"/>
    <w:rsid w:val="005058E9"/>
    <w:rsid w:val="005501D7"/>
    <w:rsid w:val="0055454A"/>
    <w:rsid w:val="00575E6F"/>
    <w:rsid w:val="005877BA"/>
    <w:rsid w:val="00594395"/>
    <w:rsid w:val="005A4636"/>
    <w:rsid w:val="005A4ECD"/>
    <w:rsid w:val="005B3DEA"/>
    <w:rsid w:val="005B4068"/>
    <w:rsid w:val="005B4746"/>
    <w:rsid w:val="005B5DB8"/>
    <w:rsid w:val="00624369"/>
    <w:rsid w:val="00631709"/>
    <w:rsid w:val="006374D8"/>
    <w:rsid w:val="006633B3"/>
    <w:rsid w:val="00663736"/>
    <w:rsid w:val="00686F06"/>
    <w:rsid w:val="00687E17"/>
    <w:rsid w:val="006D3DEE"/>
    <w:rsid w:val="006E14D3"/>
    <w:rsid w:val="006E2BA3"/>
    <w:rsid w:val="006F0048"/>
    <w:rsid w:val="006F1947"/>
    <w:rsid w:val="006F3B53"/>
    <w:rsid w:val="00721457"/>
    <w:rsid w:val="0072655D"/>
    <w:rsid w:val="007316E7"/>
    <w:rsid w:val="00740E63"/>
    <w:rsid w:val="007420EC"/>
    <w:rsid w:val="007429A7"/>
    <w:rsid w:val="00767705"/>
    <w:rsid w:val="007746DB"/>
    <w:rsid w:val="00786EFF"/>
    <w:rsid w:val="007974BE"/>
    <w:rsid w:val="007C6F1E"/>
    <w:rsid w:val="007E5419"/>
    <w:rsid w:val="007F1500"/>
    <w:rsid w:val="007F6709"/>
    <w:rsid w:val="00803C01"/>
    <w:rsid w:val="0083668D"/>
    <w:rsid w:val="00842FD7"/>
    <w:rsid w:val="008449AC"/>
    <w:rsid w:val="0086482C"/>
    <w:rsid w:val="00872770"/>
    <w:rsid w:val="0088620C"/>
    <w:rsid w:val="008B07C5"/>
    <w:rsid w:val="008B6D22"/>
    <w:rsid w:val="008B7590"/>
    <w:rsid w:val="008C092A"/>
    <w:rsid w:val="008D6844"/>
    <w:rsid w:val="008E687E"/>
    <w:rsid w:val="008F7D24"/>
    <w:rsid w:val="00903A45"/>
    <w:rsid w:val="00943F29"/>
    <w:rsid w:val="009533A9"/>
    <w:rsid w:val="00963B34"/>
    <w:rsid w:val="009728C8"/>
    <w:rsid w:val="00973594"/>
    <w:rsid w:val="009A0DE7"/>
    <w:rsid w:val="009A4AC5"/>
    <w:rsid w:val="009A70FA"/>
    <w:rsid w:val="009B3F2A"/>
    <w:rsid w:val="009D0857"/>
    <w:rsid w:val="009D5559"/>
    <w:rsid w:val="009F3A10"/>
    <w:rsid w:val="00A2697B"/>
    <w:rsid w:val="00A308D8"/>
    <w:rsid w:val="00A3228F"/>
    <w:rsid w:val="00A32950"/>
    <w:rsid w:val="00A56C41"/>
    <w:rsid w:val="00AB5B76"/>
    <w:rsid w:val="00AD202A"/>
    <w:rsid w:val="00B05F6C"/>
    <w:rsid w:val="00B14915"/>
    <w:rsid w:val="00B16A83"/>
    <w:rsid w:val="00B55B0E"/>
    <w:rsid w:val="00B967F5"/>
    <w:rsid w:val="00BC7902"/>
    <w:rsid w:val="00BD1930"/>
    <w:rsid w:val="00BD2B1F"/>
    <w:rsid w:val="00BF0E77"/>
    <w:rsid w:val="00C0093D"/>
    <w:rsid w:val="00C04792"/>
    <w:rsid w:val="00C24684"/>
    <w:rsid w:val="00C46833"/>
    <w:rsid w:val="00CA1823"/>
    <w:rsid w:val="00CA530E"/>
    <w:rsid w:val="00CB55BC"/>
    <w:rsid w:val="00CB6E1C"/>
    <w:rsid w:val="00CC3005"/>
    <w:rsid w:val="00CC50E3"/>
    <w:rsid w:val="00CD7AAA"/>
    <w:rsid w:val="00CF1820"/>
    <w:rsid w:val="00CF1A64"/>
    <w:rsid w:val="00D01F5C"/>
    <w:rsid w:val="00D0585C"/>
    <w:rsid w:val="00D61E5F"/>
    <w:rsid w:val="00D81A6D"/>
    <w:rsid w:val="00DB315D"/>
    <w:rsid w:val="00DB40E4"/>
    <w:rsid w:val="00DD0546"/>
    <w:rsid w:val="00E27D76"/>
    <w:rsid w:val="00E34441"/>
    <w:rsid w:val="00E63925"/>
    <w:rsid w:val="00E63EF7"/>
    <w:rsid w:val="00E749A0"/>
    <w:rsid w:val="00EB0110"/>
    <w:rsid w:val="00EB2588"/>
    <w:rsid w:val="00EC2DEB"/>
    <w:rsid w:val="00ED587B"/>
    <w:rsid w:val="00EE2420"/>
    <w:rsid w:val="00EF109A"/>
    <w:rsid w:val="00EF1831"/>
    <w:rsid w:val="00F11218"/>
    <w:rsid w:val="00F43E29"/>
    <w:rsid w:val="00F67B0E"/>
    <w:rsid w:val="00F67DE1"/>
    <w:rsid w:val="00F67E8E"/>
    <w:rsid w:val="00F94CEF"/>
    <w:rsid w:val="00F9619E"/>
    <w:rsid w:val="00FB4EAE"/>
    <w:rsid w:val="00FC701A"/>
    <w:rsid w:val="00FD3139"/>
    <w:rsid w:val="00FD6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EC34A-D937-4F16-B505-03A2D209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93D"/>
  </w:style>
  <w:style w:type="paragraph" w:styleId="Heading1">
    <w:name w:val="heading 1"/>
    <w:basedOn w:val="Normal"/>
    <w:next w:val="Normal"/>
    <w:link w:val="Heading1Char"/>
    <w:qFormat/>
    <w:rsid w:val="00082F3E"/>
    <w:pPr>
      <w:keepNext/>
      <w:spacing w:after="0" w:line="36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F3E"/>
    <w:pPr>
      <w:ind w:left="720"/>
      <w:contextualSpacing/>
    </w:pPr>
  </w:style>
  <w:style w:type="paragraph" w:styleId="FootnoteText">
    <w:name w:val="footnote text"/>
    <w:basedOn w:val="Normal"/>
    <w:link w:val="FootnoteTextChar"/>
    <w:semiHidden/>
    <w:rsid w:val="00082F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82F3E"/>
    <w:rPr>
      <w:rFonts w:ascii="Times New Roman" w:eastAsia="Times New Roman" w:hAnsi="Times New Roman" w:cs="Times New Roman"/>
      <w:sz w:val="20"/>
      <w:szCs w:val="20"/>
    </w:rPr>
  </w:style>
  <w:style w:type="character" w:styleId="FootnoteReference">
    <w:name w:val="footnote reference"/>
    <w:basedOn w:val="DefaultParagraphFont"/>
    <w:semiHidden/>
    <w:rsid w:val="00082F3E"/>
    <w:rPr>
      <w:vertAlign w:val="superscript"/>
    </w:rPr>
  </w:style>
  <w:style w:type="paragraph" w:styleId="BodyTextIndent">
    <w:name w:val="Body Text Indent"/>
    <w:basedOn w:val="Normal"/>
    <w:link w:val="BodyTextIndentChar"/>
    <w:rsid w:val="00082F3E"/>
    <w:pPr>
      <w:spacing w:after="0" w:line="360" w:lineRule="auto"/>
      <w:ind w:firstLine="9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82F3E"/>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82F3E"/>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082F3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2F3E"/>
    <w:rPr>
      <w:sz w:val="16"/>
      <w:szCs w:val="16"/>
    </w:rPr>
  </w:style>
  <w:style w:type="paragraph" w:styleId="NoSpacing">
    <w:name w:val="No Spacing"/>
    <w:uiPriority w:val="1"/>
    <w:qFormat/>
    <w:rsid w:val="00FB4EAE"/>
    <w:pPr>
      <w:spacing w:after="0" w:line="240" w:lineRule="auto"/>
    </w:pPr>
  </w:style>
  <w:style w:type="paragraph" w:styleId="BodyTextIndent2">
    <w:name w:val="Body Text Indent 2"/>
    <w:basedOn w:val="Normal"/>
    <w:link w:val="BodyTextIndent2Char"/>
    <w:uiPriority w:val="99"/>
    <w:semiHidden/>
    <w:unhideWhenUsed/>
    <w:rsid w:val="006F1947"/>
    <w:pPr>
      <w:spacing w:after="120" w:line="480" w:lineRule="auto"/>
      <w:ind w:left="360"/>
    </w:pPr>
  </w:style>
  <w:style w:type="character" w:customStyle="1" w:styleId="BodyTextIndent2Char">
    <w:name w:val="Body Text Indent 2 Char"/>
    <w:basedOn w:val="DefaultParagraphFont"/>
    <w:link w:val="BodyTextIndent2"/>
    <w:uiPriority w:val="99"/>
    <w:semiHidden/>
    <w:rsid w:val="006F1947"/>
  </w:style>
  <w:style w:type="paragraph" w:styleId="Header">
    <w:name w:val="header"/>
    <w:basedOn w:val="Normal"/>
    <w:link w:val="HeaderChar"/>
    <w:uiPriority w:val="99"/>
    <w:semiHidden/>
    <w:unhideWhenUsed/>
    <w:rsid w:val="00BC79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7902"/>
  </w:style>
  <w:style w:type="paragraph" w:styleId="Footer">
    <w:name w:val="footer"/>
    <w:basedOn w:val="Normal"/>
    <w:link w:val="FooterChar"/>
    <w:uiPriority w:val="99"/>
    <w:unhideWhenUsed/>
    <w:rsid w:val="00BC7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902"/>
  </w:style>
  <w:style w:type="character" w:styleId="Hyperlink">
    <w:name w:val="Hyperlink"/>
    <w:basedOn w:val="DefaultParagraphFont"/>
    <w:uiPriority w:val="99"/>
    <w:unhideWhenUsed/>
    <w:rsid w:val="008F7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wahyuni1@uinsuk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n-n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BDFE7-BF93-4927-8FDE-A1BAC41F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31</Pages>
  <Words>6559</Words>
  <Characters>37389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suka news</Company>
  <LinksUpToDate>false</LinksUpToDate>
  <CharactersWithSpaces>43861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83</cp:revision>
  <cp:lastPrinted>2016-08-10T04:32:00Z</cp:lastPrinted>
  <dcterms:created xsi:type="dcterms:W3CDTF">2016-08-05T09:01:00Z</dcterms:created>
  <dcterms:modified xsi:type="dcterms:W3CDTF">2022-09-27T04:36:00Z</dcterms:modified>
</cp:coreProperties>
</file>