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BFCF3"/>
  <w:body>
    <w:p w14:paraId="05DC6552" w14:textId="77777777" w:rsidR="00F81CDC" w:rsidRDefault="00426A11" w:rsidP="00F81CDC">
      <w:pPr>
        <w:pStyle w:val="Header"/>
        <w:tabs>
          <w:tab w:val="clear" w:pos="9360"/>
        </w:tabs>
        <w:jc w:val="right"/>
        <w:rPr>
          <w:rFonts w:ascii="Edwardian Script ITC" w:hAnsi="Edwardian Script ITC"/>
          <w:color w:val="000000" w:themeColor="text1"/>
          <w:sz w:val="18"/>
          <w:szCs w:val="62"/>
          <w:lang w:val="id-ID"/>
          <w14:textOutline w14:w="9525" w14:cap="rnd" w14:cmpd="sng" w14:algn="ctr">
            <w14:solidFill>
              <w14:schemeClr w14:val="tx1"/>
            </w14:solidFill>
            <w14:prstDash w14:val="solid"/>
            <w14:bevel/>
          </w14:textOutline>
        </w:rPr>
      </w:pPr>
      <w:bookmarkStart w:id="0" w:name="_Toc292564709"/>
      <w:bookmarkStart w:id="1" w:name="_Toc1"/>
      <w:r w:rsidRPr="00F81CDC">
        <w:rPr>
          <w:rFonts w:ascii="Book Antiqua" w:hAnsi="Book Antiqua" w:cs="Calibri"/>
          <w:b/>
          <w:iCs/>
          <w:noProof/>
          <w:color w:val="000000" w:themeColor="text1"/>
          <w:sz w:val="4"/>
          <w:lang w:bidi="ar-SA"/>
        </w:rPr>
        <w:drawing>
          <wp:anchor distT="0" distB="0" distL="114300" distR="114300" simplePos="0" relativeHeight="251685888" behindDoc="0" locked="0" layoutInCell="1" allowOverlap="1" wp14:anchorId="7B54EC3C" wp14:editId="03F7A10D">
            <wp:simplePos x="0" y="0"/>
            <wp:positionH relativeFrom="column">
              <wp:posOffset>-729615</wp:posOffset>
            </wp:positionH>
            <wp:positionV relativeFrom="paragraph">
              <wp:posOffset>-381635</wp:posOffset>
            </wp:positionV>
            <wp:extent cx="7809865" cy="563857"/>
            <wp:effectExtent l="0" t="0" r="635" b="8255"/>
            <wp:wrapNone/>
            <wp:docPr id="3" name="Picture 3" descr="E:\FileKu\JURNAL FH UNPATTI\BALLREV\Cover Template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leKu\JURNAL FH UNPATTI\BALLREV\Cover Template BALLRE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9865" cy="563857"/>
                    </a:xfrm>
                    <a:prstGeom prst="rect">
                      <a:avLst/>
                    </a:prstGeom>
                    <a:noFill/>
                    <a:ln>
                      <a:noFill/>
                    </a:ln>
                  </pic:spPr>
                </pic:pic>
              </a:graphicData>
            </a:graphic>
            <wp14:sizeRelH relativeFrom="page">
              <wp14:pctWidth>0</wp14:pctWidth>
            </wp14:sizeRelH>
            <wp14:sizeRelV relativeFrom="page">
              <wp14:pctHeight>0</wp14:pctHeight>
            </wp14:sizeRelV>
          </wp:anchor>
        </w:drawing>
      </w:r>
      <w:r w:rsidR="008B27B9" w:rsidRPr="00F81CDC">
        <w:rPr>
          <w:rFonts w:ascii="Edwardian Script ITC" w:hAnsi="Edwardian Script ITC"/>
          <w:color w:val="000000" w:themeColor="text1"/>
          <w:sz w:val="18"/>
          <w:szCs w:val="62"/>
          <w:lang w:val="id-ID"/>
          <w14:textOutline w14:w="9525" w14:cap="rnd" w14:cmpd="sng" w14:algn="ctr">
            <w14:solidFill>
              <w14:schemeClr w14:val="tx1"/>
            </w14:solidFill>
            <w14:prstDash w14:val="solid"/>
            <w14:bevel/>
          </w14:textOutline>
        </w:rPr>
        <w:tab/>
      </w:r>
    </w:p>
    <w:p w14:paraId="7327A4F9" w14:textId="77777777" w:rsidR="00D34C69" w:rsidRDefault="00A2185A" w:rsidP="00F81CDC">
      <w:pPr>
        <w:pStyle w:val="Header"/>
        <w:tabs>
          <w:tab w:val="clear" w:pos="9360"/>
        </w:tabs>
        <w:spacing w:before="120"/>
        <w:jc w:val="right"/>
        <w:rPr>
          <w:rFonts w:ascii="Book Antiqua" w:hAnsi="Book Antiqua" w:cstheme="majorHAnsi"/>
          <w:color w:val="000000" w:themeColor="text1"/>
          <w:sz w:val="20"/>
          <w:szCs w:val="20"/>
        </w:rPr>
      </w:pPr>
      <w:r>
        <w:rPr>
          <w:rFonts w:ascii="Book Antiqua" w:hAnsi="Book Antiqua" w:cstheme="majorHAnsi"/>
          <w:color w:val="000000" w:themeColor="text1"/>
          <w:sz w:val="20"/>
          <w:szCs w:val="20"/>
        </w:rPr>
        <w:t xml:space="preserve">Volume </w:t>
      </w:r>
      <w:r w:rsidR="002D6A51">
        <w:rPr>
          <w:rFonts w:ascii="Book Antiqua" w:hAnsi="Book Antiqua" w:cstheme="majorHAnsi"/>
          <w:color w:val="000000" w:themeColor="text1"/>
          <w:sz w:val="20"/>
          <w:szCs w:val="20"/>
        </w:rPr>
        <w:t>X</w:t>
      </w:r>
      <w:r w:rsidR="001C2D0B">
        <w:rPr>
          <w:rFonts w:ascii="Book Antiqua" w:hAnsi="Book Antiqua" w:cstheme="majorHAnsi"/>
          <w:color w:val="000000" w:themeColor="text1"/>
          <w:sz w:val="20"/>
          <w:szCs w:val="20"/>
        </w:rPr>
        <w:t xml:space="preserve"> Issue</w:t>
      </w:r>
      <w:r w:rsidR="00637392">
        <w:rPr>
          <w:rFonts w:ascii="Book Antiqua" w:hAnsi="Book Antiqua" w:cstheme="majorHAnsi"/>
          <w:color w:val="000000" w:themeColor="text1"/>
          <w:sz w:val="20"/>
          <w:szCs w:val="20"/>
        </w:rPr>
        <w:t xml:space="preserve"> </w:t>
      </w:r>
      <w:r w:rsidR="002D6A51">
        <w:rPr>
          <w:rFonts w:ascii="Book Antiqua" w:hAnsi="Book Antiqua" w:cstheme="majorHAnsi"/>
          <w:color w:val="000000" w:themeColor="text1"/>
          <w:sz w:val="20"/>
          <w:szCs w:val="20"/>
        </w:rPr>
        <w:t xml:space="preserve">X, </w:t>
      </w:r>
      <w:proofErr w:type="spellStart"/>
      <w:r w:rsidR="002D6A51">
        <w:rPr>
          <w:rFonts w:ascii="Book Antiqua" w:hAnsi="Book Antiqua" w:cstheme="majorHAnsi"/>
          <w:color w:val="000000" w:themeColor="text1"/>
          <w:sz w:val="20"/>
          <w:szCs w:val="20"/>
        </w:rPr>
        <w:t>Bulan</w:t>
      </w:r>
      <w:proofErr w:type="spellEnd"/>
      <w:r w:rsidR="00637392">
        <w:rPr>
          <w:rFonts w:ascii="Book Antiqua" w:hAnsi="Book Antiqua" w:cstheme="majorHAnsi"/>
          <w:color w:val="000000" w:themeColor="text1"/>
          <w:sz w:val="20"/>
          <w:szCs w:val="20"/>
        </w:rPr>
        <w:t xml:space="preserve"> </w:t>
      </w:r>
      <w:proofErr w:type="spellStart"/>
      <w:r w:rsidR="002D6A51">
        <w:rPr>
          <w:rFonts w:ascii="Book Antiqua" w:hAnsi="Book Antiqua" w:cstheme="majorHAnsi"/>
          <w:color w:val="000000" w:themeColor="text1"/>
          <w:sz w:val="20"/>
          <w:szCs w:val="20"/>
        </w:rPr>
        <w:t>Tahun</w:t>
      </w:r>
      <w:proofErr w:type="spellEnd"/>
      <w:r>
        <w:rPr>
          <w:rFonts w:ascii="Book Antiqua" w:hAnsi="Book Antiqua" w:cstheme="majorHAnsi"/>
          <w:color w:val="000000" w:themeColor="text1"/>
          <w:sz w:val="20"/>
          <w:szCs w:val="20"/>
        </w:rPr>
        <w:t>: p. XX-XX</w:t>
      </w:r>
    </w:p>
    <w:p w14:paraId="52F0C869" w14:textId="77777777" w:rsidR="00D34C69" w:rsidRPr="00637392" w:rsidRDefault="00F921AE" w:rsidP="00D34C69">
      <w:pPr>
        <w:pStyle w:val="Header"/>
        <w:tabs>
          <w:tab w:val="clear" w:pos="9360"/>
        </w:tabs>
        <w:jc w:val="right"/>
        <w:rPr>
          <w:rFonts w:ascii="Book Antiqua" w:hAnsi="Book Antiqua" w:cstheme="majorHAnsi"/>
          <w:color w:val="000000" w:themeColor="text1"/>
          <w:sz w:val="20"/>
          <w:szCs w:val="20"/>
        </w:rPr>
      </w:pPr>
      <w:r w:rsidRPr="00384A23">
        <w:rPr>
          <w:rFonts w:ascii="Century Gothic" w:hAnsi="Century Gothic" w:cs="Devanagari MT"/>
          <w:b/>
          <w:noProof/>
          <w:sz w:val="40"/>
          <w:szCs w:val="60"/>
          <w:lang w:bidi="ar-SA"/>
        </w:rPr>
        <mc:AlternateContent>
          <mc:Choice Requires="wps">
            <w:drawing>
              <wp:anchor distT="0" distB="0" distL="114300" distR="114300" simplePos="0" relativeHeight="251677696" behindDoc="0" locked="0" layoutInCell="1" allowOverlap="1" wp14:anchorId="4DEA2EE3" wp14:editId="2C159907">
                <wp:simplePos x="0" y="0"/>
                <wp:positionH relativeFrom="column">
                  <wp:posOffset>-90805</wp:posOffset>
                </wp:positionH>
                <wp:positionV relativeFrom="paragraph">
                  <wp:posOffset>119380</wp:posOffset>
                </wp:positionV>
                <wp:extent cx="2915285" cy="502920"/>
                <wp:effectExtent l="0" t="0" r="0" b="0"/>
                <wp:wrapNone/>
                <wp:docPr id="16" name="Rectangle 16"/>
                <wp:cNvGraphicFramePr/>
                <a:graphic xmlns:a="http://schemas.openxmlformats.org/drawingml/2006/main">
                  <a:graphicData uri="http://schemas.microsoft.com/office/word/2010/wordprocessingShape">
                    <wps:wsp>
                      <wps:cNvSpPr/>
                      <wps:spPr>
                        <a:xfrm>
                          <a:off x="0" y="0"/>
                          <a:ext cx="2915285" cy="5029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B4C678" w14:textId="77777777" w:rsidR="00C04C78" w:rsidRPr="00975666" w:rsidRDefault="00C04C78" w:rsidP="00975666">
                            <w:pPr>
                              <w:pStyle w:val="Header"/>
                              <w:spacing w:after="60"/>
                              <w:jc w:val="both"/>
                              <w:rPr>
                                <w:rFonts w:ascii="Book Antiqua" w:hAnsi="Book Antiqua" w:cs="Helvetica"/>
                                <w:b/>
                                <w:color w:val="000000" w:themeColor="text1"/>
                                <w:sz w:val="16"/>
                                <w:szCs w:val="16"/>
                              </w:rPr>
                            </w:pPr>
                            <w:proofErr w:type="spellStart"/>
                            <w:r w:rsidRPr="00F921AE">
                              <w:rPr>
                                <w:rFonts w:ascii="Book Antiqua" w:hAnsi="Book Antiqua" w:cs="Helvetica"/>
                                <w:b/>
                                <w:color w:val="000000" w:themeColor="text1"/>
                                <w:sz w:val="20"/>
                                <w:szCs w:val="16"/>
                              </w:rPr>
                              <w:t>Batulis</w:t>
                            </w:r>
                            <w:proofErr w:type="spellEnd"/>
                            <w:r w:rsidRPr="00F921AE">
                              <w:rPr>
                                <w:rFonts w:ascii="Book Antiqua" w:hAnsi="Book Antiqua" w:cs="Helvetica"/>
                                <w:b/>
                                <w:color w:val="000000" w:themeColor="text1"/>
                                <w:sz w:val="20"/>
                                <w:szCs w:val="16"/>
                              </w:rPr>
                              <w:t xml:space="preserve"> Civil Law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A2EE3" id="Rectangle 16" o:spid="_x0000_s1026" style="position:absolute;left:0;text-align:left;margin-left:-7.15pt;margin-top:9.4pt;width:229.55pt;height:3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" filled="f" stroked="f" strokeweight="1pt">
                <v:textbox>
                  <w:txbxContent>
                    <w:p w14:paraId="30B4C678" w14:textId="77777777" w:rsidR="00C04C78" w:rsidRPr="00975666" w:rsidRDefault="00C04C78" w:rsidP="00975666">
                      <w:pPr>
                        <w:pStyle w:val="Header"/>
                        <w:spacing w:after="60"/>
                        <w:jc w:val="both"/>
                        <w:rPr>
                          <w:rFonts w:ascii="Book Antiqua" w:hAnsi="Book Antiqua" w:cs="Helvetica"/>
                          <w:b/>
                          <w:color w:val="000000" w:themeColor="text1"/>
                          <w:sz w:val="16"/>
                          <w:szCs w:val="16"/>
                        </w:rPr>
                      </w:pPr>
                      <w:proofErr w:type="spellStart"/>
                      <w:r w:rsidRPr="00F921AE">
                        <w:rPr>
                          <w:rFonts w:ascii="Book Antiqua" w:hAnsi="Book Antiqua" w:cs="Helvetica"/>
                          <w:b/>
                          <w:color w:val="000000" w:themeColor="text1"/>
                          <w:sz w:val="20"/>
                          <w:szCs w:val="16"/>
                        </w:rPr>
                        <w:t>Batulis</w:t>
                      </w:r>
                      <w:proofErr w:type="spellEnd"/>
                      <w:r w:rsidRPr="00F921AE">
                        <w:rPr>
                          <w:rFonts w:ascii="Book Antiqua" w:hAnsi="Book Antiqua" w:cs="Helvetica"/>
                          <w:b/>
                          <w:color w:val="000000" w:themeColor="text1"/>
                          <w:sz w:val="20"/>
                          <w:szCs w:val="16"/>
                        </w:rPr>
                        <w:t xml:space="preserve"> Civil Law Review</w:t>
                      </w:r>
                    </w:p>
                  </w:txbxContent>
                </v:textbox>
              </v:rect>
            </w:pict>
          </mc:Fallback>
        </mc:AlternateContent>
      </w:r>
      <w:r w:rsidR="00A2185A" w:rsidRPr="00A2185A">
        <w:rPr>
          <w:rFonts w:ascii="Book Antiqua" w:hAnsi="Book Antiqua" w:cstheme="majorHAnsi"/>
          <w:color w:val="000000" w:themeColor="text1"/>
          <w:sz w:val="20"/>
          <w:szCs w:val="20"/>
        </w:rPr>
        <w:t xml:space="preserve"> </w:t>
      </w:r>
      <w:r w:rsidR="00637392" w:rsidRPr="00637392">
        <w:rPr>
          <w:rFonts w:ascii="Book Antiqua" w:hAnsi="Book Antiqua"/>
          <w:sz w:val="20"/>
          <w:lang w:val="id-ID"/>
        </w:rPr>
        <w:t>P-ISSN: 27</w:t>
      </w:r>
      <w:r w:rsidR="00637392" w:rsidRPr="00637392">
        <w:rPr>
          <w:rFonts w:ascii="Book Antiqua" w:hAnsi="Book Antiqua"/>
          <w:sz w:val="20"/>
        </w:rPr>
        <w:t>22</w:t>
      </w:r>
      <w:r w:rsidR="00637392" w:rsidRPr="00637392">
        <w:rPr>
          <w:rFonts w:ascii="Book Antiqua" w:hAnsi="Book Antiqua"/>
          <w:sz w:val="20"/>
          <w:lang w:val="id-ID"/>
        </w:rPr>
        <w:t>-4465, E-ISSN: 2746-8151</w:t>
      </w:r>
    </w:p>
    <w:p w14:paraId="7A4549F8" w14:textId="77777777" w:rsidR="00637392" w:rsidRPr="004A088C" w:rsidRDefault="00637392" w:rsidP="00D34C69">
      <w:pPr>
        <w:pStyle w:val="Header"/>
        <w:tabs>
          <w:tab w:val="clear" w:pos="9360"/>
        </w:tabs>
        <w:jc w:val="right"/>
        <w:rPr>
          <w:rFonts w:ascii="Book Antiqua" w:hAnsi="Book Antiqua" w:cstheme="majorHAnsi"/>
          <w:color w:val="000000" w:themeColor="text1"/>
          <w:sz w:val="18"/>
          <w:szCs w:val="18"/>
        </w:rPr>
      </w:pPr>
      <w:r w:rsidRPr="004A088C">
        <w:rPr>
          <w:rFonts w:ascii="Book Antiqua" w:hAnsi="Book Antiqua"/>
          <w:noProof/>
          <w:sz w:val="18"/>
          <w:szCs w:val="18"/>
          <w:lang w:bidi="ar-SA"/>
        </w:rPr>
        <w:drawing>
          <wp:anchor distT="0" distB="0" distL="114300" distR="114300" simplePos="0" relativeHeight="251669504" behindDoc="0" locked="0" layoutInCell="1" allowOverlap="1" wp14:anchorId="539C5DDC" wp14:editId="30C9A33B">
            <wp:simplePos x="0" y="0"/>
            <wp:positionH relativeFrom="column">
              <wp:posOffset>4378960</wp:posOffset>
            </wp:positionH>
            <wp:positionV relativeFrom="paragraph">
              <wp:posOffset>128270</wp:posOffset>
            </wp:positionV>
            <wp:extent cx="180975" cy="180975"/>
            <wp:effectExtent l="0" t="0" r="9525" b="9525"/>
            <wp:wrapNone/>
            <wp:docPr id="8" name="Picture 8"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Pr="004A088C">
        <w:rPr>
          <w:rFonts w:ascii="Book Antiqua" w:hAnsi="Book Antiqua" w:cstheme="majorHAnsi"/>
          <w:color w:val="000000" w:themeColor="text1"/>
          <w:sz w:val="18"/>
          <w:szCs w:val="18"/>
        </w:rPr>
        <w:t>https://fhukum.unpatti.ac.id/jurnal/ballrev</w:t>
      </w:r>
    </w:p>
    <w:p w14:paraId="4F33A987" w14:textId="77777777" w:rsidR="00D34C69" w:rsidRPr="005A3EB2" w:rsidRDefault="003836F1" w:rsidP="005A3EB2">
      <w:pPr>
        <w:spacing w:after="0" w:line="240" w:lineRule="auto"/>
        <w:jc w:val="right"/>
        <w:rPr>
          <w:rFonts w:ascii="Book Antiqua" w:hAnsi="Book Antiqua"/>
          <w:color w:val="2F5496" w:themeColor="accent1" w:themeShade="BF"/>
          <w:sz w:val="18"/>
          <w:szCs w:val="18"/>
        </w:rPr>
      </w:pPr>
      <w:r w:rsidRPr="003836F1">
        <w:rPr>
          <w:rFonts w:ascii="Book Antiqua" w:hAnsi="Book Antiqua" w:cstheme="majorHAnsi"/>
          <w:color w:val="4472C4" w:themeColor="accent1"/>
          <w:sz w:val="18"/>
          <w:szCs w:val="18"/>
        </w:rPr>
        <w:t>:</w:t>
      </w:r>
      <w:r>
        <w:rPr>
          <w:rFonts w:ascii="Book Antiqua" w:hAnsi="Book Antiqua" w:cstheme="majorHAnsi"/>
          <w:color w:val="4472C4" w:themeColor="accent1"/>
          <w:sz w:val="18"/>
          <w:szCs w:val="18"/>
        </w:rPr>
        <w:t xml:space="preserve"> </w:t>
      </w:r>
      <w:hyperlink r:id="rId10" w:history="1">
        <w:r w:rsidRPr="00692FAC">
          <w:rPr>
            <w:rStyle w:val="Hyperlink"/>
            <w:rFonts w:ascii="Book Antiqua" w:hAnsi="Book Antiqua" w:cstheme="majorHAnsi"/>
            <w:sz w:val="18"/>
            <w:szCs w:val="18"/>
            <w:u w:val="none"/>
          </w:rPr>
          <w:t>10.47268/</w:t>
        </w:r>
        <w:proofErr w:type="spellStart"/>
        <w:r w:rsidRPr="00692FAC">
          <w:rPr>
            <w:rStyle w:val="Hyperlink"/>
            <w:rFonts w:ascii="Book Antiqua" w:hAnsi="Book Antiqua" w:cstheme="majorHAnsi"/>
            <w:sz w:val="18"/>
            <w:szCs w:val="18"/>
            <w:u w:val="none"/>
          </w:rPr>
          <w:t>ballrev.v</w:t>
        </w:r>
        <w:r w:rsidR="002D6A51">
          <w:rPr>
            <w:rStyle w:val="Hyperlink"/>
            <w:rFonts w:ascii="Book Antiqua" w:hAnsi="Book Antiqua" w:cstheme="majorHAnsi"/>
            <w:sz w:val="18"/>
            <w:szCs w:val="18"/>
            <w:u w:val="none"/>
          </w:rPr>
          <w:t>X</w:t>
        </w:r>
        <w:r w:rsidRPr="00692FAC">
          <w:rPr>
            <w:rStyle w:val="Hyperlink"/>
            <w:rFonts w:ascii="Book Antiqua" w:hAnsi="Book Antiqua" w:cstheme="majorHAnsi"/>
            <w:sz w:val="18"/>
            <w:szCs w:val="18"/>
            <w:u w:val="none"/>
          </w:rPr>
          <w:t>.i</w:t>
        </w:r>
        <w:r w:rsidR="002D6A51">
          <w:rPr>
            <w:rStyle w:val="Hyperlink"/>
            <w:rFonts w:ascii="Book Antiqua" w:hAnsi="Book Antiqua" w:cstheme="majorHAnsi"/>
            <w:sz w:val="18"/>
            <w:szCs w:val="18"/>
            <w:u w:val="none"/>
          </w:rPr>
          <w:t>X</w:t>
        </w:r>
        <w:r w:rsidRPr="00692FAC">
          <w:rPr>
            <w:rStyle w:val="Hyperlink"/>
            <w:rFonts w:ascii="Book Antiqua" w:hAnsi="Book Antiqua" w:cstheme="majorHAnsi"/>
            <w:sz w:val="18"/>
            <w:szCs w:val="18"/>
            <w:u w:val="none"/>
          </w:rPr>
          <w:t>.XXXX</w:t>
        </w:r>
        <w:proofErr w:type="spellEnd"/>
      </w:hyperlink>
    </w:p>
    <w:p w14:paraId="0BFB7265" w14:textId="77777777" w:rsidR="0071563E" w:rsidRDefault="00A2185A" w:rsidP="0071563E">
      <w:pPr>
        <w:pStyle w:val="ListParagraph"/>
        <w:spacing w:after="0" w:line="240" w:lineRule="auto"/>
        <w:ind w:left="0"/>
        <w:contextualSpacing w:val="0"/>
        <w:rPr>
          <w:rFonts w:ascii="Book Antiqua" w:hAnsi="Book Antiqua" w:cs="Calibri"/>
          <w:b/>
          <w:iCs/>
          <w:color w:val="000000" w:themeColor="text1"/>
          <w:sz w:val="32"/>
        </w:rPr>
      </w:pPr>
      <w:r>
        <w:rPr>
          <w:noProof/>
          <w:lang w:bidi="ar-SA"/>
        </w:rPr>
        <mc:AlternateContent>
          <mc:Choice Requires="wps">
            <w:drawing>
              <wp:anchor distT="0" distB="0" distL="114300" distR="114300" simplePos="0" relativeHeight="251679744" behindDoc="0" locked="0" layoutInCell="1" allowOverlap="1" wp14:anchorId="4287CDE6" wp14:editId="6EF2C49F">
                <wp:simplePos x="0" y="0"/>
                <wp:positionH relativeFrom="column">
                  <wp:posOffset>-9525</wp:posOffset>
                </wp:positionH>
                <wp:positionV relativeFrom="paragraph">
                  <wp:posOffset>64135</wp:posOffset>
                </wp:positionV>
                <wp:extent cx="6156000" cy="0"/>
                <wp:effectExtent l="0" t="38100" r="54610" b="38100"/>
                <wp:wrapNone/>
                <wp:docPr id="14" name="Straight Connector 14"/>
                <wp:cNvGraphicFramePr/>
                <a:graphic xmlns:a="http://schemas.openxmlformats.org/drawingml/2006/main">
                  <a:graphicData uri="http://schemas.microsoft.com/office/word/2010/wordprocessingShape">
                    <wps:wsp>
                      <wps:cNvCnPr/>
                      <wps:spPr>
                        <a:xfrm>
                          <a:off x="0" y="0"/>
                          <a:ext cx="6156000" cy="0"/>
                        </a:xfrm>
                        <a:prstGeom prst="line">
                          <a:avLst/>
                        </a:prstGeom>
                        <a:ln w="76200" cmpd="dbl">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CC73E" id="Straight Connector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05pt" to="483.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" strokecolor="#aeaaaa [2414]" strokeweight="6pt">
                <v:stroke linestyle="thinThin" joinstyle="miter"/>
              </v:line>
            </w:pict>
          </mc:Fallback>
        </mc:AlternateContent>
      </w:r>
    </w:p>
    <w:p w14:paraId="5523B8F3" w14:textId="56F1FFBE" w:rsidR="00C578CC" w:rsidRDefault="0028034C" w:rsidP="00C578CC">
      <w:pPr>
        <w:pStyle w:val="ListParagraph"/>
        <w:spacing w:after="120" w:line="240" w:lineRule="auto"/>
        <w:ind w:left="0"/>
        <w:contextualSpacing w:val="0"/>
        <w:rPr>
          <w:rFonts w:ascii="Book Antiqua" w:hAnsi="Book Antiqua" w:cs="Calibri"/>
          <w:b/>
          <w:iCs/>
          <w:color w:val="000000" w:themeColor="text1"/>
          <w:sz w:val="32"/>
        </w:rPr>
      </w:pPr>
      <w:r w:rsidRPr="0028034C">
        <w:rPr>
          <w:rFonts w:ascii="Book Antiqua" w:hAnsi="Book Antiqua" w:cs="Calibri"/>
          <w:b/>
          <w:iCs/>
          <w:color w:val="000000" w:themeColor="text1"/>
          <w:sz w:val="32"/>
        </w:rPr>
        <w:t>Aspects of Justice, Legal Certainty and Benefit in the Settlement of Patent Disputes</w:t>
      </w:r>
    </w:p>
    <w:p w14:paraId="2D5FBC41" w14:textId="44F6393C" w:rsidR="004B1F20" w:rsidRPr="00C578CC" w:rsidRDefault="004E2BF3" w:rsidP="00C578CC">
      <w:pPr>
        <w:pStyle w:val="ListParagraph"/>
        <w:spacing w:after="120" w:line="240" w:lineRule="auto"/>
        <w:ind w:left="0"/>
        <w:contextualSpacing w:val="0"/>
        <w:rPr>
          <w:rFonts w:ascii="Book Antiqua" w:hAnsi="Book Antiqua" w:cs="Calibri"/>
          <w:b/>
          <w:iCs/>
          <w:color w:val="000000" w:themeColor="text1"/>
          <w:sz w:val="28"/>
        </w:rPr>
      </w:pPr>
      <w:r>
        <w:rPr>
          <w:rFonts w:ascii="Book Antiqua" w:hAnsi="Book Antiqua"/>
          <w:b/>
          <w:bCs/>
          <w:sz w:val="24"/>
          <w:szCs w:val="24"/>
        </w:rPr>
        <w:t>Moehammad Mahastar Ritonga</w:t>
      </w:r>
      <w:r w:rsidR="004B1F20" w:rsidRPr="009001C8">
        <w:rPr>
          <w:rFonts w:ascii="Book Antiqua" w:hAnsi="Book Antiqua"/>
          <w:bCs/>
          <w:sz w:val="24"/>
          <w:szCs w:val="24"/>
          <w:vertAlign w:val="superscript"/>
        </w:rPr>
        <w:t>1</w:t>
      </w:r>
      <w:r w:rsidR="004B1F20" w:rsidRPr="00AF20D0">
        <w:rPr>
          <w:rFonts w:ascii="Book Antiqua" w:hAnsi="Book Antiqua"/>
          <w:b/>
          <w:bCs/>
          <w:sz w:val="24"/>
          <w:szCs w:val="24"/>
        </w:rPr>
        <w:t xml:space="preserve">, </w:t>
      </w:r>
      <w:proofErr w:type="spellStart"/>
      <w:r>
        <w:rPr>
          <w:rFonts w:ascii="Book Antiqua" w:hAnsi="Book Antiqua"/>
          <w:b/>
          <w:bCs/>
          <w:sz w:val="24"/>
          <w:szCs w:val="24"/>
        </w:rPr>
        <w:t>Febri</w:t>
      </w:r>
      <w:proofErr w:type="spellEnd"/>
      <w:r>
        <w:rPr>
          <w:rFonts w:ascii="Book Antiqua" w:hAnsi="Book Antiqua"/>
          <w:b/>
          <w:bCs/>
          <w:sz w:val="24"/>
          <w:szCs w:val="24"/>
        </w:rPr>
        <w:t xml:space="preserve"> Jaya</w:t>
      </w:r>
      <w:r w:rsidR="004B1F20" w:rsidRPr="00AF20D0">
        <w:rPr>
          <w:rFonts w:ascii="Book Antiqua" w:hAnsi="Book Antiqua"/>
          <w:b/>
          <w:bCs/>
          <w:sz w:val="24"/>
          <w:szCs w:val="24"/>
          <w:vertAlign w:val="superscript"/>
        </w:rPr>
        <w:t>2</w:t>
      </w:r>
      <w:r w:rsidRPr="00AF20D0">
        <w:rPr>
          <w:rFonts w:ascii="Book Antiqua" w:hAnsi="Book Antiqua"/>
          <w:b/>
          <w:bCs/>
          <w:sz w:val="24"/>
          <w:szCs w:val="24"/>
        </w:rPr>
        <w:t xml:space="preserve">, </w:t>
      </w:r>
      <w:r>
        <w:rPr>
          <w:rFonts w:ascii="Book Antiqua" w:hAnsi="Book Antiqua"/>
          <w:b/>
          <w:bCs/>
          <w:sz w:val="24"/>
          <w:szCs w:val="24"/>
        </w:rPr>
        <w:t>Lu Sudirman</w:t>
      </w:r>
      <w:r>
        <w:rPr>
          <w:rFonts w:ascii="Book Antiqua" w:hAnsi="Book Antiqua"/>
          <w:b/>
          <w:bCs/>
          <w:sz w:val="24"/>
          <w:szCs w:val="24"/>
          <w:vertAlign w:val="superscript"/>
        </w:rPr>
        <w:t>3*</w:t>
      </w:r>
    </w:p>
    <w:p w14:paraId="4CC5D8BD" w14:textId="34FE837F" w:rsidR="004B1F20" w:rsidRPr="00912A35" w:rsidRDefault="004B1F20" w:rsidP="004B1F20">
      <w:pPr>
        <w:spacing w:after="0" w:line="240" w:lineRule="auto"/>
        <w:rPr>
          <w:rFonts w:ascii="Book Antiqua" w:hAnsi="Book Antiqua"/>
          <w:bCs/>
          <w:sz w:val="18"/>
          <w:szCs w:val="24"/>
        </w:rPr>
      </w:pPr>
      <w:r w:rsidRPr="00F14211">
        <w:rPr>
          <w:rFonts w:ascii="Book Antiqua" w:hAnsi="Book Antiqua"/>
          <w:bCs/>
          <w:szCs w:val="24"/>
          <w:vertAlign w:val="superscript"/>
        </w:rPr>
        <w:t>1,2</w:t>
      </w:r>
      <w:r w:rsidR="00013A6D">
        <w:rPr>
          <w:rFonts w:ascii="Book Antiqua" w:hAnsi="Book Antiqua"/>
          <w:bCs/>
          <w:szCs w:val="24"/>
          <w:vertAlign w:val="superscript"/>
        </w:rPr>
        <w:t>,3</w:t>
      </w:r>
      <w:r w:rsidRPr="00F14211">
        <w:rPr>
          <w:rFonts w:ascii="Book Antiqua" w:hAnsi="Book Antiqua"/>
          <w:bCs/>
          <w:szCs w:val="24"/>
          <w:vertAlign w:val="superscript"/>
        </w:rPr>
        <w:t xml:space="preserve"> </w:t>
      </w:r>
      <w:r w:rsidR="00B27128">
        <w:rPr>
          <w:rFonts w:ascii="Book Antiqua" w:hAnsi="Book Antiqua"/>
          <w:bCs/>
          <w:szCs w:val="24"/>
        </w:rPr>
        <w:t>Faculty of Law</w:t>
      </w:r>
      <w:r w:rsidR="00E37E40">
        <w:rPr>
          <w:rFonts w:ascii="Book Antiqua" w:hAnsi="Book Antiqua"/>
          <w:bCs/>
          <w:szCs w:val="24"/>
        </w:rPr>
        <w:t xml:space="preserve">, </w:t>
      </w:r>
      <w:proofErr w:type="spellStart"/>
      <w:r w:rsidR="00E37E40">
        <w:rPr>
          <w:rFonts w:ascii="Book Antiqua" w:hAnsi="Book Antiqua"/>
          <w:bCs/>
          <w:szCs w:val="24"/>
        </w:rPr>
        <w:t>Universitas</w:t>
      </w:r>
      <w:proofErr w:type="spellEnd"/>
      <w:r w:rsidR="00B27128">
        <w:rPr>
          <w:rFonts w:ascii="Book Antiqua" w:hAnsi="Book Antiqua"/>
          <w:bCs/>
          <w:szCs w:val="24"/>
        </w:rPr>
        <w:t xml:space="preserve"> </w:t>
      </w:r>
      <w:proofErr w:type="spellStart"/>
      <w:r w:rsidR="00A72D58">
        <w:rPr>
          <w:rFonts w:ascii="Book Antiqua" w:hAnsi="Book Antiqua"/>
          <w:bCs/>
          <w:szCs w:val="24"/>
        </w:rPr>
        <w:t>Internasional</w:t>
      </w:r>
      <w:proofErr w:type="spellEnd"/>
      <w:r w:rsidR="00A72D58">
        <w:rPr>
          <w:rFonts w:ascii="Book Antiqua" w:hAnsi="Book Antiqua"/>
          <w:bCs/>
          <w:szCs w:val="24"/>
        </w:rPr>
        <w:t xml:space="preserve"> </w:t>
      </w:r>
      <w:proofErr w:type="spellStart"/>
      <w:r w:rsidR="00A72D58">
        <w:rPr>
          <w:rFonts w:ascii="Book Antiqua" w:hAnsi="Book Antiqua"/>
          <w:bCs/>
          <w:szCs w:val="24"/>
        </w:rPr>
        <w:t>Batam</w:t>
      </w:r>
      <w:proofErr w:type="spellEnd"/>
      <w:r w:rsidRPr="00F14211">
        <w:rPr>
          <w:rFonts w:ascii="Book Antiqua" w:hAnsi="Book Antiqua"/>
          <w:bCs/>
          <w:szCs w:val="24"/>
          <w:lang w:val="id-ID"/>
        </w:rPr>
        <w:t>,</w:t>
      </w:r>
      <w:r w:rsidR="00A72D58">
        <w:rPr>
          <w:rFonts w:ascii="Book Antiqua" w:hAnsi="Book Antiqua"/>
          <w:bCs/>
          <w:szCs w:val="24"/>
        </w:rPr>
        <w:t xml:space="preserve"> </w:t>
      </w:r>
      <w:proofErr w:type="spellStart"/>
      <w:r w:rsidR="00A72D58">
        <w:rPr>
          <w:rFonts w:ascii="Book Antiqua" w:hAnsi="Book Antiqua"/>
          <w:bCs/>
          <w:szCs w:val="24"/>
        </w:rPr>
        <w:t>Batam</w:t>
      </w:r>
      <w:proofErr w:type="spellEnd"/>
      <w:r w:rsidRPr="00F14211">
        <w:rPr>
          <w:rFonts w:ascii="Book Antiqua" w:hAnsi="Book Antiqua"/>
          <w:bCs/>
          <w:szCs w:val="24"/>
        </w:rPr>
        <w:t>, Indonesia.</w:t>
      </w:r>
      <w:r w:rsidR="007746A5" w:rsidRPr="007746A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5D189D4E" w14:textId="4D5A4B8A" w:rsidR="009001C8" w:rsidRPr="00023DA6" w:rsidRDefault="00602006" w:rsidP="004B3AE2">
      <w:pPr>
        <w:spacing w:after="0" w:line="240" w:lineRule="auto"/>
        <w:rPr>
          <w:rStyle w:val="Hyperlink"/>
          <w:rFonts w:ascii="Book Antiqua" w:hAnsi="Book Antiqua"/>
          <w:bCs/>
          <w:color w:val="000000" w:themeColor="text1"/>
          <w:szCs w:val="24"/>
          <w:u w:val="none"/>
        </w:rPr>
      </w:pPr>
      <w:r w:rsidRPr="001D6CFF">
        <w:rPr>
          <w:bCs/>
          <w:i/>
          <w:iCs/>
          <w:noProof/>
          <w:color w:val="000000" w:themeColor="text1"/>
          <w:lang w:bidi="ar-SA"/>
        </w:rPr>
        <w:drawing>
          <wp:anchor distT="0" distB="0" distL="114300" distR="114300" simplePos="0" relativeHeight="251660288" behindDoc="1" locked="0" layoutInCell="1" allowOverlap="1" wp14:anchorId="726E0052" wp14:editId="010F2DAC">
            <wp:simplePos x="0" y="0"/>
            <wp:positionH relativeFrom="margin">
              <wp:posOffset>5818505</wp:posOffset>
            </wp:positionH>
            <wp:positionV relativeFrom="paragraph">
              <wp:posOffset>13970</wp:posOffset>
            </wp:positionV>
            <wp:extent cx="324000" cy="338727"/>
            <wp:effectExtent l="0" t="0" r="0" b="4445"/>
            <wp:wrapNone/>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000" cy="338727"/>
                    </a:xfrm>
                    <a:prstGeom prst="rect">
                      <a:avLst/>
                    </a:prstGeom>
                  </pic:spPr>
                </pic:pic>
              </a:graphicData>
            </a:graphic>
            <wp14:sizeRelH relativeFrom="page">
              <wp14:pctWidth>0</wp14:pctWidth>
            </wp14:sizeRelH>
            <wp14:sizeRelV relativeFrom="page">
              <wp14:pctHeight>0</wp14:pctHeight>
            </wp14:sizeRelV>
          </wp:anchor>
        </w:drawing>
      </w:r>
      <w:r w:rsidR="004B1F20">
        <w:rPr>
          <w:rFonts w:ascii="Book Antiqua" w:hAnsi="Book Antiqua"/>
          <w:bCs/>
          <w:sz w:val="18"/>
          <w:szCs w:val="24"/>
        </w:rPr>
        <w:t xml:space="preserve"> </w:t>
      </w:r>
      <w:r w:rsidR="004B1F20"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3E57D7E8" wp14:editId="4B02B081">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1F20">
        <w:rPr>
          <w:rFonts w:ascii="Book Antiqua" w:hAnsi="Book Antiqua"/>
          <w:bCs/>
          <w:sz w:val="18"/>
          <w:szCs w:val="24"/>
        </w:rPr>
        <w:t xml:space="preserve">       </w:t>
      </w:r>
      <w:r w:rsidR="004B1F20" w:rsidRPr="00F14211">
        <w:rPr>
          <w:rFonts w:ascii="Book Antiqua" w:hAnsi="Book Antiqua"/>
          <w:bCs/>
          <w:szCs w:val="24"/>
        </w:rPr>
        <w:t>:</w:t>
      </w:r>
      <w:r w:rsidR="004B1F20" w:rsidRPr="00F14211">
        <w:rPr>
          <w:rFonts w:ascii="Book Antiqua" w:hAnsi="Book Antiqua"/>
          <w:bCs/>
          <w:szCs w:val="24"/>
          <w:vertAlign w:val="superscript"/>
        </w:rPr>
        <w:t xml:space="preserve"> </w:t>
      </w:r>
      <w:r w:rsidR="00A338B7">
        <w:rPr>
          <w:rStyle w:val="Hyperlink"/>
          <w:rFonts w:ascii="Book Antiqua" w:hAnsi="Book Antiqua"/>
          <w:color w:val="000000" w:themeColor="text1"/>
          <w:sz w:val="20"/>
          <w:u w:val="none"/>
        </w:rPr>
        <w:t>2151127.moehammad@uib.edu</w:t>
      </w:r>
    </w:p>
    <w:p w14:paraId="1457A097" w14:textId="77777777"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sidRPr="00023DA6">
        <w:rPr>
          <w:rFonts w:ascii="Book Antiqua" w:hAnsi="Book Antiqua"/>
          <w:bCs/>
          <w:sz w:val="20"/>
          <w:szCs w:val="24"/>
          <w:vertAlign w:val="superscript"/>
        </w:rPr>
        <w:t>*</w:t>
      </w:r>
    </w:p>
    <w:tbl>
      <w:tblPr>
        <w:tblStyle w:val="TableGrid"/>
        <w:tblW w:w="9642" w:type="dxa"/>
        <w:tblLook w:val="04A0" w:firstRow="1" w:lastRow="0" w:firstColumn="1" w:lastColumn="0" w:noHBand="0" w:noVBand="1"/>
      </w:tblPr>
      <w:tblGrid>
        <w:gridCol w:w="2381"/>
        <w:gridCol w:w="2300"/>
        <w:gridCol w:w="2410"/>
        <w:gridCol w:w="2551"/>
      </w:tblGrid>
      <w:tr w:rsidR="00A2185A" w14:paraId="410E5EA3" w14:textId="77777777" w:rsidTr="00C93980">
        <w:tc>
          <w:tcPr>
            <w:tcW w:w="9639" w:type="dxa"/>
            <w:gridSpan w:val="4"/>
            <w:tcBorders>
              <w:top w:val="single" w:sz="4" w:space="0" w:color="auto"/>
              <w:left w:val="nil"/>
              <w:bottom w:val="nil"/>
              <w:right w:val="nil"/>
            </w:tcBorders>
            <w:shd w:val="clear" w:color="auto" w:fill="FFF2CC" w:themeFill="accent4" w:themeFillTint="33"/>
            <w:vAlign w:val="center"/>
          </w:tcPr>
          <w:p w14:paraId="00B87FE0" w14:textId="77777777" w:rsidR="00A2185A" w:rsidRPr="004418A3" w:rsidRDefault="00183EBA" w:rsidP="003B3B74">
            <w:pPr>
              <w:spacing w:after="0" w:line="240" w:lineRule="auto"/>
              <w:jc w:val="center"/>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285C8E" w14:paraId="2DC0DF6F" w14:textId="77777777" w:rsidTr="005A3EB2">
        <w:tc>
          <w:tcPr>
            <w:tcW w:w="9639" w:type="dxa"/>
            <w:gridSpan w:val="4"/>
            <w:tcBorders>
              <w:top w:val="nil"/>
              <w:left w:val="nil"/>
              <w:bottom w:val="single" w:sz="4" w:space="0" w:color="auto"/>
              <w:right w:val="nil"/>
            </w:tcBorders>
            <w:shd w:val="clear" w:color="auto" w:fill="auto"/>
            <w:vAlign w:val="center"/>
          </w:tcPr>
          <w:p w14:paraId="28F4ADDC" w14:textId="77777777" w:rsidR="006E71ED" w:rsidRPr="000811D2" w:rsidRDefault="00183EBA" w:rsidP="00183EBA">
            <w:pPr>
              <w:spacing w:after="0" w:line="240" w:lineRule="auto"/>
              <w:ind w:left="-108" w:right="-108"/>
              <w:jc w:val="both"/>
              <w:rPr>
                <w:rFonts w:ascii="Book Antiqua" w:hAnsi="Book Antiqua"/>
                <w:i/>
                <w:sz w:val="20"/>
              </w:rPr>
            </w:pPr>
            <w:r w:rsidRPr="000811D2">
              <w:rPr>
                <w:rFonts w:ascii="Book Antiqua" w:hAnsi="Book Antiqua"/>
                <w:b/>
                <w:i/>
                <w:color w:val="4472C4" w:themeColor="accent1"/>
                <w:sz w:val="20"/>
              </w:rPr>
              <w:t>Introduction:</w:t>
            </w:r>
            <w:r w:rsidR="004A273A" w:rsidRPr="000811D2">
              <w:rPr>
                <w:rFonts w:ascii="Book Antiqua" w:hAnsi="Book Antiqua"/>
                <w:b/>
                <w:i/>
                <w:color w:val="4472C4" w:themeColor="accent1"/>
                <w:sz w:val="20"/>
              </w:rPr>
              <w:t xml:space="preserve"> </w:t>
            </w:r>
            <w:r w:rsidR="006E71ED" w:rsidRPr="000811D2">
              <w:rPr>
                <w:rFonts w:ascii="Book Antiqua" w:hAnsi="Book Antiqua"/>
                <w:i/>
                <w:sz w:val="20"/>
              </w:rPr>
              <w:t>Patent rights are rights granted to individuals who have successfully created new inventions, where the rights and responsibilities of the inventor arise when the invention is registered in accordance with applicable regulations and protected by Law Number 13 of 2016 concerning patents. In the resolution of patent disputes, the regulations mandate the use of litigation remedies. Nonetheless, it is important to remember that mediation is an alternative dispute resolution before taking litigation steps, and is a win-win solution, but it is not a mandatory stage in the settlement of patent civil disputes. Of course, this is contrary to the implementation of the legal aspects which are not only justice, and legal certainty but also expediency.</w:t>
            </w:r>
          </w:p>
          <w:p w14:paraId="1952D622" w14:textId="1E00B269" w:rsidR="00183EBA" w:rsidRPr="000811D2" w:rsidRDefault="00183EBA" w:rsidP="00183EBA">
            <w:pPr>
              <w:spacing w:after="0" w:line="240" w:lineRule="auto"/>
              <w:ind w:left="-108" w:right="-108"/>
              <w:jc w:val="both"/>
              <w:rPr>
                <w:rFonts w:ascii="Book Antiqua" w:hAnsi="Book Antiqua"/>
                <w:bCs/>
                <w:i/>
                <w:sz w:val="20"/>
              </w:rPr>
            </w:pPr>
            <w:r w:rsidRPr="000811D2">
              <w:rPr>
                <w:rFonts w:ascii="Book Antiqua" w:hAnsi="Book Antiqua"/>
                <w:b/>
                <w:i/>
                <w:color w:val="4472C4" w:themeColor="accent1"/>
                <w:sz w:val="20"/>
              </w:rPr>
              <w:t>Purposes of the Research</w:t>
            </w:r>
            <w:r w:rsidR="001A6431" w:rsidRPr="000811D2">
              <w:rPr>
                <w:rFonts w:ascii="Book Antiqua" w:hAnsi="Book Antiqua"/>
                <w:b/>
                <w:i/>
                <w:color w:val="4472C4" w:themeColor="accent1"/>
                <w:sz w:val="20"/>
              </w:rPr>
              <w:t xml:space="preserve">: </w:t>
            </w:r>
            <w:r w:rsidR="00903457" w:rsidRPr="000811D2">
              <w:rPr>
                <w:rFonts w:ascii="Book Antiqua" w:hAnsi="Book Antiqua"/>
                <w:bCs/>
                <w:i/>
                <w:sz w:val="20"/>
              </w:rPr>
              <w:t xml:space="preserve">This research aims to improve understanding of the implementation of the legal </w:t>
            </w:r>
            <w:proofErr w:type="gramStart"/>
            <w:r w:rsidR="00903457" w:rsidRPr="000811D2">
              <w:rPr>
                <w:rFonts w:ascii="Book Antiqua" w:hAnsi="Book Antiqua"/>
                <w:bCs/>
                <w:i/>
                <w:sz w:val="20"/>
              </w:rPr>
              <w:t>objectives</w:t>
            </w:r>
            <w:proofErr w:type="gramEnd"/>
            <w:r w:rsidR="00903457" w:rsidRPr="000811D2">
              <w:rPr>
                <w:rFonts w:ascii="Book Antiqua" w:hAnsi="Book Antiqua"/>
                <w:bCs/>
                <w:i/>
                <w:sz w:val="20"/>
              </w:rPr>
              <w:t xml:space="preserve"> aspect in patent dispute resolution in Indonesia.</w:t>
            </w:r>
          </w:p>
          <w:p w14:paraId="19ED9C90" w14:textId="5FF34A90" w:rsidR="00183EBA" w:rsidRPr="000811D2" w:rsidRDefault="00183EBA" w:rsidP="00183EBA">
            <w:pPr>
              <w:spacing w:after="0" w:line="240" w:lineRule="auto"/>
              <w:ind w:left="-108" w:right="-108"/>
              <w:jc w:val="both"/>
              <w:rPr>
                <w:rFonts w:ascii="Book Antiqua" w:hAnsi="Book Antiqua"/>
                <w:bCs/>
                <w:i/>
                <w:sz w:val="20"/>
              </w:rPr>
            </w:pPr>
            <w:r w:rsidRPr="000811D2">
              <w:rPr>
                <w:rFonts w:ascii="Book Antiqua" w:hAnsi="Book Antiqua"/>
                <w:b/>
                <w:i/>
                <w:color w:val="4472C4" w:themeColor="accent1"/>
                <w:sz w:val="20"/>
              </w:rPr>
              <w:t>Methods of the Research</w:t>
            </w:r>
            <w:r w:rsidR="00F67626" w:rsidRPr="000811D2">
              <w:rPr>
                <w:rFonts w:ascii="Book Antiqua" w:hAnsi="Book Antiqua"/>
                <w:b/>
                <w:i/>
                <w:color w:val="4472C4" w:themeColor="accent1"/>
                <w:sz w:val="20"/>
              </w:rPr>
              <w:t xml:space="preserve">: </w:t>
            </w:r>
            <w:r w:rsidR="00903457" w:rsidRPr="000811D2">
              <w:rPr>
                <w:rFonts w:ascii="Book Antiqua" w:hAnsi="Book Antiqua"/>
                <w:bCs/>
                <w:i/>
                <w:sz w:val="20"/>
              </w:rPr>
              <w:t>In this research, normative legal research methods were used. The data taken consists of primary legal materials and secondary legal materials</w:t>
            </w:r>
            <w:r w:rsidR="00F67626" w:rsidRPr="000811D2">
              <w:rPr>
                <w:rFonts w:ascii="Book Antiqua" w:hAnsi="Book Antiqua"/>
                <w:bCs/>
                <w:i/>
                <w:sz w:val="20"/>
              </w:rPr>
              <w:t>.</w:t>
            </w:r>
          </w:p>
          <w:p w14:paraId="4B9BFB5B" w14:textId="4B45A8A3" w:rsidR="00285C8E" w:rsidRDefault="00183EBA" w:rsidP="00183EBA">
            <w:pPr>
              <w:spacing w:after="120" w:line="240" w:lineRule="auto"/>
              <w:ind w:left="-108" w:right="-108"/>
              <w:jc w:val="both"/>
              <w:rPr>
                <w:rFonts w:ascii="Book Antiqua" w:hAnsi="Book Antiqua"/>
                <w:bCs/>
                <w:sz w:val="20"/>
              </w:rPr>
            </w:pPr>
            <w:r w:rsidRPr="000811D2">
              <w:rPr>
                <w:rFonts w:ascii="Book Antiqua" w:hAnsi="Book Antiqua"/>
                <w:b/>
                <w:i/>
                <w:color w:val="4472C4" w:themeColor="accent1"/>
                <w:sz w:val="20"/>
              </w:rPr>
              <w:t>Results / Main Findings / Novelty/Originality of the Research</w:t>
            </w:r>
            <w:r w:rsidRPr="000811D2">
              <w:rPr>
                <w:rFonts w:ascii="Book Antiqua" w:hAnsi="Book Antiqua"/>
                <w:b/>
                <w:bCs/>
                <w:i/>
                <w:color w:val="4472C4" w:themeColor="accent1"/>
                <w:sz w:val="20"/>
              </w:rPr>
              <w:t>:</w:t>
            </w:r>
            <w:r w:rsidRPr="000811D2">
              <w:rPr>
                <w:rFonts w:ascii="Book Antiqua" w:hAnsi="Book Antiqua"/>
                <w:b/>
                <w:bCs/>
                <w:i/>
                <w:sz w:val="20"/>
              </w:rPr>
              <w:t xml:space="preserve"> </w:t>
            </w:r>
            <w:r w:rsidR="0049312A" w:rsidRPr="000811D2">
              <w:rPr>
                <w:rFonts w:ascii="Book Antiqua" w:hAnsi="Book Antiqua"/>
                <w:i/>
                <w:color w:val="000000" w:themeColor="text1"/>
                <w:sz w:val="20"/>
              </w:rPr>
              <w:t>The results of this study reveal a new perspective on the concept of justice, which was previously only seen as "right and wrong", to "risks and benefits". This is due to the principle of expediency that lies between the point of legal certainty and the point of justice</w:t>
            </w:r>
            <w:r w:rsidR="007F3D52" w:rsidRPr="000811D2">
              <w:rPr>
                <w:rFonts w:ascii="Book Antiqua" w:hAnsi="Book Antiqua"/>
                <w:i/>
                <w:color w:val="000000" w:themeColor="text1"/>
                <w:sz w:val="20"/>
              </w:rPr>
              <w:t>.</w:t>
            </w:r>
          </w:p>
          <w:p w14:paraId="3A06B0FE" w14:textId="19CA2909" w:rsidR="00FC5CD6" w:rsidRPr="00FC5CD6" w:rsidRDefault="00183EBA" w:rsidP="004C1521">
            <w:pPr>
              <w:spacing w:after="120" w:line="240" w:lineRule="auto"/>
              <w:ind w:left="-108" w:right="-108"/>
              <w:jc w:val="both"/>
              <w:rPr>
                <w:rFonts w:ascii="Book Antiqua" w:hAnsi="Book Antiqua"/>
                <w:b/>
                <w:bCs/>
                <w:i/>
                <w:iCs/>
                <w:color w:val="000000"/>
                <w:sz w:val="20"/>
                <w:szCs w:val="24"/>
              </w:rPr>
            </w:pPr>
            <w:r w:rsidRPr="003B3B74">
              <w:rPr>
                <w:rFonts w:ascii="Book Antiqua" w:hAnsi="Book Antiqua"/>
                <w:b/>
                <w:bCs/>
                <w:i/>
                <w:iCs/>
                <w:color w:val="000000" w:themeColor="text1"/>
                <w:sz w:val="20"/>
                <w:szCs w:val="20"/>
                <w:lang w:val="id-ID"/>
              </w:rPr>
              <w:t>Keywords:</w:t>
            </w:r>
            <w:r>
              <w:rPr>
                <w:rFonts w:ascii="Book Antiqua" w:hAnsi="Book Antiqua"/>
                <w:b/>
                <w:bCs/>
                <w:i/>
                <w:iCs/>
                <w:color w:val="FFC000" w:themeColor="accent4"/>
                <w:sz w:val="20"/>
                <w:szCs w:val="20"/>
              </w:rPr>
              <w:t xml:space="preserve"> </w:t>
            </w:r>
            <w:r w:rsidR="00034068" w:rsidRPr="00034068">
              <w:rPr>
                <w:rFonts w:ascii="Book Antiqua" w:hAnsi="Book Antiqua"/>
                <w:b/>
                <w:i/>
                <w:sz w:val="20"/>
                <w:szCs w:val="20"/>
              </w:rPr>
              <w:t>Patents, Law, Benefit</w:t>
            </w:r>
            <w:r w:rsidR="0061194F">
              <w:rPr>
                <w:rFonts w:ascii="Book Antiqua" w:hAnsi="Book Antiqua"/>
                <w:b/>
                <w:i/>
                <w:sz w:val="20"/>
                <w:szCs w:val="20"/>
              </w:rPr>
              <w:t>.</w:t>
            </w:r>
          </w:p>
        </w:tc>
      </w:tr>
      <w:tr w:rsidR="005A3EB2" w:rsidRPr="009B3C8A" w14:paraId="0A25BC5D" w14:textId="77777777" w:rsidTr="00C93980">
        <w:tc>
          <w:tcPr>
            <w:tcW w:w="2378" w:type="dxa"/>
            <w:tcBorders>
              <w:left w:val="nil"/>
              <w:bottom w:val="single" w:sz="4" w:space="0" w:color="auto"/>
              <w:right w:val="nil"/>
            </w:tcBorders>
            <w:shd w:val="clear" w:color="auto" w:fill="FFF2CC" w:themeFill="accent4" w:themeFillTint="33"/>
            <w:vAlign w:val="center"/>
          </w:tcPr>
          <w:p w14:paraId="5B487306" w14:textId="77777777" w:rsidR="005A3EB2" w:rsidRPr="009B3C8A" w:rsidRDefault="005A3EB2" w:rsidP="00D44A7F">
            <w:pPr>
              <w:spacing w:after="0" w:line="240" w:lineRule="auto"/>
              <w:ind w:left="-108"/>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Submitted: Year-Month-Date</w:t>
            </w:r>
          </w:p>
        </w:tc>
        <w:tc>
          <w:tcPr>
            <w:tcW w:w="2300" w:type="dxa"/>
            <w:tcBorders>
              <w:left w:val="nil"/>
              <w:bottom w:val="single" w:sz="4" w:space="0" w:color="auto"/>
              <w:right w:val="nil"/>
            </w:tcBorders>
            <w:shd w:val="clear" w:color="auto" w:fill="FFF2CC" w:themeFill="accent4" w:themeFillTint="33"/>
            <w:vAlign w:val="center"/>
          </w:tcPr>
          <w:p w14:paraId="057194E2" w14:textId="77777777" w:rsidR="005A3EB2" w:rsidRPr="009B3C8A" w:rsidRDefault="005A3EB2" w:rsidP="00D44A7F">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Revised: Year-Month-Date</w:t>
            </w:r>
          </w:p>
        </w:tc>
        <w:tc>
          <w:tcPr>
            <w:tcW w:w="2410" w:type="dxa"/>
            <w:tcBorders>
              <w:left w:val="nil"/>
              <w:bottom w:val="single" w:sz="4" w:space="0" w:color="auto"/>
              <w:right w:val="nil"/>
            </w:tcBorders>
            <w:shd w:val="clear" w:color="auto" w:fill="FFF2CC" w:themeFill="accent4" w:themeFillTint="33"/>
            <w:vAlign w:val="center"/>
          </w:tcPr>
          <w:p w14:paraId="7169648F" w14:textId="77777777" w:rsidR="005A3EB2" w:rsidRPr="009B3C8A" w:rsidRDefault="005A3EB2" w:rsidP="00D44A7F">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Accepted: Year-Month-Date</w:t>
            </w:r>
          </w:p>
        </w:tc>
        <w:tc>
          <w:tcPr>
            <w:tcW w:w="2551" w:type="dxa"/>
            <w:tcBorders>
              <w:left w:val="nil"/>
              <w:bottom w:val="single" w:sz="4" w:space="0" w:color="auto"/>
              <w:right w:val="nil"/>
            </w:tcBorders>
            <w:shd w:val="clear" w:color="auto" w:fill="FFF2CC" w:themeFill="accent4" w:themeFillTint="33"/>
            <w:vAlign w:val="center"/>
          </w:tcPr>
          <w:p w14:paraId="7343C692" w14:textId="77777777" w:rsidR="005A3EB2" w:rsidRPr="009B3C8A" w:rsidRDefault="005A3EB2" w:rsidP="00D44A7F">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Published: Year-Month-Date</w:t>
            </w:r>
          </w:p>
        </w:tc>
      </w:tr>
      <w:tr w:rsidR="005A3EB2" w:rsidRPr="009B3C8A" w14:paraId="7F79ADF9" w14:textId="77777777" w:rsidTr="00C93980">
        <w:trPr>
          <w:trHeight w:val="521"/>
        </w:trPr>
        <w:tc>
          <w:tcPr>
            <w:tcW w:w="9639" w:type="dxa"/>
            <w:gridSpan w:val="4"/>
            <w:tcBorders>
              <w:top w:val="single" w:sz="4" w:space="0" w:color="auto"/>
              <w:left w:val="nil"/>
              <w:bottom w:val="single" w:sz="4" w:space="0" w:color="auto"/>
              <w:right w:val="nil"/>
            </w:tcBorders>
            <w:shd w:val="clear" w:color="auto" w:fill="FFF2CC" w:themeFill="accent4" w:themeFillTint="33"/>
            <w:vAlign w:val="center"/>
          </w:tcPr>
          <w:p w14:paraId="64B7EFDC" w14:textId="658D5232" w:rsidR="005A3EB2" w:rsidRPr="009B3C8A" w:rsidRDefault="005A3EB2" w:rsidP="005A3EB2">
            <w:pPr>
              <w:spacing w:after="0" w:line="240" w:lineRule="auto"/>
              <w:ind w:left="-108"/>
              <w:jc w:val="both"/>
              <w:rPr>
                <w:rFonts w:ascii="Book Antiqua" w:hAnsi="Book Antiqua"/>
                <w:color w:val="4472C4" w:themeColor="accent1"/>
                <w:sz w:val="16"/>
                <w:szCs w:val="16"/>
              </w:rPr>
            </w:pPr>
            <w:r w:rsidRPr="009807F2">
              <w:rPr>
                <w:rFonts w:ascii="Book Antiqua" w:hAnsi="Book Antiqua"/>
                <w:sz w:val="16"/>
                <w:szCs w:val="16"/>
              </w:rPr>
              <w:t xml:space="preserve">How </w:t>
            </w:r>
            <w:proofErr w:type="gramStart"/>
            <w:r w:rsidRPr="009807F2">
              <w:rPr>
                <w:rFonts w:ascii="Book Antiqua" w:hAnsi="Book Antiqua"/>
                <w:sz w:val="16"/>
                <w:szCs w:val="16"/>
              </w:rPr>
              <w:t>To</w:t>
            </w:r>
            <w:proofErr w:type="gramEnd"/>
            <w:r w:rsidRPr="009807F2">
              <w:rPr>
                <w:rFonts w:ascii="Book Antiqua" w:hAnsi="Book Antiqua"/>
                <w:sz w:val="16"/>
                <w:szCs w:val="16"/>
              </w:rPr>
              <w:t xml:space="preserve"> Cite:</w:t>
            </w:r>
            <w:r w:rsidR="008575B1">
              <w:rPr>
                <w:rFonts w:ascii="Book Antiqua" w:hAnsi="Book Antiqua"/>
                <w:sz w:val="16"/>
                <w:szCs w:val="16"/>
              </w:rPr>
              <w:t xml:space="preserve"> </w:t>
            </w:r>
            <w:proofErr w:type="spellStart"/>
            <w:r w:rsidR="000811D2">
              <w:rPr>
                <w:rFonts w:ascii="Book Antiqua" w:hAnsi="Book Antiqua" w:cstheme="majorHAnsi"/>
                <w:color w:val="000000" w:themeColor="text1"/>
                <w:sz w:val="16"/>
                <w:szCs w:val="16"/>
              </w:rPr>
              <w:t>Febri</w:t>
            </w:r>
            <w:proofErr w:type="spellEnd"/>
            <w:r w:rsidR="000811D2">
              <w:rPr>
                <w:rFonts w:ascii="Book Antiqua" w:hAnsi="Book Antiqua" w:cstheme="majorHAnsi"/>
                <w:color w:val="000000" w:themeColor="text1"/>
                <w:sz w:val="16"/>
                <w:szCs w:val="16"/>
              </w:rPr>
              <w:t xml:space="preserve"> Jaya, Moehammad Mahastar Ritonga</w:t>
            </w:r>
            <w:r w:rsidR="000811D2" w:rsidRPr="009807F2">
              <w:rPr>
                <w:rFonts w:ascii="Book Antiqua" w:hAnsi="Book Antiqua" w:cstheme="majorHAnsi"/>
                <w:color w:val="000000" w:themeColor="text1"/>
                <w:sz w:val="16"/>
                <w:szCs w:val="16"/>
              </w:rPr>
              <w:t xml:space="preserve">. </w:t>
            </w:r>
            <w:r w:rsidR="000811D2" w:rsidRPr="002B6B96">
              <w:rPr>
                <w:rFonts w:ascii="Book Antiqua" w:hAnsi="Book Antiqua" w:cstheme="majorHAnsi"/>
                <w:color w:val="000000" w:themeColor="text1"/>
                <w:sz w:val="16"/>
                <w:szCs w:val="16"/>
              </w:rPr>
              <w:t>“</w:t>
            </w:r>
            <w:r w:rsidR="000811D2" w:rsidRPr="002B6B96">
              <w:rPr>
                <w:rFonts w:ascii="Book Antiqua" w:hAnsi="Book Antiqua"/>
                <w:i/>
                <w:iCs/>
                <w:noProof/>
                <w:sz w:val="16"/>
                <w:szCs w:val="16"/>
              </w:rPr>
              <w:t>Implementation of Aspects of Justice, Legal Certainty and Benefit in the Settlement of Patent Disputes”</w:t>
            </w:r>
            <w:r w:rsidR="000811D2">
              <w:rPr>
                <w:rFonts w:ascii="Book Antiqua" w:hAnsi="Book Antiqua"/>
                <w:i/>
                <w:iCs/>
                <w:noProof/>
                <w:sz w:val="16"/>
                <w:szCs w:val="16"/>
              </w:rPr>
              <w:t xml:space="preserve"> </w:t>
            </w:r>
            <w:proofErr w:type="spellStart"/>
            <w:r w:rsidR="000011ED">
              <w:rPr>
                <w:rFonts w:ascii="Book Antiqua" w:hAnsi="Book Antiqua" w:cstheme="majorHAnsi"/>
                <w:i/>
                <w:color w:val="000000" w:themeColor="text1"/>
                <w:sz w:val="16"/>
                <w:szCs w:val="16"/>
              </w:rPr>
              <w:t>Batulis</w:t>
            </w:r>
            <w:proofErr w:type="spellEnd"/>
            <w:r>
              <w:rPr>
                <w:rFonts w:ascii="Book Antiqua" w:hAnsi="Book Antiqua" w:cstheme="majorHAnsi"/>
                <w:i/>
                <w:color w:val="000000" w:themeColor="text1"/>
                <w:sz w:val="16"/>
                <w:szCs w:val="16"/>
              </w:rPr>
              <w:t xml:space="preserve"> Civil Law Review</w:t>
            </w:r>
            <w:r>
              <w:rPr>
                <w:rFonts w:ascii="Book Antiqua" w:hAnsi="Book Antiqua" w:cstheme="majorHAnsi"/>
                <w:color w:val="000000" w:themeColor="text1"/>
                <w:sz w:val="16"/>
                <w:szCs w:val="16"/>
              </w:rPr>
              <w:t xml:space="preserve"> 4 no. 2</w:t>
            </w:r>
            <w:r w:rsidRPr="009807F2">
              <w:rPr>
                <w:rFonts w:ascii="Book Antiqua" w:hAnsi="Book Antiqua" w:cstheme="majorHAnsi"/>
                <w:color w:val="000000" w:themeColor="text1"/>
                <w:sz w:val="16"/>
                <w:szCs w:val="16"/>
              </w:rPr>
              <w:t xml:space="preserve"> (202</w:t>
            </w:r>
            <w:r>
              <w:rPr>
                <w:rFonts w:ascii="Book Antiqua" w:hAnsi="Book Antiqua" w:cstheme="majorHAnsi"/>
                <w:color w:val="000000" w:themeColor="text1"/>
                <w:sz w:val="16"/>
                <w:szCs w:val="16"/>
              </w:rPr>
              <w:t>3</w:t>
            </w:r>
            <w:r w:rsidRPr="009807F2">
              <w:rPr>
                <w:rFonts w:ascii="Book Antiqua" w:hAnsi="Book Antiqua" w:cstheme="majorHAnsi"/>
                <w:color w:val="000000" w:themeColor="text1"/>
                <w:sz w:val="16"/>
                <w:szCs w:val="16"/>
              </w:rPr>
              <w:t>): XXX-</w:t>
            </w:r>
            <w:proofErr w:type="spellStart"/>
            <w:r w:rsidRPr="009807F2">
              <w:rPr>
                <w:rFonts w:ascii="Book Antiqua" w:hAnsi="Book Antiqua" w:cstheme="majorHAnsi"/>
                <w:color w:val="000000" w:themeColor="text1"/>
                <w:sz w:val="16"/>
                <w:szCs w:val="16"/>
              </w:rPr>
              <w:t>XXX.</w:t>
            </w:r>
            <w:r w:rsidRPr="009807F2">
              <w:rPr>
                <w:rFonts w:ascii="Book Antiqua" w:hAnsi="Book Antiqua"/>
                <w:noProof/>
                <w:sz w:val="16"/>
                <w:szCs w:val="16"/>
              </w:rPr>
              <w:t>https</w:t>
            </w:r>
            <w:proofErr w:type="spellEnd"/>
            <w:r w:rsidRPr="009807F2">
              <w:rPr>
                <w:rFonts w:ascii="Book Antiqua" w:hAnsi="Book Antiqua"/>
                <w:noProof/>
                <w:sz w:val="16"/>
                <w:szCs w:val="16"/>
              </w:rPr>
              <w:t>://doi.org/</w:t>
            </w:r>
            <w:hyperlink r:id="rId14" w:history="1">
              <w:r>
                <w:rPr>
                  <w:rFonts w:ascii="Book Antiqua" w:hAnsi="Book Antiqua"/>
                  <w:color w:val="4472C4" w:themeColor="accent1"/>
                  <w:sz w:val="16"/>
                  <w:szCs w:val="16"/>
                </w:rPr>
                <w:t>10.47268/ballrev.v4i2</w:t>
              </w:r>
              <w:r w:rsidRPr="009807F2">
                <w:rPr>
                  <w:rFonts w:ascii="Book Antiqua" w:hAnsi="Book Antiqua"/>
                  <w:color w:val="4472C4" w:themeColor="accent1"/>
                  <w:sz w:val="16"/>
                  <w:szCs w:val="16"/>
                </w:rPr>
                <w:t xml:space="preserve">.XXXXX </w:t>
              </w:r>
            </w:hyperlink>
          </w:p>
        </w:tc>
      </w:tr>
      <w:tr w:rsidR="005A3EB2" w:rsidRPr="00DE1590" w14:paraId="62AC344B" w14:textId="77777777" w:rsidTr="00C93980">
        <w:tc>
          <w:tcPr>
            <w:tcW w:w="2381" w:type="dxa"/>
            <w:tcBorders>
              <w:top w:val="single" w:sz="4" w:space="0" w:color="auto"/>
              <w:left w:val="nil"/>
              <w:bottom w:val="single" w:sz="4" w:space="0" w:color="auto"/>
              <w:right w:val="nil"/>
            </w:tcBorders>
            <w:shd w:val="clear" w:color="auto" w:fill="FFF2CC" w:themeFill="accent4" w:themeFillTint="33"/>
            <w:vAlign w:val="center"/>
          </w:tcPr>
          <w:p w14:paraId="7A142E9A" w14:textId="77777777" w:rsidR="005A3EB2" w:rsidRPr="00DE1590" w:rsidRDefault="005A3EB2" w:rsidP="00D44A7F">
            <w:pPr>
              <w:spacing w:before="120" w:after="0" w:line="240" w:lineRule="auto"/>
              <w:ind w:left="-108"/>
              <w:jc w:val="both"/>
              <w:rPr>
                <w:noProof/>
                <w:color w:val="4472C4" w:themeColor="accent1"/>
                <w:sz w:val="18"/>
                <w:szCs w:val="18"/>
                <w:lang w:bidi="ar-SA"/>
              </w:rPr>
            </w:pPr>
            <w:r w:rsidRPr="00DE1590">
              <w:rPr>
                <w:noProof/>
                <w:color w:val="4472C4" w:themeColor="accent1"/>
                <w:sz w:val="18"/>
                <w:szCs w:val="18"/>
                <w:lang w:bidi="ar-SA"/>
              </w:rPr>
              <w:drawing>
                <wp:anchor distT="0" distB="0" distL="114300" distR="114300" simplePos="0" relativeHeight="251692032" behindDoc="0" locked="0" layoutInCell="1" allowOverlap="1" wp14:anchorId="413A2645" wp14:editId="6EDB03FF">
                  <wp:simplePos x="0" y="0"/>
                  <wp:positionH relativeFrom="column">
                    <wp:posOffset>1365885</wp:posOffset>
                  </wp:positionH>
                  <wp:positionV relativeFrom="paragraph">
                    <wp:posOffset>635</wp:posOffset>
                  </wp:positionV>
                  <wp:extent cx="424180" cy="211455"/>
                  <wp:effectExtent l="0" t="0" r="0" b="0"/>
                  <wp:wrapNone/>
                  <wp:docPr id="1" name="Picture 1"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C8A">
              <w:rPr>
                <w:rFonts w:ascii="Book Antiqua" w:hAnsi="Book Antiqua"/>
                <w:sz w:val="16"/>
                <w:szCs w:val="16"/>
              </w:rPr>
              <w:t>Copyright</w:t>
            </w:r>
            <w:r w:rsidRPr="009B3C8A">
              <w:rPr>
                <w:rFonts w:ascii="Book Antiqua" w:hAnsi="Book Antiqua"/>
                <w:sz w:val="18"/>
                <w:szCs w:val="16"/>
              </w:rPr>
              <w:t xml:space="preserve"> © 2023 Author(s)</w:t>
            </w:r>
          </w:p>
        </w:tc>
        <w:tc>
          <w:tcPr>
            <w:tcW w:w="7261" w:type="dxa"/>
            <w:gridSpan w:val="3"/>
            <w:tcBorders>
              <w:top w:val="single" w:sz="4" w:space="0" w:color="auto"/>
              <w:left w:val="nil"/>
              <w:bottom w:val="single" w:sz="4" w:space="0" w:color="auto"/>
              <w:right w:val="nil"/>
            </w:tcBorders>
            <w:shd w:val="clear" w:color="auto" w:fill="FFF2CC" w:themeFill="accent4" w:themeFillTint="33"/>
            <w:vAlign w:val="center"/>
          </w:tcPr>
          <w:p w14:paraId="734CC19A" w14:textId="77777777" w:rsidR="005A3EB2" w:rsidRPr="00DE1590" w:rsidRDefault="00C04C78" w:rsidP="00D44A7F">
            <w:pPr>
              <w:spacing w:before="120" w:after="0" w:line="240" w:lineRule="auto"/>
              <w:ind w:left="491"/>
              <w:jc w:val="both"/>
              <w:rPr>
                <w:noProof/>
                <w:color w:val="4472C4" w:themeColor="accent1"/>
                <w:sz w:val="18"/>
                <w:szCs w:val="18"/>
                <w:lang w:bidi="ar-SA"/>
              </w:rPr>
            </w:pPr>
            <w:hyperlink r:id="rId16" w:history="1">
              <w:r w:rsidR="005A3EB2" w:rsidRPr="007E1A77">
                <w:t xml:space="preserve"> </w:t>
              </w:r>
              <w:r w:rsidR="005A3EB2" w:rsidRPr="009C7D1C">
                <w:rPr>
                  <w:rStyle w:val="Hyperlink"/>
                  <w:rFonts w:ascii="Book Antiqua" w:hAnsi="Book Antiqua"/>
                  <w:color w:val="000000" w:themeColor="text1"/>
                  <w:sz w:val="18"/>
                  <w:szCs w:val="18"/>
                  <w:u w:val="none"/>
                </w:rPr>
                <w:t>Creative Commons Attribution-</w:t>
              </w:r>
              <w:proofErr w:type="spellStart"/>
              <w:r w:rsidR="005A3EB2" w:rsidRPr="009C7D1C">
                <w:rPr>
                  <w:rStyle w:val="Hyperlink"/>
                  <w:rFonts w:ascii="Book Antiqua" w:hAnsi="Book Antiqua"/>
                  <w:color w:val="000000" w:themeColor="text1"/>
                  <w:sz w:val="18"/>
                  <w:szCs w:val="18"/>
                  <w:u w:val="none"/>
                </w:rPr>
                <w:t>NonCommercial</w:t>
              </w:r>
              <w:proofErr w:type="spellEnd"/>
              <w:r w:rsidR="005A3EB2" w:rsidRPr="009C7D1C">
                <w:rPr>
                  <w:rStyle w:val="Hyperlink"/>
                  <w:rFonts w:ascii="Book Antiqua" w:hAnsi="Book Antiqua"/>
                  <w:color w:val="000000" w:themeColor="text1"/>
                  <w:sz w:val="18"/>
                  <w:szCs w:val="18"/>
                  <w:u w:val="none"/>
                </w:rPr>
                <w:t xml:space="preserve"> 4.0 </w:t>
              </w:r>
              <w:proofErr w:type="spellStart"/>
              <w:r w:rsidR="005A3EB2" w:rsidRPr="009C7D1C">
                <w:rPr>
                  <w:rStyle w:val="Hyperlink"/>
                  <w:rFonts w:ascii="Book Antiqua" w:hAnsi="Book Antiqua"/>
                  <w:color w:val="000000" w:themeColor="text1"/>
                  <w:sz w:val="18"/>
                  <w:szCs w:val="18"/>
                  <w:u w:val="none"/>
                </w:rPr>
                <w:t>Internasional</w:t>
              </w:r>
              <w:proofErr w:type="spellEnd"/>
              <w:r w:rsidR="005A3EB2" w:rsidRPr="00011808">
                <w:rPr>
                  <w:rStyle w:val="Hyperlink"/>
                  <w:rFonts w:ascii="Book Antiqua" w:hAnsi="Book Antiqua"/>
                  <w:color w:val="000000" w:themeColor="text1"/>
                  <w:sz w:val="18"/>
                  <w:szCs w:val="18"/>
                  <w:u w:val="none"/>
                </w:rPr>
                <w:t xml:space="preserve"> License</w:t>
              </w:r>
            </w:hyperlink>
          </w:p>
        </w:tc>
      </w:tr>
    </w:tbl>
    <w:p w14:paraId="035F0B20" w14:textId="77777777" w:rsidR="005569BB" w:rsidRPr="00D01483" w:rsidRDefault="005569BB" w:rsidP="005569BB">
      <w:pPr>
        <w:spacing w:after="0" w:line="240" w:lineRule="auto"/>
        <w:jc w:val="both"/>
        <w:rPr>
          <w:rFonts w:ascii="Book Antiqua" w:hAnsi="Book Antiqua"/>
          <w:b/>
          <w:bCs/>
          <w:i/>
          <w:iCs/>
          <w:color w:val="FFC000" w:themeColor="accent4"/>
          <w:sz w:val="24"/>
          <w:szCs w:val="24"/>
          <w:lang w:val="id-ID"/>
        </w:rPr>
      </w:pPr>
    </w:p>
    <w:p w14:paraId="703A70FC" w14:textId="77777777" w:rsidR="004B1F20" w:rsidRPr="004B3AE2" w:rsidRDefault="00636FF5" w:rsidP="00645A5E">
      <w:pPr>
        <w:spacing w:after="120" w:line="240" w:lineRule="auto"/>
        <w:rPr>
          <w:rFonts w:ascii="Book Antiqua" w:hAnsi="Book Antiqua"/>
          <w:b/>
          <w:bCs/>
          <w:color w:val="FF0000"/>
          <w:sz w:val="24"/>
          <w:szCs w:val="22"/>
          <w:lang w:val="id-ID"/>
        </w:rPr>
      </w:pPr>
      <w:r w:rsidRPr="00436951">
        <w:rPr>
          <w:rFonts w:ascii="Book Antiqua" w:hAnsi="Book Antiqua"/>
          <w:b/>
          <w:bCs/>
          <w:color w:val="2F5496" w:themeColor="accent1" w:themeShade="BF"/>
          <w:sz w:val="24"/>
          <w:szCs w:val="24"/>
        </w:rPr>
        <w:t>INTRODUCTION</w:t>
      </w:r>
    </w:p>
    <w:p w14:paraId="6F622811" w14:textId="31159BA2" w:rsidR="004E3A58" w:rsidRDefault="004E3A58" w:rsidP="00803483">
      <w:pPr>
        <w:spacing w:after="120" w:line="240" w:lineRule="auto"/>
        <w:ind w:firstLine="360"/>
        <w:jc w:val="both"/>
        <w:rPr>
          <w:rFonts w:ascii="Book Antiqua" w:hAnsi="Book Antiqua" w:cstheme="majorHAnsi"/>
          <w:sz w:val="24"/>
          <w:szCs w:val="24"/>
        </w:rPr>
      </w:pPr>
      <w:r w:rsidRPr="004E3A58">
        <w:rPr>
          <w:rFonts w:ascii="Book Antiqua" w:hAnsi="Book Antiqua" w:cstheme="majorHAnsi"/>
          <w:sz w:val="24"/>
          <w:szCs w:val="24"/>
        </w:rPr>
        <w:t>A patent is the exclusive right of an inventor to an invention in the field of technology for a certain period of time, which can be implemented by himself or give approval to other parties to implement his invention. Patent rights are a form of legal recognition for creators of new innovations in the field of technology using the first to file principle, where the rights and responsibilities of the inventor arise after the innovation is registered with the Directorate General of Intellectual Property Rights.</w:t>
      </w:r>
      <w:r w:rsidR="00E47044">
        <w:rPr>
          <w:rStyle w:val="FootnoteReference"/>
          <w:rFonts w:ascii="Book Antiqua" w:hAnsi="Book Antiqua" w:cstheme="majorHAnsi"/>
          <w:sz w:val="24"/>
          <w:szCs w:val="24"/>
        </w:rPr>
        <w:footnoteReference w:id="1"/>
      </w:r>
      <w:r w:rsidR="00E47044">
        <w:rPr>
          <w:rFonts w:ascii="Book Antiqua" w:hAnsi="Book Antiqua" w:cstheme="majorHAnsi"/>
          <w:sz w:val="24"/>
          <w:szCs w:val="24"/>
        </w:rPr>
        <w:t xml:space="preserve"> </w:t>
      </w:r>
      <w:r w:rsidR="009E19B4" w:rsidRPr="009E19B4">
        <w:rPr>
          <w:rFonts w:ascii="Book Antiqua" w:hAnsi="Book Antiqua" w:cstheme="majorHAnsi"/>
          <w:sz w:val="24"/>
          <w:szCs w:val="24"/>
        </w:rPr>
        <w:t>In the context of patent law, fairness may refer to the protection of the rights of the patent holder and other parties involved in the dispute.</w:t>
      </w:r>
      <w:r w:rsidR="009E19B4">
        <w:rPr>
          <w:rStyle w:val="FootnoteReference"/>
          <w:rFonts w:ascii="Book Antiqua" w:hAnsi="Book Antiqua" w:cstheme="majorHAnsi"/>
          <w:sz w:val="24"/>
          <w:szCs w:val="24"/>
        </w:rPr>
        <w:footnoteReference w:id="2"/>
      </w:r>
      <w:r w:rsidR="009E19B4">
        <w:rPr>
          <w:rFonts w:ascii="Book Antiqua" w:hAnsi="Book Antiqua" w:cstheme="majorHAnsi"/>
          <w:sz w:val="24"/>
          <w:szCs w:val="24"/>
        </w:rPr>
        <w:t xml:space="preserve"> </w:t>
      </w:r>
      <w:r w:rsidR="00882F6B" w:rsidRPr="00882F6B">
        <w:rPr>
          <w:rFonts w:ascii="Book Antiqua" w:hAnsi="Book Antiqua" w:cstheme="majorHAnsi"/>
          <w:sz w:val="24"/>
          <w:szCs w:val="24"/>
        </w:rPr>
        <w:t xml:space="preserve">This includes ensuring that patent rights are respected, not infringed, and that </w:t>
      </w:r>
      <w:r w:rsidR="00882F6B" w:rsidRPr="00882F6B">
        <w:rPr>
          <w:rFonts w:ascii="Book Antiqua" w:hAnsi="Book Antiqua" w:cstheme="majorHAnsi"/>
          <w:sz w:val="24"/>
          <w:szCs w:val="24"/>
        </w:rPr>
        <w:lastRenderedPageBreak/>
        <w:t>any patent infringement is dealt with appropriately and fairly.</w:t>
      </w:r>
      <w:r w:rsidR="00D5120C">
        <w:rPr>
          <w:rStyle w:val="FootnoteReference"/>
          <w:rFonts w:ascii="Book Antiqua" w:hAnsi="Book Antiqua" w:cstheme="majorHAnsi"/>
          <w:sz w:val="24"/>
          <w:szCs w:val="24"/>
        </w:rPr>
        <w:footnoteReference w:id="3"/>
      </w:r>
      <w:r w:rsidR="00C97F4C">
        <w:rPr>
          <w:rFonts w:ascii="Book Antiqua" w:hAnsi="Book Antiqua" w:cstheme="majorHAnsi"/>
          <w:sz w:val="24"/>
          <w:szCs w:val="24"/>
        </w:rPr>
        <w:t xml:space="preserve"> </w:t>
      </w:r>
      <w:r w:rsidR="00C97F4C" w:rsidRPr="00C97F4C">
        <w:rPr>
          <w:rFonts w:ascii="Book Antiqua" w:hAnsi="Book Antiqua" w:cstheme="majorHAnsi"/>
          <w:sz w:val="24"/>
          <w:szCs w:val="24"/>
        </w:rPr>
        <w:t>However, there are various cases where patent rights are infringed upon or disputed, leading to patent disputes.</w:t>
      </w:r>
      <w:r w:rsidR="00C97F4C">
        <w:rPr>
          <w:rStyle w:val="FootnoteReference"/>
          <w:rFonts w:ascii="Book Antiqua" w:hAnsi="Book Antiqua" w:cstheme="majorHAnsi"/>
          <w:sz w:val="24"/>
          <w:szCs w:val="24"/>
        </w:rPr>
        <w:footnoteReference w:id="4"/>
      </w:r>
      <w:r w:rsidR="002724AA">
        <w:rPr>
          <w:rFonts w:ascii="Book Antiqua" w:hAnsi="Book Antiqua" w:cstheme="majorHAnsi"/>
          <w:sz w:val="24"/>
          <w:szCs w:val="24"/>
        </w:rPr>
        <w:t xml:space="preserve"> </w:t>
      </w:r>
      <w:r w:rsidR="002724AA" w:rsidRPr="002724AA">
        <w:rPr>
          <w:rFonts w:ascii="Book Antiqua" w:hAnsi="Book Antiqua" w:cstheme="majorHAnsi"/>
          <w:sz w:val="24"/>
          <w:szCs w:val="24"/>
        </w:rPr>
        <w:t>An increase in patent applications has the potential to increase the risk of patent disputes related to infringement or seizure of patent rights</w:t>
      </w:r>
      <w:r w:rsidR="00FF16BF">
        <w:rPr>
          <w:rFonts w:ascii="Book Antiqua" w:hAnsi="Book Antiqua" w:cstheme="majorHAnsi"/>
          <w:sz w:val="24"/>
          <w:szCs w:val="24"/>
        </w:rPr>
        <w:t>.</w:t>
      </w:r>
      <w:r w:rsidR="00FF16BF">
        <w:rPr>
          <w:rStyle w:val="FootnoteReference"/>
          <w:rFonts w:ascii="Book Antiqua" w:hAnsi="Book Antiqua" w:cstheme="majorHAnsi"/>
          <w:sz w:val="24"/>
          <w:szCs w:val="24"/>
        </w:rPr>
        <w:footnoteReference w:id="5"/>
      </w:r>
      <w:r w:rsidR="00054FC1">
        <w:rPr>
          <w:rFonts w:ascii="Book Antiqua" w:hAnsi="Book Antiqua" w:cstheme="majorHAnsi"/>
          <w:sz w:val="24"/>
          <w:szCs w:val="24"/>
        </w:rPr>
        <w:t xml:space="preserve"> </w:t>
      </w:r>
      <w:r w:rsidR="00054FC1" w:rsidRPr="00054FC1">
        <w:rPr>
          <w:rFonts w:ascii="Book Antiqua" w:hAnsi="Book Antiqua" w:cstheme="majorHAnsi"/>
          <w:sz w:val="24"/>
          <w:szCs w:val="24"/>
        </w:rPr>
        <w:t xml:space="preserve">According to data from the Directorate General of Intellectual Property </w:t>
      </w:r>
      <w:r w:rsidR="009B313A">
        <w:rPr>
          <w:rFonts w:ascii="Book Antiqua" w:hAnsi="Book Antiqua" w:cstheme="majorHAnsi"/>
          <w:sz w:val="24"/>
          <w:szCs w:val="24"/>
        </w:rPr>
        <w:t>(IPR</w:t>
      </w:r>
      <w:r w:rsidR="00054FC1" w:rsidRPr="00054FC1">
        <w:rPr>
          <w:rFonts w:ascii="Book Antiqua" w:hAnsi="Book Antiqua" w:cstheme="majorHAnsi"/>
          <w:sz w:val="24"/>
          <w:szCs w:val="24"/>
        </w:rPr>
        <w:t>) and the Ministry of Law and Human Rights of the Republic of Indonesia patent applications in Indonesia have recorded the second highest number of Intellectual Property applications in 2019-2020.</w:t>
      </w:r>
      <w:r w:rsidR="00837282">
        <w:rPr>
          <w:rStyle w:val="FootnoteReference"/>
          <w:rFonts w:ascii="Book Antiqua" w:hAnsi="Book Antiqua" w:cstheme="majorHAnsi"/>
          <w:sz w:val="24"/>
          <w:szCs w:val="24"/>
        </w:rPr>
        <w:footnoteReference w:id="6"/>
      </w:r>
    </w:p>
    <w:p w14:paraId="0D2E5EA7" w14:textId="1432A7F6" w:rsidR="00692FAC" w:rsidRDefault="002F5894" w:rsidP="004D5C42">
      <w:pPr>
        <w:spacing w:after="120" w:line="240" w:lineRule="auto"/>
        <w:ind w:firstLine="450"/>
        <w:jc w:val="both"/>
        <w:rPr>
          <w:rFonts w:ascii="Book Antiqua" w:hAnsi="Book Antiqua" w:cstheme="majorHAnsi"/>
          <w:sz w:val="24"/>
          <w:szCs w:val="24"/>
        </w:rPr>
      </w:pPr>
      <w:r w:rsidRPr="002F5894">
        <w:rPr>
          <w:rFonts w:ascii="Book Antiqua" w:hAnsi="Book Antiqua" w:cstheme="majorHAnsi"/>
          <w:sz w:val="24"/>
          <w:szCs w:val="24"/>
        </w:rPr>
        <w:t>According to data from the Directorate General of Intellectual Property (</w:t>
      </w:r>
      <w:r w:rsidR="009B313A">
        <w:rPr>
          <w:rFonts w:ascii="Book Antiqua" w:hAnsi="Book Antiqua" w:cstheme="majorHAnsi"/>
          <w:sz w:val="24"/>
          <w:szCs w:val="24"/>
        </w:rPr>
        <w:t>IPR</w:t>
      </w:r>
      <w:r w:rsidRPr="002F5894">
        <w:rPr>
          <w:rFonts w:ascii="Book Antiqua" w:hAnsi="Book Antiqua" w:cstheme="majorHAnsi"/>
          <w:sz w:val="24"/>
          <w:szCs w:val="24"/>
        </w:rPr>
        <w:t>) and the Ministry of Law and Human Rights of the Republic of Indonesia patent applications in Indonesia have recorded the second highest number of Intellectual Property applications in 2019-2020.</w:t>
      </w:r>
      <w:r w:rsidR="00FE0143">
        <w:rPr>
          <w:rStyle w:val="FootnoteReference"/>
          <w:rFonts w:ascii="Book Antiqua" w:hAnsi="Book Antiqua" w:cstheme="majorHAnsi"/>
          <w:sz w:val="24"/>
          <w:szCs w:val="24"/>
        </w:rPr>
        <w:footnoteReference w:id="7"/>
      </w:r>
      <w:r w:rsidR="005F0112">
        <w:rPr>
          <w:rFonts w:ascii="Book Antiqua" w:hAnsi="Book Antiqua" w:cstheme="majorHAnsi"/>
          <w:sz w:val="24"/>
          <w:szCs w:val="24"/>
        </w:rPr>
        <w:t xml:space="preserve"> </w:t>
      </w:r>
      <w:r w:rsidR="005F0112" w:rsidRPr="005F0112">
        <w:rPr>
          <w:rFonts w:ascii="Book Antiqua" w:hAnsi="Book Antiqua" w:cstheme="majorHAnsi"/>
          <w:sz w:val="24"/>
          <w:szCs w:val="24"/>
        </w:rPr>
        <w:t>As stated in Law Number 13 of 2016 concerning patents (hereinafter referred to as the Patent Law)</w:t>
      </w:r>
      <w:r w:rsidR="00960B18">
        <w:rPr>
          <w:rFonts w:ascii="Book Antiqua" w:hAnsi="Book Antiqua" w:cstheme="majorHAnsi"/>
          <w:sz w:val="24"/>
          <w:szCs w:val="24"/>
        </w:rPr>
        <w:t>.</w:t>
      </w:r>
      <w:r w:rsidR="00960B18">
        <w:rPr>
          <w:rStyle w:val="FootnoteReference"/>
          <w:rFonts w:ascii="Book Antiqua" w:hAnsi="Book Antiqua" w:cstheme="majorHAnsi"/>
          <w:sz w:val="24"/>
          <w:szCs w:val="24"/>
        </w:rPr>
        <w:footnoteReference w:id="8"/>
      </w:r>
      <w:r w:rsidR="00960B18">
        <w:rPr>
          <w:rFonts w:ascii="Book Antiqua" w:hAnsi="Book Antiqua" w:cstheme="majorHAnsi"/>
          <w:sz w:val="24"/>
          <w:szCs w:val="24"/>
        </w:rPr>
        <w:t xml:space="preserve"> </w:t>
      </w:r>
      <w:r w:rsidR="00841C49" w:rsidRPr="00841C49">
        <w:rPr>
          <w:rFonts w:ascii="Book Antiqua" w:hAnsi="Book Antiqua" w:cstheme="majorHAnsi"/>
          <w:sz w:val="24"/>
          <w:szCs w:val="24"/>
        </w:rPr>
        <w:t>These disputes can cover a wide range of issues, such as patent infringement, ownership claims, and patent validity.</w:t>
      </w:r>
      <w:r w:rsidR="00367A20">
        <w:rPr>
          <w:rStyle w:val="FootnoteReference"/>
          <w:rFonts w:ascii="Book Antiqua" w:hAnsi="Book Antiqua" w:cstheme="majorHAnsi"/>
          <w:sz w:val="24"/>
          <w:szCs w:val="24"/>
        </w:rPr>
        <w:footnoteReference w:id="9"/>
      </w:r>
      <w:r w:rsidR="00367A20">
        <w:rPr>
          <w:rFonts w:ascii="Book Antiqua" w:hAnsi="Book Antiqua" w:cstheme="majorHAnsi"/>
          <w:sz w:val="24"/>
          <w:szCs w:val="24"/>
        </w:rPr>
        <w:t xml:space="preserve"> </w:t>
      </w:r>
      <w:r w:rsidR="00367A20" w:rsidRPr="00367A20">
        <w:rPr>
          <w:rFonts w:ascii="Book Antiqua" w:hAnsi="Book Antiqua" w:cstheme="majorHAnsi"/>
          <w:sz w:val="24"/>
          <w:szCs w:val="24"/>
        </w:rPr>
        <w:t>The phenomenon of many disputes in the field of IPR being resolved through litigation has led to an increase in the workload of the Commercial Court, which in turn has resulted in a buildup of cases and hampered the settlement process.</w:t>
      </w:r>
      <w:r w:rsidR="00C33797">
        <w:rPr>
          <w:rStyle w:val="FootnoteReference"/>
          <w:rFonts w:ascii="Book Antiqua" w:hAnsi="Book Antiqua" w:cstheme="majorHAnsi"/>
          <w:sz w:val="24"/>
          <w:szCs w:val="24"/>
        </w:rPr>
        <w:footnoteReference w:id="10"/>
      </w:r>
      <w:r w:rsidR="002E5733">
        <w:rPr>
          <w:rFonts w:ascii="Book Antiqua" w:hAnsi="Book Antiqua" w:cstheme="majorHAnsi"/>
          <w:sz w:val="24"/>
          <w:szCs w:val="24"/>
        </w:rPr>
        <w:t xml:space="preserve"> </w:t>
      </w:r>
      <w:r w:rsidR="002E5733" w:rsidRPr="002E5733">
        <w:rPr>
          <w:rFonts w:ascii="Book Antiqua" w:hAnsi="Book Antiqua" w:cstheme="majorHAnsi"/>
          <w:sz w:val="24"/>
          <w:szCs w:val="24"/>
        </w:rPr>
        <w:t>This will ultimately have a negative impact on the parties to the dispute, because the litigation process tends to generate new problems due to its win-lose nature, unresponsiveness, time consuming in the litigation process, and open to the public. Finally, patent dispute resolution is not a place to seek justice and truth, but as a battleground for victory.</w:t>
      </w:r>
      <w:r w:rsidR="00C454C6">
        <w:rPr>
          <w:rStyle w:val="FootnoteReference"/>
          <w:rFonts w:ascii="Book Antiqua" w:hAnsi="Book Antiqua" w:cstheme="majorHAnsi"/>
          <w:sz w:val="24"/>
          <w:szCs w:val="24"/>
        </w:rPr>
        <w:footnoteReference w:id="11"/>
      </w:r>
    </w:p>
    <w:p w14:paraId="1AB53EDB" w14:textId="54B583EE" w:rsidR="00F334E2" w:rsidRDefault="0067723F" w:rsidP="004D5C42">
      <w:pPr>
        <w:spacing w:after="120" w:line="240" w:lineRule="auto"/>
        <w:ind w:firstLine="450"/>
        <w:jc w:val="both"/>
        <w:rPr>
          <w:rFonts w:ascii="Book Antiqua" w:hAnsi="Book Antiqua" w:cstheme="majorHAnsi"/>
          <w:sz w:val="24"/>
          <w:szCs w:val="24"/>
        </w:rPr>
      </w:pPr>
      <w:r w:rsidRPr="0067723F">
        <w:rPr>
          <w:rFonts w:ascii="Book Antiqua" w:hAnsi="Book Antiqua" w:cstheme="majorHAnsi"/>
          <w:sz w:val="24"/>
          <w:szCs w:val="24"/>
        </w:rPr>
        <w:t>The implementation of aspects of the theory of legal objectives in patent dispute resolution is believed to offer solutions in helping to strengthen justice, legal certainty and expediency.</w:t>
      </w:r>
      <w:r w:rsidR="003C2C91">
        <w:rPr>
          <w:rStyle w:val="FootnoteReference"/>
          <w:rFonts w:ascii="Book Antiqua" w:hAnsi="Book Antiqua" w:cstheme="majorHAnsi"/>
          <w:sz w:val="24"/>
          <w:szCs w:val="24"/>
        </w:rPr>
        <w:footnoteReference w:id="12"/>
      </w:r>
      <w:r w:rsidRPr="0067723F">
        <w:rPr>
          <w:rFonts w:ascii="Book Antiqua" w:hAnsi="Book Antiqua" w:cstheme="majorHAnsi"/>
          <w:sz w:val="24"/>
          <w:szCs w:val="24"/>
        </w:rPr>
        <w:t xml:space="preserve"> Aspects of the theory of legal purpose can provide a framework for understanding and applying legal principles, and assist judges in making fair and consistent decisions.</w:t>
      </w:r>
      <w:r w:rsidR="00012AF6">
        <w:rPr>
          <w:rStyle w:val="FootnoteReference"/>
          <w:rFonts w:ascii="Book Antiqua" w:hAnsi="Book Antiqua" w:cstheme="majorHAnsi"/>
          <w:sz w:val="24"/>
          <w:szCs w:val="24"/>
        </w:rPr>
        <w:footnoteReference w:id="13"/>
      </w:r>
      <w:r w:rsidRPr="0067723F">
        <w:rPr>
          <w:rFonts w:ascii="Book Antiqua" w:hAnsi="Book Antiqua" w:cstheme="majorHAnsi"/>
          <w:sz w:val="24"/>
          <w:szCs w:val="24"/>
        </w:rPr>
        <w:t xml:space="preserve"> Especially the aspect of the theory of legal objectives put forward by Gustav </w:t>
      </w:r>
      <w:proofErr w:type="spellStart"/>
      <w:r w:rsidRPr="0067723F">
        <w:rPr>
          <w:rFonts w:ascii="Book Antiqua" w:hAnsi="Book Antiqua" w:cstheme="majorHAnsi"/>
          <w:sz w:val="24"/>
          <w:szCs w:val="24"/>
        </w:rPr>
        <w:t>Radbruch</w:t>
      </w:r>
      <w:proofErr w:type="spellEnd"/>
      <w:r w:rsidRPr="0067723F">
        <w:rPr>
          <w:rFonts w:ascii="Book Antiqua" w:hAnsi="Book Antiqua" w:cstheme="majorHAnsi"/>
          <w:sz w:val="24"/>
          <w:szCs w:val="24"/>
        </w:rPr>
        <w:t xml:space="preserve"> that the rules made must aim for justice, legal certainty and expediency. Substantive justice is related to fair, equitable and beneficial law enforcement, while formal justice is related to the application of proper legal procedures, which is why between justice </w:t>
      </w:r>
      <w:r w:rsidRPr="0067723F">
        <w:rPr>
          <w:rFonts w:ascii="Book Antiqua" w:hAnsi="Book Antiqua" w:cstheme="majorHAnsi"/>
          <w:sz w:val="24"/>
          <w:szCs w:val="24"/>
        </w:rPr>
        <w:lastRenderedPageBreak/>
        <w:t>and legal certainty must reflect expediency.</w:t>
      </w:r>
      <w:r w:rsidR="00BE6424">
        <w:rPr>
          <w:rStyle w:val="FootnoteReference"/>
          <w:rFonts w:ascii="Book Antiqua" w:hAnsi="Book Antiqua" w:cstheme="majorHAnsi"/>
          <w:sz w:val="24"/>
          <w:szCs w:val="24"/>
        </w:rPr>
        <w:footnoteReference w:id="14"/>
      </w:r>
      <w:r w:rsidRPr="0067723F">
        <w:rPr>
          <w:rFonts w:ascii="Book Antiqua" w:hAnsi="Book Antiqua" w:cstheme="majorHAnsi"/>
          <w:sz w:val="24"/>
          <w:szCs w:val="24"/>
        </w:rPr>
        <w:t xml:space="preserve"> In the context of patent disputes, this means being able to consider whether patent rights have been violated (substantive justice) or whether proper legal procedures have been followed in the registration and granting of patent rights (formal justice)</w:t>
      </w:r>
      <w:r w:rsidR="00BE6424">
        <w:rPr>
          <w:rFonts w:ascii="Book Antiqua" w:hAnsi="Book Antiqua" w:cstheme="majorHAnsi"/>
          <w:sz w:val="24"/>
          <w:szCs w:val="24"/>
        </w:rPr>
        <w:t xml:space="preserve"> </w:t>
      </w:r>
      <w:r w:rsidR="00E80CBA">
        <w:rPr>
          <w:rStyle w:val="FootnoteReference"/>
          <w:rFonts w:ascii="Book Antiqua" w:hAnsi="Book Antiqua" w:cstheme="majorHAnsi"/>
          <w:sz w:val="24"/>
          <w:szCs w:val="24"/>
        </w:rPr>
        <w:footnoteReference w:id="15"/>
      </w:r>
      <w:r w:rsidRPr="0067723F">
        <w:rPr>
          <w:rFonts w:ascii="Book Antiqua" w:hAnsi="Book Antiqua" w:cstheme="majorHAnsi"/>
          <w:sz w:val="24"/>
          <w:szCs w:val="24"/>
        </w:rPr>
        <w:t>.</w:t>
      </w:r>
      <w:r>
        <w:rPr>
          <w:rFonts w:ascii="Book Antiqua" w:hAnsi="Book Antiqua" w:cstheme="majorHAnsi"/>
          <w:sz w:val="24"/>
          <w:szCs w:val="24"/>
        </w:rPr>
        <w:t xml:space="preserve"> </w:t>
      </w:r>
      <w:r w:rsidRPr="0067723F">
        <w:rPr>
          <w:rFonts w:ascii="Book Antiqua" w:hAnsi="Book Antiqua" w:cstheme="majorHAnsi"/>
          <w:sz w:val="24"/>
          <w:szCs w:val="24"/>
        </w:rPr>
        <w:t>This study, the main goal is to gain better knowledge, clearer explanations, and a more fundamental understanding of the implementation of the aspects of legal objectives being studied.</w:t>
      </w:r>
      <w:r w:rsidR="00E80CBA">
        <w:rPr>
          <w:rStyle w:val="FootnoteReference"/>
          <w:rFonts w:ascii="Book Antiqua" w:hAnsi="Book Antiqua" w:cstheme="majorHAnsi"/>
          <w:sz w:val="24"/>
          <w:szCs w:val="24"/>
        </w:rPr>
        <w:footnoteReference w:id="16"/>
      </w:r>
      <w:r w:rsidRPr="0067723F">
        <w:rPr>
          <w:rFonts w:ascii="Book Antiqua" w:hAnsi="Book Antiqua" w:cstheme="majorHAnsi"/>
          <w:sz w:val="24"/>
          <w:szCs w:val="24"/>
        </w:rPr>
        <w:t xml:space="preserve"> Basically, legal objectives discuss aspects related to legal conceptions, legal principles, and schools or thoughts in law.</w:t>
      </w:r>
      <w:r w:rsidR="00E80CBA">
        <w:rPr>
          <w:rStyle w:val="FootnoteReference"/>
          <w:rFonts w:ascii="Book Antiqua" w:hAnsi="Book Antiqua" w:cstheme="majorHAnsi"/>
          <w:sz w:val="24"/>
          <w:szCs w:val="24"/>
        </w:rPr>
        <w:footnoteReference w:id="17"/>
      </w:r>
      <w:r w:rsidRPr="0067723F">
        <w:rPr>
          <w:rFonts w:ascii="Book Antiqua" w:hAnsi="Book Antiqua" w:cstheme="majorHAnsi"/>
          <w:sz w:val="24"/>
          <w:szCs w:val="24"/>
        </w:rPr>
        <w:t xml:space="preserve"> Aspects of legal objectives, namely justice, legal certainty and benefits, have a significant role in shaping legal construction regarding how the law should be (das </w:t>
      </w:r>
      <w:proofErr w:type="spellStart"/>
      <w:r w:rsidRPr="0067723F">
        <w:rPr>
          <w:rFonts w:ascii="Book Antiqua" w:hAnsi="Book Antiqua" w:cstheme="majorHAnsi"/>
          <w:sz w:val="24"/>
          <w:szCs w:val="24"/>
        </w:rPr>
        <w:t>sollen</w:t>
      </w:r>
      <w:proofErr w:type="spellEnd"/>
      <w:r w:rsidRPr="0067723F">
        <w:rPr>
          <w:rFonts w:ascii="Book Antiqua" w:hAnsi="Book Antiqua" w:cstheme="majorHAnsi"/>
          <w:sz w:val="24"/>
          <w:szCs w:val="24"/>
        </w:rPr>
        <w:t>) and how the law is related to reality in the real world or based on its application (das sein).</w:t>
      </w:r>
      <w:r w:rsidR="00E80CBA">
        <w:rPr>
          <w:rStyle w:val="FootnoteReference"/>
          <w:rFonts w:ascii="Book Antiqua" w:hAnsi="Book Antiqua" w:cstheme="majorHAnsi"/>
          <w:sz w:val="24"/>
          <w:szCs w:val="24"/>
        </w:rPr>
        <w:footnoteReference w:id="18"/>
      </w:r>
    </w:p>
    <w:p w14:paraId="28F3C926" w14:textId="68E2DC4B" w:rsidR="00DC3199" w:rsidRDefault="00DC3199" w:rsidP="004D5C42">
      <w:pPr>
        <w:spacing w:after="120" w:line="240" w:lineRule="auto"/>
        <w:ind w:firstLine="450"/>
        <w:jc w:val="both"/>
        <w:rPr>
          <w:rFonts w:ascii="Book Antiqua" w:hAnsi="Book Antiqua" w:cstheme="majorHAnsi"/>
          <w:sz w:val="24"/>
          <w:szCs w:val="24"/>
        </w:rPr>
      </w:pPr>
      <w:r w:rsidRPr="00F60DA9">
        <w:rPr>
          <w:rFonts w:ascii="Book Antiqua" w:hAnsi="Book Antiqua" w:cstheme="majorHAnsi"/>
          <w:sz w:val="24"/>
          <w:szCs w:val="24"/>
        </w:rPr>
        <w:t>There is one patent case that went through the litigation stage, one of which is a patent dispute case</w:t>
      </w:r>
      <w:r w:rsidRPr="00DC3199">
        <w:rPr>
          <w:rFonts w:ascii="Book Antiqua" w:hAnsi="Book Antiqua" w:cstheme="majorHAnsi"/>
          <w:sz w:val="24"/>
          <w:szCs w:val="24"/>
        </w:rPr>
        <w:t xml:space="preserve"> between Nokia Technologies Oy and PT </w:t>
      </w:r>
      <w:proofErr w:type="spellStart"/>
      <w:r w:rsidRPr="00DC3199">
        <w:rPr>
          <w:rFonts w:ascii="Book Antiqua" w:hAnsi="Book Antiqua" w:cstheme="majorHAnsi"/>
          <w:sz w:val="24"/>
          <w:szCs w:val="24"/>
        </w:rPr>
        <w:t>Selalu</w:t>
      </w:r>
      <w:proofErr w:type="spellEnd"/>
      <w:r w:rsidRPr="00DC3199">
        <w:rPr>
          <w:rFonts w:ascii="Book Antiqua" w:hAnsi="Book Antiqua" w:cstheme="majorHAnsi"/>
          <w:sz w:val="24"/>
          <w:szCs w:val="24"/>
        </w:rPr>
        <w:t xml:space="preserve"> </w:t>
      </w:r>
      <w:proofErr w:type="spellStart"/>
      <w:r w:rsidRPr="00DC3199">
        <w:rPr>
          <w:rFonts w:ascii="Book Antiqua" w:hAnsi="Book Antiqua" w:cstheme="majorHAnsi"/>
          <w:sz w:val="24"/>
          <w:szCs w:val="24"/>
        </w:rPr>
        <w:t>Bahagia</w:t>
      </w:r>
      <w:proofErr w:type="spellEnd"/>
      <w:r w:rsidRPr="00DC3199">
        <w:rPr>
          <w:rFonts w:ascii="Book Antiqua" w:hAnsi="Book Antiqua" w:cstheme="majorHAnsi"/>
          <w:sz w:val="24"/>
          <w:szCs w:val="24"/>
        </w:rPr>
        <w:t xml:space="preserve"> Bersama, according to Nokia Technologies Oy that PT </w:t>
      </w:r>
      <w:proofErr w:type="spellStart"/>
      <w:r w:rsidRPr="00DC3199">
        <w:rPr>
          <w:rFonts w:ascii="Book Antiqua" w:hAnsi="Book Antiqua" w:cstheme="majorHAnsi"/>
          <w:sz w:val="24"/>
          <w:szCs w:val="24"/>
        </w:rPr>
        <w:t>Selalu</w:t>
      </w:r>
      <w:proofErr w:type="spellEnd"/>
      <w:r w:rsidRPr="00DC3199">
        <w:rPr>
          <w:rFonts w:ascii="Book Antiqua" w:hAnsi="Book Antiqua" w:cstheme="majorHAnsi"/>
          <w:sz w:val="24"/>
          <w:szCs w:val="24"/>
        </w:rPr>
        <w:t xml:space="preserve"> </w:t>
      </w:r>
      <w:proofErr w:type="spellStart"/>
      <w:r w:rsidRPr="00DC3199">
        <w:rPr>
          <w:rFonts w:ascii="Book Antiqua" w:hAnsi="Book Antiqua" w:cstheme="majorHAnsi"/>
          <w:sz w:val="24"/>
          <w:szCs w:val="24"/>
        </w:rPr>
        <w:t>Bahagia</w:t>
      </w:r>
      <w:proofErr w:type="spellEnd"/>
      <w:r w:rsidRPr="00DC3199">
        <w:rPr>
          <w:rFonts w:ascii="Book Antiqua" w:hAnsi="Book Antiqua" w:cstheme="majorHAnsi"/>
          <w:sz w:val="24"/>
          <w:szCs w:val="24"/>
        </w:rPr>
        <w:t xml:space="preserve"> Bersama has infringed on a patent owned by Nokia Technologies Oy with Registration Number IDP000031184 entitled Additional Modulation Information Signaling for High-Speed Derivative Linkage Package Access. This is evidenced by the production, sale and provision for sale of </w:t>
      </w:r>
      <w:proofErr w:type="spellStart"/>
      <w:r w:rsidRPr="00DC3199">
        <w:rPr>
          <w:rFonts w:ascii="Book Antiqua" w:hAnsi="Book Antiqua" w:cstheme="majorHAnsi"/>
          <w:sz w:val="24"/>
          <w:szCs w:val="24"/>
        </w:rPr>
        <w:t>Oppo's</w:t>
      </w:r>
      <w:proofErr w:type="spellEnd"/>
      <w:r w:rsidRPr="00DC3199">
        <w:rPr>
          <w:rFonts w:ascii="Book Antiqua" w:hAnsi="Book Antiqua" w:cstheme="majorHAnsi"/>
          <w:sz w:val="24"/>
          <w:szCs w:val="24"/>
        </w:rPr>
        <w:t xml:space="preserve"> products that use Nokia patents intentionally and without rights. From several articles listed in the patent law regarding patent dispute resolution, there are different legal norms.</w:t>
      </w:r>
      <w:r w:rsidR="00F60DA9">
        <w:rPr>
          <w:rStyle w:val="FootnoteReference"/>
          <w:rFonts w:ascii="Book Antiqua" w:hAnsi="Book Antiqua" w:cstheme="majorHAnsi"/>
          <w:sz w:val="24"/>
          <w:szCs w:val="24"/>
        </w:rPr>
        <w:footnoteReference w:id="19"/>
      </w:r>
      <w:r w:rsidRPr="00DC3199">
        <w:rPr>
          <w:rFonts w:ascii="Book Antiqua" w:hAnsi="Book Antiqua" w:cstheme="majorHAnsi"/>
          <w:sz w:val="24"/>
          <w:szCs w:val="24"/>
        </w:rPr>
        <w:t xml:space="preserve">  The settlement of patent criminal disputes as stated in Article 154 of the Patent Law has legal norms that are compelling (</w:t>
      </w:r>
      <w:proofErr w:type="spellStart"/>
      <w:r w:rsidRPr="00591987">
        <w:rPr>
          <w:rFonts w:ascii="Book Antiqua" w:hAnsi="Book Antiqua" w:cstheme="majorHAnsi"/>
          <w:i/>
          <w:iCs/>
          <w:sz w:val="24"/>
          <w:szCs w:val="24"/>
        </w:rPr>
        <w:t>dwingend</w:t>
      </w:r>
      <w:proofErr w:type="spellEnd"/>
      <w:r w:rsidRPr="00DC3199">
        <w:rPr>
          <w:rFonts w:ascii="Book Antiqua" w:hAnsi="Book Antiqua" w:cstheme="majorHAnsi"/>
          <w:sz w:val="24"/>
          <w:szCs w:val="24"/>
        </w:rPr>
        <w:t>) because this article requires the parties to go through mediation before finally filing a lawsuit to the Commercial Court so that it is different from the settlement of patent disputes in the realm of civil lawsuits as stated in Article 142 and Article 143 of the Patent Law has legal norms that only regulate (</w:t>
      </w:r>
      <w:proofErr w:type="spellStart"/>
      <w:r w:rsidRPr="00591987">
        <w:rPr>
          <w:rFonts w:ascii="Book Antiqua" w:hAnsi="Book Antiqua" w:cstheme="majorHAnsi"/>
          <w:i/>
          <w:iCs/>
          <w:sz w:val="24"/>
          <w:szCs w:val="24"/>
        </w:rPr>
        <w:t>aanvullen</w:t>
      </w:r>
      <w:proofErr w:type="spellEnd"/>
      <w:r w:rsidRPr="00DC3199">
        <w:rPr>
          <w:rFonts w:ascii="Book Antiqua" w:hAnsi="Book Antiqua" w:cstheme="majorHAnsi"/>
          <w:sz w:val="24"/>
          <w:szCs w:val="24"/>
        </w:rPr>
        <w:t>), so it is not enough to provide legal certainty.</w:t>
      </w:r>
      <w:r w:rsidR="00D9789A">
        <w:rPr>
          <w:rStyle w:val="FootnoteReference"/>
          <w:rFonts w:ascii="Book Antiqua" w:hAnsi="Book Antiqua" w:cstheme="majorHAnsi"/>
          <w:sz w:val="24"/>
          <w:szCs w:val="24"/>
        </w:rPr>
        <w:footnoteReference w:id="20"/>
      </w:r>
      <w:r w:rsidR="00C64069">
        <w:rPr>
          <w:rFonts w:ascii="Book Antiqua" w:hAnsi="Book Antiqua" w:cstheme="majorHAnsi"/>
          <w:sz w:val="24"/>
          <w:szCs w:val="24"/>
        </w:rPr>
        <w:t xml:space="preserve"> </w:t>
      </w:r>
      <w:r w:rsidR="00C64069" w:rsidRPr="00C64069">
        <w:rPr>
          <w:rFonts w:ascii="Book Antiqua" w:hAnsi="Book Antiqua" w:cstheme="majorHAnsi"/>
          <w:sz w:val="24"/>
          <w:szCs w:val="24"/>
        </w:rPr>
        <w:t>As stated above, the IPR system is a private right, because the settlement of civil disputes is private, the settlement should also begin with mediation first in order to find common ground between the parties before finally filing a lawsuit in the Commercial Court as is the rule given for the settlement of public patent criminal disputes.</w:t>
      </w:r>
      <w:r w:rsidR="00D9789A">
        <w:rPr>
          <w:rStyle w:val="FootnoteReference"/>
          <w:rFonts w:ascii="Book Antiqua" w:hAnsi="Book Antiqua" w:cstheme="majorHAnsi"/>
          <w:sz w:val="24"/>
          <w:szCs w:val="24"/>
        </w:rPr>
        <w:footnoteReference w:id="21"/>
      </w:r>
      <w:r w:rsidR="00C64069" w:rsidRPr="00C64069">
        <w:rPr>
          <w:rFonts w:ascii="Book Antiqua" w:hAnsi="Book Antiqua" w:cstheme="majorHAnsi"/>
          <w:sz w:val="24"/>
          <w:szCs w:val="24"/>
        </w:rPr>
        <w:t xml:space="preserve"> Therefore, what is currently stated in the Patent Law is contrary to the aspect of legal objectives put forward by Gustav </w:t>
      </w:r>
      <w:proofErr w:type="spellStart"/>
      <w:r w:rsidR="00C64069" w:rsidRPr="00C64069">
        <w:rPr>
          <w:rFonts w:ascii="Book Antiqua" w:hAnsi="Book Antiqua" w:cstheme="majorHAnsi"/>
          <w:sz w:val="24"/>
          <w:szCs w:val="24"/>
        </w:rPr>
        <w:t>Radbruch</w:t>
      </w:r>
      <w:proofErr w:type="spellEnd"/>
      <w:r w:rsidR="00C64069" w:rsidRPr="00C64069">
        <w:rPr>
          <w:rFonts w:ascii="Book Antiqua" w:hAnsi="Book Antiqua" w:cstheme="majorHAnsi"/>
          <w:sz w:val="24"/>
          <w:szCs w:val="24"/>
        </w:rPr>
        <w:t xml:space="preserve"> that the rules made must aim for justice, legal certainty and expediency. By understanding and applying aspects of legal objectives properly, the dispute resolution process can strengthen justice, provide legal certainty, and benefits for all parties involved.</w:t>
      </w:r>
      <w:r w:rsidR="00D9789A">
        <w:rPr>
          <w:rStyle w:val="FootnoteReference"/>
          <w:rFonts w:ascii="Book Antiqua" w:hAnsi="Book Antiqua" w:cstheme="majorHAnsi"/>
          <w:sz w:val="24"/>
          <w:szCs w:val="24"/>
        </w:rPr>
        <w:footnoteReference w:id="22"/>
      </w:r>
      <w:r w:rsidR="00C64069" w:rsidRPr="00C64069">
        <w:rPr>
          <w:rFonts w:ascii="Book Antiqua" w:hAnsi="Book Antiqua" w:cstheme="majorHAnsi"/>
          <w:sz w:val="24"/>
          <w:szCs w:val="24"/>
        </w:rPr>
        <w:t xml:space="preserve"> Patent dispute resolution based on aspects of legal </w:t>
      </w:r>
      <w:r w:rsidR="00C64069" w:rsidRPr="00C64069">
        <w:rPr>
          <w:rFonts w:ascii="Book Antiqua" w:hAnsi="Book Antiqua" w:cstheme="majorHAnsi"/>
          <w:sz w:val="24"/>
          <w:szCs w:val="24"/>
        </w:rPr>
        <w:lastRenderedPageBreak/>
        <w:t>objectives is not only about upholding justice, but also providing legal certainty and benefits for patent holders and related parties.</w:t>
      </w:r>
      <w:r w:rsidR="00CE2C80">
        <w:rPr>
          <w:rStyle w:val="FootnoteReference"/>
          <w:rFonts w:ascii="Book Antiqua" w:hAnsi="Book Antiqua" w:cstheme="majorHAnsi"/>
          <w:sz w:val="24"/>
          <w:szCs w:val="24"/>
        </w:rPr>
        <w:footnoteReference w:id="23"/>
      </w:r>
    </w:p>
    <w:p w14:paraId="1BAF9CDC" w14:textId="3FFB3029" w:rsidR="00C64069" w:rsidRDefault="00C64069" w:rsidP="004D5C42">
      <w:pPr>
        <w:spacing w:after="120" w:line="240" w:lineRule="auto"/>
        <w:ind w:firstLine="450"/>
        <w:jc w:val="both"/>
        <w:rPr>
          <w:rFonts w:ascii="Book Antiqua" w:hAnsi="Book Antiqua" w:cstheme="majorHAnsi"/>
          <w:sz w:val="24"/>
          <w:szCs w:val="24"/>
        </w:rPr>
      </w:pPr>
      <w:r w:rsidRPr="00C64069">
        <w:rPr>
          <w:rFonts w:ascii="Book Antiqua" w:hAnsi="Book Antiqua" w:cstheme="majorHAnsi"/>
          <w:sz w:val="24"/>
          <w:szCs w:val="24"/>
        </w:rPr>
        <w:t>The settlement of IPR disputes is considered better through non-litigation channels or through mediation institutions because it is faster and the costs are lighter than if it is resolved through litigation.</w:t>
      </w:r>
      <w:r w:rsidR="00E45738">
        <w:rPr>
          <w:rStyle w:val="FootnoteReference"/>
          <w:rFonts w:ascii="Book Antiqua" w:hAnsi="Book Antiqua" w:cstheme="majorHAnsi"/>
          <w:sz w:val="24"/>
          <w:szCs w:val="24"/>
        </w:rPr>
        <w:footnoteReference w:id="24"/>
      </w:r>
      <w:r w:rsidRPr="00C64069">
        <w:rPr>
          <w:rFonts w:ascii="Book Antiqua" w:hAnsi="Book Antiqua" w:cstheme="majorHAnsi"/>
          <w:sz w:val="24"/>
          <w:szCs w:val="24"/>
        </w:rPr>
        <w:t xml:space="preserve"> Therefore, the author creates a view of the application of the Legal Objectives aspect proposed by Gustav </w:t>
      </w:r>
      <w:proofErr w:type="spellStart"/>
      <w:r w:rsidRPr="00C64069">
        <w:rPr>
          <w:rFonts w:ascii="Book Antiqua" w:hAnsi="Book Antiqua" w:cstheme="majorHAnsi"/>
          <w:sz w:val="24"/>
          <w:szCs w:val="24"/>
        </w:rPr>
        <w:t>Radbruch</w:t>
      </w:r>
      <w:proofErr w:type="spellEnd"/>
      <w:r w:rsidRPr="00C64069">
        <w:rPr>
          <w:rFonts w:ascii="Book Antiqua" w:hAnsi="Book Antiqua" w:cstheme="majorHAnsi"/>
          <w:sz w:val="24"/>
          <w:szCs w:val="24"/>
        </w:rPr>
        <w:t xml:space="preserve"> in the Settlement of Patent Disputes based on the patent law which should aim for justice, legal certainty and expediency. This is because looking at the phenomenon that occurs in the settlement of patent disputes with existing redactions, the stages of resolving civil disputes currently only depend on the parties.</w:t>
      </w:r>
      <w:r w:rsidR="00A6167A">
        <w:rPr>
          <w:rStyle w:val="FootnoteReference"/>
          <w:rFonts w:ascii="Book Antiqua" w:hAnsi="Book Antiqua" w:cstheme="majorHAnsi"/>
          <w:sz w:val="24"/>
          <w:szCs w:val="24"/>
        </w:rPr>
        <w:footnoteReference w:id="25"/>
      </w:r>
      <w:r w:rsidRPr="00C64069">
        <w:rPr>
          <w:rFonts w:ascii="Book Antiqua" w:hAnsi="Book Antiqua" w:cstheme="majorHAnsi"/>
          <w:sz w:val="24"/>
          <w:szCs w:val="24"/>
        </w:rPr>
        <w:t xml:space="preserve"> This makes it seem as if dispute resolution outside and inside the court is only an option, so that many patent cases in Indonesia end up in the Commercial Court, but some end up only at the mediation stage. Although the </w:t>
      </w:r>
      <w:r w:rsidR="009B313A">
        <w:rPr>
          <w:rFonts w:ascii="Book Antiqua" w:hAnsi="Book Antiqua" w:cstheme="majorHAnsi"/>
          <w:sz w:val="24"/>
          <w:szCs w:val="24"/>
        </w:rPr>
        <w:t>IPR</w:t>
      </w:r>
      <w:r w:rsidRPr="00C64069">
        <w:rPr>
          <w:rFonts w:ascii="Book Antiqua" w:hAnsi="Book Antiqua" w:cstheme="majorHAnsi"/>
          <w:sz w:val="24"/>
          <w:szCs w:val="24"/>
        </w:rPr>
        <w:t xml:space="preserve"> always prioritizes the mediation step with the litigants, in the patent law mediation is not a requirement.</w:t>
      </w:r>
      <w:r w:rsidR="0081346B">
        <w:rPr>
          <w:rStyle w:val="FootnoteReference"/>
          <w:rFonts w:ascii="Book Antiqua" w:hAnsi="Book Antiqua" w:cstheme="majorHAnsi"/>
          <w:sz w:val="24"/>
          <w:szCs w:val="24"/>
        </w:rPr>
        <w:footnoteReference w:id="26"/>
      </w:r>
      <w:r>
        <w:rPr>
          <w:rFonts w:ascii="Book Antiqua" w:hAnsi="Book Antiqua" w:cstheme="majorHAnsi"/>
          <w:sz w:val="24"/>
          <w:szCs w:val="24"/>
        </w:rPr>
        <w:t xml:space="preserve"> </w:t>
      </w:r>
      <w:r w:rsidRPr="00C64069">
        <w:rPr>
          <w:rFonts w:ascii="Book Antiqua" w:hAnsi="Book Antiqua" w:cstheme="majorHAnsi"/>
          <w:sz w:val="24"/>
          <w:szCs w:val="24"/>
        </w:rPr>
        <w:t>Whereas patents are private and out-of-court dispute resolution should be a required step for the parties, that way it will certainly reduce the accumulation of cases in court with a win-win solution</w:t>
      </w:r>
      <w:r w:rsidR="00AE06C7">
        <w:rPr>
          <w:rFonts w:ascii="Book Antiqua" w:hAnsi="Book Antiqua" w:cstheme="majorHAnsi"/>
          <w:sz w:val="24"/>
          <w:szCs w:val="24"/>
        </w:rPr>
        <w:t>.</w:t>
      </w:r>
      <w:r w:rsidR="00AE06C7">
        <w:rPr>
          <w:rStyle w:val="FootnoteReference"/>
          <w:rFonts w:ascii="Book Antiqua" w:hAnsi="Book Antiqua" w:cstheme="majorHAnsi"/>
          <w:sz w:val="24"/>
          <w:szCs w:val="24"/>
        </w:rPr>
        <w:footnoteReference w:id="27"/>
      </w:r>
      <w:r w:rsidR="00AE06C7">
        <w:rPr>
          <w:rFonts w:ascii="Book Antiqua" w:hAnsi="Book Antiqua" w:cstheme="majorHAnsi"/>
          <w:sz w:val="24"/>
          <w:szCs w:val="24"/>
        </w:rPr>
        <w:t xml:space="preserve"> </w:t>
      </w:r>
      <w:r w:rsidRPr="00C64069">
        <w:rPr>
          <w:rFonts w:ascii="Book Antiqua" w:hAnsi="Book Antiqua" w:cstheme="majorHAnsi"/>
          <w:sz w:val="24"/>
          <w:szCs w:val="24"/>
        </w:rPr>
        <w:t xml:space="preserve">Therefore, according to the author, out-of-court dispute resolution can be used as something that is required to be pursued so that in the future it provides legal certainty for the parties </w:t>
      </w:r>
      <w:r w:rsidR="00981974">
        <w:rPr>
          <w:rStyle w:val="FootnoteReference"/>
          <w:rFonts w:ascii="Book Antiqua" w:hAnsi="Book Antiqua" w:cstheme="majorHAnsi"/>
          <w:sz w:val="24"/>
          <w:szCs w:val="24"/>
        </w:rPr>
        <w:footnoteReference w:id="28"/>
      </w:r>
      <w:r w:rsidRPr="00C64069">
        <w:rPr>
          <w:rFonts w:ascii="Book Antiqua" w:hAnsi="Book Antiqua" w:cstheme="majorHAnsi"/>
          <w:sz w:val="24"/>
          <w:szCs w:val="24"/>
        </w:rPr>
        <w:t>. Given that the function of law is to direct people's behavior, so that if mediation is affirmed in writing to become a necessity in resolving patent civil disputes, then later people's behavior in resolving patent civil disputes will change as well as the settlement of all patent civil disputes will take mediation first because litigation has the potential to damage business relationships or the reputation of the parties</w:t>
      </w:r>
      <w:r w:rsidR="00170C86">
        <w:rPr>
          <w:rStyle w:val="FootnoteReference"/>
          <w:rFonts w:ascii="Book Antiqua" w:hAnsi="Book Antiqua" w:cstheme="majorHAnsi"/>
          <w:sz w:val="24"/>
          <w:szCs w:val="24"/>
        </w:rPr>
        <w:footnoteReference w:id="29"/>
      </w:r>
      <w:r w:rsidRPr="00C64069">
        <w:rPr>
          <w:rFonts w:ascii="Book Antiqua" w:hAnsi="Book Antiqua" w:cstheme="majorHAnsi"/>
          <w:sz w:val="24"/>
          <w:szCs w:val="24"/>
        </w:rPr>
        <w:t>.</w:t>
      </w:r>
    </w:p>
    <w:p w14:paraId="07AB1408" w14:textId="35417E42" w:rsidR="00C64069" w:rsidRDefault="00C64069" w:rsidP="004D5C42">
      <w:pPr>
        <w:spacing w:after="120" w:line="240" w:lineRule="auto"/>
        <w:ind w:firstLine="450"/>
        <w:jc w:val="both"/>
        <w:rPr>
          <w:rFonts w:ascii="Book Antiqua" w:hAnsi="Book Antiqua" w:cstheme="majorHAnsi"/>
          <w:sz w:val="24"/>
          <w:szCs w:val="24"/>
        </w:rPr>
      </w:pPr>
      <w:r w:rsidRPr="00C64069">
        <w:rPr>
          <w:rFonts w:ascii="Book Antiqua" w:hAnsi="Book Antiqua" w:cstheme="majorHAnsi"/>
          <w:sz w:val="24"/>
          <w:szCs w:val="24"/>
        </w:rPr>
        <w:t xml:space="preserve">Previous research related to patent dispute resolution research has been conducted by: 1) Dimas Akbar Iqbal </w:t>
      </w:r>
      <w:proofErr w:type="spellStart"/>
      <w:r w:rsidRPr="00C64069">
        <w:rPr>
          <w:rFonts w:ascii="Book Antiqua" w:hAnsi="Book Antiqua" w:cstheme="majorHAnsi"/>
          <w:sz w:val="24"/>
          <w:szCs w:val="24"/>
        </w:rPr>
        <w:t>Azis</w:t>
      </w:r>
      <w:proofErr w:type="spellEnd"/>
      <w:r w:rsidRPr="00C64069">
        <w:rPr>
          <w:rFonts w:ascii="Book Antiqua" w:hAnsi="Book Antiqua" w:cstheme="majorHAnsi"/>
          <w:sz w:val="24"/>
          <w:szCs w:val="24"/>
        </w:rPr>
        <w:t xml:space="preserve"> in 2021 which focuses on the legal consequences of the enactment of the patent law on the development and protection of patents in Indonesia;</w:t>
      </w:r>
      <w:r w:rsidR="006C28BB">
        <w:rPr>
          <w:rStyle w:val="FootnoteReference"/>
          <w:rFonts w:ascii="Book Antiqua" w:hAnsi="Book Antiqua" w:cstheme="majorHAnsi"/>
          <w:sz w:val="24"/>
          <w:szCs w:val="24"/>
        </w:rPr>
        <w:footnoteReference w:id="30"/>
      </w:r>
      <w:r w:rsidRPr="00C64069">
        <w:rPr>
          <w:rFonts w:ascii="Book Antiqua" w:hAnsi="Book Antiqua" w:cstheme="majorHAnsi"/>
          <w:sz w:val="24"/>
          <w:szCs w:val="24"/>
        </w:rPr>
        <w:t xml:space="preserve"> 2) Jean </w:t>
      </w:r>
      <w:proofErr w:type="spellStart"/>
      <w:r w:rsidRPr="00C64069">
        <w:rPr>
          <w:rFonts w:ascii="Book Antiqua" w:hAnsi="Book Antiqua" w:cstheme="majorHAnsi"/>
          <w:sz w:val="24"/>
          <w:szCs w:val="24"/>
        </w:rPr>
        <w:t>Neltje</w:t>
      </w:r>
      <w:proofErr w:type="spellEnd"/>
      <w:r w:rsidRPr="00C64069">
        <w:rPr>
          <w:rFonts w:ascii="Book Antiqua" w:hAnsi="Book Antiqua" w:cstheme="majorHAnsi"/>
          <w:sz w:val="24"/>
          <w:szCs w:val="24"/>
        </w:rPr>
        <w:t xml:space="preserve">, </w:t>
      </w:r>
      <w:proofErr w:type="spellStart"/>
      <w:r w:rsidRPr="00C64069">
        <w:rPr>
          <w:rFonts w:ascii="Book Antiqua" w:hAnsi="Book Antiqua" w:cstheme="majorHAnsi"/>
          <w:sz w:val="24"/>
          <w:szCs w:val="24"/>
        </w:rPr>
        <w:t>Andini</w:t>
      </w:r>
      <w:proofErr w:type="spellEnd"/>
      <w:r w:rsidRPr="00C64069">
        <w:rPr>
          <w:rFonts w:ascii="Book Antiqua" w:hAnsi="Book Antiqua" w:cstheme="majorHAnsi"/>
          <w:sz w:val="24"/>
          <w:szCs w:val="24"/>
        </w:rPr>
        <w:t xml:space="preserve"> Camelia, </w:t>
      </w:r>
      <w:proofErr w:type="spellStart"/>
      <w:r w:rsidRPr="00C64069">
        <w:rPr>
          <w:rFonts w:ascii="Book Antiqua" w:hAnsi="Book Antiqua" w:cstheme="majorHAnsi"/>
          <w:sz w:val="24"/>
          <w:szCs w:val="24"/>
        </w:rPr>
        <w:t>Nasywa</w:t>
      </w:r>
      <w:proofErr w:type="spellEnd"/>
      <w:r w:rsidRPr="00C64069">
        <w:rPr>
          <w:rFonts w:ascii="Book Antiqua" w:hAnsi="Book Antiqua" w:cstheme="majorHAnsi"/>
          <w:sz w:val="24"/>
          <w:szCs w:val="24"/>
        </w:rPr>
        <w:t xml:space="preserve"> </w:t>
      </w:r>
      <w:proofErr w:type="spellStart"/>
      <w:r w:rsidRPr="00C64069">
        <w:rPr>
          <w:rFonts w:ascii="Book Antiqua" w:hAnsi="Book Antiqua" w:cstheme="majorHAnsi"/>
          <w:sz w:val="24"/>
          <w:szCs w:val="24"/>
        </w:rPr>
        <w:t>Laffaiza</w:t>
      </w:r>
      <w:proofErr w:type="spellEnd"/>
      <w:r w:rsidRPr="00C64069">
        <w:rPr>
          <w:rFonts w:ascii="Book Antiqua" w:hAnsi="Book Antiqua" w:cstheme="majorHAnsi"/>
          <w:sz w:val="24"/>
          <w:szCs w:val="24"/>
        </w:rPr>
        <w:t xml:space="preserve">, </w:t>
      </w:r>
      <w:proofErr w:type="spellStart"/>
      <w:r w:rsidRPr="00C64069">
        <w:rPr>
          <w:rFonts w:ascii="Book Antiqua" w:hAnsi="Book Antiqua" w:cstheme="majorHAnsi"/>
          <w:sz w:val="24"/>
          <w:szCs w:val="24"/>
        </w:rPr>
        <w:t>Tazkia</w:t>
      </w:r>
      <w:proofErr w:type="spellEnd"/>
      <w:r w:rsidRPr="00C64069">
        <w:rPr>
          <w:rFonts w:ascii="Book Antiqua" w:hAnsi="Book Antiqua" w:cstheme="majorHAnsi"/>
          <w:sz w:val="24"/>
          <w:szCs w:val="24"/>
        </w:rPr>
        <w:t xml:space="preserve"> </w:t>
      </w:r>
      <w:proofErr w:type="spellStart"/>
      <w:r w:rsidRPr="00C64069">
        <w:rPr>
          <w:rFonts w:ascii="Book Antiqua" w:hAnsi="Book Antiqua" w:cstheme="majorHAnsi"/>
          <w:sz w:val="24"/>
          <w:szCs w:val="24"/>
        </w:rPr>
        <w:t>Tunnafsia</w:t>
      </w:r>
      <w:proofErr w:type="spellEnd"/>
      <w:r w:rsidRPr="00C64069">
        <w:rPr>
          <w:rFonts w:ascii="Book Antiqua" w:hAnsi="Book Antiqua" w:cstheme="majorHAnsi"/>
          <w:sz w:val="24"/>
          <w:szCs w:val="24"/>
        </w:rPr>
        <w:t xml:space="preserve"> </w:t>
      </w:r>
      <w:proofErr w:type="spellStart"/>
      <w:r w:rsidRPr="00C64069">
        <w:rPr>
          <w:rFonts w:ascii="Book Antiqua" w:hAnsi="Book Antiqua" w:cstheme="majorHAnsi"/>
          <w:sz w:val="24"/>
          <w:szCs w:val="24"/>
        </w:rPr>
        <w:t>Siregar</w:t>
      </w:r>
      <w:proofErr w:type="spellEnd"/>
      <w:r w:rsidRPr="00C64069">
        <w:rPr>
          <w:rFonts w:ascii="Book Antiqua" w:hAnsi="Book Antiqua" w:cstheme="majorHAnsi"/>
          <w:sz w:val="24"/>
          <w:szCs w:val="24"/>
        </w:rPr>
        <w:t xml:space="preserve"> and Dandi </w:t>
      </w:r>
      <w:proofErr w:type="spellStart"/>
      <w:r w:rsidRPr="00C64069">
        <w:rPr>
          <w:rFonts w:ascii="Book Antiqua" w:hAnsi="Book Antiqua" w:cstheme="majorHAnsi"/>
          <w:sz w:val="24"/>
          <w:szCs w:val="24"/>
        </w:rPr>
        <w:t>Herdiawan</w:t>
      </w:r>
      <w:proofErr w:type="spellEnd"/>
      <w:r w:rsidRPr="00C64069">
        <w:rPr>
          <w:rFonts w:ascii="Book Antiqua" w:hAnsi="Book Antiqua" w:cstheme="majorHAnsi"/>
          <w:sz w:val="24"/>
          <w:szCs w:val="24"/>
        </w:rPr>
        <w:t xml:space="preserve"> </w:t>
      </w:r>
      <w:proofErr w:type="spellStart"/>
      <w:r w:rsidRPr="00C64069">
        <w:rPr>
          <w:rFonts w:ascii="Book Antiqua" w:hAnsi="Book Antiqua" w:cstheme="majorHAnsi"/>
          <w:sz w:val="24"/>
          <w:szCs w:val="24"/>
        </w:rPr>
        <w:t>Syahputra</w:t>
      </w:r>
      <w:proofErr w:type="spellEnd"/>
      <w:r w:rsidRPr="00C64069">
        <w:rPr>
          <w:rFonts w:ascii="Book Antiqua" w:hAnsi="Book Antiqua" w:cstheme="majorHAnsi"/>
          <w:sz w:val="24"/>
          <w:szCs w:val="24"/>
        </w:rPr>
        <w:t xml:space="preserve"> who focused on the legal protection of patent holders under the Patent Law;</w:t>
      </w:r>
      <w:r w:rsidR="0033762A">
        <w:rPr>
          <w:rStyle w:val="FootnoteReference"/>
          <w:rFonts w:ascii="Book Antiqua" w:hAnsi="Book Antiqua" w:cstheme="majorHAnsi"/>
          <w:sz w:val="24"/>
          <w:szCs w:val="24"/>
        </w:rPr>
        <w:footnoteReference w:id="31"/>
      </w:r>
      <w:r w:rsidRPr="00C64069">
        <w:rPr>
          <w:rFonts w:ascii="Book Antiqua" w:hAnsi="Book Antiqua" w:cstheme="majorHAnsi"/>
          <w:sz w:val="24"/>
          <w:szCs w:val="24"/>
        </w:rPr>
        <w:t xml:space="preserve"> </w:t>
      </w:r>
      <w:r w:rsidR="00270CF1">
        <w:rPr>
          <w:rFonts w:ascii="Book Antiqua" w:hAnsi="Book Antiqua" w:cstheme="majorHAnsi"/>
          <w:sz w:val="24"/>
          <w:szCs w:val="24"/>
        </w:rPr>
        <w:t>3</w:t>
      </w:r>
      <w:r w:rsidRPr="00C64069">
        <w:rPr>
          <w:rFonts w:ascii="Book Antiqua" w:hAnsi="Book Antiqua" w:cstheme="majorHAnsi"/>
          <w:sz w:val="24"/>
          <w:szCs w:val="24"/>
        </w:rPr>
        <w:t xml:space="preserve">) Muhammad Faizal </w:t>
      </w:r>
      <w:proofErr w:type="spellStart"/>
      <w:r w:rsidRPr="00C64069">
        <w:rPr>
          <w:rFonts w:ascii="Book Antiqua" w:hAnsi="Book Antiqua" w:cstheme="majorHAnsi"/>
          <w:sz w:val="24"/>
          <w:szCs w:val="24"/>
        </w:rPr>
        <w:t>Abdillah</w:t>
      </w:r>
      <w:proofErr w:type="spellEnd"/>
      <w:r w:rsidRPr="00C64069">
        <w:rPr>
          <w:rFonts w:ascii="Book Antiqua" w:hAnsi="Book Antiqua" w:cstheme="majorHAnsi"/>
          <w:sz w:val="24"/>
          <w:szCs w:val="24"/>
        </w:rPr>
        <w:t xml:space="preserve">, Joko </w:t>
      </w:r>
      <w:proofErr w:type="spellStart"/>
      <w:r w:rsidRPr="00C64069">
        <w:rPr>
          <w:rFonts w:ascii="Book Antiqua" w:hAnsi="Book Antiqua" w:cstheme="majorHAnsi"/>
          <w:sz w:val="24"/>
          <w:szCs w:val="24"/>
        </w:rPr>
        <w:t>Sriwidodo</w:t>
      </w:r>
      <w:proofErr w:type="spellEnd"/>
      <w:r w:rsidRPr="00C64069">
        <w:rPr>
          <w:rFonts w:ascii="Book Antiqua" w:hAnsi="Book Antiqua" w:cstheme="majorHAnsi"/>
          <w:sz w:val="24"/>
          <w:szCs w:val="24"/>
        </w:rPr>
        <w:t xml:space="preserve"> and Marni Emmy Mustafa which focuses on dispute resolution against patents that do not have elements of novelty in Indonesia.</w:t>
      </w:r>
      <w:r w:rsidR="0033762A">
        <w:rPr>
          <w:rStyle w:val="FootnoteReference"/>
          <w:rFonts w:ascii="Book Antiqua" w:hAnsi="Book Antiqua" w:cstheme="majorHAnsi"/>
          <w:sz w:val="24"/>
          <w:szCs w:val="24"/>
        </w:rPr>
        <w:footnoteReference w:id="32"/>
      </w:r>
      <w:r w:rsidRPr="00C64069">
        <w:rPr>
          <w:rFonts w:ascii="Book Antiqua" w:hAnsi="Book Antiqua" w:cstheme="majorHAnsi"/>
          <w:sz w:val="24"/>
          <w:szCs w:val="24"/>
        </w:rPr>
        <w:t xml:space="preserve"> Based on previous research, this research has a similar theme, namely examining fundamentally the regulation of IPR, especially regarding patent dispute resolution, but this research </w:t>
      </w:r>
      <w:r w:rsidRPr="00C64069">
        <w:rPr>
          <w:rFonts w:ascii="Book Antiqua" w:hAnsi="Book Antiqua" w:cstheme="majorHAnsi"/>
          <w:sz w:val="24"/>
          <w:szCs w:val="24"/>
        </w:rPr>
        <w:lastRenderedPageBreak/>
        <w:t>focuses more on the application of aspects of legal objectives in resolving patent disputes in order to strengthen justice, legal certainty and legal benefits.</w:t>
      </w:r>
      <w:r>
        <w:rPr>
          <w:rFonts w:ascii="Book Antiqua" w:hAnsi="Book Antiqua" w:cstheme="majorHAnsi"/>
          <w:sz w:val="24"/>
          <w:szCs w:val="24"/>
        </w:rPr>
        <w:t xml:space="preserve"> </w:t>
      </w:r>
      <w:r w:rsidRPr="00C64069">
        <w:rPr>
          <w:rFonts w:ascii="Book Antiqua" w:hAnsi="Book Antiqua" w:cstheme="majorHAnsi"/>
          <w:sz w:val="24"/>
          <w:szCs w:val="24"/>
        </w:rPr>
        <w:t>In the realm of legal studies, if analyzed in various contexts, it can be found that the aspect of legal objectives is a reflection of the foundations of law and legal practice as a whol</w:t>
      </w:r>
      <w:r w:rsidR="0033762A">
        <w:rPr>
          <w:rFonts w:ascii="Book Antiqua" w:hAnsi="Book Antiqua" w:cstheme="majorHAnsi"/>
          <w:sz w:val="24"/>
          <w:szCs w:val="24"/>
        </w:rPr>
        <w:t>e</w:t>
      </w:r>
      <w:r w:rsidRPr="00C64069">
        <w:rPr>
          <w:rFonts w:ascii="Book Antiqua" w:hAnsi="Book Antiqua" w:cstheme="majorHAnsi"/>
          <w:sz w:val="24"/>
          <w:szCs w:val="24"/>
        </w:rPr>
        <w:t>.</w:t>
      </w:r>
      <w:r w:rsidR="0033762A">
        <w:rPr>
          <w:rStyle w:val="FootnoteReference"/>
          <w:rFonts w:ascii="Book Antiqua" w:hAnsi="Book Antiqua" w:cstheme="majorHAnsi"/>
          <w:sz w:val="24"/>
          <w:szCs w:val="24"/>
        </w:rPr>
        <w:footnoteReference w:id="33"/>
      </w:r>
      <w:r w:rsidRPr="00C64069">
        <w:rPr>
          <w:rFonts w:ascii="Book Antiqua" w:hAnsi="Book Antiqua" w:cstheme="majorHAnsi"/>
          <w:sz w:val="24"/>
          <w:szCs w:val="24"/>
        </w:rPr>
        <w:t xml:space="preserve"> In line with what Gustav </w:t>
      </w:r>
      <w:proofErr w:type="spellStart"/>
      <w:r w:rsidRPr="00C64069">
        <w:rPr>
          <w:rFonts w:ascii="Book Antiqua" w:hAnsi="Book Antiqua" w:cstheme="majorHAnsi"/>
          <w:sz w:val="24"/>
          <w:szCs w:val="24"/>
        </w:rPr>
        <w:t>Radbruch</w:t>
      </w:r>
      <w:proofErr w:type="spellEnd"/>
      <w:r w:rsidRPr="00C64069">
        <w:rPr>
          <w:rFonts w:ascii="Book Antiqua" w:hAnsi="Book Antiqua" w:cstheme="majorHAnsi"/>
          <w:sz w:val="24"/>
          <w:szCs w:val="24"/>
        </w:rPr>
        <w:t xml:space="preserve"> stated that one of the meanings of legal certainty is that a positive law must be based on a fact, meaning that the laws that apply in society must be based on the reality that exists in that society.</w:t>
      </w:r>
      <w:r w:rsidR="0033762A">
        <w:rPr>
          <w:rStyle w:val="FootnoteReference"/>
          <w:rFonts w:ascii="Book Antiqua" w:hAnsi="Book Antiqua" w:cstheme="majorHAnsi"/>
          <w:sz w:val="24"/>
          <w:szCs w:val="24"/>
        </w:rPr>
        <w:footnoteReference w:id="34"/>
      </w:r>
      <w:r w:rsidRPr="00C64069">
        <w:rPr>
          <w:rFonts w:ascii="Book Antiqua" w:hAnsi="Book Antiqua" w:cstheme="majorHAnsi"/>
          <w:sz w:val="24"/>
          <w:szCs w:val="24"/>
        </w:rPr>
        <w:t xml:space="preserve"> The problem to be investigated in this research is the inconsistency in the implementation of aspects of legal objectives in the settlement of patent disputes and the not optimal application of the principles of justice, legal certainty and expediency in the settlement</w:t>
      </w:r>
      <w:r w:rsidR="0033762A">
        <w:rPr>
          <w:rFonts w:ascii="Book Antiqua" w:hAnsi="Book Antiqua" w:cstheme="majorHAnsi"/>
          <w:sz w:val="24"/>
          <w:szCs w:val="24"/>
        </w:rPr>
        <w:t xml:space="preserve"> </w:t>
      </w:r>
      <w:r w:rsidR="0033762A">
        <w:rPr>
          <w:rStyle w:val="FootnoteReference"/>
          <w:rFonts w:ascii="Book Antiqua" w:hAnsi="Book Antiqua" w:cstheme="majorHAnsi"/>
          <w:sz w:val="24"/>
          <w:szCs w:val="24"/>
        </w:rPr>
        <w:footnoteReference w:id="35"/>
      </w:r>
      <w:r w:rsidRPr="00C64069">
        <w:rPr>
          <w:rFonts w:ascii="Book Antiqua" w:hAnsi="Book Antiqua" w:cstheme="majorHAnsi"/>
          <w:sz w:val="24"/>
          <w:szCs w:val="24"/>
        </w:rPr>
        <w:t>. The relevance of this research to the current legal context is related to the rise of patent disputes in Indonesia, which requires decisions that are fair, certain and guarantee benefits</w:t>
      </w:r>
      <w:r w:rsidR="0033762A">
        <w:rPr>
          <w:rFonts w:ascii="Book Antiqua" w:hAnsi="Book Antiqua" w:cstheme="majorHAnsi"/>
          <w:sz w:val="24"/>
          <w:szCs w:val="24"/>
        </w:rPr>
        <w:t xml:space="preserve"> </w:t>
      </w:r>
      <w:r w:rsidR="0033762A">
        <w:rPr>
          <w:rStyle w:val="FootnoteReference"/>
          <w:rFonts w:ascii="Book Antiqua" w:hAnsi="Book Antiqua" w:cstheme="majorHAnsi"/>
          <w:sz w:val="24"/>
          <w:szCs w:val="24"/>
        </w:rPr>
        <w:footnoteReference w:id="36"/>
      </w:r>
      <w:r w:rsidRPr="00C64069">
        <w:rPr>
          <w:rFonts w:ascii="Book Antiqua" w:hAnsi="Book Antiqua" w:cstheme="majorHAnsi"/>
          <w:sz w:val="24"/>
          <w:szCs w:val="24"/>
        </w:rPr>
        <w:t>.</w:t>
      </w:r>
    </w:p>
    <w:p w14:paraId="046175A9" w14:textId="3A2F981D" w:rsidR="00C64069" w:rsidRDefault="009C4E0D" w:rsidP="000F0CE3">
      <w:pPr>
        <w:spacing w:after="0" w:line="240" w:lineRule="auto"/>
        <w:ind w:firstLine="450"/>
        <w:jc w:val="both"/>
        <w:rPr>
          <w:rFonts w:ascii="Book Antiqua" w:hAnsi="Book Antiqua" w:cstheme="majorHAnsi"/>
          <w:sz w:val="24"/>
          <w:szCs w:val="24"/>
        </w:rPr>
      </w:pPr>
      <w:r w:rsidRPr="009C4E0D">
        <w:rPr>
          <w:rFonts w:ascii="Book Antiqua" w:hAnsi="Book Antiqua" w:cstheme="majorHAnsi"/>
          <w:sz w:val="24"/>
          <w:szCs w:val="24"/>
        </w:rPr>
        <w:t xml:space="preserve">This research is interesting to investigate because it can provide recommendations to improve the quality of patent dispute resolution, strengthen patent law enforcement, and IPR protection in Indonesia </w:t>
      </w:r>
      <w:r w:rsidR="0033762A">
        <w:rPr>
          <w:rStyle w:val="FootnoteReference"/>
          <w:rFonts w:ascii="Book Antiqua" w:hAnsi="Book Antiqua" w:cstheme="majorHAnsi"/>
          <w:sz w:val="24"/>
          <w:szCs w:val="24"/>
        </w:rPr>
        <w:footnoteReference w:id="37"/>
      </w:r>
      <w:r w:rsidRPr="009C4E0D">
        <w:rPr>
          <w:rFonts w:ascii="Book Antiqua" w:hAnsi="Book Antiqua" w:cstheme="majorHAnsi"/>
          <w:sz w:val="24"/>
          <w:szCs w:val="24"/>
        </w:rPr>
        <w:t>. In addition, this research can also fill the lack of knowledge about the application of aspects of legal objectives in patent dispute resolution, as well as enrich academic studies regarding the relationship between justice, legal certainty, and expediency. Therefore, this research has significance and is worth doing because it has the potential to contribute both theoretically and practically in the field of patent law in Indonesia. Based on the background of the problems that have been described, the objectives to be achieved in this study are, how to find out the Application of Patent Law in Indonesia and how the Implementation of Aspects of Justice, Legal Certainty in Patent Dispute Resolution. As for some of the obstacles and limitations of this research, namely, the diversity of interpretations of perspectives by legal practitioners and differences in approaches in various jurisdictions can be another factor that limits the generalization of research findings. The results of this study may not be universally applicable in all legal contexts related to patent dispute resolution.</w:t>
      </w:r>
    </w:p>
    <w:p w14:paraId="2A4D6005" w14:textId="77777777" w:rsidR="009B313A" w:rsidRDefault="009B313A" w:rsidP="000F0CE3">
      <w:pPr>
        <w:spacing w:after="0" w:line="240" w:lineRule="auto"/>
        <w:rPr>
          <w:rFonts w:ascii="Book Antiqua" w:hAnsi="Book Antiqua"/>
          <w:b/>
          <w:color w:val="4472C4" w:themeColor="accent1"/>
          <w:sz w:val="24"/>
          <w:szCs w:val="24"/>
        </w:rPr>
      </w:pPr>
    </w:p>
    <w:p w14:paraId="46F1F520" w14:textId="33359978" w:rsidR="004B1F20" w:rsidRPr="00436951" w:rsidRDefault="000011ED" w:rsidP="00645A5E">
      <w:pPr>
        <w:spacing w:after="120" w:line="240" w:lineRule="auto"/>
        <w:rPr>
          <w:rFonts w:ascii="Book Antiqua" w:hAnsi="Book Antiqua"/>
          <w:b/>
          <w:bCs/>
          <w:color w:val="4472C4" w:themeColor="accent1"/>
          <w:sz w:val="28"/>
          <w:szCs w:val="22"/>
          <w:lang w:val="id-ID"/>
        </w:rPr>
      </w:pPr>
      <w:r w:rsidRPr="000011ED">
        <w:rPr>
          <w:rFonts w:ascii="Book Antiqua" w:hAnsi="Book Antiqua"/>
          <w:b/>
          <w:color w:val="4472C4" w:themeColor="accent1"/>
          <w:sz w:val="24"/>
          <w:szCs w:val="24"/>
        </w:rPr>
        <w:t>METHODS OF THE RESEARCH</w:t>
      </w:r>
    </w:p>
    <w:p w14:paraId="45FA3D19" w14:textId="7E78D0F8" w:rsidR="00AB192A" w:rsidRDefault="00EC69E5" w:rsidP="00EC69E5">
      <w:pPr>
        <w:spacing w:after="0" w:line="240" w:lineRule="auto"/>
        <w:ind w:firstLine="360"/>
        <w:jc w:val="both"/>
        <w:rPr>
          <w:rFonts w:ascii="Book Antiqua" w:hAnsi="Book Antiqua" w:cs="Calibri"/>
          <w:color w:val="000000" w:themeColor="text1"/>
          <w:sz w:val="24"/>
          <w:szCs w:val="24"/>
        </w:rPr>
      </w:pPr>
      <w:r w:rsidRPr="00EC69E5">
        <w:rPr>
          <w:rFonts w:ascii="Book Antiqua" w:hAnsi="Book Antiqua" w:cs="Calibri"/>
          <w:color w:val="000000" w:themeColor="text1"/>
          <w:sz w:val="24"/>
          <w:szCs w:val="24"/>
        </w:rPr>
        <w:t xml:space="preserve">The specification of this research is 'doctrinal' by using the type of normative legal research method. This type of research is legal research that analyzes between a law as norms that become a reference in behavior and an inventory of positive law. The approach used in this research is a statutory approach because this research examines and examines the regulations governing the settlement of patent disputes. In addition, a conceptual approach is also used because this research focuses on analyzing the suitability of the patent law based on doctrine and views of aspects of legal objectives, namely the value of justice, </w:t>
      </w:r>
      <w:r w:rsidRPr="00EC69E5">
        <w:rPr>
          <w:rFonts w:ascii="Book Antiqua" w:hAnsi="Book Antiqua" w:cs="Calibri"/>
          <w:color w:val="000000" w:themeColor="text1"/>
          <w:sz w:val="24"/>
          <w:szCs w:val="24"/>
        </w:rPr>
        <w:lastRenderedPageBreak/>
        <w:t>legal certainty and benefit. Normative legal research is research that examines secondary data, namely data obtained indirectly such as library materials and research sources so that it is also referred to as theoretical / dogmatic legal research.</w:t>
      </w:r>
      <w:r w:rsidR="00DB55AC">
        <w:rPr>
          <w:rFonts w:ascii="Book Antiqua" w:hAnsi="Book Antiqua" w:cs="Calibri"/>
          <w:color w:val="000000" w:themeColor="text1"/>
          <w:sz w:val="24"/>
          <w:szCs w:val="24"/>
        </w:rPr>
        <w:t xml:space="preserve"> </w:t>
      </w:r>
      <w:r w:rsidR="00DB55AC" w:rsidRPr="00DB55AC">
        <w:rPr>
          <w:rFonts w:ascii="Book Antiqua" w:hAnsi="Book Antiqua" w:cs="Calibri"/>
          <w:color w:val="000000" w:themeColor="text1"/>
          <w:sz w:val="24"/>
          <w:szCs w:val="24"/>
        </w:rPr>
        <w:t>This research is a normative research that examines secondary data, so the data is obtained through literature study techniques. The secondary data used is divided into primary legal materials, secondary legal materials and tertiary legal materials. The primary legal material used is "Law Number 13 of 2016 concerning patents", and secondary legal materials in the form of previous research, papers, and online articles related to the research theme, as well as tertiary legal materials that support primary legal materials and secondary legal materials. The analysis method used in analyzing the data obtained uses a descriptive-qualitative analysis method that analyzes data sourced from legal materials in the form of regular and coherent sentences.</w:t>
      </w:r>
    </w:p>
    <w:p w14:paraId="2C06BF3A" w14:textId="77777777" w:rsidR="00692FAC" w:rsidRPr="0090682F" w:rsidRDefault="00692FAC" w:rsidP="00692FAC">
      <w:pPr>
        <w:spacing w:after="0" w:line="240" w:lineRule="auto"/>
        <w:jc w:val="both"/>
        <w:rPr>
          <w:rFonts w:ascii="Book Antiqua" w:hAnsi="Book Antiqua" w:cs="Calibri"/>
          <w:color w:val="000000" w:themeColor="text1"/>
          <w:sz w:val="24"/>
          <w:szCs w:val="24"/>
        </w:rPr>
      </w:pPr>
    </w:p>
    <w:p w14:paraId="396ADFAC" w14:textId="2408405A" w:rsidR="008472FB" w:rsidRPr="00122A05" w:rsidRDefault="004B1F20" w:rsidP="00645A5E">
      <w:pPr>
        <w:spacing w:after="120" w:line="240" w:lineRule="auto"/>
        <w:rPr>
          <w:rFonts w:ascii="Book Antiqua" w:hAnsi="Book Antiqua"/>
          <w:b/>
          <w:color w:val="4472C4" w:themeColor="accent1"/>
          <w:sz w:val="24"/>
          <w:szCs w:val="24"/>
        </w:rPr>
      </w:pPr>
      <w:r w:rsidRPr="00636FF5">
        <w:rPr>
          <w:rFonts w:ascii="Book Antiqua" w:hAnsi="Book Antiqua"/>
          <w:b/>
          <w:color w:val="4472C4" w:themeColor="accent1"/>
          <w:sz w:val="24"/>
          <w:szCs w:val="24"/>
        </w:rPr>
        <w:t>RESULTS AND DISCUSSION</w:t>
      </w:r>
    </w:p>
    <w:p w14:paraId="25DFE1F7" w14:textId="3104B622" w:rsidR="00D01DEE" w:rsidRDefault="000D11E9" w:rsidP="00071939">
      <w:pPr>
        <w:pStyle w:val="ListParagraph"/>
        <w:numPr>
          <w:ilvl w:val="1"/>
          <w:numId w:val="18"/>
        </w:numPr>
        <w:spacing w:after="120" w:line="240" w:lineRule="auto"/>
        <w:ind w:left="360"/>
        <w:contextualSpacing w:val="0"/>
        <w:jc w:val="both"/>
        <w:rPr>
          <w:rFonts w:ascii="Book Antiqua" w:eastAsia="Arial Unicode MS" w:hAnsi="Book Antiqua" w:cstheme="majorHAnsi"/>
          <w:b/>
          <w:color w:val="000000" w:themeColor="text1"/>
          <w:sz w:val="24"/>
          <w:szCs w:val="24"/>
        </w:rPr>
      </w:pPr>
      <w:r w:rsidRPr="000D11E9">
        <w:rPr>
          <w:rFonts w:ascii="Book Antiqua" w:eastAsia="Arial Unicode MS" w:hAnsi="Book Antiqua" w:cstheme="majorHAnsi"/>
          <w:b/>
          <w:color w:val="000000" w:themeColor="text1"/>
          <w:sz w:val="24"/>
          <w:szCs w:val="24"/>
        </w:rPr>
        <w:t>Legal Arrangement of Patent Rights in Indonesia</w:t>
      </w:r>
    </w:p>
    <w:p w14:paraId="41B05A74" w14:textId="1B78E78C" w:rsidR="00CE57D3" w:rsidRDefault="00335E88" w:rsidP="003F7BC2">
      <w:pPr>
        <w:spacing w:after="120" w:line="240" w:lineRule="auto"/>
        <w:ind w:firstLine="360"/>
        <w:jc w:val="both"/>
        <w:rPr>
          <w:rFonts w:ascii="Book Antiqua" w:hAnsi="Book Antiqua" w:cstheme="majorHAnsi"/>
          <w:color w:val="000000" w:themeColor="text1"/>
          <w:sz w:val="24"/>
          <w:szCs w:val="24"/>
        </w:rPr>
      </w:pPr>
      <w:r w:rsidRPr="00335E88">
        <w:rPr>
          <w:rFonts w:ascii="Book Antiqua" w:hAnsi="Book Antiqua" w:cstheme="majorHAnsi"/>
          <w:color w:val="000000" w:themeColor="text1"/>
          <w:sz w:val="24"/>
          <w:szCs w:val="24"/>
        </w:rPr>
        <w:t>The relationship between people and intangible objects (</w:t>
      </w:r>
      <w:proofErr w:type="spellStart"/>
      <w:r w:rsidRPr="00A557DB">
        <w:rPr>
          <w:rFonts w:ascii="Book Antiqua" w:hAnsi="Book Antiqua" w:cstheme="majorHAnsi"/>
          <w:i/>
          <w:iCs/>
          <w:color w:val="000000" w:themeColor="text1"/>
          <w:sz w:val="24"/>
          <w:szCs w:val="24"/>
        </w:rPr>
        <w:t>immateriares</w:t>
      </w:r>
      <w:proofErr w:type="spellEnd"/>
      <w:r w:rsidRPr="00A557DB">
        <w:rPr>
          <w:rFonts w:ascii="Book Antiqua" w:hAnsi="Book Antiqua" w:cstheme="majorHAnsi"/>
          <w:i/>
          <w:iCs/>
          <w:color w:val="000000" w:themeColor="text1"/>
          <w:sz w:val="24"/>
          <w:szCs w:val="24"/>
        </w:rPr>
        <w:t xml:space="preserve"> gut</w:t>
      </w:r>
      <w:r w:rsidRPr="00335E88">
        <w:rPr>
          <w:rFonts w:ascii="Book Antiqua" w:hAnsi="Book Antiqua" w:cstheme="majorHAnsi"/>
          <w:color w:val="000000" w:themeColor="text1"/>
          <w:sz w:val="24"/>
          <w:szCs w:val="24"/>
        </w:rPr>
        <w:t>) was explained by Josef Kohler in his famous theory, "</w:t>
      </w:r>
      <w:proofErr w:type="spellStart"/>
      <w:r w:rsidRPr="00A557DB">
        <w:rPr>
          <w:rFonts w:ascii="Book Antiqua" w:hAnsi="Book Antiqua" w:cstheme="majorHAnsi"/>
          <w:i/>
          <w:iCs/>
          <w:color w:val="000000" w:themeColor="text1"/>
          <w:sz w:val="24"/>
          <w:szCs w:val="24"/>
        </w:rPr>
        <w:t>immaterialguterrecht</w:t>
      </w:r>
      <w:proofErr w:type="spellEnd"/>
      <w:r w:rsidRPr="00335E88">
        <w:rPr>
          <w:rFonts w:ascii="Book Antiqua" w:hAnsi="Book Antiqua" w:cstheme="majorHAnsi"/>
          <w:color w:val="000000" w:themeColor="text1"/>
          <w:sz w:val="24"/>
          <w:szCs w:val="24"/>
        </w:rPr>
        <w:t>".</w:t>
      </w:r>
      <w:r w:rsidR="00552D17">
        <w:rPr>
          <w:rStyle w:val="FootnoteReference"/>
          <w:rFonts w:ascii="Book Antiqua" w:hAnsi="Book Antiqua" w:cstheme="majorHAnsi"/>
          <w:color w:val="000000" w:themeColor="text1"/>
          <w:sz w:val="24"/>
          <w:szCs w:val="24"/>
        </w:rPr>
        <w:footnoteReference w:id="38"/>
      </w:r>
      <w:r w:rsidRPr="00335E88">
        <w:rPr>
          <w:rFonts w:ascii="Book Antiqua" w:hAnsi="Book Antiqua" w:cstheme="majorHAnsi"/>
          <w:color w:val="000000" w:themeColor="text1"/>
          <w:sz w:val="24"/>
          <w:szCs w:val="24"/>
        </w:rPr>
        <w:t>According to Josef Kohler, IPR is an immaterial right, namely the right to something that comes from the work of the brain and ratio, or the work of the human ratio that reasons, which is then defined as intellectuality. People who are educated, able to use ratios, and able to think rationally using logic (a method of thinking, a branch of philosophy) are called educated people. The results of their thinking are called rational or logical. People in this group are referred to as intellectuals.</w:t>
      </w:r>
      <w:r w:rsidR="00484414">
        <w:rPr>
          <w:rStyle w:val="FootnoteReference"/>
          <w:rFonts w:ascii="Book Antiqua" w:hAnsi="Book Antiqua" w:cstheme="majorHAnsi"/>
          <w:color w:val="000000" w:themeColor="text1"/>
          <w:sz w:val="24"/>
          <w:szCs w:val="24"/>
        </w:rPr>
        <w:footnoteReference w:id="39"/>
      </w:r>
    </w:p>
    <w:p w14:paraId="0857B463" w14:textId="4BB7E618" w:rsidR="00096CA5" w:rsidRDefault="00096CA5" w:rsidP="003F7BC2">
      <w:pPr>
        <w:spacing w:after="120" w:line="240" w:lineRule="auto"/>
        <w:ind w:firstLine="360"/>
        <w:jc w:val="both"/>
        <w:rPr>
          <w:rFonts w:ascii="Book Antiqua" w:hAnsi="Book Antiqua" w:cstheme="majorHAnsi"/>
          <w:color w:val="000000" w:themeColor="text1"/>
          <w:sz w:val="24"/>
          <w:szCs w:val="24"/>
        </w:rPr>
      </w:pPr>
      <w:r w:rsidRPr="00096CA5">
        <w:rPr>
          <w:rFonts w:ascii="Book Antiqua" w:hAnsi="Book Antiqua" w:cstheme="majorHAnsi"/>
          <w:color w:val="000000" w:themeColor="text1"/>
          <w:sz w:val="24"/>
          <w:szCs w:val="24"/>
        </w:rPr>
        <w:t>Currently, Indonesia has made improvements to the regulations on IPR, one of which is patent rights</w:t>
      </w:r>
      <w:r w:rsidR="003A2F07">
        <w:rPr>
          <w:rFonts w:ascii="Book Antiqua" w:hAnsi="Book Antiqua" w:cstheme="majorHAnsi"/>
          <w:color w:val="000000" w:themeColor="text1"/>
          <w:sz w:val="24"/>
          <w:szCs w:val="24"/>
        </w:rPr>
        <w:t>.</w:t>
      </w:r>
      <w:r w:rsidR="00010A71">
        <w:rPr>
          <w:rStyle w:val="FootnoteReference"/>
          <w:rFonts w:ascii="Book Antiqua" w:hAnsi="Book Antiqua" w:cstheme="majorHAnsi"/>
          <w:color w:val="000000" w:themeColor="text1"/>
          <w:sz w:val="24"/>
          <w:szCs w:val="24"/>
        </w:rPr>
        <w:footnoteReference w:id="40"/>
      </w:r>
      <w:r w:rsidRPr="00096CA5">
        <w:rPr>
          <w:rFonts w:ascii="Book Antiqua" w:hAnsi="Book Antiqua" w:cstheme="majorHAnsi"/>
          <w:color w:val="000000" w:themeColor="text1"/>
          <w:sz w:val="24"/>
          <w:szCs w:val="24"/>
        </w:rPr>
        <w:t xml:space="preserve"> Before Law No. 13 of 2016 came into force as an amendment to Law No. 14 of 2001 concerning patents, we were already familiar with Law No. 13 of 1997 and even earlier Law No. 6 of 1989 which was effective on August 1, 1991. The improvement of the patent regulation is intended as an adjustment to international agreements such as the Trade Related Aspects of Intellectual Property Rights Agreement (hereinafter abbreviated as TRIPS Agreement) that Indonesia has signed</w:t>
      </w:r>
      <w:r w:rsidR="00820216">
        <w:rPr>
          <w:rFonts w:ascii="Book Antiqua" w:hAnsi="Book Antiqua" w:cstheme="majorHAnsi"/>
          <w:color w:val="000000" w:themeColor="text1"/>
          <w:sz w:val="24"/>
          <w:szCs w:val="24"/>
        </w:rPr>
        <w:t>.</w:t>
      </w:r>
      <w:r w:rsidR="006506F8">
        <w:rPr>
          <w:rStyle w:val="FootnoteReference"/>
          <w:rFonts w:ascii="Book Antiqua" w:hAnsi="Book Antiqua" w:cstheme="majorHAnsi"/>
          <w:color w:val="000000" w:themeColor="text1"/>
          <w:sz w:val="24"/>
          <w:szCs w:val="24"/>
        </w:rPr>
        <w:footnoteReference w:id="41"/>
      </w:r>
      <w:r w:rsidRPr="00096CA5">
        <w:rPr>
          <w:rFonts w:ascii="Book Antiqua" w:hAnsi="Book Antiqua" w:cstheme="majorHAnsi"/>
          <w:color w:val="000000" w:themeColor="text1"/>
          <w:sz w:val="24"/>
          <w:szCs w:val="24"/>
        </w:rPr>
        <w:t xml:space="preserve"> If examined fundamentally, the improvement of the patent law is carried out covering several aspects of the approach, namely: 1). Optimizing the presence of the state in the best government services in the field of intellectual property; 2). Favoring Indonesia's interests without violating international principles; 3). Realizing economic independence by driving strategic sectors of the domestic economy by encouraging national inventions in the field of technology to realize technological strengthening; 4). Building a national patent foundation through a pragmatic legal realism approach.</w:t>
      </w:r>
      <w:r w:rsidR="00BC38E7">
        <w:rPr>
          <w:rStyle w:val="FootnoteReference"/>
          <w:rFonts w:ascii="Book Antiqua" w:hAnsi="Book Antiqua" w:cstheme="majorHAnsi"/>
          <w:color w:val="000000" w:themeColor="text1"/>
          <w:sz w:val="24"/>
          <w:szCs w:val="24"/>
        </w:rPr>
        <w:footnoteReference w:id="42"/>
      </w:r>
    </w:p>
    <w:p w14:paraId="6472339E" w14:textId="70D3771B" w:rsidR="00820BE9" w:rsidRDefault="00820BE9" w:rsidP="003F7BC2">
      <w:pPr>
        <w:spacing w:after="120" w:line="240" w:lineRule="auto"/>
        <w:ind w:firstLine="360"/>
        <w:jc w:val="both"/>
        <w:rPr>
          <w:rFonts w:ascii="Book Antiqua" w:hAnsi="Book Antiqua" w:cstheme="majorHAnsi"/>
          <w:color w:val="000000" w:themeColor="text1"/>
          <w:sz w:val="24"/>
          <w:szCs w:val="24"/>
        </w:rPr>
      </w:pPr>
      <w:r w:rsidRPr="00820BE9">
        <w:rPr>
          <w:rFonts w:ascii="Book Antiqua" w:hAnsi="Book Antiqua" w:cstheme="majorHAnsi"/>
          <w:color w:val="000000" w:themeColor="text1"/>
          <w:sz w:val="24"/>
          <w:szCs w:val="24"/>
        </w:rPr>
        <w:lastRenderedPageBreak/>
        <w:t>Based on the Patent Law, patent protection is divided into 2 types, namely ordinary patents and simple patents, ordinary patents as referred to in Article 2 letter a are granted for Invention that is new, contains inventive steps, and can be applied in industry</w:t>
      </w:r>
      <w:r w:rsidR="00315F91">
        <w:rPr>
          <w:rFonts w:ascii="Book Antiqua" w:hAnsi="Book Antiqua" w:cstheme="majorHAnsi"/>
          <w:color w:val="000000" w:themeColor="text1"/>
          <w:sz w:val="24"/>
          <w:szCs w:val="24"/>
        </w:rPr>
        <w:t>.</w:t>
      </w:r>
      <w:r w:rsidR="00315F91">
        <w:rPr>
          <w:rStyle w:val="FootnoteReference"/>
          <w:rFonts w:ascii="Book Antiqua" w:hAnsi="Book Antiqua" w:cstheme="majorHAnsi"/>
          <w:color w:val="000000" w:themeColor="text1"/>
          <w:sz w:val="24"/>
          <w:szCs w:val="24"/>
        </w:rPr>
        <w:footnoteReference w:id="43"/>
      </w:r>
      <w:r w:rsidRPr="00820BE9">
        <w:rPr>
          <w:rFonts w:ascii="Book Antiqua" w:hAnsi="Book Antiqua" w:cstheme="majorHAnsi"/>
          <w:color w:val="000000" w:themeColor="text1"/>
          <w:sz w:val="24"/>
          <w:szCs w:val="24"/>
        </w:rPr>
        <w:t xml:space="preserve"> Meanwhile, a simple patent as referred to in Article 2 letter b is granted for any new Invention, development of an existing product or process, and can be applied in the industry.</w:t>
      </w:r>
      <w:r w:rsidR="00CF5F60">
        <w:rPr>
          <w:rStyle w:val="FootnoteReference"/>
          <w:rFonts w:ascii="Book Antiqua" w:hAnsi="Book Antiqua" w:cstheme="majorHAnsi"/>
          <w:color w:val="000000" w:themeColor="text1"/>
          <w:sz w:val="24"/>
          <w:szCs w:val="24"/>
        </w:rPr>
        <w:footnoteReference w:id="44"/>
      </w:r>
      <w:r w:rsidRPr="00820BE9">
        <w:rPr>
          <w:rFonts w:ascii="Book Antiqua" w:hAnsi="Book Antiqua" w:cstheme="majorHAnsi"/>
          <w:color w:val="000000" w:themeColor="text1"/>
          <w:sz w:val="24"/>
          <w:szCs w:val="24"/>
        </w:rPr>
        <w:t xml:space="preserve"> Furthermore, the law also explains that ordinary patents are granted for an Invention in the form of a product that is not merely different in technical characteristics, but must have a function/use that is more practical than the previous Invention due to its shape, configuration, construction, or components, which includes tools, goods, machines, compositions, formulas, compounds, or systems. Meanwhile, a simple patent is granted for an Invention in the form of a new process or method</w:t>
      </w:r>
      <w:r w:rsidR="00C41EAD">
        <w:rPr>
          <w:rFonts w:ascii="Book Antiqua" w:hAnsi="Book Antiqua" w:cstheme="majorHAnsi"/>
          <w:color w:val="000000" w:themeColor="text1"/>
          <w:sz w:val="24"/>
          <w:szCs w:val="24"/>
        </w:rPr>
        <w:t>.</w:t>
      </w:r>
      <w:r w:rsidR="00C41EAD">
        <w:rPr>
          <w:rStyle w:val="FootnoteReference"/>
          <w:rFonts w:ascii="Book Antiqua" w:hAnsi="Book Antiqua" w:cstheme="majorHAnsi"/>
          <w:color w:val="000000" w:themeColor="text1"/>
          <w:sz w:val="24"/>
          <w:szCs w:val="24"/>
        </w:rPr>
        <w:footnoteReference w:id="45"/>
      </w:r>
    </w:p>
    <w:p w14:paraId="2596E461" w14:textId="63A92EE6" w:rsidR="00CE57D3" w:rsidRDefault="00EF1670" w:rsidP="00A557DB">
      <w:pPr>
        <w:spacing w:after="120" w:line="240" w:lineRule="auto"/>
        <w:ind w:firstLine="360"/>
        <w:jc w:val="both"/>
        <w:rPr>
          <w:rFonts w:ascii="Book Antiqua" w:hAnsi="Book Antiqua" w:cstheme="majorHAnsi"/>
          <w:color w:val="000000" w:themeColor="text1"/>
          <w:sz w:val="24"/>
          <w:szCs w:val="24"/>
        </w:rPr>
      </w:pPr>
      <w:r w:rsidRPr="00EF1670">
        <w:rPr>
          <w:rFonts w:ascii="Book Antiqua" w:hAnsi="Book Antiqua" w:cstheme="majorHAnsi"/>
          <w:color w:val="000000" w:themeColor="text1"/>
          <w:sz w:val="24"/>
          <w:szCs w:val="24"/>
        </w:rPr>
        <w:t>Regarding the period of legal protection for ordinary patents based on Article 22 paragraph (1) of the Patent Law, the period given is 20 years from the date of receipt, while the period of legal protection for simple patents based on Article 23 paragraph (1) of the Patent Law, the period given is 10 years from the date of receipt.</w:t>
      </w:r>
      <w:r w:rsidR="006E7988">
        <w:rPr>
          <w:rStyle w:val="FootnoteReference"/>
          <w:rFonts w:ascii="Book Antiqua" w:hAnsi="Book Antiqua" w:cstheme="majorHAnsi"/>
          <w:color w:val="000000" w:themeColor="text1"/>
          <w:sz w:val="24"/>
          <w:szCs w:val="24"/>
        </w:rPr>
        <w:footnoteReference w:id="46"/>
      </w:r>
      <w:r w:rsidRPr="00EF1670">
        <w:rPr>
          <w:rFonts w:ascii="Book Antiqua" w:hAnsi="Book Antiqua" w:cstheme="majorHAnsi"/>
          <w:color w:val="000000" w:themeColor="text1"/>
          <w:sz w:val="24"/>
          <w:szCs w:val="24"/>
        </w:rPr>
        <w:t xml:space="preserve"> In general, the protected product or device is obtained in a relatively short time, in a simple way, at a relatively low cost, and technologically simple.</w:t>
      </w:r>
      <w:r w:rsidR="00C04C78">
        <w:rPr>
          <w:rStyle w:val="FootnoteReference"/>
          <w:rFonts w:ascii="Book Antiqua" w:hAnsi="Book Antiqua" w:cstheme="majorHAnsi"/>
          <w:color w:val="000000" w:themeColor="text1"/>
          <w:sz w:val="24"/>
          <w:szCs w:val="24"/>
        </w:rPr>
        <w:footnoteReference w:id="47"/>
      </w:r>
      <w:r w:rsidRPr="00EF1670">
        <w:rPr>
          <w:rFonts w:ascii="Book Antiqua" w:hAnsi="Book Antiqua" w:cstheme="majorHAnsi"/>
          <w:color w:val="000000" w:themeColor="text1"/>
          <w:sz w:val="24"/>
          <w:szCs w:val="24"/>
        </w:rPr>
        <w:t xml:space="preserve"> So that the protection period of 10 (ten) years is considered sufficient to obtain reasonable economic benefits</w:t>
      </w:r>
      <w:r w:rsidR="00087026">
        <w:rPr>
          <w:rFonts w:ascii="Book Antiqua" w:hAnsi="Book Antiqua" w:cstheme="majorHAnsi"/>
          <w:color w:val="000000" w:themeColor="text1"/>
          <w:sz w:val="24"/>
          <w:szCs w:val="24"/>
        </w:rPr>
        <w:t>.</w:t>
      </w:r>
      <w:r w:rsidR="00C63891">
        <w:rPr>
          <w:rStyle w:val="FootnoteReference"/>
          <w:rFonts w:ascii="Book Antiqua" w:hAnsi="Book Antiqua" w:cstheme="majorHAnsi"/>
          <w:color w:val="000000" w:themeColor="text1"/>
          <w:sz w:val="24"/>
          <w:szCs w:val="24"/>
        </w:rPr>
        <w:footnoteReference w:id="48"/>
      </w:r>
      <w:r w:rsidR="00A557DB">
        <w:rPr>
          <w:rFonts w:ascii="Book Antiqua" w:hAnsi="Book Antiqua" w:cstheme="majorHAnsi"/>
          <w:color w:val="000000" w:themeColor="text1"/>
          <w:sz w:val="24"/>
          <w:szCs w:val="24"/>
        </w:rPr>
        <w:t xml:space="preserve"> </w:t>
      </w:r>
      <w:r w:rsidR="00744E49" w:rsidRPr="00744E49">
        <w:rPr>
          <w:rFonts w:ascii="Book Antiqua" w:hAnsi="Book Antiqua" w:cstheme="majorHAnsi"/>
          <w:color w:val="000000" w:themeColor="text1"/>
          <w:sz w:val="24"/>
          <w:szCs w:val="24"/>
        </w:rPr>
        <w:t>In addition, it should also be understood that the right to a patent can be transferred or assigned in whole or in part based on Article 74 paragraph (1) of the Patent Law on the grounds that: "1). Inheritance; 2). Grant; 3). Testament; 4). Waqf; 5). Written agreement; or 6). Other reasons justified by the provisions of laws and regulations" (Law of the Republic of Indonesia Number 13 of 2016 concerning Patents, 2016). The purpose of a written agreement is that the patent holder has the right to grant a license or permission to another party based on a license agreement during the term of the license granted and applies to the entire territory of the Republic of Indonesia, this is in accordance with Article 76 paragraph (3) of the Patent Law</w:t>
      </w:r>
      <w:r w:rsidR="00BE28F2">
        <w:rPr>
          <w:rFonts w:ascii="Book Antiqua" w:hAnsi="Book Antiqua" w:cstheme="majorHAnsi"/>
          <w:color w:val="000000" w:themeColor="text1"/>
          <w:sz w:val="24"/>
          <w:szCs w:val="24"/>
        </w:rPr>
        <w:t>.</w:t>
      </w:r>
      <w:r w:rsidR="00BE28F2">
        <w:rPr>
          <w:rStyle w:val="FootnoteReference"/>
          <w:rFonts w:ascii="Book Antiqua" w:hAnsi="Book Antiqua" w:cstheme="majorHAnsi"/>
          <w:color w:val="000000" w:themeColor="text1"/>
          <w:sz w:val="24"/>
          <w:szCs w:val="24"/>
        </w:rPr>
        <w:footnoteReference w:id="49"/>
      </w:r>
      <w:r w:rsidR="00744E49" w:rsidRPr="00744E49">
        <w:rPr>
          <w:rFonts w:ascii="Book Antiqua" w:hAnsi="Book Antiqua" w:cstheme="majorHAnsi"/>
          <w:color w:val="000000" w:themeColor="text1"/>
          <w:sz w:val="24"/>
          <w:szCs w:val="24"/>
        </w:rPr>
        <w:t xml:space="preserve"> If agreed, the patent holder may also grant licenses to other third parties. Based on article 130 of the patent law, a patent may be partially or wholly revoked if the patent holder does not fulfill the obligation to pay the annual fee within the period specified in this law</w:t>
      </w:r>
      <w:r w:rsidR="00F3415C">
        <w:rPr>
          <w:rFonts w:ascii="Book Antiqua" w:hAnsi="Book Antiqua" w:cstheme="majorHAnsi"/>
          <w:color w:val="000000" w:themeColor="text1"/>
          <w:sz w:val="24"/>
          <w:szCs w:val="24"/>
        </w:rPr>
        <w:t>.</w:t>
      </w:r>
      <w:r w:rsidR="00F3415C">
        <w:rPr>
          <w:rStyle w:val="FootnoteReference"/>
          <w:rFonts w:ascii="Book Antiqua" w:hAnsi="Book Antiqua" w:cstheme="majorHAnsi"/>
          <w:color w:val="000000" w:themeColor="text1"/>
          <w:sz w:val="24"/>
          <w:szCs w:val="24"/>
        </w:rPr>
        <w:footnoteReference w:id="50"/>
      </w:r>
      <w:r w:rsidR="00744E49" w:rsidRPr="00744E49">
        <w:rPr>
          <w:rFonts w:ascii="Book Antiqua" w:hAnsi="Book Antiqua" w:cstheme="majorHAnsi"/>
          <w:color w:val="000000" w:themeColor="text1"/>
          <w:sz w:val="24"/>
          <w:szCs w:val="24"/>
        </w:rPr>
        <w:t xml:space="preserve"> A patent may be revoked by the Directorate General in whole or in part at the request of the patent holder submitted in writing to the Directorate. Patents can also be canceled by the Commercial Court if there is a patent lawsuit.</w:t>
      </w:r>
      <w:r w:rsidR="00865B56">
        <w:rPr>
          <w:rStyle w:val="FootnoteReference"/>
          <w:rFonts w:ascii="Book Antiqua" w:hAnsi="Book Antiqua" w:cstheme="majorHAnsi"/>
          <w:color w:val="000000" w:themeColor="text1"/>
          <w:sz w:val="24"/>
          <w:szCs w:val="24"/>
        </w:rPr>
        <w:footnoteReference w:id="51"/>
      </w:r>
    </w:p>
    <w:p w14:paraId="0335B8BE" w14:textId="44F4D321" w:rsidR="00A557DB" w:rsidRDefault="00E55367" w:rsidP="00A557DB">
      <w:pPr>
        <w:spacing w:after="120" w:line="240" w:lineRule="auto"/>
        <w:ind w:firstLine="360"/>
        <w:jc w:val="both"/>
        <w:rPr>
          <w:rFonts w:ascii="Book Antiqua" w:hAnsi="Book Antiqua" w:cstheme="majorHAnsi"/>
          <w:color w:val="000000" w:themeColor="text1"/>
          <w:sz w:val="24"/>
          <w:szCs w:val="24"/>
        </w:rPr>
      </w:pPr>
      <w:r w:rsidRPr="00E55367">
        <w:rPr>
          <w:rFonts w:ascii="Book Antiqua" w:hAnsi="Book Antiqua" w:cstheme="majorHAnsi"/>
          <w:color w:val="000000" w:themeColor="text1"/>
          <w:sz w:val="24"/>
          <w:szCs w:val="24"/>
        </w:rPr>
        <w:lastRenderedPageBreak/>
        <w:t>In addition, there is a provision in Article 20 paragraph (2) of the Patent Law that requires patent holders to manufacture products or use the process of the right in Indonesia. It must also support technology transfer, invention absorption and/or employment.</w:t>
      </w:r>
      <w:r w:rsidR="00487FC8">
        <w:rPr>
          <w:rStyle w:val="FootnoteReference"/>
          <w:rFonts w:ascii="Book Antiqua" w:hAnsi="Book Antiqua" w:cstheme="majorHAnsi"/>
          <w:color w:val="000000" w:themeColor="text1"/>
          <w:sz w:val="24"/>
          <w:szCs w:val="24"/>
        </w:rPr>
        <w:footnoteReference w:id="52"/>
      </w:r>
      <w:r w:rsidRPr="00E55367">
        <w:rPr>
          <w:rFonts w:ascii="Book Antiqua" w:hAnsi="Book Antiqua" w:cstheme="majorHAnsi"/>
          <w:color w:val="000000" w:themeColor="text1"/>
          <w:sz w:val="24"/>
          <w:szCs w:val="24"/>
        </w:rPr>
        <w:t xml:space="preserve"> If analyzed fundamentally, the obligation to implement the patent in Indonesia aims to stimulate the industry and economic development of the patent granting country. If he does not properly implement his patent in Indonesia, someone else can apply for a compulsory license to the </w:t>
      </w:r>
      <w:r w:rsidR="009B313A">
        <w:rPr>
          <w:rFonts w:ascii="Book Antiqua" w:hAnsi="Book Antiqua" w:cstheme="majorHAnsi"/>
          <w:color w:val="000000" w:themeColor="text1"/>
          <w:sz w:val="24"/>
          <w:szCs w:val="24"/>
        </w:rPr>
        <w:t>IPR</w:t>
      </w:r>
      <w:r w:rsidRPr="00E55367">
        <w:rPr>
          <w:rFonts w:ascii="Book Antiqua" w:hAnsi="Book Antiqua" w:cstheme="majorHAnsi"/>
          <w:color w:val="000000" w:themeColor="text1"/>
          <w:sz w:val="24"/>
          <w:szCs w:val="24"/>
        </w:rPr>
        <w:t>, this is in accordance with Article 82 paragraph (1) of the Patent Law</w:t>
      </w:r>
      <w:r w:rsidR="003524C7">
        <w:rPr>
          <w:rFonts w:ascii="Book Antiqua" w:hAnsi="Book Antiqua" w:cstheme="majorHAnsi"/>
          <w:color w:val="000000" w:themeColor="text1"/>
          <w:sz w:val="24"/>
          <w:szCs w:val="24"/>
        </w:rPr>
        <w:t>.</w:t>
      </w:r>
      <w:r w:rsidR="003524C7">
        <w:rPr>
          <w:rStyle w:val="FootnoteReference"/>
          <w:rFonts w:ascii="Book Antiqua" w:hAnsi="Book Antiqua" w:cstheme="majorHAnsi"/>
          <w:color w:val="000000" w:themeColor="text1"/>
          <w:sz w:val="24"/>
          <w:szCs w:val="24"/>
        </w:rPr>
        <w:footnoteReference w:id="53"/>
      </w:r>
      <w:r w:rsidRPr="00E55367">
        <w:rPr>
          <w:rFonts w:ascii="Book Antiqua" w:hAnsi="Book Antiqua" w:cstheme="majorHAnsi"/>
          <w:color w:val="000000" w:themeColor="text1"/>
          <w:sz w:val="24"/>
          <w:szCs w:val="24"/>
        </w:rPr>
        <w:t xml:space="preserve"> This compulsory license is intended to prevent the invention from being stored, so that it is not utilized in order to keep the patent from becoming just an import control tool, without contributing to stimulating economic or industrial development for the country that grants the patent.</w:t>
      </w:r>
      <w:r w:rsidR="004304E3">
        <w:rPr>
          <w:rFonts w:ascii="Book Antiqua" w:hAnsi="Book Antiqua" w:cstheme="majorHAnsi"/>
          <w:color w:val="000000" w:themeColor="text1"/>
          <w:sz w:val="24"/>
          <w:szCs w:val="24"/>
        </w:rPr>
        <w:t xml:space="preserve"> </w:t>
      </w:r>
      <w:r w:rsidR="004304E3" w:rsidRPr="004304E3">
        <w:rPr>
          <w:rFonts w:ascii="Book Antiqua" w:hAnsi="Book Antiqua" w:cstheme="majorHAnsi"/>
          <w:color w:val="000000" w:themeColor="text1"/>
          <w:sz w:val="24"/>
          <w:szCs w:val="24"/>
        </w:rPr>
        <w:t>With the priority rights of patent holders, protection is provided by national law (Patent Law) and international law (Paris Convention and TRIPS Agreement) as the first applicant (first to file) to obtain rights as a patent holder</w:t>
      </w:r>
      <w:r w:rsidR="00F93B76">
        <w:rPr>
          <w:rFonts w:ascii="Book Antiqua" w:hAnsi="Book Antiqua" w:cstheme="majorHAnsi"/>
          <w:color w:val="000000" w:themeColor="text1"/>
          <w:sz w:val="24"/>
          <w:szCs w:val="24"/>
        </w:rPr>
        <w:t>.</w:t>
      </w:r>
      <w:r w:rsidR="00F93B76">
        <w:rPr>
          <w:rStyle w:val="FootnoteReference"/>
          <w:rFonts w:ascii="Book Antiqua" w:hAnsi="Book Antiqua" w:cstheme="majorHAnsi"/>
          <w:color w:val="000000" w:themeColor="text1"/>
          <w:sz w:val="24"/>
          <w:szCs w:val="24"/>
        </w:rPr>
        <w:footnoteReference w:id="54"/>
      </w:r>
      <w:r w:rsidR="004304E3" w:rsidRPr="004304E3">
        <w:rPr>
          <w:rFonts w:ascii="Book Antiqua" w:hAnsi="Book Antiqua" w:cstheme="majorHAnsi"/>
          <w:color w:val="000000" w:themeColor="text1"/>
          <w:sz w:val="24"/>
          <w:szCs w:val="24"/>
        </w:rPr>
        <w:t xml:space="preserve"> Registration, of course, refers to the registration procedures specified by the Patent Law. The patent holder (Inventor) is also given protection by the law against new inventions in the field of technology that may harm the Inventor. And if that happens, the Inventor can file a dispute settlement to the commercial court. Based on the explanation of patent regulation according to the Patent Law, it can be understood that patent holders (inventors) are given protection on the basis of national and international law as a priority right to implement their own or jointly their inventions or authorize others to implement them.</w:t>
      </w:r>
      <w:r w:rsidR="002C142A">
        <w:rPr>
          <w:rStyle w:val="FootnoteReference"/>
          <w:rFonts w:ascii="Book Antiqua" w:hAnsi="Book Antiqua" w:cstheme="majorHAnsi"/>
          <w:color w:val="000000" w:themeColor="text1"/>
          <w:sz w:val="24"/>
          <w:szCs w:val="24"/>
        </w:rPr>
        <w:footnoteReference w:id="55"/>
      </w:r>
    </w:p>
    <w:p w14:paraId="45355B45" w14:textId="343A9179" w:rsidR="004B1F20" w:rsidRPr="00AB192A" w:rsidRDefault="00D44A7F" w:rsidP="00790CF1">
      <w:pPr>
        <w:pStyle w:val="ListParagraph"/>
        <w:numPr>
          <w:ilvl w:val="1"/>
          <w:numId w:val="18"/>
        </w:numPr>
        <w:spacing w:after="120" w:line="240" w:lineRule="auto"/>
        <w:ind w:left="360"/>
        <w:contextualSpacing w:val="0"/>
        <w:jc w:val="both"/>
        <w:rPr>
          <w:rFonts w:ascii="Book Antiqua" w:hAnsi="Book Antiqua" w:cs="Calibri"/>
          <w:color w:val="000000" w:themeColor="text1"/>
          <w:lang w:val="id-ID"/>
        </w:rPr>
      </w:pPr>
      <w:r w:rsidRPr="00D44A7F">
        <w:rPr>
          <w:rFonts w:ascii="Book Antiqua" w:eastAsia="Arial Unicode MS" w:hAnsi="Book Antiqua" w:cstheme="majorHAnsi"/>
          <w:b/>
          <w:color w:val="000000" w:themeColor="text1"/>
          <w:sz w:val="24"/>
          <w:szCs w:val="24"/>
        </w:rPr>
        <w:t>Settlement of Patent Dispute Cases in Court Decisions at the Supreme Court level</w:t>
      </w:r>
    </w:p>
    <w:p w14:paraId="2015CD21" w14:textId="67C69239" w:rsidR="00C97D9F" w:rsidRDefault="00C97D9F" w:rsidP="009B313A">
      <w:pPr>
        <w:spacing w:after="0" w:line="240" w:lineRule="auto"/>
        <w:ind w:firstLine="360"/>
        <w:jc w:val="both"/>
        <w:rPr>
          <w:rFonts w:ascii="Book Antiqua" w:hAnsi="Book Antiqua" w:cstheme="majorHAnsi"/>
          <w:color w:val="000000" w:themeColor="text1"/>
          <w:sz w:val="24"/>
          <w:szCs w:val="24"/>
        </w:rPr>
      </w:pPr>
      <w:r w:rsidRPr="001C1A59">
        <w:rPr>
          <w:rFonts w:ascii="Book Antiqua" w:hAnsi="Book Antiqua" w:cstheme="majorHAnsi"/>
          <w:color w:val="000000" w:themeColor="text1"/>
          <w:sz w:val="24"/>
          <w:szCs w:val="24"/>
        </w:rPr>
        <w:t>Protecting IPR, especially patents in Indonesia, is very important.</w:t>
      </w:r>
      <w:r w:rsidR="00043450" w:rsidRPr="001C1A59">
        <w:rPr>
          <w:rStyle w:val="FootnoteReference"/>
          <w:rFonts w:ascii="Book Antiqua" w:hAnsi="Book Antiqua" w:cstheme="majorHAnsi"/>
          <w:color w:val="000000" w:themeColor="text1"/>
          <w:sz w:val="24"/>
          <w:szCs w:val="24"/>
        </w:rPr>
        <w:footnoteReference w:id="56"/>
      </w:r>
      <w:r w:rsidRPr="001C1A59">
        <w:rPr>
          <w:rFonts w:ascii="Book Antiqua" w:hAnsi="Book Antiqua" w:cstheme="majorHAnsi"/>
          <w:color w:val="000000" w:themeColor="text1"/>
          <w:sz w:val="24"/>
          <w:szCs w:val="24"/>
        </w:rPr>
        <w:t xml:space="preserve">  If such protection is not implemented properly, it is possible that individuals who are talented in technology and computers (such as inventors) will choose to move to other countries that value IPR more.</w:t>
      </w:r>
      <w:r w:rsidR="00043450" w:rsidRPr="001C1A59">
        <w:rPr>
          <w:rStyle w:val="FootnoteReference"/>
          <w:rFonts w:ascii="Book Antiqua" w:hAnsi="Book Antiqua" w:cstheme="majorHAnsi"/>
          <w:color w:val="000000" w:themeColor="text1"/>
          <w:sz w:val="24"/>
          <w:szCs w:val="24"/>
        </w:rPr>
        <w:footnoteReference w:id="57"/>
      </w:r>
      <w:r w:rsidRPr="001C1A59">
        <w:rPr>
          <w:rFonts w:ascii="Book Antiqua" w:hAnsi="Book Antiqua" w:cstheme="majorHAnsi"/>
          <w:color w:val="000000" w:themeColor="text1"/>
          <w:sz w:val="24"/>
          <w:szCs w:val="24"/>
        </w:rPr>
        <w:t xml:space="preserve">  The reason is the violation of patent rights which can have a very detrimental impact on inventors, institutions, and companies that have invested funds to conduct research to produce new innovations</w:t>
      </w:r>
      <w:r w:rsidR="002D3772" w:rsidRPr="001C1A59">
        <w:rPr>
          <w:rFonts w:ascii="Book Antiqua" w:hAnsi="Book Antiqua" w:cstheme="majorHAnsi"/>
          <w:color w:val="000000" w:themeColor="text1"/>
          <w:sz w:val="24"/>
          <w:szCs w:val="24"/>
        </w:rPr>
        <w:t>.</w:t>
      </w:r>
      <w:r w:rsidR="002D3772" w:rsidRPr="001C1A59">
        <w:rPr>
          <w:rStyle w:val="FootnoteReference"/>
          <w:rFonts w:ascii="Book Antiqua" w:hAnsi="Book Antiqua" w:cstheme="majorHAnsi"/>
          <w:color w:val="000000" w:themeColor="text1"/>
          <w:sz w:val="24"/>
          <w:szCs w:val="24"/>
        </w:rPr>
        <w:footnoteReference w:id="58"/>
      </w:r>
      <w:r w:rsidRPr="001C1A59">
        <w:rPr>
          <w:rFonts w:ascii="Book Antiqua" w:hAnsi="Book Antiqua" w:cstheme="majorHAnsi"/>
          <w:color w:val="000000" w:themeColor="text1"/>
          <w:sz w:val="24"/>
          <w:szCs w:val="24"/>
        </w:rPr>
        <w:t xml:space="preserve">  In resolving IPR disputes, especially patents, the parties can choose to settle the dispute out of court (non-litigation) or through litigation in the commercial court</w:t>
      </w:r>
      <w:r w:rsidR="009D42B9" w:rsidRPr="001C1A59">
        <w:rPr>
          <w:rFonts w:ascii="Book Antiqua" w:hAnsi="Book Antiqua" w:cstheme="majorHAnsi"/>
          <w:color w:val="000000" w:themeColor="text1"/>
          <w:sz w:val="24"/>
          <w:szCs w:val="24"/>
        </w:rPr>
        <w:t>.</w:t>
      </w:r>
      <w:r w:rsidR="009D42B9" w:rsidRPr="001C1A59">
        <w:rPr>
          <w:rStyle w:val="FootnoteReference"/>
          <w:rFonts w:ascii="Book Antiqua" w:hAnsi="Book Antiqua" w:cstheme="majorHAnsi"/>
          <w:color w:val="000000" w:themeColor="text1"/>
          <w:sz w:val="24"/>
          <w:szCs w:val="24"/>
        </w:rPr>
        <w:footnoteReference w:id="59"/>
      </w:r>
      <w:r w:rsidRPr="001C1A59">
        <w:rPr>
          <w:rFonts w:ascii="Book Antiqua" w:hAnsi="Book Antiqua" w:cstheme="majorHAnsi"/>
          <w:color w:val="000000" w:themeColor="text1"/>
          <w:sz w:val="24"/>
          <w:szCs w:val="24"/>
        </w:rPr>
        <w:t xml:space="preserve">  To resolve patent disputes, Article 142 of the Patent Law stipulates that a party claiming to be entitled to a patent can file a lawsuit against the patent owner to the Commercial Court</w:t>
      </w:r>
      <w:r w:rsidR="00A83268" w:rsidRPr="001C1A59">
        <w:rPr>
          <w:rFonts w:ascii="Book Antiqua" w:hAnsi="Book Antiqua" w:cstheme="majorHAnsi"/>
          <w:color w:val="000000" w:themeColor="text1"/>
          <w:sz w:val="24"/>
          <w:szCs w:val="24"/>
        </w:rPr>
        <w:t>.</w:t>
      </w:r>
      <w:r w:rsidR="00A83268" w:rsidRPr="001C1A59">
        <w:rPr>
          <w:rStyle w:val="FootnoteReference"/>
          <w:rFonts w:ascii="Book Antiqua" w:hAnsi="Book Antiqua" w:cstheme="majorHAnsi"/>
          <w:color w:val="000000" w:themeColor="text1"/>
          <w:sz w:val="24"/>
          <w:szCs w:val="24"/>
        </w:rPr>
        <w:footnoteReference w:id="60"/>
      </w:r>
      <w:r w:rsidRPr="001C1A59">
        <w:rPr>
          <w:rFonts w:ascii="Book Antiqua" w:hAnsi="Book Antiqua" w:cstheme="majorHAnsi"/>
          <w:color w:val="000000" w:themeColor="text1"/>
          <w:sz w:val="24"/>
          <w:szCs w:val="24"/>
        </w:rPr>
        <w:t xml:space="preserve"> Article 153 of the Patent Law also stipulates that the parties to the dispute may choose to resolve the dispute through arbitration or alternative dispute </w:t>
      </w:r>
      <w:r w:rsidRPr="001C1A59">
        <w:rPr>
          <w:rFonts w:ascii="Book Antiqua" w:hAnsi="Book Antiqua" w:cstheme="majorHAnsi"/>
          <w:color w:val="000000" w:themeColor="text1"/>
          <w:sz w:val="24"/>
          <w:szCs w:val="24"/>
        </w:rPr>
        <w:lastRenderedPageBreak/>
        <w:t>resolution methods other than examination by the Commercial Cour</w:t>
      </w:r>
      <w:r w:rsidR="00410D7C" w:rsidRPr="001C1A59">
        <w:rPr>
          <w:rFonts w:ascii="Book Antiqua" w:hAnsi="Book Antiqua" w:cstheme="majorHAnsi"/>
          <w:color w:val="000000" w:themeColor="text1"/>
          <w:sz w:val="24"/>
          <w:szCs w:val="24"/>
        </w:rPr>
        <w:t>t</w:t>
      </w:r>
      <w:r w:rsidRPr="001C1A59">
        <w:rPr>
          <w:rFonts w:ascii="Book Antiqua" w:hAnsi="Book Antiqua" w:cstheme="majorHAnsi"/>
          <w:color w:val="000000" w:themeColor="text1"/>
          <w:sz w:val="24"/>
          <w:szCs w:val="24"/>
        </w:rPr>
        <w:t>.</w:t>
      </w:r>
      <w:r w:rsidR="00410D7C" w:rsidRPr="001C1A59">
        <w:rPr>
          <w:rStyle w:val="FootnoteReference"/>
          <w:rFonts w:ascii="Book Antiqua" w:hAnsi="Book Antiqua" w:cstheme="majorHAnsi"/>
          <w:color w:val="000000" w:themeColor="text1"/>
          <w:sz w:val="24"/>
          <w:szCs w:val="24"/>
        </w:rPr>
        <w:footnoteReference w:id="61"/>
      </w:r>
      <w:r w:rsidRPr="001C1A59">
        <w:rPr>
          <w:rFonts w:ascii="Book Antiqua" w:hAnsi="Book Antiqua" w:cstheme="majorHAnsi"/>
          <w:color w:val="000000" w:themeColor="text1"/>
          <w:sz w:val="24"/>
          <w:szCs w:val="24"/>
        </w:rPr>
        <w:t xml:space="preserve"> </w:t>
      </w:r>
      <w:r w:rsidR="00D44A7F" w:rsidRPr="001C1A59">
        <w:rPr>
          <w:rFonts w:ascii="Book Antiqua" w:hAnsi="Book Antiqua" w:cstheme="majorHAnsi"/>
          <w:color w:val="000000" w:themeColor="text1"/>
          <w:sz w:val="24"/>
          <w:szCs w:val="24"/>
        </w:rPr>
        <w:t>Thus, in resolving patent civil disputes, there is no regulation that specifically requires mediation, and can even immediately file a lawsuit with the Commercial Court without any mediation at all</w:t>
      </w:r>
      <w:r w:rsidRPr="001C1A59">
        <w:rPr>
          <w:rFonts w:ascii="Book Antiqua" w:hAnsi="Book Antiqua" w:cstheme="majorHAnsi"/>
          <w:color w:val="000000" w:themeColor="text1"/>
          <w:sz w:val="24"/>
          <w:szCs w:val="24"/>
        </w:rPr>
        <w:t>.</w:t>
      </w:r>
      <w:r w:rsidR="00410D7C" w:rsidRPr="001C1A59">
        <w:rPr>
          <w:rStyle w:val="FootnoteReference"/>
          <w:rFonts w:ascii="Book Antiqua" w:hAnsi="Book Antiqua" w:cstheme="majorHAnsi"/>
          <w:color w:val="000000" w:themeColor="text1"/>
          <w:sz w:val="24"/>
          <w:szCs w:val="24"/>
        </w:rPr>
        <w:footnoteReference w:id="62"/>
      </w:r>
      <w:r w:rsidR="009B313A">
        <w:rPr>
          <w:rFonts w:ascii="Book Antiqua" w:hAnsi="Book Antiqua" w:cstheme="majorHAnsi"/>
          <w:color w:val="000000" w:themeColor="text1"/>
          <w:sz w:val="24"/>
          <w:szCs w:val="24"/>
        </w:rPr>
        <w:t xml:space="preserve"> </w:t>
      </w:r>
      <w:r w:rsidR="00901322" w:rsidRPr="001C1A59">
        <w:rPr>
          <w:rFonts w:ascii="Book Antiqua" w:hAnsi="Book Antiqua" w:cstheme="majorHAnsi"/>
          <w:color w:val="000000" w:themeColor="text1"/>
          <w:sz w:val="24"/>
          <w:szCs w:val="24"/>
        </w:rPr>
        <w:t>Unlike Article 154 of the Patent Law, in resolving patent disputes in criminal cases, the parties involved must first mediate before filing a criminal case.</w:t>
      </w:r>
      <w:r w:rsidR="008452E8" w:rsidRPr="001C1A59">
        <w:rPr>
          <w:rStyle w:val="FootnoteReference"/>
          <w:rFonts w:ascii="Book Antiqua" w:hAnsi="Book Antiqua" w:cstheme="majorHAnsi"/>
          <w:color w:val="000000" w:themeColor="text1"/>
          <w:sz w:val="24"/>
          <w:szCs w:val="24"/>
        </w:rPr>
        <w:footnoteReference w:id="63"/>
      </w:r>
      <w:r w:rsidR="00901322" w:rsidRPr="001C1A59">
        <w:rPr>
          <w:rFonts w:ascii="Book Antiqua" w:hAnsi="Book Antiqua" w:cstheme="majorHAnsi"/>
          <w:color w:val="000000" w:themeColor="text1"/>
          <w:sz w:val="24"/>
          <w:szCs w:val="24"/>
        </w:rPr>
        <w:t xml:space="preserve"> </w:t>
      </w:r>
      <w:r w:rsidR="00D44A7F" w:rsidRPr="001C1A59">
        <w:rPr>
          <w:rFonts w:ascii="Book Antiqua" w:hAnsi="Book Antiqua" w:cstheme="majorHAnsi"/>
          <w:color w:val="000000" w:themeColor="text1"/>
          <w:sz w:val="24"/>
          <w:szCs w:val="24"/>
        </w:rPr>
        <w:t>Attention is drawn to this given that civil disputes relating to patents are of a more private nature when compared to criminal disputes</w:t>
      </w:r>
      <w:r w:rsidR="001434BF" w:rsidRPr="001C1A59">
        <w:rPr>
          <w:rFonts w:ascii="Book Antiqua" w:hAnsi="Book Antiqua" w:cstheme="majorHAnsi"/>
          <w:color w:val="000000" w:themeColor="text1"/>
          <w:sz w:val="24"/>
          <w:szCs w:val="24"/>
        </w:rPr>
        <w:t>.</w:t>
      </w:r>
      <w:r w:rsidR="00A30187" w:rsidRPr="001C1A59">
        <w:rPr>
          <w:rStyle w:val="FootnoteReference"/>
          <w:rFonts w:ascii="Book Antiqua" w:hAnsi="Book Antiqua" w:cstheme="majorHAnsi"/>
          <w:color w:val="000000" w:themeColor="text1"/>
          <w:sz w:val="24"/>
          <w:szCs w:val="24"/>
        </w:rPr>
        <w:footnoteReference w:id="64"/>
      </w:r>
      <w:r w:rsidR="00901322" w:rsidRPr="001C1A59">
        <w:rPr>
          <w:rFonts w:ascii="Book Antiqua" w:hAnsi="Book Antiqua" w:cstheme="majorHAnsi"/>
          <w:color w:val="000000" w:themeColor="text1"/>
          <w:sz w:val="24"/>
          <w:szCs w:val="24"/>
        </w:rPr>
        <w:t xml:space="preserve"> </w:t>
      </w:r>
      <w:r w:rsidR="001C1A59" w:rsidRPr="001C1A59">
        <w:rPr>
          <w:rFonts w:ascii="Book Antiqua" w:hAnsi="Book Antiqua" w:cstheme="majorHAnsi"/>
          <w:color w:val="000000" w:themeColor="text1"/>
          <w:sz w:val="24"/>
          <w:szCs w:val="24"/>
        </w:rPr>
        <w:t>Although dispute resolution is still given to the parties involved, this is not in accordance with the principles of fast, simple, and low cost dispute resolution</w:t>
      </w:r>
      <w:r w:rsidR="00901322" w:rsidRPr="001C1A59">
        <w:rPr>
          <w:rFonts w:ascii="Book Antiqua" w:hAnsi="Book Antiqua" w:cstheme="majorHAnsi"/>
          <w:color w:val="000000" w:themeColor="text1"/>
          <w:sz w:val="24"/>
          <w:szCs w:val="24"/>
        </w:rPr>
        <w:t>.</w:t>
      </w:r>
      <w:r w:rsidR="00C917EF" w:rsidRPr="001C1A59">
        <w:rPr>
          <w:rStyle w:val="FootnoteReference"/>
          <w:rFonts w:ascii="Book Antiqua" w:hAnsi="Book Antiqua" w:cstheme="majorHAnsi"/>
          <w:color w:val="000000" w:themeColor="text1"/>
          <w:sz w:val="24"/>
          <w:szCs w:val="24"/>
        </w:rPr>
        <w:footnoteReference w:id="65"/>
      </w:r>
      <w:r w:rsidR="001B3CF0" w:rsidRPr="001C1A59">
        <w:rPr>
          <w:rFonts w:ascii="Book Antiqua" w:hAnsi="Book Antiqua" w:cstheme="majorHAnsi"/>
          <w:color w:val="000000" w:themeColor="text1"/>
          <w:sz w:val="24"/>
          <w:szCs w:val="24"/>
        </w:rPr>
        <w:t xml:space="preserve"> </w:t>
      </w:r>
      <w:r w:rsidR="001C1A59" w:rsidRPr="001C1A59">
        <w:rPr>
          <w:rFonts w:ascii="Book Antiqua" w:hAnsi="Book Antiqua" w:cstheme="majorHAnsi"/>
          <w:color w:val="000000" w:themeColor="text1"/>
          <w:sz w:val="24"/>
          <w:szCs w:val="24"/>
        </w:rPr>
        <w:t>Given that patents are private and out-of-court dispute resolution should be a step that is required and specifically regulated for all parties, this will certainly reduce the burden of cases piling up in court by providing decisions that benefit all parties. The object of IPR is an object that has economic value and has a close relationship with the business world</w:t>
      </w:r>
      <w:r w:rsidR="008452E8" w:rsidRPr="001C1A59">
        <w:rPr>
          <w:rFonts w:ascii="Book Antiqua" w:hAnsi="Book Antiqua" w:cstheme="majorHAnsi"/>
          <w:color w:val="000000" w:themeColor="text1"/>
          <w:sz w:val="24"/>
          <w:szCs w:val="24"/>
        </w:rPr>
        <w:t>.</w:t>
      </w:r>
      <w:r w:rsidR="008452E8" w:rsidRPr="001C1A59">
        <w:rPr>
          <w:rStyle w:val="FootnoteReference"/>
          <w:rFonts w:ascii="Book Antiqua" w:hAnsi="Book Antiqua" w:cstheme="majorHAnsi"/>
          <w:color w:val="000000" w:themeColor="text1"/>
          <w:sz w:val="24"/>
          <w:szCs w:val="24"/>
        </w:rPr>
        <w:footnoteReference w:id="66"/>
      </w:r>
      <w:r w:rsidR="00901322" w:rsidRPr="001C1A59">
        <w:rPr>
          <w:rFonts w:ascii="Book Antiqua" w:hAnsi="Book Antiqua" w:cstheme="majorHAnsi"/>
          <w:color w:val="000000" w:themeColor="text1"/>
          <w:sz w:val="24"/>
          <w:szCs w:val="24"/>
        </w:rPr>
        <w:t xml:space="preserve"> </w:t>
      </w:r>
      <w:r w:rsidR="001C1A59" w:rsidRPr="001C1A59">
        <w:rPr>
          <w:rFonts w:ascii="Book Antiqua" w:hAnsi="Book Antiqua" w:cstheme="majorHAnsi"/>
          <w:color w:val="000000" w:themeColor="text1"/>
          <w:sz w:val="24"/>
          <w:szCs w:val="24"/>
        </w:rPr>
        <w:t>Therefore, it is very important to maintain and protect these IPRs given the high possibility of disputes</w:t>
      </w:r>
      <w:r w:rsidR="00901322" w:rsidRPr="001C1A59">
        <w:rPr>
          <w:rFonts w:ascii="Book Antiqua" w:hAnsi="Book Antiqua" w:cstheme="majorHAnsi"/>
          <w:color w:val="000000" w:themeColor="text1"/>
          <w:sz w:val="24"/>
          <w:szCs w:val="24"/>
        </w:rPr>
        <w:t>.</w:t>
      </w:r>
      <w:r w:rsidR="008452E8" w:rsidRPr="001C1A59">
        <w:rPr>
          <w:rStyle w:val="FootnoteReference"/>
          <w:rFonts w:ascii="Book Antiqua" w:hAnsi="Book Antiqua" w:cstheme="majorHAnsi"/>
          <w:color w:val="000000" w:themeColor="text1"/>
          <w:sz w:val="24"/>
          <w:szCs w:val="24"/>
        </w:rPr>
        <w:footnoteReference w:id="67"/>
      </w:r>
    </w:p>
    <w:p w14:paraId="0635B9C7" w14:textId="69D4CB62" w:rsidR="00842A42" w:rsidRDefault="00343DD7" w:rsidP="00591987">
      <w:pPr>
        <w:spacing w:before="240" w:after="0" w:line="240" w:lineRule="auto"/>
        <w:ind w:firstLine="360"/>
        <w:jc w:val="both"/>
        <w:rPr>
          <w:rFonts w:ascii="Book Antiqua" w:hAnsi="Book Antiqua" w:cstheme="majorHAnsi"/>
          <w:color w:val="000000" w:themeColor="text1"/>
          <w:sz w:val="24"/>
          <w:szCs w:val="24"/>
        </w:rPr>
      </w:pPr>
      <w:r w:rsidRPr="00DB6AC0">
        <w:rPr>
          <w:rFonts w:ascii="Book Antiqua" w:hAnsi="Book Antiqua" w:cstheme="majorHAnsi"/>
          <w:color w:val="000000" w:themeColor="text1"/>
          <w:sz w:val="24"/>
          <w:szCs w:val="24"/>
        </w:rPr>
        <w:t>In the litigation stage, the settlement of patent disputes does not recognize appeals, but goes directly to cassation at the Supreme Court. Cassation is a legal remedy from the parties who do not accept the decision of the commercial court in the settlement of the compensation claim case</w:t>
      </w:r>
      <w:r w:rsidR="009031F0" w:rsidRPr="00DB6AC0">
        <w:rPr>
          <w:rFonts w:ascii="Book Antiqua" w:hAnsi="Book Antiqua" w:cstheme="majorHAnsi"/>
          <w:color w:val="000000" w:themeColor="text1"/>
          <w:sz w:val="24"/>
          <w:szCs w:val="24"/>
        </w:rPr>
        <w:t>.</w:t>
      </w:r>
      <w:r w:rsidR="001D201E" w:rsidRPr="00DB6AC0">
        <w:rPr>
          <w:rStyle w:val="FootnoteReference"/>
          <w:rFonts w:ascii="Book Antiqua" w:hAnsi="Book Antiqua" w:cstheme="majorHAnsi"/>
          <w:color w:val="000000" w:themeColor="text1"/>
          <w:sz w:val="24"/>
          <w:szCs w:val="24"/>
        </w:rPr>
        <w:footnoteReference w:id="68"/>
      </w:r>
      <w:r w:rsidR="009031F0" w:rsidRPr="00DB6AC0">
        <w:rPr>
          <w:rFonts w:ascii="Book Antiqua" w:hAnsi="Book Antiqua" w:cstheme="majorHAnsi"/>
          <w:color w:val="000000" w:themeColor="text1"/>
          <w:sz w:val="24"/>
          <w:szCs w:val="24"/>
        </w:rPr>
        <w:t xml:space="preserve"> </w:t>
      </w:r>
      <w:r w:rsidR="001D201E" w:rsidRPr="00DB6AC0">
        <w:rPr>
          <w:rFonts w:ascii="Book Antiqua" w:hAnsi="Book Antiqua" w:cstheme="majorHAnsi"/>
          <w:color w:val="000000" w:themeColor="text1"/>
          <w:sz w:val="24"/>
          <w:szCs w:val="24"/>
        </w:rPr>
        <w:t>Through cassation to the Supreme Court, the parties to the dispute can have legal certainty regarding their legal position in the settlement of patent infringement cases</w:t>
      </w:r>
      <w:r w:rsidR="009031F0" w:rsidRPr="00DB6AC0">
        <w:rPr>
          <w:rFonts w:ascii="Book Antiqua" w:hAnsi="Book Antiqua" w:cstheme="majorHAnsi"/>
          <w:color w:val="000000" w:themeColor="text1"/>
          <w:sz w:val="24"/>
          <w:szCs w:val="24"/>
        </w:rPr>
        <w:t>.</w:t>
      </w:r>
      <w:r w:rsidR="00075808" w:rsidRPr="00DB6AC0">
        <w:rPr>
          <w:rStyle w:val="FootnoteReference"/>
          <w:rFonts w:ascii="Book Antiqua" w:hAnsi="Book Antiqua" w:cstheme="majorHAnsi"/>
          <w:color w:val="000000" w:themeColor="text1"/>
          <w:sz w:val="24"/>
          <w:szCs w:val="24"/>
        </w:rPr>
        <w:footnoteReference w:id="69"/>
      </w:r>
      <w:r w:rsidR="009031F0" w:rsidRPr="00DB6AC0">
        <w:rPr>
          <w:rFonts w:ascii="Book Antiqua" w:hAnsi="Book Antiqua" w:cstheme="majorHAnsi"/>
          <w:color w:val="000000" w:themeColor="text1"/>
          <w:sz w:val="24"/>
          <w:szCs w:val="24"/>
        </w:rPr>
        <w:t xml:space="preserve"> </w:t>
      </w:r>
      <w:r w:rsidR="001D201E" w:rsidRPr="00DB6AC0">
        <w:rPr>
          <w:rFonts w:ascii="Book Antiqua" w:hAnsi="Book Antiqua" w:cstheme="majorHAnsi"/>
          <w:color w:val="000000" w:themeColor="text1"/>
          <w:sz w:val="24"/>
          <w:szCs w:val="24"/>
        </w:rPr>
        <w:t>Thus, it is expected to create justice, legal certainty, and mutually beneficial benefits for all parties</w:t>
      </w:r>
      <w:r w:rsidR="009031F0" w:rsidRPr="00DB6AC0">
        <w:rPr>
          <w:rFonts w:ascii="Book Antiqua" w:hAnsi="Book Antiqua" w:cstheme="majorHAnsi"/>
          <w:color w:val="000000" w:themeColor="text1"/>
          <w:sz w:val="24"/>
          <w:szCs w:val="24"/>
        </w:rPr>
        <w:t>.</w:t>
      </w:r>
      <w:r w:rsidR="00075808" w:rsidRPr="00DB6AC0">
        <w:rPr>
          <w:rStyle w:val="FootnoteReference"/>
          <w:rFonts w:ascii="Book Antiqua" w:hAnsi="Book Antiqua" w:cstheme="majorHAnsi"/>
          <w:color w:val="000000" w:themeColor="text1"/>
          <w:sz w:val="24"/>
          <w:szCs w:val="24"/>
        </w:rPr>
        <w:footnoteReference w:id="70"/>
      </w:r>
      <w:r w:rsidR="009031F0" w:rsidRPr="00DB6AC0">
        <w:rPr>
          <w:rFonts w:ascii="Book Antiqua" w:hAnsi="Book Antiqua" w:cstheme="majorHAnsi"/>
          <w:color w:val="000000" w:themeColor="text1"/>
          <w:sz w:val="24"/>
          <w:szCs w:val="24"/>
        </w:rPr>
        <w:t xml:space="preserve"> </w:t>
      </w:r>
      <w:r w:rsidR="001D201E" w:rsidRPr="00DB6AC0">
        <w:rPr>
          <w:rFonts w:ascii="Book Antiqua" w:hAnsi="Book Antiqua" w:cstheme="majorHAnsi"/>
          <w:color w:val="000000" w:themeColor="text1"/>
          <w:sz w:val="24"/>
          <w:szCs w:val="24"/>
        </w:rPr>
        <w:t>However, the fact is that cassation decisions often still undermine the principle of benefit compared to non-litigation</w:t>
      </w:r>
      <w:r w:rsidR="009031F0" w:rsidRPr="00DB6AC0">
        <w:rPr>
          <w:rFonts w:ascii="Book Antiqua" w:hAnsi="Book Antiqua" w:cstheme="majorHAnsi"/>
          <w:color w:val="000000" w:themeColor="text1"/>
          <w:sz w:val="24"/>
          <w:szCs w:val="24"/>
        </w:rPr>
        <w:t xml:space="preserve">. </w:t>
      </w:r>
      <w:r w:rsidR="00385BD1" w:rsidRPr="00DB6AC0">
        <w:rPr>
          <w:rFonts w:ascii="Book Antiqua" w:hAnsi="Book Antiqua" w:cstheme="majorHAnsi"/>
          <w:color w:val="000000" w:themeColor="text1"/>
          <w:sz w:val="24"/>
          <w:szCs w:val="24"/>
        </w:rPr>
        <w:t>Therefore, the author still believes that mediation should be regulated by written regulations that are mandatory in the settlement of patent civil disputes</w:t>
      </w:r>
      <w:r w:rsidR="009031F0" w:rsidRPr="00DB6AC0">
        <w:rPr>
          <w:rFonts w:ascii="Book Antiqua" w:hAnsi="Book Antiqua" w:cstheme="majorHAnsi"/>
          <w:color w:val="000000" w:themeColor="text1"/>
          <w:sz w:val="24"/>
          <w:szCs w:val="24"/>
        </w:rPr>
        <w:t>.</w:t>
      </w:r>
      <w:r w:rsidR="00075808" w:rsidRPr="00DB6AC0">
        <w:rPr>
          <w:rStyle w:val="FootnoteReference"/>
          <w:rFonts w:ascii="Book Antiqua" w:hAnsi="Book Antiqua" w:cstheme="majorHAnsi"/>
          <w:color w:val="000000" w:themeColor="text1"/>
          <w:sz w:val="24"/>
          <w:szCs w:val="24"/>
        </w:rPr>
        <w:footnoteReference w:id="71"/>
      </w:r>
      <w:r w:rsidR="009031F0" w:rsidRPr="00DB6AC0">
        <w:rPr>
          <w:rFonts w:ascii="Book Antiqua" w:hAnsi="Book Antiqua" w:cstheme="majorHAnsi"/>
          <w:color w:val="000000" w:themeColor="text1"/>
          <w:sz w:val="24"/>
          <w:szCs w:val="24"/>
        </w:rPr>
        <w:t xml:space="preserve"> </w:t>
      </w:r>
      <w:r w:rsidR="00842A42" w:rsidRPr="00DB6AC0">
        <w:rPr>
          <w:rFonts w:ascii="Book Antiqua" w:hAnsi="Book Antiqua" w:cstheme="majorHAnsi"/>
          <w:color w:val="000000" w:themeColor="text1"/>
          <w:sz w:val="24"/>
          <w:szCs w:val="24"/>
        </w:rPr>
        <w:t>With this mandatory mediation, it is expected that the behavior of the parties in the settlement of patent civil disputes will undergo significant changes.</w:t>
      </w:r>
      <w:r w:rsidR="00842A42" w:rsidRPr="00DB6AC0">
        <w:rPr>
          <w:rStyle w:val="FootnoteReference"/>
          <w:rFonts w:ascii="Book Antiqua" w:hAnsi="Book Antiqua" w:cstheme="majorHAnsi"/>
          <w:color w:val="000000" w:themeColor="text1"/>
          <w:sz w:val="24"/>
          <w:szCs w:val="24"/>
        </w:rPr>
        <w:footnoteReference w:id="72"/>
      </w:r>
      <w:r w:rsidR="00842A42" w:rsidRPr="00DB6AC0">
        <w:rPr>
          <w:rFonts w:ascii="Book Antiqua" w:hAnsi="Book Antiqua" w:cstheme="majorHAnsi"/>
          <w:color w:val="000000" w:themeColor="text1"/>
          <w:sz w:val="24"/>
          <w:szCs w:val="24"/>
        </w:rPr>
        <w:t xml:space="preserve"> In addition, all patent civil disputes will pass through the mediation settlement </w:t>
      </w:r>
      <w:r w:rsidR="00842A42" w:rsidRPr="00DB6AC0">
        <w:rPr>
          <w:rFonts w:ascii="Book Antiqua" w:hAnsi="Book Antiqua" w:cstheme="majorHAnsi"/>
          <w:color w:val="000000" w:themeColor="text1"/>
          <w:sz w:val="24"/>
          <w:szCs w:val="24"/>
        </w:rPr>
        <w:lastRenderedPageBreak/>
        <w:t>stage first before entering another settlement stage.</w:t>
      </w:r>
      <w:r w:rsidR="00842A42" w:rsidRPr="00DB6AC0">
        <w:rPr>
          <w:rStyle w:val="FootnoteReference"/>
          <w:rFonts w:ascii="Book Antiqua" w:hAnsi="Book Antiqua" w:cstheme="majorHAnsi"/>
          <w:color w:val="000000" w:themeColor="text1"/>
          <w:sz w:val="24"/>
          <w:szCs w:val="24"/>
        </w:rPr>
        <w:footnoteReference w:id="73"/>
      </w:r>
      <w:r w:rsidR="00842A42" w:rsidRPr="00DB6AC0">
        <w:rPr>
          <w:rFonts w:ascii="Book Antiqua" w:hAnsi="Book Antiqua" w:cstheme="majorHAnsi"/>
          <w:color w:val="000000" w:themeColor="text1"/>
          <w:sz w:val="24"/>
          <w:szCs w:val="24"/>
        </w:rPr>
        <w:t xml:space="preserve"> </w:t>
      </w:r>
      <w:r w:rsidR="00E21F2F" w:rsidRPr="00DB6AC0">
        <w:rPr>
          <w:rFonts w:ascii="Book Antiqua" w:hAnsi="Book Antiqua" w:cstheme="majorHAnsi"/>
          <w:color w:val="000000" w:themeColor="text1"/>
          <w:sz w:val="24"/>
          <w:szCs w:val="24"/>
        </w:rPr>
        <w:t>One example of a case that has been at the Supreme Court stage is a case experienced by one of the large companies that was once the largest telecommunications company in the world originating from Finland, the company is Nokia</w:t>
      </w:r>
      <w:r w:rsidR="00842A42" w:rsidRPr="00DB6AC0">
        <w:rPr>
          <w:rFonts w:ascii="Book Antiqua" w:hAnsi="Book Antiqua" w:cstheme="majorHAnsi"/>
          <w:color w:val="000000" w:themeColor="text1"/>
          <w:sz w:val="24"/>
          <w:szCs w:val="24"/>
        </w:rPr>
        <w:t>.</w:t>
      </w:r>
      <w:r w:rsidR="00DB6AC0">
        <w:rPr>
          <w:rFonts w:ascii="Book Antiqua" w:hAnsi="Book Antiqua" w:cstheme="majorHAnsi"/>
          <w:color w:val="000000" w:themeColor="text1"/>
          <w:sz w:val="24"/>
          <w:szCs w:val="24"/>
        </w:rPr>
        <w:t xml:space="preserve"> </w:t>
      </w:r>
      <w:r w:rsidR="00E21F2F" w:rsidRPr="00DB6AC0">
        <w:rPr>
          <w:rFonts w:ascii="Book Antiqua" w:hAnsi="Book Antiqua" w:cstheme="majorHAnsi"/>
          <w:color w:val="000000" w:themeColor="text1"/>
          <w:sz w:val="24"/>
          <w:szCs w:val="24"/>
        </w:rPr>
        <w:t>Nokia was also once the best telecommunications equipment manufacturer in Indonesia during its time. However, this company has begun to decrease from the telecommunications market or what we are more familiar with cellphones and is currently developing into smartphones. Departing from the case that occurred in this giant Nokia company, one of which is in the field of innovation and technology. Actually, the Nokia company or with its original name Nokia Technologies Oy has several times sought settlement and justice for the innovations and technologies it has developed</w:t>
      </w:r>
      <w:r w:rsidR="00E21F2F" w:rsidRPr="00E21F2F">
        <w:rPr>
          <w:rFonts w:ascii="Book Antiqua" w:hAnsi="Book Antiqua" w:cstheme="majorHAnsi"/>
          <w:color w:val="000000" w:themeColor="text1"/>
          <w:sz w:val="24"/>
          <w:szCs w:val="24"/>
        </w:rPr>
        <w:t xml:space="preserve">, namely by filing a civil patent lawsuit against the company PT </w:t>
      </w:r>
      <w:proofErr w:type="spellStart"/>
      <w:r w:rsidR="00E21F2F" w:rsidRPr="00E21F2F">
        <w:rPr>
          <w:rFonts w:ascii="Book Antiqua" w:hAnsi="Book Antiqua" w:cstheme="majorHAnsi"/>
          <w:color w:val="000000" w:themeColor="text1"/>
          <w:sz w:val="24"/>
          <w:szCs w:val="24"/>
        </w:rPr>
        <w:t>Selalu</w:t>
      </w:r>
      <w:proofErr w:type="spellEnd"/>
      <w:r w:rsidR="00E21F2F" w:rsidRPr="00E21F2F">
        <w:rPr>
          <w:rFonts w:ascii="Book Antiqua" w:hAnsi="Book Antiqua" w:cstheme="majorHAnsi"/>
          <w:color w:val="000000" w:themeColor="text1"/>
          <w:sz w:val="24"/>
          <w:szCs w:val="24"/>
        </w:rPr>
        <w:t xml:space="preserve"> </w:t>
      </w:r>
      <w:proofErr w:type="spellStart"/>
      <w:r w:rsidR="00E21F2F" w:rsidRPr="00E21F2F">
        <w:rPr>
          <w:rFonts w:ascii="Book Antiqua" w:hAnsi="Book Antiqua" w:cstheme="majorHAnsi"/>
          <w:color w:val="000000" w:themeColor="text1"/>
          <w:sz w:val="24"/>
          <w:szCs w:val="24"/>
        </w:rPr>
        <w:t>Bahagia</w:t>
      </w:r>
      <w:proofErr w:type="spellEnd"/>
      <w:r w:rsidR="00E21F2F" w:rsidRPr="00E21F2F">
        <w:rPr>
          <w:rFonts w:ascii="Book Antiqua" w:hAnsi="Book Antiqua" w:cstheme="majorHAnsi"/>
          <w:color w:val="000000" w:themeColor="text1"/>
          <w:sz w:val="24"/>
          <w:szCs w:val="24"/>
        </w:rPr>
        <w:t xml:space="preserve"> Bersama with Decision Number 40/</w:t>
      </w:r>
      <w:proofErr w:type="spellStart"/>
      <w:r w:rsidR="00E21F2F" w:rsidRPr="00E21F2F">
        <w:rPr>
          <w:rFonts w:ascii="Book Antiqua" w:hAnsi="Book Antiqua" w:cstheme="majorHAnsi"/>
          <w:color w:val="000000" w:themeColor="text1"/>
          <w:sz w:val="24"/>
          <w:szCs w:val="24"/>
        </w:rPr>
        <w:t>Pdt.Sus</w:t>
      </w:r>
      <w:proofErr w:type="spellEnd"/>
      <w:r w:rsidR="00E21F2F" w:rsidRPr="00E21F2F">
        <w:rPr>
          <w:rFonts w:ascii="Book Antiqua" w:hAnsi="Book Antiqua" w:cstheme="majorHAnsi"/>
          <w:color w:val="000000" w:themeColor="text1"/>
          <w:sz w:val="24"/>
          <w:szCs w:val="24"/>
        </w:rPr>
        <w:t xml:space="preserve">-Paten/2021/PN </w:t>
      </w:r>
      <w:proofErr w:type="spellStart"/>
      <w:r w:rsidR="00E21F2F" w:rsidRPr="00E21F2F">
        <w:rPr>
          <w:rFonts w:ascii="Book Antiqua" w:hAnsi="Book Antiqua" w:cstheme="majorHAnsi"/>
          <w:color w:val="000000" w:themeColor="text1"/>
          <w:sz w:val="24"/>
          <w:szCs w:val="24"/>
        </w:rPr>
        <w:t>Niaga</w:t>
      </w:r>
      <w:proofErr w:type="spellEnd"/>
      <w:r w:rsidR="00E21F2F" w:rsidRPr="00E21F2F">
        <w:rPr>
          <w:rFonts w:ascii="Book Antiqua" w:hAnsi="Book Antiqua" w:cstheme="majorHAnsi"/>
          <w:color w:val="000000" w:themeColor="text1"/>
          <w:sz w:val="24"/>
          <w:szCs w:val="24"/>
        </w:rPr>
        <w:t xml:space="preserve"> </w:t>
      </w:r>
      <w:proofErr w:type="spellStart"/>
      <w:r w:rsidR="00E21F2F" w:rsidRPr="00E21F2F">
        <w:rPr>
          <w:rFonts w:ascii="Book Antiqua" w:hAnsi="Book Antiqua" w:cstheme="majorHAnsi"/>
          <w:color w:val="000000" w:themeColor="text1"/>
          <w:sz w:val="24"/>
          <w:szCs w:val="24"/>
        </w:rPr>
        <w:t>Jkt.Pst</w:t>
      </w:r>
      <w:proofErr w:type="spellEnd"/>
      <w:r w:rsidR="00E21F2F" w:rsidRPr="00E21F2F">
        <w:rPr>
          <w:rFonts w:ascii="Book Antiqua" w:hAnsi="Book Antiqua" w:cstheme="majorHAnsi"/>
          <w:color w:val="000000" w:themeColor="text1"/>
          <w:sz w:val="24"/>
          <w:szCs w:val="24"/>
        </w:rPr>
        <w:t>, and ended in the Supreme Court Cassation Decision Number 1849K/</w:t>
      </w:r>
      <w:proofErr w:type="spellStart"/>
      <w:r w:rsidR="00E21F2F" w:rsidRPr="00E21F2F">
        <w:rPr>
          <w:rFonts w:ascii="Book Antiqua" w:hAnsi="Book Antiqua" w:cstheme="majorHAnsi"/>
          <w:color w:val="000000" w:themeColor="text1"/>
          <w:sz w:val="24"/>
          <w:szCs w:val="24"/>
        </w:rPr>
        <w:t>Pdt.Sus</w:t>
      </w:r>
      <w:proofErr w:type="spellEnd"/>
      <w:r w:rsidR="00E21F2F" w:rsidRPr="00E21F2F">
        <w:rPr>
          <w:rFonts w:ascii="Book Antiqua" w:hAnsi="Book Antiqua" w:cstheme="majorHAnsi"/>
          <w:color w:val="000000" w:themeColor="text1"/>
          <w:sz w:val="24"/>
          <w:szCs w:val="24"/>
        </w:rPr>
        <w:t xml:space="preserve">-HKI/2022. Not only civilly suing PT </w:t>
      </w:r>
      <w:proofErr w:type="spellStart"/>
      <w:r w:rsidR="00E21F2F" w:rsidRPr="00E21F2F">
        <w:rPr>
          <w:rFonts w:ascii="Book Antiqua" w:hAnsi="Book Antiqua" w:cstheme="majorHAnsi"/>
          <w:color w:val="000000" w:themeColor="text1"/>
          <w:sz w:val="24"/>
          <w:szCs w:val="24"/>
        </w:rPr>
        <w:t>Selalu</w:t>
      </w:r>
      <w:proofErr w:type="spellEnd"/>
      <w:r w:rsidR="00E21F2F" w:rsidRPr="00E21F2F">
        <w:rPr>
          <w:rFonts w:ascii="Book Antiqua" w:hAnsi="Book Antiqua" w:cstheme="majorHAnsi"/>
          <w:color w:val="000000" w:themeColor="text1"/>
          <w:sz w:val="24"/>
          <w:szCs w:val="24"/>
        </w:rPr>
        <w:t xml:space="preserve"> </w:t>
      </w:r>
      <w:proofErr w:type="spellStart"/>
      <w:r w:rsidR="00E21F2F" w:rsidRPr="00E21F2F">
        <w:rPr>
          <w:rFonts w:ascii="Book Antiqua" w:hAnsi="Book Antiqua" w:cstheme="majorHAnsi"/>
          <w:color w:val="000000" w:themeColor="text1"/>
          <w:sz w:val="24"/>
          <w:szCs w:val="24"/>
        </w:rPr>
        <w:t>Bahagia</w:t>
      </w:r>
      <w:proofErr w:type="spellEnd"/>
      <w:r w:rsidR="00E21F2F" w:rsidRPr="00E21F2F">
        <w:rPr>
          <w:rFonts w:ascii="Book Antiqua" w:hAnsi="Book Antiqua" w:cstheme="majorHAnsi"/>
          <w:color w:val="000000" w:themeColor="text1"/>
          <w:sz w:val="24"/>
          <w:szCs w:val="24"/>
        </w:rPr>
        <w:t xml:space="preserve"> Bersama for patent rights, but Nokia Technologies Oy also filed a civil patent lawsuit against the company PT Bright Mobile Telecommunication with Decision Number 41/</w:t>
      </w:r>
      <w:proofErr w:type="spellStart"/>
      <w:r w:rsidR="00E21F2F" w:rsidRPr="00E21F2F">
        <w:rPr>
          <w:rFonts w:ascii="Book Antiqua" w:hAnsi="Book Antiqua" w:cstheme="majorHAnsi"/>
          <w:color w:val="000000" w:themeColor="text1"/>
          <w:sz w:val="24"/>
          <w:szCs w:val="24"/>
        </w:rPr>
        <w:t>Pdt.Sus</w:t>
      </w:r>
      <w:proofErr w:type="spellEnd"/>
      <w:r w:rsidR="00E21F2F" w:rsidRPr="00E21F2F">
        <w:rPr>
          <w:rFonts w:ascii="Book Antiqua" w:hAnsi="Book Antiqua" w:cstheme="majorHAnsi"/>
          <w:color w:val="000000" w:themeColor="text1"/>
          <w:sz w:val="24"/>
          <w:szCs w:val="24"/>
        </w:rPr>
        <w:t xml:space="preserve">-Paten/2021/PN </w:t>
      </w:r>
      <w:proofErr w:type="spellStart"/>
      <w:r w:rsidR="00E21F2F" w:rsidRPr="00E21F2F">
        <w:rPr>
          <w:rFonts w:ascii="Book Antiqua" w:hAnsi="Book Antiqua" w:cstheme="majorHAnsi"/>
          <w:color w:val="000000" w:themeColor="text1"/>
          <w:sz w:val="24"/>
          <w:szCs w:val="24"/>
        </w:rPr>
        <w:t>Niaga</w:t>
      </w:r>
      <w:proofErr w:type="spellEnd"/>
      <w:r w:rsidR="00E21F2F" w:rsidRPr="00E21F2F">
        <w:rPr>
          <w:rFonts w:ascii="Book Antiqua" w:hAnsi="Book Antiqua" w:cstheme="majorHAnsi"/>
          <w:color w:val="000000" w:themeColor="text1"/>
          <w:sz w:val="24"/>
          <w:szCs w:val="24"/>
        </w:rPr>
        <w:t xml:space="preserve"> </w:t>
      </w:r>
      <w:proofErr w:type="spellStart"/>
      <w:r w:rsidR="00E21F2F" w:rsidRPr="00E21F2F">
        <w:rPr>
          <w:rFonts w:ascii="Book Antiqua" w:hAnsi="Book Antiqua" w:cstheme="majorHAnsi"/>
          <w:color w:val="000000" w:themeColor="text1"/>
          <w:sz w:val="24"/>
          <w:szCs w:val="24"/>
        </w:rPr>
        <w:t>Jkt.Pst</w:t>
      </w:r>
      <w:proofErr w:type="spellEnd"/>
      <w:r w:rsidR="00E21F2F" w:rsidRPr="00E21F2F">
        <w:rPr>
          <w:rFonts w:ascii="Book Antiqua" w:hAnsi="Book Antiqua" w:cstheme="majorHAnsi"/>
          <w:color w:val="000000" w:themeColor="text1"/>
          <w:sz w:val="24"/>
          <w:szCs w:val="24"/>
        </w:rPr>
        <w:t>, and ended in the Supreme Court cassation decision Number 132K/</w:t>
      </w:r>
      <w:proofErr w:type="spellStart"/>
      <w:r w:rsidR="00E21F2F" w:rsidRPr="00E21F2F">
        <w:rPr>
          <w:rFonts w:ascii="Book Antiqua" w:hAnsi="Book Antiqua" w:cstheme="majorHAnsi"/>
          <w:color w:val="000000" w:themeColor="text1"/>
          <w:sz w:val="24"/>
          <w:szCs w:val="24"/>
        </w:rPr>
        <w:t>Pdt.Sus</w:t>
      </w:r>
      <w:proofErr w:type="spellEnd"/>
      <w:r w:rsidR="00E21F2F" w:rsidRPr="00E21F2F">
        <w:rPr>
          <w:rFonts w:ascii="Book Antiqua" w:hAnsi="Book Antiqua" w:cstheme="majorHAnsi"/>
          <w:color w:val="000000" w:themeColor="text1"/>
          <w:sz w:val="24"/>
          <w:szCs w:val="24"/>
        </w:rPr>
        <w:t>-HKI/202</w:t>
      </w:r>
      <w:r w:rsidR="00E21F2F">
        <w:rPr>
          <w:rFonts w:ascii="Book Antiqua" w:hAnsi="Book Antiqua" w:cstheme="majorHAnsi"/>
          <w:color w:val="000000" w:themeColor="text1"/>
          <w:sz w:val="24"/>
          <w:szCs w:val="24"/>
        </w:rPr>
        <w:t xml:space="preserve">3. </w:t>
      </w:r>
    </w:p>
    <w:p w14:paraId="552D7D78" w14:textId="77777777" w:rsidR="00591987" w:rsidRDefault="00591987" w:rsidP="00591987">
      <w:pPr>
        <w:spacing w:before="240" w:after="0" w:line="240" w:lineRule="auto"/>
        <w:jc w:val="both"/>
        <w:rPr>
          <w:rFonts w:ascii="Book Antiqua" w:hAnsi="Book Antiqua" w:cstheme="majorHAnsi"/>
          <w:b/>
          <w:bCs/>
          <w:color w:val="000000" w:themeColor="text1"/>
          <w:sz w:val="24"/>
          <w:szCs w:val="24"/>
        </w:rPr>
      </w:pPr>
    </w:p>
    <w:p w14:paraId="4C59E2F2" w14:textId="74B4BFC2" w:rsidR="00C97D9F" w:rsidRPr="00E969B0" w:rsidRDefault="00E969B0" w:rsidP="00591987">
      <w:pPr>
        <w:spacing w:after="0" w:line="240" w:lineRule="auto"/>
        <w:jc w:val="both"/>
        <w:rPr>
          <w:rFonts w:ascii="Book Antiqua" w:hAnsi="Book Antiqua" w:cstheme="majorHAnsi"/>
          <w:b/>
          <w:bCs/>
          <w:color w:val="000000" w:themeColor="text1"/>
          <w:sz w:val="24"/>
          <w:szCs w:val="24"/>
        </w:rPr>
      </w:pPr>
      <w:r w:rsidRPr="00E969B0">
        <w:rPr>
          <w:rFonts w:ascii="Book Antiqua" w:hAnsi="Book Antiqua" w:cstheme="majorHAnsi"/>
          <w:b/>
          <w:bCs/>
          <w:color w:val="000000" w:themeColor="text1"/>
          <w:sz w:val="24"/>
          <w:szCs w:val="24"/>
        </w:rPr>
        <w:t>Case Chronology</w:t>
      </w:r>
    </w:p>
    <w:p w14:paraId="15E7FC36" w14:textId="733C7766" w:rsidR="00E969B0" w:rsidRPr="005E1953" w:rsidRDefault="00E21F2F" w:rsidP="00591987">
      <w:pPr>
        <w:spacing w:after="0" w:line="240" w:lineRule="auto"/>
        <w:ind w:firstLine="360"/>
        <w:jc w:val="both"/>
        <w:rPr>
          <w:rFonts w:ascii="Book Antiqua" w:hAnsi="Book Antiqua" w:cs="Calibri"/>
          <w:bCs/>
          <w:color w:val="000000" w:themeColor="text1"/>
          <w:sz w:val="24"/>
        </w:rPr>
      </w:pPr>
      <w:r w:rsidRPr="00E21F2F">
        <w:rPr>
          <w:rFonts w:ascii="Book Antiqua" w:hAnsi="Book Antiqua" w:cs="Calibri"/>
          <w:bCs/>
          <w:color w:val="000000" w:themeColor="text1"/>
          <w:sz w:val="24"/>
        </w:rPr>
        <w:t xml:space="preserve">Basically, the two decisions have similar objects of dispute and case chronology. Based on the Court Decision, Nokia Technologies Oy has made many efforts to develop innovation and technology to get out of the downturn caused by the onslaught of smartphone innovation and technology from several of its business rivals at this time. One of the technological innovations developed by the Finnish telecommunications company is HSDPA Technology Innovation with support for 64QAM which is a feature of HSPA+ and is usually marked with H+ on mobile phones and registered a patent on its technological innovation findings with Registration Number IDP000031184 entitled "Signaling of Additional Modulation Information for High-Speed Drop-Link Packet Access and Method and Apparatus for Conveying Antenna Configuration Information Through Masking". It didn't take long for one of Guangdong's major companies OPPO Mobile Telecommunications Corp., Ltd. and </w:t>
      </w:r>
      <w:proofErr w:type="spellStart"/>
      <w:r w:rsidRPr="00E21F2F">
        <w:rPr>
          <w:rFonts w:ascii="Book Antiqua" w:hAnsi="Book Antiqua" w:cs="Calibri"/>
          <w:bCs/>
          <w:color w:val="000000" w:themeColor="text1"/>
          <w:sz w:val="24"/>
        </w:rPr>
        <w:t>Realme</w:t>
      </w:r>
      <w:proofErr w:type="spellEnd"/>
      <w:r w:rsidRPr="00E21F2F">
        <w:rPr>
          <w:rFonts w:ascii="Book Antiqua" w:hAnsi="Book Antiqua" w:cs="Calibri"/>
          <w:bCs/>
          <w:color w:val="000000" w:themeColor="text1"/>
          <w:sz w:val="24"/>
        </w:rPr>
        <w:t xml:space="preserve"> Chongqing Mobile Telecommunications Corp., Ltd. to glance at Nokia Technologies Oy's latest innovations and technologies, so the two major companies entered into a license agreement with Nokia Technologies Oy in order to use Nokia Technologies Oy's patents.</w:t>
      </w:r>
    </w:p>
    <w:p w14:paraId="52A66347" w14:textId="64E62BEE" w:rsidR="0093276E" w:rsidRPr="00E21F2F" w:rsidRDefault="00E21F2F" w:rsidP="0093276E">
      <w:pPr>
        <w:spacing w:after="0" w:line="240" w:lineRule="auto"/>
        <w:ind w:firstLine="360"/>
        <w:jc w:val="both"/>
        <w:rPr>
          <w:rFonts w:ascii="Book Antiqua" w:hAnsi="Book Antiqua" w:cstheme="majorHAnsi"/>
          <w:color w:val="000000" w:themeColor="text1"/>
          <w:sz w:val="24"/>
          <w:szCs w:val="24"/>
          <w:highlight w:val="green"/>
        </w:rPr>
      </w:pPr>
      <w:r w:rsidRPr="00E21F2F">
        <w:rPr>
          <w:rFonts w:ascii="Book Antiqua" w:hAnsi="Book Antiqua" w:cs="Calibri"/>
          <w:bCs/>
          <w:color w:val="000000" w:themeColor="text1"/>
          <w:sz w:val="24"/>
        </w:rPr>
        <w:t xml:space="preserve">But it turns out that according to Nokia Technologies Oy, there are two other companies using its patents, namely PT </w:t>
      </w:r>
      <w:proofErr w:type="spellStart"/>
      <w:r w:rsidRPr="00E21F2F">
        <w:rPr>
          <w:rFonts w:ascii="Book Antiqua" w:hAnsi="Book Antiqua" w:cs="Calibri"/>
          <w:bCs/>
          <w:color w:val="000000" w:themeColor="text1"/>
          <w:sz w:val="24"/>
        </w:rPr>
        <w:t>Selalu</w:t>
      </w:r>
      <w:proofErr w:type="spellEnd"/>
      <w:r w:rsidRPr="00E21F2F">
        <w:rPr>
          <w:rFonts w:ascii="Book Antiqua" w:hAnsi="Book Antiqua" w:cs="Calibri"/>
          <w:bCs/>
          <w:color w:val="000000" w:themeColor="text1"/>
          <w:sz w:val="24"/>
        </w:rPr>
        <w:t xml:space="preserve"> </w:t>
      </w:r>
      <w:proofErr w:type="spellStart"/>
      <w:r w:rsidRPr="00E21F2F">
        <w:rPr>
          <w:rFonts w:ascii="Book Antiqua" w:hAnsi="Book Antiqua" w:cs="Calibri"/>
          <w:bCs/>
          <w:color w:val="000000" w:themeColor="text1"/>
          <w:sz w:val="24"/>
        </w:rPr>
        <w:t>Bahagia</w:t>
      </w:r>
      <w:proofErr w:type="spellEnd"/>
      <w:r w:rsidRPr="00E21F2F">
        <w:rPr>
          <w:rFonts w:ascii="Book Antiqua" w:hAnsi="Book Antiqua" w:cs="Calibri"/>
          <w:bCs/>
          <w:color w:val="000000" w:themeColor="text1"/>
          <w:sz w:val="24"/>
        </w:rPr>
        <w:t xml:space="preserve"> Bersama and PT Bright Mobile Telecommunication, which the two companies are business rivals who have not entered into a license agreement with Nokia Technologies Oy directly, so without long consideration Nokia Technologies Oy immediately took advantage of this moment to attack its business rivals, namely by filing a civil lawsuit until the cassation stage at the Supreme Court against the two companies, although based on its statement it had tried to communicate negotiations and mediation, but this was not resolved until the completion of the mediation, according to </w:t>
      </w:r>
      <w:proofErr w:type="spellStart"/>
      <w:r w:rsidRPr="00E21F2F">
        <w:rPr>
          <w:rFonts w:ascii="Book Antiqua" w:hAnsi="Book Antiqua" w:cs="Calibri"/>
          <w:bCs/>
          <w:color w:val="000000" w:themeColor="text1"/>
          <w:sz w:val="24"/>
        </w:rPr>
        <w:t>Oppo's</w:t>
      </w:r>
      <w:proofErr w:type="spellEnd"/>
      <w:r w:rsidRPr="00E21F2F">
        <w:rPr>
          <w:rFonts w:ascii="Book Antiqua" w:hAnsi="Book Antiqua" w:cs="Calibri"/>
          <w:bCs/>
          <w:color w:val="000000" w:themeColor="text1"/>
          <w:sz w:val="24"/>
        </w:rPr>
        <w:t xml:space="preserve"> opinion "We are negotiating with Nokia to renew the </w:t>
      </w:r>
      <w:r w:rsidRPr="00E21F2F">
        <w:rPr>
          <w:rFonts w:ascii="Book Antiqua" w:hAnsi="Book Antiqua" w:cs="Calibri"/>
          <w:bCs/>
          <w:color w:val="000000" w:themeColor="text1"/>
          <w:sz w:val="24"/>
        </w:rPr>
        <w:lastRenderedPageBreak/>
        <w:t xml:space="preserve">patent license and continue to coordinate to reach an agreement. We are disappointed that in the middle of the process, Nokia chose to settle through the courts," said OPPO Indonesia's PR Manager, </w:t>
      </w:r>
      <w:proofErr w:type="spellStart"/>
      <w:r w:rsidRPr="00E21F2F">
        <w:rPr>
          <w:rFonts w:ascii="Book Antiqua" w:hAnsi="Book Antiqua" w:cs="Calibri"/>
          <w:bCs/>
          <w:color w:val="000000" w:themeColor="text1"/>
          <w:sz w:val="24"/>
        </w:rPr>
        <w:t>Aryo</w:t>
      </w:r>
      <w:proofErr w:type="spellEnd"/>
      <w:r w:rsidRPr="00E21F2F">
        <w:rPr>
          <w:rFonts w:ascii="Book Antiqua" w:hAnsi="Book Antiqua" w:cs="Calibri"/>
          <w:bCs/>
          <w:color w:val="000000" w:themeColor="text1"/>
          <w:sz w:val="24"/>
        </w:rPr>
        <w:t xml:space="preserve"> </w:t>
      </w:r>
      <w:proofErr w:type="spellStart"/>
      <w:r w:rsidRPr="00E21F2F">
        <w:rPr>
          <w:rFonts w:ascii="Book Antiqua" w:hAnsi="Book Antiqua" w:cs="Calibri"/>
          <w:bCs/>
          <w:color w:val="000000" w:themeColor="text1"/>
          <w:sz w:val="24"/>
        </w:rPr>
        <w:t>Meidianto</w:t>
      </w:r>
      <w:proofErr w:type="spellEnd"/>
      <w:r w:rsidRPr="00E21F2F">
        <w:rPr>
          <w:rFonts w:ascii="Book Antiqua" w:hAnsi="Book Antiqua" w:cs="Calibri"/>
          <w:bCs/>
          <w:color w:val="000000" w:themeColor="text1"/>
          <w:sz w:val="24"/>
        </w:rPr>
        <w:t xml:space="preserve"> A in a press release received by </w:t>
      </w:r>
      <w:proofErr w:type="spellStart"/>
      <w:r w:rsidRPr="00E21F2F">
        <w:rPr>
          <w:rFonts w:ascii="Book Antiqua" w:hAnsi="Book Antiqua" w:cs="Calibri"/>
          <w:bCs/>
          <w:color w:val="000000" w:themeColor="text1"/>
          <w:sz w:val="24"/>
        </w:rPr>
        <w:t>detikcom</w:t>
      </w:r>
      <w:proofErr w:type="spellEnd"/>
      <w:r w:rsidR="0093276E">
        <w:rPr>
          <w:rFonts w:ascii="Book Antiqua" w:hAnsi="Book Antiqua" w:cs="Calibri"/>
          <w:bCs/>
          <w:color w:val="000000" w:themeColor="text1"/>
          <w:sz w:val="24"/>
        </w:rPr>
        <w:t>.</w:t>
      </w:r>
      <w:r>
        <w:rPr>
          <w:rStyle w:val="FootnoteReference"/>
          <w:rFonts w:ascii="Book Antiqua" w:hAnsi="Book Antiqua" w:cs="Calibri"/>
          <w:bCs/>
          <w:color w:val="000000" w:themeColor="text1"/>
          <w:sz w:val="24"/>
        </w:rPr>
        <w:footnoteReference w:id="74"/>
      </w:r>
      <w:r w:rsidR="0093276E">
        <w:rPr>
          <w:rFonts w:ascii="Book Antiqua" w:hAnsi="Book Antiqua" w:cs="Calibri"/>
          <w:bCs/>
          <w:color w:val="000000" w:themeColor="text1"/>
          <w:sz w:val="24"/>
        </w:rPr>
        <w:t xml:space="preserve"> </w:t>
      </w:r>
      <w:r w:rsidR="0093276E" w:rsidRPr="0093276E">
        <w:rPr>
          <w:rFonts w:ascii="Book Antiqua" w:hAnsi="Book Antiqua" w:cstheme="majorHAnsi"/>
          <w:color w:val="000000" w:themeColor="text1"/>
          <w:sz w:val="24"/>
          <w:szCs w:val="24"/>
        </w:rPr>
        <w:t>This was done because the lawsuit was considered to be a way to win the telecommunications market from other business rivals in Indonesia</w:t>
      </w:r>
      <w:r w:rsidR="0093276E">
        <w:rPr>
          <w:rFonts w:ascii="Book Antiqua" w:hAnsi="Book Antiqua" w:cstheme="majorHAnsi"/>
          <w:color w:val="000000" w:themeColor="text1"/>
          <w:sz w:val="24"/>
          <w:szCs w:val="24"/>
        </w:rPr>
        <w:t>.</w:t>
      </w:r>
      <w:r w:rsidR="0093276E" w:rsidRPr="0093276E">
        <w:t xml:space="preserve"> </w:t>
      </w:r>
      <w:r w:rsidR="0093276E" w:rsidRPr="0093276E">
        <w:rPr>
          <w:rFonts w:ascii="Book Antiqua" w:hAnsi="Book Antiqua" w:cstheme="majorHAnsi"/>
          <w:color w:val="000000" w:themeColor="text1"/>
          <w:sz w:val="24"/>
          <w:szCs w:val="24"/>
        </w:rPr>
        <w:t xml:space="preserve">Given that the settlement of patent civil </w:t>
      </w:r>
      <w:r w:rsidR="0093276E" w:rsidRPr="00DB6AC0">
        <w:rPr>
          <w:rFonts w:ascii="Book Antiqua" w:hAnsi="Book Antiqua" w:cstheme="majorHAnsi"/>
          <w:color w:val="000000" w:themeColor="text1"/>
          <w:sz w:val="24"/>
          <w:szCs w:val="24"/>
        </w:rPr>
        <w:t>disputes through court decisions will be "win-lose", so as we know that Nokia Technologies Oy suffered a drastic decline in the telecommunications market in Indonesia after the defeat of its own lawsuit.</w:t>
      </w:r>
      <w:r w:rsidR="0093276E" w:rsidRPr="00DB6AC0">
        <w:rPr>
          <w:rStyle w:val="FootnoteReference"/>
          <w:rFonts w:ascii="Book Antiqua" w:hAnsi="Book Antiqua" w:cstheme="majorHAnsi"/>
          <w:color w:val="000000" w:themeColor="text1"/>
          <w:sz w:val="24"/>
          <w:szCs w:val="24"/>
        </w:rPr>
        <w:footnoteReference w:id="75"/>
      </w:r>
      <w:r w:rsidR="0093276E" w:rsidRPr="00DB6AC0">
        <w:rPr>
          <w:rFonts w:ascii="Book Antiqua" w:hAnsi="Book Antiqua" w:cstheme="majorHAnsi"/>
          <w:color w:val="000000" w:themeColor="text1"/>
          <w:sz w:val="24"/>
          <w:szCs w:val="24"/>
        </w:rPr>
        <w:t xml:space="preserve"> Of course, launching a lawsuit without mediation settlement is not prohibited in the Patent Law, given that the regulation of the obligation to settle mediation is still very poorly regulated in the Patent Law as explained by the author above.</w:t>
      </w:r>
      <w:r w:rsidR="0093276E" w:rsidRPr="00DB6AC0">
        <w:rPr>
          <w:rStyle w:val="FootnoteReference"/>
          <w:rFonts w:ascii="Book Antiqua" w:hAnsi="Book Antiqua" w:cstheme="majorHAnsi"/>
          <w:color w:val="000000" w:themeColor="text1"/>
          <w:sz w:val="24"/>
          <w:szCs w:val="24"/>
        </w:rPr>
        <w:footnoteReference w:id="76"/>
      </w:r>
    </w:p>
    <w:p w14:paraId="50EADDAF" w14:textId="2BAEC34B" w:rsidR="000D6659" w:rsidRPr="000D6659" w:rsidRDefault="000D6659" w:rsidP="00591987">
      <w:pPr>
        <w:spacing w:before="240" w:after="0" w:line="240" w:lineRule="auto"/>
        <w:jc w:val="both"/>
        <w:rPr>
          <w:rFonts w:ascii="Book Antiqua" w:hAnsi="Book Antiqua" w:cs="Calibri"/>
          <w:b/>
          <w:color w:val="000000" w:themeColor="text1"/>
          <w:sz w:val="24"/>
        </w:rPr>
      </w:pPr>
      <w:r w:rsidRPr="000D6659">
        <w:rPr>
          <w:rFonts w:ascii="Book Antiqua" w:hAnsi="Book Antiqua" w:cs="Calibri"/>
          <w:b/>
          <w:color w:val="000000" w:themeColor="text1"/>
          <w:sz w:val="24"/>
        </w:rPr>
        <w:t>Judge's Decision/Consideration</w:t>
      </w:r>
    </w:p>
    <w:p w14:paraId="2FE28002" w14:textId="20613687" w:rsidR="00E969B0" w:rsidRDefault="0093276E" w:rsidP="00591987">
      <w:pPr>
        <w:spacing w:after="0" w:line="240" w:lineRule="auto"/>
        <w:ind w:firstLine="360"/>
        <w:jc w:val="both"/>
        <w:rPr>
          <w:rFonts w:ascii="Book Antiqua" w:hAnsi="Book Antiqua" w:cs="Calibri"/>
          <w:bCs/>
          <w:color w:val="000000" w:themeColor="text1"/>
          <w:sz w:val="24"/>
        </w:rPr>
      </w:pPr>
      <w:r w:rsidRPr="0093276E">
        <w:rPr>
          <w:rFonts w:ascii="Book Antiqua" w:hAnsi="Book Antiqua" w:cs="Calibri"/>
          <w:bCs/>
          <w:color w:val="000000" w:themeColor="text1"/>
          <w:sz w:val="24"/>
        </w:rPr>
        <w:t>Based on the Supreme Court Decision that has permanent force, it is explained that the panel of judges rejected Nokia Technologies Oy's lawsuit</w:t>
      </w:r>
      <w:r w:rsidR="007F0DA0" w:rsidRPr="007F0DA0">
        <w:rPr>
          <w:rFonts w:ascii="Book Antiqua" w:hAnsi="Book Antiqua" w:cs="Calibri"/>
          <w:bCs/>
          <w:color w:val="000000" w:themeColor="text1"/>
          <w:sz w:val="24"/>
        </w:rPr>
        <w:t>.</w:t>
      </w:r>
      <w:r w:rsidR="003D2586">
        <w:rPr>
          <w:rFonts w:ascii="Book Antiqua" w:hAnsi="Book Antiqua" w:cs="Calibri"/>
          <w:bCs/>
          <w:color w:val="000000" w:themeColor="text1"/>
          <w:sz w:val="24"/>
        </w:rPr>
        <w:t xml:space="preserve"> </w:t>
      </w:r>
      <w:r w:rsidR="003D2586" w:rsidRPr="003D2586">
        <w:rPr>
          <w:rFonts w:ascii="Book Antiqua" w:hAnsi="Book Antiqua" w:cs="Calibri"/>
          <w:bCs/>
          <w:color w:val="000000" w:themeColor="text1"/>
          <w:sz w:val="24"/>
        </w:rPr>
        <w:t xml:space="preserve">Because according to the judge's consideration, it cannot be proven that there is an indication of illegal imitation of patent rights, this is reinforced by the existence of a Letter of Appointment by Guangdong </w:t>
      </w:r>
      <w:proofErr w:type="spellStart"/>
      <w:r w:rsidR="003D2586" w:rsidRPr="003D2586">
        <w:rPr>
          <w:rFonts w:ascii="Book Antiqua" w:hAnsi="Book Antiqua" w:cs="Calibri"/>
          <w:bCs/>
          <w:color w:val="000000" w:themeColor="text1"/>
          <w:sz w:val="24"/>
        </w:rPr>
        <w:t>Oppo</w:t>
      </w:r>
      <w:proofErr w:type="spellEnd"/>
      <w:r w:rsidR="003D2586" w:rsidRPr="003D2586">
        <w:rPr>
          <w:rFonts w:ascii="Book Antiqua" w:hAnsi="Book Antiqua" w:cs="Calibri"/>
          <w:bCs/>
          <w:color w:val="000000" w:themeColor="text1"/>
          <w:sz w:val="24"/>
        </w:rPr>
        <w:t xml:space="preserve"> Mobile Telecommunications Corp., Ltd., and </w:t>
      </w:r>
      <w:proofErr w:type="spellStart"/>
      <w:r w:rsidR="003D2586" w:rsidRPr="003D2586">
        <w:rPr>
          <w:rFonts w:ascii="Book Antiqua" w:hAnsi="Book Antiqua" w:cs="Calibri"/>
          <w:bCs/>
          <w:color w:val="000000" w:themeColor="text1"/>
          <w:sz w:val="24"/>
        </w:rPr>
        <w:t>Realme</w:t>
      </w:r>
      <w:proofErr w:type="spellEnd"/>
      <w:r w:rsidR="003D2586" w:rsidRPr="003D2586">
        <w:rPr>
          <w:rFonts w:ascii="Book Antiqua" w:hAnsi="Book Antiqua" w:cs="Calibri"/>
          <w:bCs/>
          <w:color w:val="000000" w:themeColor="text1"/>
          <w:sz w:val="24"/>
        </w:rPr>
        <w:t xml:space="preserve"> Chongqing Mobile Telecommunications Corp., Ltd., to PT </w:t>
      </w:r>
      <w:proofErr w:type="spellStart"/>
      <w:r w:rsidR="003D2586" w:rsidRPr="003D2586">
        <w:rPr>
          <w:rFonts w:ascii="Book Antiqua" w:hAnsi="Book Antiqua" w:cs="Calibri"/>
          <w:bCs/>
          <w:color w:val="000000" w:themeColor="text1"/>
          <w:sz w:val="24"/>
        </w:rPr>
        <w:t>Selalu</w:t>
      </w:r>
      <w:proofErr w:type="spellEnd"/>
      <w:r w:rsidR="003D2586" w:rsidRPr="003D2586">
        <w:rPr>
          <w:rFonts w:ascii="Book Antiqua" w:hAnsi="Book Antiqua" w:cs="Calibri"/>
          <w:bCs/>
          <w:color w:val="000000" w:themeColor="text1"/>
          <w:sz w:val="24"/>
        </w:rPr>
        <w:t xml:space="preserve"> </w:t>
      </w:r>
      <w:proofErr w:type="spellStart"/>
      <w:r w:rsidR="003D2586" w:rsidRPr="003D2586">
        <w:rPr>
          <w:rFonts w:ascii="Book Antiqua" w:hAnsi="Book Antiqua" w:cs="Calibri"/>
          <w:bCs/>
          <w:color w:val="000000" w:themeColor="text1"/>
          <w:sz w:val="24"/>
        </w:rPr>
        <w:t>Bahagia</w:t>
      </w:r>
      <w:proofErr w:type="spellEnd"/>
      <w:r w:rsidR="003D2586" w:rsidRPr="003D2586">
        <w:rPr>
          <w:rFonts w:ascii="Book Antiqua" w:hAnsi="Book Antiqua" w:cs="Calibri"/>
          <w:bCs/>
          <w:color w:val="000000" w:themeColor="text1"/>
          <w:sz w:val="24"/>
        </w:rPr>
        <w:t xml:space="preserve"> Bersama and PT Bright Mobile Telecommunication, in which the two companies only act as assemblers of communication equipment (mobile assembling) according to orders and specifications which are entirely determined / provided by Guangdong </w:t>
      </w:r>
      <w:proofErr w:type="spellStart"/>
      <w:r w:rsidR="003D2586" w:rsidRPr="003D2586">
        <w:rPr>
          <w:rFonts w:ascii="Book Antiqua" w:hAnsi="Book Antiqua" w:cs="Calibri"/>
          <w:bCs/>
          <w:color w:val="000000" w:themeColor="text1"/>
          <w:sz w:val="24"/>
        </w:rPr>
        <w:t>Oppo</w:t>
      </w:r>
      <w:proofErr w:type="spellEnd"/>
      <w:r w:rsidR="003D2586" w:rsidRPr="003D2586">
        <w:rPr>
          <w:rFonts w:ascii="Book Antiqua" w:hAnsi="Book Antiqua" w:cs="Calibri"/>
          <w:bCs/>
          <w:color w:val="000000" w:themeColor="text1"/>
          <w:sz w:val="24"/>
        </w:rPr>
        <w:t xml:space="preserve"> and </w:t>
      </w:r>
      <w:proofErr w:type="spellStart"/>
      <w:r w:rsidR="003D2586" w:rsidRPr="003D2586">
        <w:rPr>
          <w:rFonts w:ascii="Book Antiqua" w:hAnsi="Book Antiqua" w:cs="Calibri"/>
          <w:bCs/>
          <w:color w:val="000000" w:themeColor="text1"/>
          <w:sz w:val="24"/>
        </w:rPr>
        <w:t>Realme</w:t>
      </w:r>
      <w:proofErr w:type="spellEnd"/>
      <w:r w:rsidR="003D2586" w:rsidRPr="003D2586">
        <w:rPr>
          <w:rFonts w:ascii="Book Antiqua" w:hAnsi="Book Antiqua" w:cs="Calibri"/>
          <w:bCs/>
          <w:color w:val="000000" w:themeColor="text1"/>
          <w:sz w:val="24"/>
        </w:rPr>
        <w:t xml:space="preserve"> Chongqing, while Guangdong </w:t>
      </w:r>
      <w:proofErr w:type="spellStart"/>
      <w:r w:rsidR="003D2586" w:rsidRPr="003D2586">
        <w:rPr>
          <w:rFonts w:ascii="Book Antiqua" w:hAnsi="Book Antiqua" w:cs="Calibri"/>
          <w:bCs/>
          <w:color w:val="000000" w:themeColor="text1"/>
          <w:sz w:val="24"/>
        </w:rPr>
        <w:t>Oppo</w:t>
      </w:r>
      <w:proofErr w:type="spellEnd"/>
      <w:r w:rsidR="003D2586" w:rsidRPr="003D2586">
        <w:rPr>
          <w:rFonts w:ascii="Book Antiqua" w:hAnsi="Book Antiqua" w:cs="Calibri"/>
          <w:bCs/>
          <w:color w:val="000000" w:themeColor="text1"/>
          <w:sz w:val="24"/>
        </w:rPr>
        <w:t xml:space="preserve"> Mobile Telecommunications Corp., Ltd., and </w:t>
      </w:r>
      <w:proofErr w:type="spellStart"/>
      <w:r w:rsidR="003D2586" w:rsidRPr="003D2586">
        <w:rPr>
          <w:rFonts w:ascii="Book Antiqua" w:hAnsi="Book Antiqua" w:cs="Calibri"/>
          <w:bCs/>
          <w:color w:val="000000" w:themeColor="text1"/>
          <w:sz w:val="24"/>
        </w:rPr>
        <w:t>Realme</w:t>
      </w:r>
      <w:proofErr w:type="spellEnd"/>
      <w:r w:rsidR="003D2586" w:rsidRPr="003D2586">
        <w:rPr>
          <w:rFonts w:ascii="Book Antiqua" w:hAnsi="Book Antiqua" w:cs="Calibri"/>
          <w:bCs/>
          <w:color w:val="000000" w:themeColor="text1"/>
          <w:sz w:val="24"/>
        </w:rPr>
        <w:t xml:space="preserve"> Chongqing Mobile Telecommunications Corp., Ltd., appointed PT </w:t>
      </w:r>
      <w:proofErr w:type="spellStart"/>
      <w:r w:rsidR="003D2586" w:rsidRPr="003D2586">
        <w:rPr>
          <w:rFonts w:ascii="Book Antiqua" w:hAnsi="Book Antiqua" w:cs="Calibri"/>
          <w:bCs/>
          <w:color w:val="000000" w:themeColor="text1"/>
          <w:sz w:val="24"/>
        </w:rPr>
        <w:t>Selalu</w:t>
      </w:r>
      <w:proofErr w:type="spellEnd"/>
      <w:r w:rsidR="003D2586" w:rsidRPr="003D2586">
        <w:rPr>
          <w:rFonts w:ascii="Book Antiqua" w:hAnsi="Book Antiqua" w:cs="Calibri"/>
          <w:bCs/>
          <w:color w:val="000000" w:themeColor="text1"/>
          <w:sz w:val="24"/>
        </w:rPr>
        <w:t xml:space="preserve"> </w:t>
      </w:r>
      <w:proofErr w:type="spellStart"/>
      <w:r w:rsidR="003D2586" w:rsidRPr="003D2586">
        <w:rPr>
          <w:rFonts w:ascii="Book Antiqua" w:hAnsi="Book Antiqua" w:cs="Calibri"/>
          <w:bCs/>
          <w:color w:val="000000" w:themeColor="text1"/>
          <w:sz w:val="24"/>
        </w:rPr>
        <w:t>Bahagia</w:t>
      </w:r>
      <w:proofErr w:type="spellEnd"/>
      <w:r w:rsidR="003D2586" w:rsidRPr="003D2586">
        <w:rPr>
          <w:rFonts w:ascii="Book Antiqua" w:hAnsi="Book Antiqua" w:cs="Calibri"/>
          <w:bCs/>
          <w:color w:val="000000" w:themeColor="text1"/>
          <w:sz w:val="24"/>
        </w:rPr>
        <w:t xml:space="preserve"> Bersama and PT Bright Mobile Telecommunication as mobile assemblers on the basis of a license agreement with Nokia Technologies Oy to use Nokia Technologies Oy patents.</w:t>
      </w:r>
    </w:p>
    <w:p w14:paraId="13C40771" w14:textId="539A60E0" w:rsidR="0075342D" w:rsidRDefault="0075342D" w:rsidP="00A557DB">
      <w:pPr>
        <w:spacing w:before="240" w:after="0" w:line="240" w:lineRule="auto"/>
        <w:jc w:val="both"/>
        <w:rPr>
          <w:rFonts w:ascii="Book Antiqua" w:hAnsi="Book Antiqua" w:cs="Calibri"/>
          <w:b/>
          <w:color w:val="000000" w:themeColor="text1"/>
          <w:sz w:val="24"/>
        </w:rPr>
      </w:pPr>
      <w:r w:rsidRPr="0075342D">
        <w:rPr>
          <w:rFonts w:ascii="Book Antiqua" w:hAnsi="Book Antiqua" w:cs="Calibri"/>
          <w:b/>
          <w:color w:val="000000" w:themeColor="text1"/>
          <w:sz w:val="24"/>
        </w:rPr>
        <w:t>Application of Aspects of Justice, Legal Certainty and Benefit</w:t>
      </w:r>
    </w:p>
    <w:p w14:paraId="64835314" w14:textId="1783608A" w:rsidR="000C4BFC" w:rsidRPr="003C6E0F" w:rsidRDefault="003D2586" w:rsidP="003C6E0F">
      <w:pPr>
        <w:spacing w:after="0" w:line="240" w:lineRule="auto"/>
        <w:ind w:firstLine="360"/>
        <w:jc w:val="both"/>
        <w:rPr>
          <w:rFonts w:ascii="Book Antiqua" w:hAnsi="Book Antiqua" w:cs="Calibri"/>
          <w:bCs/>
          <w:color w:val="000000" w:themeColor="text1"/>
          <w:sz w:val="24"/>
        </w:rPr>
      </w:pPr>
      <w:r w:rsidRPr="003D2586">
        <w:rPr>
          <w:rFonts w:ascii="Book Antiqua" w:hAnsi="Book Antiqua" w:cs="Calibri"/>
          <w:bCs/>
          <w:color w:val="000000" w:themeColor="text1"/>
          <w:sz w:val="24"/>
        </w:rPr>
        <w:t>Based on the explanation above, it is certainly unfortunate that Nokia Technologies Oy did not prioritize A</w:t>
      </w:r>
      <w:r w:rsidR="00591987">
        <w:rPr>
          <w:rFonts w:ascii="Book Antiqua" w:hAnsi="Book Antiqua" w:cs="Calibri"/>
          <w:bCs/>
          <w:color w:val="000000" w:themeColor="text1"/>
          <w:sz w:val="24"/>
        </w:rPr>
        <w:t>DR</w:t>
      </w:r>
      <w:r w:rsidRPr="003D2586">
        <w:rPr>
          <w:rFonts w:ascii="Book Antiqua" w:hAnsi="Book Antiqua" w:cs="Calibri"/>
          <w:bCs/>
          <w:color w:val="000000" w:themeColor="text1"/>
          <w:sz w:val="24"/>
        </w:rPr>
        <w:t xml:space="preserve"> such as mediation until an agreement was reached, and was too ambitious to step into the realm of litigation, this is common because the regulation of patent dispute resolution contained in article 142 of the Patent Law does not provide special regulations for mediation obligations (</w:t>
      </w:r>
      <w:proofErr w:type="spellStart"/>
      <w:r w:rsidRPr="00591987">
        <w:rPr>
          <w:rFonts w:ascii="Book Antiqua" w:hAnsi="Book Antiqua" w:cs="Calibri"/>
          <w:bCs/>
          <w:i/>
          <w:iCs/>
          <w:color w:val="000000" w:themeColor="text1"/>
          <w:sz w:val="24"/>
        </w:rPr>
        <w:t>aanvullen</w:t>
      </w:r>
      <w:proofErr w:type="spellEnd"/>
      <w:r w:rsidRPr="003D2586">
        <w:rPr>
          <w:rFonts w:ascii="Book Antiqua" w:hAnsi="Book Antiqua" w:cs="Calibri"/>
          <w:bCs/>
          <w:color w:val="000000" w:themeColor="text1"/>
          <w:sz w:val="24"/>
        </w:rPr>
        <w:t>). as in patent complaints in the criminal realm contained in article 154 of the patent law which requires mediation before entering the realm of court or litigation (</w:t>
      </w:r>
      <w:proofErr w:type="spellStart"/>
      <w:r w:rsidRPr="00591987">
        <w:rPr>
          <w:rFonts w:ascii="Book Antiqua" w:hAnsi="Book Antiqua" w:cs="Calibri"/>
          <w:bCs/>
          <w:i/>
          <w:iCs/>
          <w:color w:val="000000" w:themeColor="text1"/>
          <w:sz w:val="24"/>
        </w:rPr>
        <w:t>dwingend</w:t>
      </w:r>
      <w:proofErr w:type="spellEnd"/>
      <w:r w:rsidRPr="003D2586">
        <w:rPr>
          <w:rFonts w:ascii="Book Antiqua" w:hAnsi="Book Antiqua" w:cs="Calibri"/>
          <w:bCs/>
          <w:color w:val="000000" w:themeColor="text1"/>
          <w:sz w:val="24"/>
        </w:rPr>
        <w:t xml:space="preserve">). So that business people take advantage of this opportunity to attack their business rivals with a lawsuit, but this has actually become a boomerang for the Nokia Technologies Oy company and made the name </w:t>
      </w:r>
      <w:proofErr w:type="spellStart"/>
      <w:r w:rsidRPr="003D2586">
        <w:rPr>
          <w:rFonts w:ascii="Book Antiqua" w:hAnsi="Book Antiqua" w:cs="Calibri"/>
          <w:bCs/>
          <w:color w:val="000000" w:themeColor="text1"/>
          <w:sz w:val="24"/>
        </w:rPr>
        <w:t>nokia</w:t>
      </w:r>
      <w:proofErr w:type="spellEnd"/>
      <w:r w:rsidRPr="003D2586">
        <w:rPr>
          <w:rFonts w:ascii="Book Antiqua" w:hAnsi="Book Antiqua" w:cs="Calibri"/>
          <w:bCs/>
          <w:color w:val="000000" w:themeColor="text1"/>
          <w:sz w:val="24"/>
        </w:rPr>
        <w:t xml:space="preserve"> increasingly disappear in the circulation of the telecommunications market in Indonesia. Of course, this is closely related to whether the settlement of patent disputes in Indonesia has reflected the benefits for entrepreneurs, as we know that the majority of exclusive patent rights are used by entrepreneurs to protect their innovations and technologies so that they can compete fairly in the business and technology competition market. However, it seems that what is </w:t>
      </w:r>
      <w:r w:rsidRPr="003D2586">
        <w:rPr>
          <w:rFonts w:ascii="Book Antiqua" w:hAnsi="Book Antiqua" w:cs="Calibri"/>
          <w:bCs/>
          <w:color w:val="000000" w:themeColor="text1"/>
          <w:sz w:val="24"/>
        </w:rPr>
        <w:lastRenderedPageBreak/>
        <w:t>happening at this time because Article 142 of the Patent Law does not regulate specific regulations on the obligation to mediate before going to the realm of litigation or court can instead be used to attack other business rivals, so that the justice and legal certainty created is still lacking coupled with expediency. Alternative dispute resolution should be a top priority in resolving patent civil disputes. The current wording in the Patent Law still provides options for dispute resolution inside and outside the court (</w:t>
      </w:r>
      <w:proofErr w:type="spellStart"/>
      <w:r w:rsidRPr="00591987">
        <w:rPr>
          <w:rFonts w:ascii="Book Antiqua" w:hAnsi="Book Antiqua" w:cs="Calibri"/>
          <w:bCs/>
          <w:i/>
          <w:iCs/>
          <w:color w:val="000000" w:themeColor="text1"/>
          <w:sz w:val="24"/>
        </w:rPr>
        <w:t>aanvullen</w:t>
      </w:r>
      <w:proofErr w:type="spellEnd"/>
      <w:r w:rsidRPr="003D2586">
        <w:rPr>
          <w:rFonts w:ascii="Book Antiqua" w:hAnsi="Book Antiqua" w:cs="Calibri"/>
          <w:bCs/>
          <w:color w:val="000000" w:themeColor="text1"/>
          <w:sz w:val="24"/>
        </w:rPr>
        <w:t xml:space="preserve">). Although the </w:t>
      </w:r>
      <w:r w:rsidR="009B313A">
        <w:rPr>
          <w:rFonts w:ascii="Book Antiqua" w:hAnsi="Book Antiqua" w:cs="Calibri"/>
          <w:bCs/>
          <w:color w:val="000000" w:themeColor="text1"/>
          <w:sz w:val="24"/>
        </w:rPr>
        <w:t>IPR</w:t>
      </w:r>
      <w:r w:rsidRPr="003D2586">
        <w:rPr>
          <w:rFonts w:ascii="Book Antiqua" w:hAnsi="Book Antiqua" w:cs="Calibri"/>
          <w:bCs/>
          <w:color w:val="000000" w:themeColor="text1"/>
          <w:sz w:val="24"/>
        </w:rPr>
        <w:t xml:space="preserve"> tends to give priority to mediation as a way of resolving disputes between the disputing parties, but what is stated in the patent law, mediation is not an obligation before the litigation step</w:t>
      </w:r>
      <w:r w:rsidR="003C6E0F" w:rsidRPr="003C6E0F">
        <w:rPr>
          <w:rFonts w:ascii="Book Antiqua" w:hAnsi="Book Antiqua" w:cs="Calibri"/>
          <w:bCs/>
          <w:color w:val="000000" w:themeColor="text1"/>
          <w:sz w:val="24"/>
        </w:rPr>
        <w:t>.</w:t>
      </w:r>
      <w:r>
        <w:rPr>
          <w:rStyle w:val="FootnoteReference"/>
          <w:rFonts w:ascii="Book Antiqua" w:hAnsi="Book Antiqua" w:cs="Calibri"/>
          <w:bCs/>
          <w:color w:val="000000" w:themeColor="text1"/>
          <w:sz w:val="24"/>
        </w:rPr>
        <w:footnoteReference w:id="77"/>
      </w:r>
    </w:p>
    <w:p w14:paraId="3020E5AC" w14:textId="7814C7B9" w:rsidR="00E969B0" w:rsidRPr="003F1A9E" w:rsidRDefault="004269FF" w:rsidP="003C6E0F">
      <w:pPr>
        <w:spacing w:after="0" w:line="240" w:lineRule="auto"/>
        <w:ind w:firstLine="450"/>
        <w:jc w:val="both"/>
        <w:rPr>
          <w:rFonts w:ascii="Book Antiqua" w:hAnsi="Book Antiqua" w:cs="Calibri"/>
          <w:bCs/>
          <w:color w:val="000000" w:themeColor="text1"/>
          <w:sz w:val="24"/>
        </w:rPr>
      </w:pPr>
      <w:r w:rsidRPr="004269FF">
        <w:rPr>
          <w:rFonts w:ascii="Book Antiqua" w:hAnsi="Book Antiqua" w:cs="Calibri"/>
          <w:bCs/>
          <w:color w:val="000000" w:themeColor="text1"/>
          <w:sz w:val="24"/>
        </w:rPr>
        <w:t>From the analysis of the case at the Supreme Court stage, there was a big mistake made by Nokia Technologies Oy, namely not resolving the problem through mediation, considering that reputation in the business world is very important, especially in the field of innovation and technology. This could have happened because what is stated in the Patent Law related to civil lawsuits is not required to mediate (</w:t>
      </w:r>
      <w:proofErr w:type="spellStart"/>
      <w:r w:rsidRPr="00591987">
        <w:rPr>
          <w:rFonts w:ascii="Book Antiqua" w:hAnsi="Book Antiqua" w:cs="Calibri"/>
          <w:bCs/>
          <w:i/>
          <w:iCs/>
          <w:color w:val="000000" w:themeColor="text1"/>
          <w:sz w:val="24"/>
        </w:rPr>
        <w:t>aanvullen</w:t>
      </w:r>
      <w:proofErr w:type="spellEnd"/>
      <w:r w:rsidRPr="004269FF">
        <w:rPr>
          <w:rFonts w:ascii="Book Antiqua" w:hAnsi="Book Antiqua" w:cs="Calibri"/>
          <w:bCs/>
          <w:color w:val="000000" w:themeColor="text1"/>
          <w:sz w:val="24"/>
        </w:rPr>
        <w:t>), so Nokia utilizes this as a form of competition in the field of innovation and technology, whereas if only Nokia resolves through mediation, it is certain that Nokia will not spend a lot of funds to litigate through the courts, and Nokia's business reputation will expand its scope.</w:t>
      </w:r>
      <w:r w:rsidR="003C6E0F" w:rsidRPr="003C6E0F">
        <w:rPr>
          <w:rFonts w:ascii="Book Antiqua" w:hAnsi="Book Antiqua" w:cs="Calibri"/>
          <w:bCs/>
          <w:color w:val="000000" w:themeColor="text1"/>
          <w:sz w:val="24"/>
        </w:rPr>
        <w:t xml:space="preserve"> </w:t>
      </w:r>
      <w:r>
        <w:rPr>
          <w:rFonts w:ascii="Book Antiqua" w:hAnsi="Book Antiqua" w:cs="Calibri"/>
          <w:bCs/>
          <w:color w:val="000000" w:themeColor="text1"/>
          <w:sz w:val="24"/>
        </w:rPr>
        <w:t>T</w:t>
      </w:r>
      <w:r w:rsidR="003C6E0F" w:rsidRPr="003C6E0F">
        <w:rPr>
          <w:rFonts w:ascii="Book Antiqua" w:hAnsi="Book Antiqua" w:cs="Calibri"/>
          <w:bCs/>
          <w:color w:val="000000" w:themeColor="text1"/>
          <w:sz w:val="24"/>
        </w:rPr>
        <w:t xml:space="preserve">he article is that the two companies that have been sued are only assembly companies that have orders from the Guangdong OPPO Mobile Telecommunications Corp. , Ltd. and </w:t>
      </w:r>
      <w:proofErr w:type="spellStart"/>
      <w:r w:rsidR="003C6E0F" w:rsidRPr="003C6E0F">
        <w:rPr>
          <w:rFonts w:ascii="Book Antiqua" w:hAnsi="Book Antiqua" w:cs="Calibri"/>
          <w:bCs/>
          <w:color w:val="000000" w:themeColor="text1"/>
          <w:sz w:val="24"/>
        </w:rPr>
        <w:t>Realme</w:t>
      </w:r>
      <w:proofErr w:type="spellEnd"/>
      <w:r w:rsidR="003C6E0F" w:rsidRPr="003C6E0F">
        <w:rPr>
          <w:rFonts w:ascii="Book Antiqua" w:hAnsi="Book Antiqua" w:cs="Calibri"/>
          <w:bCs/>
          <w:color w:val="000000" w:themeColor="text1"/>
          <w:sz w:val="24"/>
        </w:rPr>
        <w:t xml:space="preserve"> Chongqing Mobile Telecommunications Corp., Ltd, which previously Nokia Technologies Oy has cooperated in licensing the use of technology and innovation, namely additional modulation information signaling technology for high-speed downlink packet access.</w:t>
      </w:r>
      <w:r w:rsidR="00127431">
        <w:rPr>
          <w:rFonts w:ascii="Book Antiqua" w:hAnsi="Book Antiqua" w:cs="Calibri"/>
          <w:bCs/>
          <w:color w:val="000000" w:themeColor="text1"/>
          <w:sz w:val="24"/>
        </w:rPr>
        <w:t xml:space="preserve"> </w:t>
      </w:r>
      <w:r w:rsidR="00127431" w:rsidRPr="00127431">
        <w:rPr>
          <w:rFonts w:ascii="Book Antiqua" w:hAnsi="Book Antiqua" w:cs="Calibri"/>
          <w:bCs/>
          <w:color w:val="000000" w:themeColor="text1"/>
          <w:sz w:val="24"/>
        </w:rPr>
        <w:t xml:space="preserve">However, because Nokia uses litigation which results in a win-lose verdict, of course this defeat is one of the factors of a bad image for giant companies that are now rarely seen in Indonesia. Of course, mediation is not required in the settlement of patent civil disputes because it is not in line with the reality of the situation in society, which is that patents are very economically valuable, and this will greatly impact the business world and business competition. Therefore, the Patent Law that does not require mediation in the settlement of patent civil disputes will be inconsistent with the implementation of the aspects of the basic objectives of law put forward by Gustav </w:t>
      </w:r>
      <w:proofErr w:type="spellStart"/>
      <w:r w:rsidR="00127431" w:rsidRPr="00127431">
        <w:rPr>
          <w:rFonts w:ascii="Book Antiqua" w:hAnsi="Book Antiqua" w:cs="Calibri"/>
          <w:bCs/>
          <w:color w:val="000000" w:themeColor="text1"/>
          <w:sz w:val="24"/>
        </w:rPr>
        <w:t>Radburch</w:t>
      </w:r>
      <w:proofErr w:type="spellEnd"/>
      <w:r w:rsidR="00127431" w:rsidRPr="00127431">
        <w:rPr>
          <w:rFonts w:ascii="Book Antiqua" w:hAnsi="Book Antiqua" w:cs="Calibri"/>
          <w:bCs/>
          <w:color w:val="000000" w:themeColor="text1"/>
          <w:sz w:val="24"/>
        </w:rPr>
        <w:t xml:space="preserve">, namely justice, legal certainty and </w:t>
      </w:r>
      <w:r w:rsidR="00127431" w:rsidRPr="003F1A9E">
        <w:rPr>
          <w:rFonts w:ascii="Book Antiqua" w:hAnsi="Book Antiqua" w:cs="Calibri"/>
          <w:bCs/>
          <w:color w:val="000000" w:themeColor="text1"/>
          <w:sz w:val="24"/>
        </w:rPr>
        <w:t>expediency.</w:t>
      </w:r>
    </w:p>
    <w:p w14:paraId="310CD0DA" w14:textId="238B654A" w:rsidR="00E81A0A" w:rsidRDefault="00E81A0A" w:rsidP="003C6E0F">
      <w:pPr>
        <w:spacing w:after="0" w:line="240" w:lineRule="auto"/>
        <w:ind w:firstLine="450"/>
        <w:jc w:val="both"/>
        <w:rPr>
          <w:rFonts w:ascii="Book Antiqua" w:hAnsi="Book Antiqua" w:cs="Calibri"/>
          <w:bCs/>
          <w:color w:val="000000" w:themeColor="text1"/>
          <w:sz w:val="24"/>
        </w:rPr>
      </w:pPr>
      <w:r w:rsidRPr="003F1A9E">
        <w:rPr>
          <w:rFonts w:ascii="Book Antiqua" w:hAnsi="Book Antiqua" w:cs="Calibri"/>
          <w:bCs/>
          <w:color w:val="000000" w:themeColor="text1"/>
          <w:sz w:val="24"/>
        </w:rPr>
        <w:t>The view expressed by</w:t>
      </w:r>
      <w:r w:rsidRPr="00E81A0A">
        <w:rPr>
          <w:rFonts w:ascii="Book Antiqua" w:hAnsi="Book Antiqua" w:cs="Calibri"/>
          <w:bCs/>
          <w:color w:val="000000" w:themeColor="text1"/>
          <w:sz w:val="24"/>
        </w:rPr>
        <w:t xml:space="preserve"> Gustav </w:t>
      </w:r>
      <w:proofErr w:type="spellStart"/>
      <w:r w:rsidRPr="00E81A0A">
        <w:rPr>
          <w:rFonts w:ascii="Book Antiqua" w:hAnsi="Book Antiqua" w:cs="Calibri"/>
          <w:bCs/>
          <w:color w:val="000000" w:themeColor="text1"/>
          <w:sz w:val="24"/>
        </w:rPr>
        <w:t>Radbruch</w:t>
      </w:r>
      <w:proofErr w:type="spellEnd"/>
      <w:r w:rsidRPr="00E81A0A">
        <w:rPr>
          <w:rFonts w:ascii="Book Antiqua" w:hAnsi="Book Antiqua" w:cs="Calibri"/>
          <w:bCs/>
          <w:color w:val="000000" w:themeColor="text1"/>
          <w:sz w:val="24"/>
        </w:rPr>
        <w:t xml:space="preserve"> is that legal certainty can be interpreted as a situation where positive law must be based on existing facts. In this situation, the law that applies in society must be based on the reality that exists in society itself, which is why certainty must go hand in hand with justice and expediency.</w:t>
      </w:r>
      <w:r w:rsidR="00782257">
        <w:rPr>
          <w:rStyle w:val="FootnoteReference"/>
          <w:rFonts w:ascii="Book Antiqua" w:hAnsi="Book Antiqua" w:cs="Calibri"/>
          <w:bCs/>
          <w:color w:val="000000" w:themeColor="text1"/>
          <w:sz w:val="24"/>
        </w:rPr>
        <w:footnoteReference w:id="78"/>
      </w:r>
      <w:r w:rsidRPr="00E81A0A">
        <w:rPr>
          <w:rFonts w:ascii="Book Antiqua" w:hAnsi="Book Antiqua" w:cs="Calibri"/>
          <w:bCs/>
          <w:color w:val="000000" w:themeColor="text1"/>
          <w:sz w:val="24"/>
        </w:rPr>
        <w:t xml:space="preserve"> </w:t>
      </w:r>
      <w:r w:rsidR="003F1A9E" w:rsidRPr="003F1A9E">
        <w:rPr>
          <w:rFonts w:ascii="Book Antiqua" w:hAnsi="Book Antiqua" w:cs="Calibri"/>
          <w:bCs/>
          <w:color w:val="000000" w:themeColor="text1"/>
          <w:sz w:val="24"/>
        </w:rPr>
        <w:t xml:space="preserve">In the case of a patent dispute between Nokia Technologies Oy and PT </w:t>
      </w:r>
      <w:proofErr w:type="spellStart"/>
      <w:r w:rsidR="003F1A9E" w:rsidRPr="003F1A9E">
        <w:rPr>
          <w:rFonts w:ascii="Book Antiqua" w:hAnsi="Book Antiqua" w:cs="Calibri"/>
          <w:bCs/>
          <w:color w:val="000000" w:themeColor="text1"/>
          <w:sz w:val="24"/>
        </w:rPr>
        <w:t>Selalu</w:t>
      </w:r>
      <w:proofErr w:type="spellEnd"/>
      <w:r w:rsidR="003F1A9E" w:rsidRPr="003F1A9E">
        <w:rPr>
          <w:rFonts w:ascii="Book Antiqua" w:hAnsi="Book Antiqua" w:cs="Calibri"/>
          <w:bCs/>
          <w:color w:val="000000" w:themeColor="text1"/>
          <w:sz w:val="24"/>
        </w:rPr>
        <w:t xml:space="preserve"> </w:t>
      </w:r>
      <w:proofErr w:type="spellStart"/>
      <w:r w:rsidR="003F1A9E" w:rsidRPr="003F1A9E">
        <w:rPr>
          <w:rFonts w:ascii="Book Antiqua" w:hAnsi="Book Antiqua" w:cs="Calibri"/>
          <w:bCs/>
          <w:color w:val="000000" w:themeColor="text1"/>
          <w:sz w:val="24"/>
        </w:rPr>
        <w:t>Bahagia</w:t>
      </w:r>
      <w:proofErr w:type="spellEnd"/>
      <w:r w:rsidR="003F1A9E" w:rsidRPr="003F1A9E">
        <w:rPr>
          <w:rFonts w:ascii="Book Antiqua" w:hAnsi="Book Antiqua" w:cs="Calibri"/>
          <w:bCs/>
          <w:color w:val="000000" w:themeColor="text1"/>
          <w:sz w:val="24"/>
        </w:rPr>
        <w:t xml:space="preserve"> Bersama and PT Bright Mobile Telecommunication, it was considered too hasty and lacked consideration in taking steps to resolve the dispute.</w:t>
      </w:r>
      <w:r w:rsidRPr="00E81A0A">
        <w:rPr>
          <w:rFonts w:ascii="Book Antiqua" w:hAnsi="Book Antiqua" w:cs="Calibri"/>
          <w:bCs/>
          <w:color w:val="000000" w:themeColor="text1"/>
          <w:sz w:val="24"/>
        </w:rPr>
        <w:t xml:space="preserve"> This could have happened because the Patent Law does not require (</w:t>
      </w:r>
      <w:proofErr w:type="spellStart"/>
      <w:r w:rsidRPr="00591987">
        <w:rPr>
          <w:rFonts w:ascii="Book Antiqua" w:hAnsi="Book Antiqua" w:cs="Calibri"/>
          <w:bCs/>
          <w:i/>
          <w:iCs/>
          <w:color w:val="000000" w:themeColor="text1"/>
          <w:sz w:val="24"/>
        </w:rPr>
        <w:t>dwingend</w:t>
      </w:r>
      <w:proofErr w:type="spellEnd"/>
      <w:r w:rsidRPr="00E81A0A">
        <w:rPr>
          <w:rFonts w:ascii="Book Antiqua" w:hAnsi="Book Antiqua" w:cs="Calibri"/>
          <w:bCs/>
          <w:color w:val="000000" w:themeColor="text1"/>
          <w:sz w:val="24"/>
        </w:rPr>
        <w:t>) to conduct mediation before filing a lawsuit, but only an optional rule (</w:t>
      </w:r>
      <w:proofErr w:type="spellStart"/>
      <w:r w:rsidRPr="00591987">
        <w:rPr>
          <w:rFonts w:ascii="Book Antiqua" w:hAnsi="Book Antiqua" w:cs="Calibri"/>
          <w:bCs/>
          <w:i/>
          <w:iCs/>
          <w:color w:val="000000" w:themeColor="text1"/>
          <w:sz w:val="24"/>
        </w:rPr>
        <w:t>aanvullen</w:t>
      </w:r>
      <w:proofErr w:type="spellEnd"/>
      <w:r w:rsidRPr="00E81A0A">
        <w:rPr>
          <w:rFonts w:ascii="Book Antiqua" w:hAnsi="Book Antiqua" w:cs="Calibri"/>
          <w:bCs/>
          <w:color w:val="000000" w:themeColor="text1"/>
          <w:sz w:val="24"/>
        </w:rPr>
        <w:t xml:space="preserve">). </w:t>
      </w:r>
      <w:r w:rsidR="00DE67E9" w:rsidRPr="00DE67E9">
        <w:rPr>
          <w:rFonts w:ascii="Book Antiqua" w:hAnsi="Book Antiqua" w:cs="Calibri"/>
          <w:bCs/>
          <w:color w:val="000000" w:themeColor="text1"/>
          <w:sz w:val="24"/>
        </w:rPr>
        <w:t xml:space="preserve">Had Nokia Technologies Oy completed mediation first, Nokia would not have needed to continue the dispute through litigation or court. Therefore, in order to create regulations that are in line with the values of justice, legal certainty and usefulness, special regulations are needed for the obligation to mediate in the settlement of patent disputes considering that patent innovation has economic rights that are closely related to the business world and </w:t>
      </w:r>
      <w:r w:rsidR="00DE67E9" w:rsidRPr="00DE67E9">
        <w:rPr>
          <w:rFonts w:ascii="Book Antiqua" w:hAnsi="Book Antiqua" w:cs="Calibri"/>
          <w:bCs/>
          <w:color w:val="000000" w:themeColor="text1"/>
          <w:sz w:val="24"/>
        </w:rPr>
        <w:lastRenderedPageBreak/>
        <w:t>business competition.</w:t>
      </w:r>
      <w:r w:rsidRPr="00E81A0A">
        <w:rPr>
          <w:rFonts w:ascii="Book Antiqua" w:hAnsi="Book Antiqua" w:cs="Calibri"/>
          <w:bCs/>
          <w:color w:val="000000" w:themeColor="text1"/>
          <w:sz w:val="24"/>
        </w:rPr>
        <w:t xml:space="preserve"> This legal certainty is based on Legal Certainty in the Use of Certification of Trustworthiness published by the Indonesian E-Commerce Business Journal when a regulation is made clearly and logically. Of course, the regulation does not cause doubts (multi-interpretation) and is logical. It is clear that the regulation is a system of norms that goes hand in hand with other norms, so that no conflict or conflict of norms occurs.</w:t>
      </w:r>
      <w:r w:rsidR="00BB77A0">
        <w:rPr>
          <w:rStyle w:val="FootnoteReference"/>
          <w:rFonts w:ascii="Book Antiqua" w:hAnsi="Book Antiqua" w:cs="Calibri"/>
          <w:bCs/>
          <w:color w:val="000000" w:themeColor="text1"/>
          <w:sz w:val="24"/>
        </w:rPr>
        <w:footnoteReference w:id="79"/>
      </w:r>
      <w:r w:rsidRPr="00E81A0A">
        <w:rPr>
          <w:rFonts w:ascii="Book Antiqua" w:hAnsi="Book Antiqua" w:cs="Calibri"/>
          <w:bCs/>
          <w:color w:val="000000" w:themeColor="text1"/>
          <w:sz w:val="24"/>
        </w:rPr>
        <w:t xml:space="preserve"> Legal certainty refers to the clear, consistent, and fair application of the law, which cannot be influenced by subjective factors or personal circumstances.</w:t>
      </w:r>
      <w:r w:rsidR="00BB77A0">
        <w:rPr>
          <w:rStyle w:val="FootnoteReference"/>
          <w:rFonts w:ascii="Book Antiqua" w:hAnsi="Book Antiqua" w:cs="Calibri"/>
          <w:bCs/>
          <w:color w:val="000000" w:themeColor="text1"/>
          <w:sz w:val="24"/>
        </w:rPr>
        <w:footnoteReference w:id="80"/>
      </w:r>
      <w:r w:rsidRPr="00E81A0A">
        <w:rPr>
          <w:rFonts w:ascii="Book Antiqua" w:hAnsi="Book Antiqua" w:cs="Calibri"/>
          <w:bCs/>
          <w:color w:val="000000" w:themeColor="text1"/>
          <w:sz w:val="24"/>
        </w:rPr>
        <w:t xml:space="preserve"> Certainty and justice are not only moral demands, but also essential aspects of the legal system.</w:t>
      </w:r>
      <w:r w:rsidR="00BB77A0">
        <w:rPr>
          <w:rStyle w:val="FootnoteReference"/>
          <w:rFonts w:ascii="Book Antiqua" w:hAnsi="Book Antiqua" w:cs="Calibri"/>
          <w:bCs/>
          <w:color w:val="000000" w:themeColor="text1"/>
          <w:sz w:val="24"/>
        </w:rPr>
        <w:footnoteReference w:id="81"/>
      </w:r>
      <w:r w:rsidRPr="00E81A0A">
        <w:rPr>
          <w:rFonts w:ascii="Book Antiqua" w:hAnsi="Book Antiqua" w:cs="Calibri"/>
          <w:bCs/>
          <w:color w:val="000000" w:themeColor="text1"/>
          <w:sz w:val="24"/>
        </w:rPr>
        <w:t xml:space="preserve"> Laws that cannot guarantee certainty, justice, and expediency are not quality laws.</w:t>
      </w:r>
      <w:r w:rsidR="00BB77A0">
        <w:rPr>
          <w:rStyle w:val="FootnoteReference"/>
          <w:rFonts w:ascii="Book Antiqua" w:hAnsi="Book Antiqua" w:cs="Calibri"/>
          <w:bCs/>
          <w:color w:val="000000" w:themeColor="text1"/>
          <w:sz w:val="24"/>
        </w:rPr>
        <w:footnoteReference w:id="82"/>
      </w:r>
    </w:p>
    <w:p w14:paraId="35B996EF" w14:textId="77777777" w:rsidR="00DB6AC0" w:rsidRDefault="00DB6AC0" w:rsidP="00A557DB">
      <w:pPr>
        <w:spacing w:after="0" w:line="240" w:lineRule="auto"/>
        <w:jc w:val="both"/>
        <w:rPr>
          <w:rFonts w:ascii="Book Antiqua" w:hAnsi="Book Antiqua" w:cs="Calibri"/>
          <w:bCs/>
          <w:color w:val="000000" w:themeColor="text1"/>
          <w:sz w:val="24"/>
        </w:rPr>
      </w:pPr>
    </w:p>
    <w:p w14:paraId="317A9068" w14:textId="25D2A349" w:rsidR="004D5479" w:rsidRPr="004D5479" w:rsidRDefault="000D11E9" w:rsidP="00606EC3">
      <w:pPr>
        <w:pStyle w:val="ListParagraph"/>
        <w:numPr>
          <w:ilvl w:val="1"/>
          <w:numId w:val="18"/>
        </w:numPr>
        <w:spacing w:line="240" w:lineRule="auto"/>
        <w:ind w:left="360"/>
        <w:contextualSpacing w:val="0"/>
        <w:jc w:val="both"/>
        <w:rPr>
          <w:rFonts w:ascii="Book Antiqua" w:hAnsi="Book Antiqua" w:cs="Calibri"/>
          <w:color w:val="000000" w:themeColor="text1"/>
          <w:lang w:val="id-ID"/>
        </w:rPr>
      </w:pPr>
      <w:r w:rsidRPr="000D11E9">
        <w:rPr>
          <w:rFonts w:ascii="Book Antiqua" w:eastAsia="Arial Unicode MS" w:hAnsi="Book Antiqua" w:cstheme="majorHAnsi"/>
          <w:b/>
          <w:color w:val="000000" w:themeColor="text1"/>
          <w:sz w:val="24"/>
          <w:szCs w:val="24"/>
        </w:rPr>
        <w:t>Ideal Patent Dispute Resolution based on Aspects of Justice, Legal Certainty, and Benefit</w:t>
      </w:r>
    </w:p>
    <w:p w14:paraId="56174FD8" w14:textId="6BC08C8C" w:rsidR="004D5479" w:rsidRDefault="00DE67E9" w:rsidP="00606EC3">
      <w:pPr>
        <w:pStyle w:val="ListParagraph"/>
        <w:spacing w:line="240" w:lineRule="auto"/>
        <w:ind w:left="0" w:firstLine="360"/>
        <w:contextualSpacing w:val="0"/>
        <w:jc w:val="both"/>
        <w:rPr>
          <w:rFonts w:ascii="Book Antiqua" w:hAnsi="Book Antiqua" w:cs="Calibri"/>
          <w:color w:val="000000" w:themeColor="text1"/>
          <w:sz w:val="24"/>
          <w:szCs w:val="32"/>
          <w:lang w:val="id-ID"/>
        </w:rPr>
      </w:pPr>
      <w:r w:rsidRPr="00DE67E9">
        <w:rPr>
          <w:rFonts w:ascii="Book Antiqua" w:hAnsi="Book Antiqua" w:cs="Calibri"/>
          <w:color w:val="000000" w:themeColor="text1"/>
          <w:sz w:val="24"/>
          <w:szCs w:val="32"/>
          <w:lang w:val="id-ID"/>
        </w:rPr>
        <w:t>Based on the above description</w:t>
      </w:r>
      <w:r w:rsidR="004D5479" w:rsidRPr="004D5479">
        <w:rPr>
          <w:rFonts w:ascii="Book Antiqua" w:hAnsi="Book Antiqua" w:cs="Calibri"/>
          <w:color w:val="000000" w:themeColor="text1"/>
          <w:sz w:val="24"/>
          <w:szCs w:val="32"/>
          <w:lang w:val="id-ID"/>
        </w:rPr>
        <w:t xml:space="preserve">, it can be concluded that the Implementation of Aspects of Justice, Legal Certainty, and Benefit can be an idealization of the basic values of Normative Law in Indonesia. However, based on this research, researchers found the fact that the implementation of patent law in Indonesia as stipulated in the Patent Law has not yet reached the idealistic aspects based on the values of Justice, Legal Certainty, and Benefit. Especially for the aspects that the author examines, namely in the settlement of civil patent disputes which have been fundamentally explained in the clauses of the articles in the Patent Law, </w:t>
      </w:r>
      <w:r w:rsidRPr="00DE67E9">
        <w:rPr>
          <w:rFonts w:ascii="Book Antiqua" w:hAnsi="Book Antiqua" w:cs="Calibri"/>
          <w:color w:val="000000" w:themeColor="text1"/>
          <w:sz w:val="24"/>
          <w:szCs w:val="32"/>
          <w:lang w:val="id-ID"/>
        </w:rPr>
        <w:t>and take examples of discussion of court decisions at the Supreme Court level that have permanent legal force (</w:t>
      </w:r>
      <w:r w:rsidRPr="00DE67E9">
        <w:rPr>
          <w:rFonts w:ascii="Book Antiqua" w:hAnsi="Book Antiqua" w:cs="Calibri"/>
          <w:i/>
          <w:iCs/>
          <w:color w:val="000000" w:themeColor="text1"/>
          <w:sz w:val="24"/>
          <w:szCs w:val="32"/>
          <w:lang w:val="id-ID"/>
        </w:rPr>
        <w:t>inkrah</w:t>
      </w:r>
      <w:r w:rsidRPr="00DE67E9">
        <w:rPr>
          <w:rFonts w:ascii="Book Antiqua" w:hAnsi="Book Antiqua" w:cs="Calibri"/>
          <w:color w:val="000000" w:themeColor="text1"/>
          <w:sz w:val="24"/>
          <w:szCs w:val="32"/>
          <w:lang w:val="id-ID"/>
        </w:rPr>
        <w:t>) in Discussion 2 (two) above</w:t>
      </w:r>
      <w:r w:rsidR="004D5479" w:rsidRPr="004D5479">
        <w:rPr>
          <w:rFonts w:ascii="Book Antiqua" w:hAnsi="Book Antiqua" w:cs="Calibri"/>
          <w:color w:val="000000" w:themeColor="text1"/>
          <w:sz w:val="24"/>
          <w:szCs w:val="32"/>
          <w:lang w:val="id-ID"/>
        </w:rPr>
        <w:t>. Therefore, in Discussion 3 (three), the author will only explain fundamentally about aspects of Justice, Legal Certainty, and Benefit, as well as existing Doctrines and Legal Theories, in order to achieve recommendations for idealist patent civil dispute resolution (</w:t>
      </w:r>
      <w:r w:rsidR="004D5479" w:rsidRPr="00606EC3">
        <w:rPr>
          <w:rFonts w:ascii="Book Antiqua" w:hAnsi="Book Antiqua" w:cs="Calibri"/>
          <w:i/>
          <w:iCs/>
          <w:color w:val="000000" w:themeColor="text1"/>
          <w:sz w:val="24"/>
          <w:szCs w:val="32"/>
          <w:lang w:val="id-ID"/>
        </w:rPr>
        <w:t>Ius Contituendum</w:t>
      </w:r>
      <w:r w:rsidR="004D5479" w:rsidRPr="004D5479">
        <w:rPr>
          <w:rFonts w:ascii="Book Antiqua" w:hAnsi="Book Antiqua" w:cs="Calibri"/>
          <w:color w:val="000000" w:themeColor="text1"/>
          <w:sz w:val="24"/>
          <w:szCs w:val="32"/>
          <w:lang w:val="id-ID"/>
        </w:rPr>
        <w:t>).</w:t>
      </w:r>
    </w:p>
    <w:p w14:paraId="07D6CD49" w14:textId="4F20F4D0" w:rsidR="008140D3" w:rsidRPr="00591987" w:rsidRDefault="00315373" w:rsidP="00606EC3">
      <w:pPr>
        <w:pStyle w:val="ListParagraph"/>
        <w:spacing w:line="240" w:lineRule="auto"/>
        <w:ind w:left="0" w:firstLine="360"/>
        <w:contextualSpacing w:val="0"/>
        <w:jc w:val="both"/>
        <w:rPr>
          <w:rFonts w:ascii="Book Antiqua" w:hAnsi="Book Antiqua" w:cs="Calibri"/>
          <w:color w:val="000000" w:themeColor="text1"/>
          <w:sz w:val="24"/>
          <w:szCs w:val="32"/>
          <w:lang w:val="id-ID"/>
        </w:rPr>
      </w:pPr>
      <w:r w:rsidRPr="00315373">
        <w:rPr>
          <w:rFonts w:ascii="Book Antiqua" w:hAnsi="Book Antiqua" w:cs="Calibri"/>
          <w:color w:val="000000" w:themeColor="text1"/>
          <w:sz w:val="24"/>
          <w:szCs w:val="32"/>
          <w:lang w:val="id-ID"/>
        </w:rPr>
        <w:t>Normative legal certainty occurs when a regulation is clearly regulated and structured. Clear in the sense that the regulation does not cause doubts and can be well understood by all parties involved. In addition, regulations must also not contradict or conflict with other norms.</w:t>
      </w:r>
      <w:r w:rsidR="00BB77A0">
        <w:rPr>
          <w:rStyle w:val="FootnoteReference"/>
          <w:rFonts w:ascii="Book Antiqua" w:hAnsi="Book Antiqua" w:cs="Calibri"/>
          <w:color w:val="000000" w:themeColor="text1"/>
          <w:sz w:val="24"/>
          <w:szCs w:val="32"/>
          <w:lang w:val="id-ID"/>
        </w:rPr>
        <w:footnoteReference w:id="83"/>
      </w:r>
      <w:r w:rsidRPr="00315373">
        <w:rPr>
          <w:rFonts w:ascii="Book Antiqua" w:hAnsi="Book Antiqua" w:cs="Calibri"/>
          <w:color w:val="000000" w:themeColor="text1"/>
          <w:sz w:val="24"/>
          <w:szCs w:val="32"/>
          <w:lang w:val="id-ID"/>
        </w:rPr>
        <w:t xml:space="preserve"> Legal certainty refers to the implementation of laws that are clear, fixed, consistent, and consequential. This means that the implementation of the law should not be influenced by subjective circumstances or certain situations.</w:t>
      </w:r>
      <w:r w:rsidR="00E23A5F">
        <w:rPr>
          <w:rStyle w:val="FootnoteReference"/>
          <w:rFonts w:ascii="Book Antiqua" w:hAnsi="Book Antiqua" w:cs="Calibri"/>
          <w:color w:val="000000" w:themeColor="text1"/>
          <w:sz w:val="24"/>
          <w:szCs w:val="32"/>
          <w:lang w:val="id-ID"/>
        </w:rPr>
        <w:footnoteReference w:id="84"/>
      </w:r>
      <w:r w:rsidRPr="00315373">
        <w:rPr>
          <w:rFonts w:ascii="Book Antiqua" w:hAnsi="Book Antiqua" w:cs="Calibri"/>
          <w:color w:val="000000" w:themeColor="text1"/>
          <w:sz w:val="24"/>
          <w:szCs w:val="32"/>
          <w:lang w:val="id-ID"/>
        </w:rPr>
        <w:t xml:space="preserve"> Legal certainty and justice are not only moral demands, but also the hallmark of the legal system itself. In the concept of legal certainty theory according to Gustav Radbruch, legal certainty is defined as the existence of regulations that are made and promulgated clearly, surely, and logically.</w:t>
      </w:r>
      <w:r w:rsidR="00E23A5F">
        <w:rPr>
          <w:rStyle w:val="FootnoteReference"/>
          <w:rFonts w:ascii="Book Antiqua" w:hAnsi="Book Antiqua" w:cs="Calibri"/>
          <w:color w:val="000000" w:themeColor="text1"/>
          <w:sz w:val="24"/>
          <w:szCs w:val="32"/>
          <w:lang w:val="id-ID"/>
        </w:rPr>
        <w:footnoteReference w:id="85"/>
      </w:r>
      <w:r w:rsidRPr="00315373">
        <w:rPr>
          <w:rFonts w:ascii="Book Antiqua" w:hAnsi="Book Antiqua" w:cs="Calibri"/>
          <w:color w:val="000000" w:themeColor="text1"/>
          <w:sz w:val="24"/>
          <w:szCs w:val="32"/>
          <w:lang w:val="id-ID"/>
        </w:rPr>
        <w:t xml:space="preserve"> Clear means that there is no ambiguity or doubt in the interpretation of the regulation, while logical means that the regulation must be in accordance with the existing norm system, so that there is no </w:t>
      </w:r>
      <w:r w:rsidRPr="00315373">
        <w:rPr>
          <w:rFonts w:ascii="Book Antiqua" w:hAnsi="Book Antiqua" w:cs="Calibri"/>
          <w:color w:val="000000" w:themeColor="text1"/>
          <w:sz w:val="24"/>
          <w:szCs w:val="32"/>
          <w:lang w:val="id-ID"/>
        </w:rPr>
        <w:lastRenderedPageBreak/>
        <w:t>clash or conflict between these norms.</w:t>
      </w:r>
      <w:r w:rsidR="00286846">
        <w:rPr>
          <w:rStyle w:val="FootnoteReference"/>
          <w:rFonts w:ascii="Book Antiqua" w:hAnsi="Book Antiqua" w:cs="Calibri"/>
          <w:color w:val="000000" w:themeColor="text1"/>
          <w:sz w:val="24"/>
          <w:szCs w:val="32"/>
          <w:lang w:val="id-ID"/>
        </w:rPr>
        <w:footnoteReference w:id="86"/>
      </w:r>
      <w:r w:rsidR="00591987">
        <w:rPr>
          <w:rFonts w:ascii="Book Antiqua" w:hAnsi="Book Antiqua" w:cs="Calibri"/>
          <w:color w:val="000000" w:themeColor="text1"/>
          <w:sz w:val="24"/>
          <w:szCs w:val="32"/>
        </w:rPr>
        <w:t xml:space="preserve"> </w:t>
      </w:r>
      <w:r w:rsidR="008140D3" w:rsidRPr="008140D3">
        <w:rPr>
          <w:rFonts w:ascii="Book Antiqua" w:hAnsi="Book Antiqua" w:cs="Calibri"/>
          <w:color w:val="000000" w:themeColor="text1"/>
          <w:sz w:val="24"/>
          <w:szCs w:val="32"/>
          <w:lang w:val="id-ID"/>
        </w:rPr>
        <w:t>Thus, normative legal certainty is a very important principle in the legal system to ensure that all parties can understand and follow the rules clearly and without doubt. Currently, there are differences in the legal provisions that apply to intellectual property laws, one of which is patents.</w:t>
      </w:r>
      <w:r w:rsidR="00286846">
        <w:rPr>
          <w:rStyle w:val="FootnoteReference"/>
          <w:rFonts w:ascii="Book Antiqua" w:hAnsi="Book Antiqua" w:cs="Calibri"/>
          <w:color w:val="000000" w:themeColor="text1"/>
          <w:sz w:val="24"/>
          <w:szCs w:val="32"/>
          <w:lang w:val="id-ID"/>
        </w:rPr>
        <w:footnoteReference w:id="87"/>
      </w:r>
      <w:r w:rsidR="008140D3" w:rsidRPr="008140D3">
        <w:rPr>
          <w:rFonts w:ascii="Book Antiqua" w:hAnsi="Book Antiqua" w:cs="Calibri"/>
          <w:color w:val="000000" w:themeColor="text1"/>
          <w:sz w:val="24"/>
          <w:szCs w:val="32"/>
          <w:lang w:val="id-ID"/>
        </w:rPr>
        <w:t xml:space="preserve"> The provision emphasizes that mediation must be carried out before the criminal prosecution process is carried out. However, in the settlement of civil disputes, the provision is still not detailed and only emphasizes the obligation for the parties to mediate before filing a lawsuit with the Commercial Court.</w:t>
      </w:r>
      <w:r w:rsidR="00286846">
        <w:rPr>
          <w:rStyle w:val="FootnoteReference"/>
          <w:rFonts w:ascii="Book Antiqua" w:hAnsi="Book Antiqua" w:cs="Calibri"/>
          <w:color w:val="000000" w:themeColor="text1"/>
          <w:sz w:val="24"/>
          <w:szCs w:val="32"/>
          <w:lang w:val="id-ID"/>
        </w:rPr>
        <w:footnoteReference w:id="88"/>
      </w:r>
      <w:r w:rsidR="008140D3" w:rsidRPr="008140D3">
        <w:rPr>
          <w:rFonts w:ascii="Book Antiqua" w:hAnsi="Book Antiqua" w:cs="Calibri"/>
          <w:color w:val="000000" w:themeColor="text1"/>
          <w:sz w:val="24"/>
          <w:szCs w:val="32"/>
          <w:lang w:val="id-ID"/>
        </w:rPr>
        <w:t xml:space="preserve"> The legal relationship between the inventor or creator and the perpetrator is a relationship between private parties that can cause harm to the right holder.</w:t>
      </w:r>
      <w:r w:rsidR="005456C3">
        <w:rPr>
          <w:rStyle w:val="FootnoteReference"/>
          <w:rFonts w:ascii="Book Antiqua" w:hAnsi="Book Antiqua" w:cs="Calibri"/>
          <w:color w:val="000000" w:themeColor="text1"/>
          <w:sz w:val="24"/>
          <w:szCs w:val="32"/>
          <w:lang w:val="id-ID"/>
        </w:rPr>
        <w:footnoteReference w:id="89"/>
      </w:r>
      <w:r w:rsidR="008140D3" w:rsidRPr="008140D3">
        <w:rPr>
          <w:rFonts w:ascii="Book Antiqua" w:hAnsi="Book Antiqua" w:cs="Calibri"/>
          <w:color w:val="000000" w:themeColor="text1"/>
          <w:sz w:val="24"/>
          <w:szCs w:val="32"/>
          <w:lang w:val="id-ID"/>
        </w:rPr>
        <w:t xml:space="preserve"> Therefore, in this case, no state interests are disturbed. Thus, the resolution of IPR disputes through mediation aims to restore the victim to his original position, rather than imposing criminal penalties on the perpetrator. In this mediation, parties who have exclusive rights who experience infringement will be given compensation according to an agreement and kinship for the losses suffered.</w:t>
      </w:r>
      <w:r w:rsidR="005456C3">
        <w:rPr>
          <w:rStyle w:val="FootnoteReference"/>
          <w:rFonts w:ascii="Book Antiqua" w:hAnsi="Book Antiqua" w:cs="Calibri"/>
          <w:color w:val="000000" w:themeColor="text1"/>
          <w:sz w:val="24"/>
          <w:szCs w:val="32"/>
          <w:lang w:val="id-ID"/>
        </w:rPr>
        <w:footnoteReference w:id="90"/>
      </w:r>
      <w:r w:rsidR="00AC73C3">
        <w:rPr>
          <w:rFonts w:ascii="Book Antiqua" w:hAnsi="Book Antiqua" w:cs="Calibri"/>
          <w:color w:val="000000" w:themeColor="text1"/>
          <w:sz w:val="24"/>
          <w:szCs w:val="32"/>
        </w:rPr>
        <w:t xml:space="preserve"> </w:t>
      </w:r>
      <w:r w:rsidR="00AC73C3" w:rsidRPr="00AC73C3">
        <w:rPr>
          <w:rFonts w:ascii="Book Antiqua" w:hAnsi="Book Antiqua" w:cs="Calibri"/>
          <w:color w:val="000000" w:themeColor="text1"/>
          <w:sz w:val="24"/>
          <w:szCs w:val="32"/>
        </w:rPr>
        <w:t>In the national legal system, all laws and regulations are considered as a unified whole. Consistency in laws and regulations plays an important role in creating legal certainty. This consistency does not happen by itself, but must be pursued</w:t>
      </w:r>
      <w:r w:rsidR="005456C3">
        <w:rPr>
          <w:rStyle w:val="FootnoteReference"/>
          <w:rFonts w:ascii="Book Antiqua" w:hAnsi="Book Antiqua" w:cs="Calibri"/>
          <w:color w:val="000000" w:themeColor="text1"/>
          <w:sz w:val="24"/>
          <w:szCs w:val="32"/>
        </w:rPr>
        <w:footnoteReference w:id="91"/>
      </w:r>
      <w:r w:rsidR="00AC73C3" w:rsidRPr="00AC73C3">
        <w:rPr>
          <w:rFonts w:ascii="Book Antiqua" w:hAnsi="Book Antiqua" w:cs="Calibri"/>
          <w:color w:val="000000" w:themeColor="text1"/>
          <w:sz w:val="24"/>
          <w:szCs w:val="32"/>
        </w:rPr>
        <w:t>. Therefore, it is important to clearly include the obligation to implement mediation in the patent law, because the law is not created by itself, but must be created to avoid overlaps, clashes, or even contradictions between regulations that can result in a loss of legal certainty in society and to ensure the implementation of better legal certainty.</w:t>
      </w:r>
    </w:p>
    <w:p w14:paraId="7A1A2BE5" w14:textId="376CFCCC" w:rsidR="008B3548" w:rsidRDefault="008B3548" w:rsidP="004D5479">
      <w:pPr>
        <w:pStyle w:val="ListParagraph"/>
        <w:spacing w:after="120" w:line="240" w:lineRule="auto"/>
        <w:ind w:left="0" w:firstLine="360"/>
        <w:contextualSpacing w:val="0"/>
        <w:jc w:val="both"/>
        <w:rPr>
          <w:rFonts w:ascii="Book Antiqua" w:hAnsi="Book Antiqua" w:cs="Calibri"/>
          <w:color w:val="000000" w:themeColor="text1"/>
          <w:sz w:val="24"/>
          <w:szCs w:val="32"/>
        </w:rPr>
      </w:pPr>
      <w:r w:rsidRPr="008B3548">
        <w:rPr>
          <w:rFonts w:ascii="Book Antiqua" w:hAnsi="Book Antiqua" w:cs="Calibri"/>
          <w:color w:val="000000" w:themeColor="text1"/>
          <w:sz w:val="24"/>
          <w:szCs w:val="32"/>
        </w:rPr>
        <w:t>IPR is a right granted to owners of intellectual works to protect the results of their thinking. This principle of IPR protection is in line with the theory proposed by Robert M. Sherwood, especially Risk Theory. This theory concludes that IPR is the result of research activities carried out and has risks that may arise.</w:t>
      </w:r>
      <w:r w:rsidR="00286846">
        <w:rPr>
          <w:rStyle w:val="FootnoteReference"/>
          <w:rFonts w:ascii="Book Antiqua" w:hAnsi="Book Antiqua" w:cs="Calibri"/>
          <w:color w:val="000000" w:themeColor="text1"/>
          <w:sz w:val="24"/>
          <w:szCs w:val="32"/>
        </w:rPr>
        <w:footnoteReference w:id="92"/>
      </w:r>
      <w:r w:rsidRPr="008B3548">
        <w:rPr>
          <w:rFonts w:ascii="Book Antiqua" w:hAnsi="Book Antiqua" w:cs="Calibri"/>
          <w:color w:val="000000" w:themeColor="text1"/>
          <w:sz w:val="24"/>
          <w:szCs w:val="32"/>
        </w:rPr>
        <w:t xml:space="preserve"> Therefore, it is only natural that IPRs are given protection against efforts or activities that carry these risks. In resolving patent disputes, there are two options that can be done, namely through Alternative Dispute Resolution (non-litigation) and the Commercial Court (litigation).</w:t>
      </w:r>
      <w:r w:rsidR="005456C3">
        <w:rPr>
          <w:rStyle w:val="FootnoteReference"/>
          <w:rFonts w:ascii="Book Antiqua" w:hAnsi="Book Antiqua" w:cs="Calibri"/>
          <w:color w:val="000000" w:themeColor="text1"/>
          <w:sz w:val="24"/>
          <w:szCs w:val="32"/>
        </w:rPr>
        <w:footnoteReference w:id="93"/>
      </w:r>
      <w:r w:rsidRPr="008B3548">
        <w:rPr>
          <w:rFonts w:ascii="Book Antiqua" w:hAnsi="Book Antiqua" w:cs="Calibri"/>
          <w:color w:val="000000" w:themeColor="text1"/>
          <w:sz w:val="24"/>
          <w:szCs w:val="32"/>
        </w:rPr>
        <w:t xml:space="preserve"> However, settlement through litigation with a decision that results in a winning party and a losing party can provide satisfaction for one party, but not for the other.</w:t>
      </w:r>
      <w:r w:rsidR="005456C3">
        <w:rPr>
          <w:rStyle w:val="FootnoteReference"/>
          <w:rFonts w:ascii="Book Antiqua" w:hAnsi="Book Antiqua" w:cs="Calibri"/>
          <w:color w:val="000000" w:themeColor="text1"/>
          <w:sz w:val="24"/>
          <w:szCs w:val="32"/>
        </w:rPr>
        <w:footnoteReference w:id="94"/>
      </w:r>
      <w:r w:rsidRPr="008B3548">
        <w:rPr>
          <w:rFonts w:ascii="Book Antiqua" w:hAnsi="Book Antiqua" w:cs="Calibri"/>
          <w:color w:val="000000" w:themeColor="text1"/>
          <w:sz w:val="24"/>
          <w:szCs w:val="32"/>
        </w:rPr>
        <w:t xml:space="preserve"> In this case, new problems may arise between the parties to the dispute. In addition, the dispute resolution process, which is slow, takes a long time, and requires relatively high costs, is also an obstacle that needs to </w:t>
      </w:r>
      <w:r w:rsidRPr="008B3548">
        <w:rPr>
          <w:rFonts w:ascii="Book Antiqua" w:hAnsi="Book Antiqua" w:cs="Calibri"/>
          <w:color w:val="000000" w:themeColor="text1"/>
          <w:sz w:val="24"/>
          <w:szCs w:val="32"/>
        </w:rPr>
        <w:lastRenderedPageBreak/>
        <w:t>be overcome.</w:t>
      </w:r>
      <w:r w:rsidR="00BD26C0">
        <w:rPr>
          <w:rStyle w:val="FootnoteReference"/>
          <w:rFonts w:ascii="Book Antiqua" w:hAnsi="Book Antiqua" w:cs="Calibri"/>
          <w:color w:val="000000" w:themeColor="text1"/>
          <w:sz w:val="24"/>
          <w:szCs w:val="32"/>
        </w:rPr>
        <w:footnoteReference w:id="95"/>
      </w:r>
      <w:r w:rsidRPr="008B3548">
        <w:rPr>
          <w:rFonts w:ascii="Book Antiqua" w:hAnsi="Book Antiqua" w:cs="Calibri"/>
          <w:color w:val="000000" w:themeColor="text1"/>
          <w:sz w:val="24"/>
          <w:szCs w:val="32"/>
        </w:rPr>
        <w:t xml:space="preserve"> Dispute resolution through court channels has weaknesses that need to be considered. The litigation process used in dispute resolution does not always reflect the values of peace and kinship that should be upheld in accordance with the IPR system.</w:t>
      </w:r>
      <w:r w:rsidR="00BD26C0">
        <w:rPr>
          <w:rStyle w:val="FootnoteReference"/>
          <w:rFonts w:ascii="Book Antiqua" w:hAnsi="Book Antiqua" w:cs="Calibri"/>
          <w:color w:val="000000" w:themeColor="text1"/>
          <w:sz w:val="24"/>
          <w:szCs w:val="32"/>
        </w:rPr>
        <w:footnoteReference w:id="96"/>
      </w:r>
      <w:r w:rsidR="0016095E">
        <w:rPr>
          <w:rFonts w:ascii="Book Antiqua" w:hAnsi="Book Antiqua" w:cs="Calibri"/>
          <w:color w:val="000000" w:themeColor="text1"/>
          <w:sz w:val="24"/>
          <w:szCs w:val="32"/>
        </w:rPr>
        <w:t xml:space="preserve"> </w:t>
      </w:r>
      <w:r w:rsidR="0016095E" w:rsidRPr="0016095E">
        <w:rPr>
          <w:rFonts w:ascii="Book Antiqua" w:hAnsi="Book Antiqua" w:cs="Calibri"/>
          <w:color w:val="000000" w:themeColor="text1"/>
          <w:sz w:val="24"/>
          <w:szCs w:val="32"/>
        </w:rPr>
        <w:t>The purpose of the IPR system is to reward individual work or creativity and encourage others to develop it further. The development of science and technology, art culture, and literature also has a close relationship with the IPR system.</w:t>
      </w:r>
      <w:r w:rsidR="00BD26C0">
        <w:rPr>
          <w:rStyle w:val="FootnoteReference"/>
          <w:rFonts w:ascii="Book Antiqua" w:hAnsi="Book Antiqua" w:cs="Calibri"/>
          <w:color w:val="000000" w:themeColor="text1"/>
          <w:sz w:val="24"/>
          <w:szCs w:val="32"/>
        </w:rPr>
        <w:footnoteReference w:id="97"/>
      </w:r>
      <w:r w:rsidR="0016095E" w:rsidRPr="0016095E">
        <w:rPr>
          <w:rFonts w:ascii="Book Antiqua" w:hAnsi="Book Antiqua" w:cs="Calibri"/>
          <w:color w:val="000000" w:themeColor="text1"/>
          <w:sz w:val="24"/>
          <w:szCs w:val="32"/>
        </w:rPr>
        <w:t xml:space="preserve"> Therefore, IPR protection in a country has a significant influence on the progress and development of science, technology, art, and literature in that country. In handling Patent disputes under the Patent Law, there are several out-of-court settlement options, and one of them is through mediation which can be an efficient alternative.</w:t>
      </w:r>
      <w:r w:rsidR="00BD26C0">
        <w:rPr>
          <w:rStyle w:val="FootnoteReference"/>
          <w:rFonts w:ascii="Book Antiqua" w:hAnsi="Book Antiqua" w:cs="Calibri"/>
          <w:color w:val="000000" w:themeColor="text1"/>
          <w:sz w:val="24"/>
          <w:szCs w:val="32"/>
        </w:rPr>
        <w:footnoteReference w:id="98"/>
      </w:r>
    </w:p>
    <w:p w14:paraId="3D2511DE" w14:textId="679111A1" w:rsidR="00A11458" w:rsidRPr="00591987" w:rsidRDefault="00DE67E9" w:rsidP="00591987">
      <w:pPr>
        <w:pStyle w:val="ListParagraph"/>
        <w:spacing w:after="120" w:line="240" w:lineRule="auto"/>
        <w:ind w:left="0" w:firstLine="360"/>
        <w:contextualSpacing w:val="0"/>
        <w:jc w:val="both"/>
        <w:rPr>
          <w:rFonts w:ascii="Book Antiqua" w:hAnsi="Book Antiqua" w:cs="Calibri"/>
          <w:color w:val="000000" w:themeColor="text1"/>
          <w:sz w:val="24"/>
          <w:szCs w:val="32"/>
        </w:rPr>
      </w:pPr>
      <w:r w:rsidRPr="00613371">
        <w:rPr>
          <w:rFonts w:ascii="Book Antiqua" w:hAnsi="Book Antiqua" w:cs="Calibri"/>
          <w:color w:val="000000" w:themeColor="text1"/>
          <w:sz w:val="24"/>
          <w:szCs w:val="32"/>
        </w:rPr>
        <w:t>Mediation is a process that takes place in private and prioritizes negotiations between the parties.</w:t>
      </w:r>
      <w:r w:rsidRPr="00613371">
        <w:rPr>
          <w:rStyle w:val="FootnoteReference"/>
          <w:rFonts w:ascii="Book Antiqua" w:hAnsi="Book Antiqua" w:cs="Calibri"/>
          <w:color w:val="000000" w:themeColor="text1"/>
          <w:sz w:val="24"/>
          <w:szCs w:val="32"/>
        </w:rPr>
        <w:footnoteReference w:id="99"/>
      </w:r>
      <w:r w:rsidR="003A57FF" w:rsidRPr="00613371">
        <w:rPr>
          <w:rFonts w:ascii="Book Antiqua" w:hAnsi="Book Antiqua" w:cs="Calibri"/>
          <w:color w:val="000000" w:themeColor="text1"/>
          <w:sz w:val="24"/>
          <w:szCs w:val="32"/>
        </w:rPr>
        <w:t xml:space="preserve"> In resolving disputes using this method, agreement between all parties involved is the main priority, both before and after the dispute resolution process is carried out.</w:t>
      </w:r>
      <w:r w:rsidR="003A57FF" w:rsidRPr="00613371">
        <w:rPr>
          <w:rStyle w:val="FootnoteReference"/>
          <w:rFonts w:ascii="Book Antiqua" w:hAnsi="Book Antiqua" w:cs="Calibri"/>
          <w:color w:val="000000" w:themeColor="text1"/>
          <w:sz w:val="24"/>
          <w:szCs w:val="32"/>
        </w:rPr>
        <w:footnoteReference w:id="100"/>
      </w:r>
      <w:r w:rsidR="003A57FF" w:rsidRPr="00613371">
        <w:rPr>
          <w:rFonts w:ascii="Book Antiqua" w:hAnsi="Book Antiqua" w:cs="Calibri"/>
          <w:color w:val="000000" w:themeColor="text1"/>
          <w:sz w:val="24"/>
          <w:szCs w:val="32"/>
        </w:rPr>
        <w:t xml:space="preserve"> Patent civil dispute settlement has private characteristics, with the aim of regulating the interests of individuals or parties involved in the dispute. Unlike court settlements that are conducted openly to the public, there are different approaches in this method.</w:t>
      </w:r>
      <w:r w:rsidR="003A57FF" w:rsidRPr="00613371">
        <w:rPr>
          <w:rStyle w:val="FootnoteReference"/>
          <w:rFonts w:ascii="Book Antiqua" w:hAnsi="Book Antiqua" w:cs="Calibri"/>
          <w:color w:val="000000" w:themeColor="text1"/>
          <w:sz w:val="24"/>
          <w:szCs w:val="32"/>
        </w:rPr>
        <w:footnoteReference w:id="101"/>
      </w:r>
      <w:r w:rsidR="00385BD1" w:rsidRPr="00613371">
        <w:rPr>
          <w:rFonts w:ascii="Book Antiqua" w:hAnsi="Book Antiqua" w:cs="Calibri"/>
          <w:color w:val="000000" w:themeColor="text1"/>
          <w:sz w:val="24"/>
          <w:szCs w:val="32"/>
        </w:rPr>
        <w:t xml:space="preserve"> </w:t>
      </w:r>
      <w:r w:rsidR="00591987">
        <w:rPr>
          <w:rFonts w:ascii="Book Antiqua" w:hAnsi="Book Antiqua" w:cs="Calibri"/>
          <w:color w:val="000000" w:themeColor="text1"/>
          <w:sz w:val="24"/>
          <w:szCs w:val="32"/>
        </w:rPr>
        <w:t xml:space="preserve"> </w:t>
      </w:r>
      <w:r w:rsidR="00A11458" w:rsidRPr="00613371">
        <w:rPr>
          <w:rFonts w:ascii="Book Antiqua" w:hAnsi="Book Antiqua" w:cstheme="majorHAnsi"/>
          <w:color w:val="000000" w:themeColor="text1"/>
          <w:sz w:val="24"/>
          <w:szCs w:val="24"/>
        </w:rPr>
        <w:t>One of the interesting things about confidentiality in the mediation process is that the parties involved in the dispute do not want the problems they face to be disclosed to the public.</w:t>
      </w:r>
      <w:r w:rsidR="00A11458" w:rsidRPr="00613371">
        <w:rPr>
          <w:rStyle w:val="FootnoteReference"/>
          <w:rFonts w:ascii="Book Antiqua" w:hAnsi="Book Antiqua" w:cstheme="majorHAnsi"/>
          <w:color w:val="000000" w:themeColor="text1"/>
          <w:sz w:val="24"/>
          <w:szCs w:val="24"/>
        </w:rPr>
        <w:footnoteReference w:id="102"/>
      </w:r>
      <w:r w:rsidR="00A11458" w:rsidRPr="00613371">
        <w:rPr>
          <w:rFonts w:ascii="Book Antiqua" w:hAnsi="Book Antiqua" w:cstheme="majorHAnsi"/>
          <w:color w:val="000000" w:themeColor="text1"/>
          <w:sz w:val="24"/>
          <w:szCs w:val="24"/>
        </w:rPr>
        <w:t xml:space="preserve"> By maintaining confidentiality, mediation becomes more interesting and effective in resolving disputes.</w:t>
      </w:r>
      <w:r w:rsidR="00A11458" w:rsidRPr="00613371">
        <w:rPr>
          <w:rStyle w:val="FootnoteReference"/>
          <w:rFonts w:ascii="Book Antiqua" w:hAnsi="Book Antiqua" w:cstheme="majorHAnsi"/>
          <w:color w:val="000000" w:themeColor="text1"/>
          <w:sz w:val="24"/>
          <w:szCs w:val="24"/>
        </w:rPr>
        <w:footnoteReference w:id="103"/>
      </w:r>
      <w:r w:rsidR="00A11458" w:rsidRPr="00613371">
        <w:rPr>
          <w:rFonts w:ascii="Book Antiqua" w:hAnsi="Book Antiqua" w:cstheme="majorHAnsi"/>
          <w:color w:val="000000" w:themeColor="text1"/>
          <w:sz w:val="24"/>
          <w:szCs w:val="24"/>
        </w:rPr>
        <w:t xml:space="preserve"> </w:t>
      </w:r>
      <w:proofErr w:type="spellStart"/>
      <w:r w:rsidR="00A11458" w:rsidRPr="00613371">
        <w:rPr>
          <w:rFonts w:ascii="Book Antiqua" w:hAnsi="Book Antiqua" w:cstheme="majorHAnsi"/>
          <w:color w:val="000000" w:themeColor="text1"/>
          <w:sz w:val="24"/>
          <w:szCs w:val="24"/>
        </w:rPr>
        <w:t>sIn</w:t>
      </w:r>
      <w:proofErr w:type="spellEnd"/>
      <w:r w:rsidR="00A11458" w:rsidRPr="00613371">
        <w:rPr>
          <w:rFonts w:ascii="Book Antiqua" w:hAnsi="Book Antiqua" w:cstheme="majorHAnsi"/>
          <w:color w:val="000000" w:themeColor="text1"/>
          <w:sz w:val="24"/>
          <w:szCs w:val="24"/>
        </w:rPr>
        <w:t xml:space="preserve"> resolving Patent disputes, there are differences in legal norms regulated in several articles of the patent law.</w:t>
      </w:r>
      <w:r w:rsidR="00A11458" w:rsidRPr="00613371">
        <w:rPr>
          <w:rStyle w:val="FootnoteReference"/>
          <w:rFonts w:ascii="Book Antiqua" w:hAnsi="Book Antiqua" w:cstheme="majorHAnsi"/>
          <w:color w:val="000000" w:themeColor="text1"/>
          <w:sz w:val="24"/>
          <w:szCs w:val="24"/>
        </w:rPr>
        <w:footnoteReference w:id="104"/>
      </w:r>
      <w:r w:rsidR="00A11458" w:rsidRPr="00613371">
        <w:rPr>
          <w:rFonts w:ascii="Book Antiqua" w:hAnsi="Book Antiqua" w:cstheme="majorHAnsi"/>
          <w:color w:val="000000" w:themeColor="text1"/>
          <w:sz w:val="24"/>
          <w:szCs w:val="24"/>
        </w:rPr>
        <w:t xml:space="preserve"> One of the articles that needs to be considered is Article 154 of the Patent Law which regulates the settlement of patent disputes that are compelling (</w:t>
      </w:r>
      <w:proofErr w:type="spellStart"/>
      <w:r w:rsidR="00A11458" w:rsidRPr="00591987">
        <w:rPr>
          <w:rFonts w:ascii="Book Antiqua" w:hAnsi="Book Antiqua" w:cstheme="majorHAnsi"/>
          <w:i/>
          <w:iCs/>
          <w:color w:val="000000" w:themeColor="text1"/>
          <w:sz w:val="24"/>
          <w:szCs w:val="24"/>
        </w:rPr>
        <w:t>dwingend</w:t>
      </w:r>
      <w:proofErr w:type="spellEnd"/>
      <w:r w:rsidR="00A11458" w:rsidRPr="00613371">
        <w:rPr>
          <w:rFonts w:ascii="Book Antiqua" w:hAnsi="Book Antiqua" w:cstheme="majorHAnsi"/>
          <w:color w:val="000000" w:themeColor="text1"/>
          <w:sz w:val="24"/>
          <w:szCs w:val="24"/>
        </w:rPr>
        <w:t>). This article requires the parties involved in a patent dispute to undergo a mediation process before finally filing a lawsuit with the Court.</w:t>
      </w:r>
      <w:r w:rsidR="00A11458" w:rsidRPr="00613371">
        <w:rPr>
          <w:rStyle w:val="FootnoteReference"/>
          <w:rFonts w:ascii="Book Antiqua" w:hAnsi="Book Antiqua" w:cstheme="majorHAnsi"/>
          <w:color w:val="000000" w:themeColor="text1"/>
          <w:sz w:val="24"/>
          <w:szCs w:val="24"/>
        </w:rPr>
        <w:footnoteReference w:id="105"/>
      </w:r>
      <w:r w:rsidR="00A11458" w:rsidRPr="00613371">
        <w:rPr>
          <w:rFonts w:ascii="Book Antiqua" w:hAnsi="Book Antiqua" w:cstheme="majorHAnsi"/>
          <w:color w:val="000000" w:themeColor="text1"/>
          <w:sz w:val="24"/>
          <w:szCs w:val="24"/>
        </w:rPr>
        <w:t xml:space="preserve"> In resolving patent disputes, there is a difference between the civil procedure regulated in Article 142 and Article 143 of the Patent Law and the way patent disputes are resolved criminally. The legal norms contained in the patent law only function as additional arrangements (</w:t>
      </w:r>
      <w:proofErr w:type="spellStart"/>
      <w:r w:rsidR="00A11458" w:rsidRPr="00591987">
        <w:rPr>
          <w:rFonts w:ascii="Book Antiqua" w:hAnsi="Book Antiqua" w:cstheme="majorHAnsi"/>
          <w:i/>
          <w:iCs/>
          <w:color w:val="000000" w:themeColor="text1"/>
          <w:sz w:val="24"/>
          <w:szCs w:val="24"/>
        </w:rPr>
        <w:t>aanvullen</w:t>
      </w:r>
      <w:proofErr w:type="spellEnd"/>
      <w:r w:rsidR="00A11458" w:rsidRPr="00613371">
        <w:rPr>
          <w:rFonts w:ascii="Book Antiqua" w:hAnsi="Book Antiqua" w:cstheme="majorHAnsi"/>
          <w:color w:val="000000" w:themeColor="text1"/>
          <w:sz w:val="24"/>
          <w:szCs w:val="24"/>
        </w:rPr>
        <w:t>), so they cannot provide adequate legal certainty.</w:t>
      </w:r>
      <w:r w:rsidR="00A11458" w:rsidRPr="00613371">
        <w:rPr>
          <w:rStyle w:val="FootnoteReference"/>
          <w:rFonts w:ascii="Book Antiqua" w:hAnsi="Book Antiqua" w:cstheme="majorHAnsi"/>
          <w:color w:val="000000" w:themeColor="text1"/>
          <w:sz w:val="24"/>
          <w:szCs w:val="24"/>
        </w:rPr>
        <w:footnoteReference w:id="106"/>
      </w:r>
      <w:r w:rsidR="00A11458" w:rsidRPr="00613371">
        <w:rPr>
          <w:rFonts w:ascii="Book Antiqua" w:hAnsi="Book Antiqua" w:cstheme="majorHAnsi"/>
          <w:color w:val="000000" w:themeColor="text1"/>
          <w:sz w:val="24"/>
          <w:szCs w:val="24"/>
        </w:rPr>
        <w:t xml:space="preserve"> As mentioned earlier, the IPR system is a personal right, therefore civil dispute resolution is private.</w:t>
      </w:r>
      <w:r w:rsidRPr="00613371">
        <w:t xml:space="preserve"> </w:t>
      </w:r>
      <w:r w:rsidR="00A11458" w:rsidRPr="00613371">
        <w:rPr>
          <w:rFonts w:ascii="Book Antiqua" w:hAnsi="Book Antiqua" w:cstheme="majorHAnsi"/>
          <w:color w:val="000000" w:themeColor="text1"/>
          <w:sz w:val="24"/>
          <w:szCs w:val="24"/>
        </w:rPr>
        <w:t>Thus, it is advisable to start with mediation as the first step in resolving public patent disputes.</w:t>
      </w:r>
      <w:r w:rsidR="00A11458" w:rsidRPr="00613371">
        <w:rPr>
          <w:rStyle w:val="FootnoteReference"/>
          <w:rFonts w:ascii="Book Antiqua" w:hAnsi="Book Antiqua" w:cstheme="majorHAnsi"/>
          <w:color w:val="000000" w:themeColor="text1"/>
          <w:sz w:val="24"/>
          <w:szCs w:val="24"/>
        </w:rPr>
        <w:footnoteReference w:id="107"/>
      </w:r>
      <w:r w:rsidR="00A11458" w:rsidRPr="00613371">
        <w:rPr>
          <w:rFonts w:ascii="Book Antiqua" w:hAnsi="Book Antiqua" w:cstheme="majorHAnsi"/>
          <w:color w:val="000000" w:themeColor="text1"/>
          <w:sz w:val="24"/>
          <w:szCs w:val="24"/>
        </w:rPr>
        <w:t xml:space="preserve"> The goal is to </w:t>
      </w:r>
      <w:r w:rsidR="00A11458" w:rsidRPr="00613371">
        <w:rPr>
          <w:rFonts w:ascii="Book Antiqua" w:hAnsi="Book Antiqua" w:cstheme="majorHAnsi"/>
          <w:color w:val="000000" w:themeColor="text1"/>
          <w:sz w:val="24"/>
          <w:szCs w:val="24"/>
        </w:rPr>
        <w:lastRenderedPageBreak/>
        <w:t>reach an agreement between all parties involved before deciding to file a lawsuit with the Commercial Court in accordance with applicable regulations. The importance of Alternative Dispute Resolution Institutions in supporting the development of Alternative Dispute Resolution (A</w:t>
      </w:r>
      <w:r w:rsidR="00842A42" w:rsidRPr="00613371">
        <w:rPr>
          <w:rFonts w:ascii="Book Antiqua" w:hAnsi="Book Antiqua" w:cstheme="majorHAnsi"/>
          <w:color w:val="000000" w:themeColor="text1"/>
          <w:sz w:val="24"/>
          <w:szCs w:val="24"/>
        </w:rPr>
        <w:t>DR</w:t>
      </w:r>
      <w:r w:rsidR="00A11458" w:rsidRPr="00613371">
        <w:rPr>
          <w:rFonts w:ascii="Book Antiqua" w:hAnsi="Book Antiqua" w:cstheme="majorHAnsi"/>
          <w:color w:val="000000" w:themeColor="text1"/>
          <w:sz w:val="24"/>
          <w:szCs w:val="24"/>
        </w:rPr>
        <w:t xml:space="preserve">) practices in the community cannot be ignored. In this context, the institutionalization of </w:t>
      </w:r>
      <w:r w:rsidR="00842A42" w:rsidRPr="00613371">
        <w:rPr>
          <w:rFonts w:ascii="Book Antiqua" w:hAnsi="Book Antiqua" w:cstheme="majorHAnsi"/>
          <w:color w:val="000000" w:themeColor="text1"/>
          <w:sz w:val="24"/>
          <w:szCs w:val="24"/>
        </w:rPr>
        <w:t>ADR</w:t>
      </w:r>
      <w:r w:rsidR="00A11458" w:rsidRPr="00613371">
        <w:rPr>
          <w:rFonts w:ascii="Book Antiqua" w:hAnsi="Book Antiqua" w:cstheme="majorHAnsi"/>
          <w:color w:val="000000" w:themeColor="text1"/>
          <w:sz w:val="24"/>
          <w:szCs w:val="24"/>
        </w:rPr>
        <w:t xml:space="preserve"> is very important so that disputes related to IPR, especially in the field of patents, can be resolved through the </w:t>
      </w:r>
      <w:r w:rsidR="00842A42" w:rsidRPr="00613371">
        <w:rPr>
          <w:rFonts w:ascii="Book Antiqua" w:hAnsi="Book Antiqua" w:cstheme="majorHAnsi"/>
          <w:color w:val="000000" w:themeColor="text1"/>
          <w:sz w:val="24"/>
          <w:szCs w:val="24"/>
        </w:rPr>
        <w:t>ADR</w:t>
      </w:r>
      <w:r w:rsidR="00A11458" w:rsidRPr="00613371">
        <w:rPr>
          <w:rFonts w:ascii="Book Antiqua" w:hAnsi="Book Antiqua" w:cstheme="majorHAnsi"/>
          <w:color w:val="000000" w:themeColor="text1"/>
          <w:sz w:val="24"/>
          <w:szCs w:val="24"/>
        </w:rPr>
        <w:t xml:space="preserve"> route.</w:t>
      </w:r>
    </w:p>
    <w:p w14:paraId="42D3743F" w14:textId="6F62E9DE" w:rsidR="0070047B" w:rsidRDefault="00613371" w:rsidP="004D5479">
      <w:pPr>
        <w:pStyle w:val="ListParagraph"/>
        <w:spacing w:after="120" w:line="240" w:lineRule="auto"/>
        <w:ind w:left="0" w:firstLine="360"/>
        <w:contextualSpacing w:val="0"/>
        <w:jc w:val="both"/>
        <w:rPr>
          <w:rFonts w:ascii="Book Antiqua" w:hAnsi="Book Antiqua" w:cs="Calibri"/>
          <w:color w:val="000000" w:themeColor="text1"/>
          <w:sz w:val="24"/>
          <w:szCs w:val="32"/>
        </w:rPr>
      </w:pPr>
      <w:r w:rsidRPr="00613371">
        <w:rPr>
          <w:rFonts w:ascii="Book Antiqua" w:hAnsi="Book Antiqua" w:cs="Calibri"/>
          <w:color w:val="000000" w:themeColor="text1"/>
          <w:sz w:val="24"/>
          <w:szCs w:val="32"/>
        </w:rPr>
        <w:t>Dispute resolution through mediation has the potential to achieve "win-win solutions" because it involves agreement and deliberation between the parties involved</w:t>
      </w:r>
      <w:r w:rsidR="0070047B" w:rsidRPr="00613371">
        <w:rPr>
          <w:rFonts w:ascii="Book Antiqua" w:hAnsi="Book Antiqua" w:cs="Calibri"/>
          <w:color w:val="000000" w:themeColor="text1"/>
          <w:sz w:val="24"/>
          <w:szCs w:val="32"/>
        </w:rPr>
        <w:t>.</w:t>
      </w:r>
      <w:r w:rsidR="001678DD" w:rsidRPr="00613371">
        <w:rPr>
          <w:rStyle w:val="FootnoteReference"/>
          <w:rFonts w:ascii="Book Antiqua" w:hAnsi="Book Antiqua" w:cs="Calibri"/>
          <w:color w:val="000000" w:themeColor="text1"/>
          <w:sz w:val="24"/>
          <w:szCs w:val="32"/>
        </w:rPr>
        <w:footnoteReference w:id="108"/>
      </w:r>
      <w:r>
        <w:rPr>
          <w:rFonts w:ascii="Book Antiqua" w:hAnsi="Book Antiqua" w:cs="Calibri"/>
          <w:color w:val="000000" w:themeColor="text1"/>
          <w:sz w:val="24"/>
          <w:szCs w:val="32"/>
        </w:rPr>
        <w:t xml:space="preserve"> </w:t>
      </w:r>
      <w:r w:rsidRPr="00613371">
        <w:rPr>
          <w:rFonts w:ascii="Book Antiqua" w:hAnsi="Book Antiqua" w:cs="Calibri"/>
          <w:color w:val="000000" w:themeColor="text1"/>
          <w:sz w:val="24"/>
          <w:szCs w:val="32"/>
        </w:rPr>
        <w:t>In this process, a joint decision acceptable to both parties can be produced, and the confidentiality of the dispute can be guaranteed as the proceedings are not open to the public and are not publicized</w:t>
      </w:r>
      <w:r w:rsidR="0070047B" w:rsidRPr="00613371">
        <w:rPr>
          <w:rFonts w:ascii="Book Antiqua" w:hAnsi="Book Antiqua" w:cs="Calibri"/>
          <w:color w:val="000000" w:themeColor="text1"/>
          <w:sz w:val="24"/>
          <w:szCs w:val="32"/>
        </w:rPr>
        <w:t>.</w:t>
      </w:r>
      <w:r w:rsidR="001678DD" w:rsidRPr="00613371">
        <w:rPr>
          <w:rStyle w:val="FootnoteReference"/>
          <w:rFonts w:ascii="Book Antiqua" w:hAnsi="Book Antiqua" w:cs="Calibri"/>
          <w:color w:val="000000" w:themeColor="text1"/>
          <w:sz w:val="24"/>
          <w:szCs w:val="32"/>
        </w:rPr>
        <w:footnoteReference w:id="109"/>
      </w:r>
      <w:r>
        <w:rPr>
          <w:rFonts w:ascii="Book Antiqua" w:hAnsi="Book Antiqua" w:cs="Calibri"/>
          <w:color w:val="000000" w:themeColor="text1"/>
          <w:sz w:val="24"/>
          <w:szCs w:val="32"/>
        </w:rPr>
        <w:t xml:space="preserve"> </w:t>
      </w:r>
      <w:r w:rsidRPr="00613371">
        <w:rPr>
          <w:rFonts w:ascii="Book Antiqua" w:hAnsi="Book Antiqua" w:cs="Calibri"/>
          <w:color w:val="000000" w:themeColor="text1"/>
          <w:sz w:val="24"/>
          <w:szCs w:val="32"/>
        </w:rPr>
        <w:t>Resolving intellectual property disputes through A</w:t>
      </w:r>
      <w:r w:rsidR="000E004E">
        <w:rPr>
          <w:rFonts w:ascii="Book Antiqua" w:hAnsi="Book Antiqua" w:cs="Calibri"/>
          <w:color w:val="000000" w:themeColor="text1"/>
          <w:sz w:val="24"/>
          <w:szCs w:val="32"/>
        </w:rPr>
        <w:t>DR</w:t>
      </w:r>
      <w:r w:rsidRPr="00613371">
        <w:rPr>
          <w:rFonts w:ascii="Book Antiqua" w:hAnsi="Book Antiqua" w:cs="Calibri"/>
          <w:color w:val="000000" w:themeColor="text1"/>
          <w:sz w:val="24"/>
          <w:szCs w:val="32"/>
        </w:rPr>
        <w:t xml:space="preserve"> first has several advantages. In an effort to face the challenges of commercializing IPR assets, entrepreneurs need to rely on institutions that can assist them in resolving IPR-related disputes</w:t>
      </w:r>
      <w:r w:rsidR="0070047B" w:rsidRPr="00613371">
        <w:rPr>
          <w:rFonts w:ascii="Book Antiqua" w:hAnsi="Book Antiqua" w:cs="Calibri"/>
          <w:color w:val="000000" w:themeColor="text1"/>
          <w:sz w:val="24"/>
          <w:szCs w:val="32"/>
        </w:rPr>
        <w:t>.</w:t>
      </w:r>
      <w:r w:rsidR="0070047B" w:rsidRPr="0070047B">
        <w:rPr>
          <w:rFonts w:ascii="Book Antiqua" w:hAnsi="Book Antiqua" w:cs="Calibri"/>
          <w:color w:val="000000" w:themeColor="text1"/>
          <w:sz w:val="24"/>
          <w:szCs w:val="32"/>
        </w:rPr>
        <w:t xml:space="preserve"> One institution that can be trusted is the Mercantile Arbitration Board (BAM), a private institution that specifically handles IPR disputes. With its experience and expertise, BAM can provide fair and effective solutions for entrepreneurs in protecting their intellectual property rights.</w:t>
      </w:r>
      <w:r w:rsidR="0070047B">
        <w:rPr>
          <w:rFonts w:ascii="Book Antiqua" w:hAnsi="Book Antiqua" w:cs="Calibri"/>
          <w:color w:val="000000" w:themeColor="text1"/>
          <w:sz w:val="24"/>
          <w:szCs w:val="32"/>
        </w:rPr>
        <w:t xml:space="preserve"> </w:t>
      </w:r>
      <w:r w:rsidR="0070047B" w:rsidRPr="0070047B">
        <w:rPr>
          <w:rFonts w:ascii="Book Antiqua" w:hAnsi="Book Antiqua" w:cs="Calibri"/>
          <w:color w:val="000000" w:themeColor="text1"/>
          <w:sz w:val="24"/>
          <w:szCs w:val="32"/>
        </w:rPr>
        <w:t>Companies recognize that IPR is one of their most important assets. They increasingly understand that protecting and properly utilizing intellectual property rights can provide significant long-term economic benefits. Disputes that occur can disrupt or even hamper the company's business activities, especially in matters relating to IPR assets. Therefore, resolving intellectual property disputes through BAM HKI has advantages, one of which is a faster resolution time with a maximum time limit of 180 days. With this time limit, cases can be resolved more efficiently and effectively.</w:t>
      </w:r>
      <w:r w:rsidR="001678DD">
        <w:rPr>
          <w:rStyle w:val="FootnoteReference"/>
          <w:rFonts w:ascii="Book Antiqua" w:hAnsi="Book Antiqua" w:cs="Calibri"/>
          <w:color w:val="000000" w:themeColor="text1"/>
          <w:sz w:val="24"/>
          <w:szCs w:val="32"/>
        </w:rPr>
        <w:footnoteReference w:id="110"/>
      </w:r>
    </w:p>
    <w:p w14:paraId="62060A48" w14:textId="3DC08DEB" w:rsidR="00B67A09" w:rsidRDefault="00613371" w:rsidP="00591987">
      <w:pPr>
        <w:pStyle w:val="ListParagraph"/>
        <w:spacing w:after="120" w:line="240" w:lineRule="auto"/>
        <w:ind w:left="0" w:firstLine="360"/>
        <w:contextualSpacing w:val="0"/>
        <w:jc w:val="both"/>
        <w:rPr>
          <w:rFonts w:ascii="Book Antiqua" w:hAnsi="Book Antiqua" w:cs="Calibri"/>
          <w:color w:val="000000" w:themeColor="text1"/>
          <w:sz w:val="24"/>
          <w:szCs w:val="32"/>
        </w:rPr>
      </w:pPr>
      <w:r w:rsidRPr="00613371">
        <w:rPr>
          <w:rFonts w:ascii="Book Antiqua" w:hAnsi="Book Antiqua" w:cs="Calibri"/>
          <w:color w:val="000000" w:themeColor="text1"/>
          <w:sz w:val="24"/>
          <w:szCs w:val="32"/>
        </w:rPr>
        <w:t>This actually provides more certainty and expediency to all parties involved in the dispute.</w:t>
      </w:r>
      <w:r>
        <w:rPr>
          <w:rStyle w:val="FootnoteReference"/>
          <w:rFonts w:ascii="Book Antiqua" w:hAnsi="Book Antiqua" w:cs="Calibri"/>
          <w:color w:val="000000" w:themeColor="text1"/>
          <w:sz w:val="24"/>
          <w:szCs w:val="32"/>
        </w:rPr>
        <w:footnoteReference w:id="111"/>
      </w:r>
      <w:r w:rsidR="00B67A09" w:rsidRPr="00B67A09">
        <w:rPr>
          <w:rFonts w:ascii="Book Antiqua" w:hAnsi="Book Antiqua" w:cs="Calibri"/>
          <w:color w:val="000000" w:themeColor="text1"/>
          <w:sz w:val="24"/>
          <w:szCs w:val="32"/>
        </w:rPr>
        <w:t xml:space="preserve"> The dispute resolution is easier to do at a more affordable cost, the decision is final and binding on all </w:t>
      </w:r>
      <w:r w:rsidR="00B67A09" w:rsidRPr="005635CE">
        <w:rPr>
          <w:rFonts w:ascii="Book Antiqua" w:hAnsi="Book Antiqua" w:cs="Calibri"/>
          <w:color w:val="000000" w:themeColor="text1"/>
          <w:sz w:val="24"/>
          <w:szCs w:val="32"/>
        </w:rPr>
        <w:t>parties involved in the dispute.</w:t>
      </w:r>
      <w:r w:rsidR="005635CE" w:rsidRPr="005635CE">
        <w:rPr>
          <w:rStyle w:val="FootnoteReference"/>
          <w:rFonts w:ascii="Book Antiqua" w:hAnsi="Book Antiqua" w:cs="Calibri"/>
          <w:color w:val="000000" w:themeColor="text1"/>
          <w:sz w:val="24"/>
          <w:szCs w:val="32"/>
        </w:rPr>
        <w:footnoteReference w:id="112"/>
      </w:r>
      <w:r w:rsidR="00B67A09" w:rsidRPr="005635CE">
        <w:rPr>
          <w:rFonts w:ascii="Book Antiqua" w:hAnsi="Book Antiqua" w:cs="Calibri"/>
          <w:color w:val="000000" w:themeColor="text1"/>
          <w:sz w:val="24"/>
          <w:szCs w:val="32"/>
        </w:rPr>
        <w:t xml:space="preserve"> This is in accordance with the principle of IPR which is a personal and civil right.</w:t>
      </w:r>
      <w:r w:rsidR="005635CE">
        <w:rPr>
          <w:rStyle w:val="FootnoteReference"/>
          <w:rFonts w:ascii="Book Antiqua" w:hAnsi="Book Antiqua" w:cs="Calibri"/>
          <w:color w:val="000000" w:themeColor="text1"/>
          <w:sz w:val="24"/>
          <w:szCs w:val="32"/>
        </w:rPr>
        <w:footnoteReference w:id="113"/>
      </w:r>
      <w:r w:rsidR="00B67A09" w:rsidRPr="005635CE">
        <w:rPr>
          <w:rFonts w:ascii="Book Antiqua" w:hAnsi="Book Antiqua" w:cs="Calibri"/>
          <w:color w:val="000000" w:themeColor="text1"/>
          <w:sz w:val="24"/>
          <w:szCs w:val="32"/>
        </w:rPr>
        <w:t xml:space="preserve"> One of the factors that makes mediation accepted as a dispute resolution option is its ability to facilitate the parties</w:t>
      </w:r>
      <w:r w:rsidR="00B67A09" w:rsidRPr="00B67A09">
        <w:rPr>
          <w:rFonts w:ascii="Book Antiqua" w:hAnsi="Book Antiqua" w:cs="Calibri"/>
          <w:color w:val="000000" w:themeColor="text1"/>
          <w:sz w:val="24"/>
          <w:szCs w:val="32"/>
        </w:rPr>
        <w:t xml:space="preserve"> to the dispute to discuss deliberately. In mediation, parties can sit together and discuss their issues with the aim of reaching a mutually beneficial agreement. This approach has been recognized in various cultures, including in Indonesian culture where deliberation has been part of dispute resolution efforts for a long time and is still alive in traditional societies. In various indigenous communities, deliberation has been a commonly used way to resolve disputes</w:t>
      </w:r>
      <w:r w:rsidR="005635CE">
        <w:rPr>
          <w:rFonts w:ascii="Book Antiqua" w:hAnsi="Book Antiqua" w:cs="Calibri"/>
          <w:color w:val="000000" w:themeColor="text1"/>
          <w:sz w:val="24"/>
          <w:szCs w:val="32"/>
        </w:rPr>
        <w:t>.</w:t>
      </w:r>
      <w:r w:rsidR="005635CE">
        <w:rPr>
          <w:rStyle w:val="FootnoteReference"/>
          <w:rFonts w:ascii="Book Antiqua" w:hAnsi="Book Antiqua" w:cs="Calibri"/>
          <w:color w:val="000000" w:themeColor="text1"/>
          <w:sz w:val="24"/>
          <w:szCs w:val="32"/>
        </w:rPr>
        <w:footnoteReference w:id="114"/>
      </w:r>
      <w:r w:rsidR="00B67A09" w:rsidRPr="00B67A09">
        <w:rPr>
          <w:rFonts w:ascii="Book Antiqua" w:hAnsi="Book Antiqua" w:cs="Calibri"/>
          <w:color w:val="000000" w:themeColor="text1"/>
          <w:sz w:val="24"/>
          <w:szCs w:val="32"/>
        </w:rPr>
        <w:t xml:space="preserve"> This practice has been around for a long time and has proven successful in creating peace and mutually beneficial agreements for all parties involved.</w:t>
      </w:r>
      <w:r w:rsidR="00591987">
        <w:rPr>
          <w:rFonts w:ascii="Book Antiqua" w:hAnsi="Book Antiqua" w:cs="Calibri"/>
          <w:color w:val="000000" w:themeColor="text1"/>
          <w:sz w:val="24"/>
          <w:szCs w:val="32"/>
        </w:rPr>
        <w:t xml:space="preserve"> </w:t>
      </w:r>
      <w:r w:rsidR="00B67A09" w:rsidRPr="000E004E">
        <w:rPr>
          <w:rFonts w:ascii="Book Antiqua" w:hAnsi="Book Antiqua" w:cs="Calibri"/>
          <w:color w:val="000000" w:themeColor="text1"/>
          <w:sz w:val="24"/>
          <w:szCs w:val="32"/>
        </w:rPr>
        <w:t xml:space="preserve">Apart from </w:t>
      </w:r>
      <w:r w:rsidR="00B67A09" w:rsidRPr="000E004E">
        <w:rPr>
          <w:rFonts w:ascii="Book Antiqua" w:hAnsi="Book Antiqua" w:cs="Calibri"/>
          <w:color w:val="000000" w:themeColor="text1"/>
          <w:sz w:val="24"/>
          <w:szCs w:val="32"/>
        </w:rPr>
        <w:lastRenderedPageBreak/>
        <w:t xml:space="preserve">going through the BAM </w:t>
      </w:r>
      <w:r w:rsidR="000E004E">
        <w:rPr>
          <w:rFonts w:ascii="Book Antiqua" w:hAnsi="Book Antiqua" w:cs="Calibri"/>
          <w:color w:val="000000" w:themeColor="text1"/>
          <w:sz w:val="24"/>
          <w:szCs w:val="32"/>
        </w:rPr>
        <w:t>IPR</w:t>
      </w:r>
      <w:r w:rsidR="00B67A09" w:rsidRPr="000E004E">
        <w:rPr>
          <w:rFonts w:ascii="Book Antiqua" w:hAnsi="Book Antiqua" w:cs="Calibri"/>
          <w:color w:val="000000" w:themeColor="text1"/>
          <w:sz w:val="24"/>
          <w:szCs w:val="32"/>
        </w:rPr>
        <w:t>, the parties</w:t>
      </w:r>
      <w:r w:rsidR="00B67A09" w:rsidRPr="00B67A09">
        <w:rPr>
          <w:rFonts w:ascii="Book Antiqua" w:hAnsi="Book Antiqua" w:cs="Calibri"/>
          <w:color w:val="000000" w:themeColor="text1"/>
          <w:sz w:val="24"/>
          <w:szCs w:val="32"/>
        </w:rPr>
        <w:t xml:space="preserve"> can also appoint the Board of Patent and Intellectual Property Guarantees (DJKPI) as an </w:t>
      </w:r>
      <w:r w:rsidR="000E004E">
        <w:rPr>
          <w:rFonts w:ascii="Book Antiqua" w:hAnsi="Book Antiqua" w:cs="Calibri"/>
          <w:color w:val="000000" w:themeColor="text1"/>
          <w:sz w:val="24"/>
          <w:szCs w:val="32"/>
        </w:rPr>
        <w:t>ADR</w:t>
      </w:r>
      <w:r w:rsidR="00B67A09" w:rsidRPr="00B67A09">
        <w:rPr>
          <w:rFonts w:ascii="Book Antiqua" w:hAnsi="Book Antiqua" w:cs="Calibri"/>
          <w:color w:val="000000" w:themeColor="text1"/>
          <w:sz w:val="24"/>
          <w:szCs w:val="32"/>
        </w:rPr>
        <w:t>. Although the DJKPI is a state institution, it also has a function in resolving IPR disputes. DJKPI officers and/or officials can be requested as witnesses in IPR cases in court. Thus, DJKPI can act as a mediator if there is an agreement from both parties.</w:t>
      </w:r>
      <w:r w:rsidR="00D16FE3">
        <w:rPr>
          <w:rStyle w:val="FootnoteReference"/>
          <w:rFonts w:ascii="Book Antiqua" w:hAnsi="Book Antiqua" w:cs="Calibri"/>
          <w:color w:val="000000" w:themeColor="text1"/>
          <w:sz w:val="24"/>
          <w:szCs w:val="32"/>
        </w:rPr>
        <w:footnoteReference w:id="115"/>
      </w:r>
      <w:r w:rsidR="00B67A09" w:rsidRPr="00B67A09">
        <w:rPr>
          <w:rFonts w:ascii="Book Antiqua" w:hAnsi="Book Antiqua" w:cs="Calibri"/>
          <w:color w:val="000000" w:themeColor="text1"/>
          <w:sz w:val="24"/>
          <w:szCs w:val="32"/>
        </w:rPr>
        <w:t xml:space="preserve"> </w:t>
      </w:r>
      <w:proofErr w:type="spellStart"/>
      <w:r w:rsidR="00D16FE3">
        <w:rPr>
          <w:rFonts w:ascii="Book Antiqua" w:hAnsi="Book Antiqua" w:cs="Calibri"/>
          <w:color w:val="000000" w:themeColor="text1"/>
          <w:sz w:val="24"/>
          <w:szCs w:val="32"/>
        </w:rPr>
        <w:t>s</w:t>
      </w:r>
      <w:r w:rsidR="00B67A09" w:rsidRPr="00B67A09">
        <w:rPr>
          <w:rFonts w:ascii="Book Antiqua" w:hAnsi="Book Antiqua" w:cs="Calibri"/>
          <w:color w:val="000000" w:themeColor="text1"/>
          <w:sz w:val="24"/>
          <w:szCs w:val="32"/>
        </w:rPr>
        <w:t>As</w:t>
      </w:r>
      <w:proofErr w:type="spellEnd"/>
      <w:r w:rsidR="00B67A09" w:rsidRPr="00B67A09">
        <w:rPr>
          <w:rFonts w:ascii="Book Antiqua" w:hAnsi="Book Antiqua" w:cs="Calibri"/>
          <w:color w:val="000000" w:themeColor="text1"/>
          <w:sz w:val="24"/>
          <w:szCs w:val="32"/>
        </w:rPr>
        <w:t xml:space="preserve"> a rule that applies in society, the Patent Law must provide strict provisions by considering the benefits that will be provided to society.</w:t>
      </w:r>
      <w:r w:rsidR="00614DFD">
        <w:rPr>
          <w:rStyle w:val="FootnoteReference"/>
          <w:rFonts w:ascii="Book Antiqua" w:hAnsi="Book Antiqua" w:cs="Calibri"/>
          <w:color w:val="000000" w:themeColor="text1"/>
          <w:sz w:val="24"/>
          <w:szCs w:val="32"/>
        </w:rPr>
        <w:footnoteReference w:id="116"/>
      </w:r>
      <w:r w:rsidR="00B67A09" w:rsidRPr="00B67A09">
        <w:rPr>
          <w:rFonts w:ascii="Book Antiqua" w:hAnsi="Book Antiqua" w:cs="Calibri"/>
          <w:color w:val="000000" w:themeColor="text1"/>
          <w:sz w:val="24"/>
          <w:szCs w:val="32"/>
        </w:rPr>
        <w:t xml:space="preserve"> Furthermore, the Patent Law also needs to consider the philosophical aspects of the patent itself. From a philosophical point of view, the actual settlement of civil disputes should be left to the parties involved, but because patents have a strong relationship with the business world, resolving them through the courts is not suitable because it will take a long time, cost a lot, and be open.</w:t>
      </w:r>
      <w:r w:rsidR="00367A11">
        <w:rPr>
          <w:rStyle w:val="FootnoteReference"/>
          <w:rFonts w:ascii="Book Antiqua" w:hAnsi="Book Antiqua" w:cs="Calibri"/>
          <w:color w:val="000000" w:themeColor="text1"/>
          <w:sz w:val="24"/>
          <w:szCs w:val="32"/>
        </w:rPr>
        <w:footnoteReference w:id="117"/>
      </w:r>
      <w:r w:rsidR="00B67A09">
        <w:rPr>
          <w:rFonts w:ascii="Book Antiqua" w:hAnsi="Book Antiqua" w:cs="Calibri"/>
          <w:color w:val="000000" w:themeColor="text1"/>
          <w:sz w:val="24"/>
          <w:szCs w:val="32"/>
        </w:rPr>
        <w:t xml:space="preserve"> </w:t>
      </w:r>
      <w:r w:rsidR="00B67A09" w:rsidRPr="00B67A09">
        <w:rPr>
          <w:rFonts w:ascii="Book Antiqua" w:hAnsi="Book Antiqua" w:cs="Calibri"/>
          <w:color w:val="000000" w:themeColor="text1"/>
          <w:sz w:val="24"/>
          <w:szCs w:val="32"/>
        </w:rPr>
        <w:t>Supposedly, in solving cases related to the business world, the time needed is not long, the costs are more affordable, and provide solutions that benefit all parties to support business effectiveness between business actors.</w:t>
      </w:r>
    </w:p>
    <w:p w14:paraId="1FD36E67" w14:textId="1B42E904" w:rsidR="001D02FB" w:rsidRDefault="001D02FB" w:rsidP="00591987">
      <w:pPr>
        <w:pStyle w:val="ListParagraph"/>
        <w:spacing w:after="120" w:line="240" w:lineRule="auto"/>
        <w:ind w:left="0" w:firstLine="360"/>
        <w:contextualSpacing w:val="0"/>
        <w:jc w:val="both"/>
        <w:rPr>
          <w:rFonts w:ascii="Book Antiqua" w:hAnsi="Book Antiqua" w:cs="Calibri"/>
          <w:color w:val="000000" w:themeColor="text1"/>
          <w:sz w:val="24"/>
          <w:szCs w:val="32"/>
        </w:rPr>
      </w:pPr>
      <w:r w:rsidRPr="001D02FB">
        <w:rPr>
          <w:rFonts w:ascii="Book Antiqua" w:hAnsi="Book Antiqua" w:cs="Calibri"/>
          <w:color w:val="000000" w:themeColor="text1"/>
          <w:sz w:val="24"/>
          <w:szCs w:val="32"/>
        </w:rPr>
        <w:t>In line with the legal theory proposed by Richard Posner, namely the Theory of Economic Analysis of Law, this theory uses an economic science approach based on three principles, namely value, usefulness, and efficiency.</w:t>
      </w:r>
      <w:r w:rsidR="00987674">
        <w:rPr>
          <w:rStyle w:val="FootnoteReference"/>
          <w:rFonts w:ascii="Book Antiqua" w:hAnsi="Book Antiqua" w:cs="Calibri"/>
          <w:color w:val="000000" w:themeColor="text1"/>
          <w:sz w:val="24"/>
          <w:szCs w:val="32"/>
        </w:rPr>
        <w:footnoteReference w:id="118"/>
      </w:r>
      <w:r w:rsidRPr="001D02FB">
        <w:rPr>
          <w:rFonts w:ascii="Book Antiqua" w:hAnsi="Book Antiqua" w:cs="Calibri"/>
          <w:color w:val="000000" w:themeColor="text1"/>
          <w:sz w:val="24"/>
          <w:szCs w:val="32"/>
        </w:rPr>
        <w:t xml:space="preserve"> According to Posner, efficient law is the allocation of responsibilities between individuals involved in economic interactions designed to maximize shared value or its sum, while minimizing the costs of joint activities. Efficient law enforcement focuses more on controlling the quality of the process rather than just quantitative effectiveness. In the author's view, if the dispute resolution taken by the parties involved is inefficient, this will certainly not provide benefits for them</w:t>
      </w:r>
      <w:r w:rsidR="00987674">
        <w:rPr>
          <w:rFonts w:ascii="Book Antiqua" w:hAnsi="Book Antiqua" w:cs="Calibri"/>
          <w:color w:val="000000" w:themeColor="text1"/>
          <w:sz w:val="24"/>
          <w:szCs w:val="32"/>
        </w:rPr>
        <w:t>.</w:t>
      </w:r>
      <w:r w:rsidR="00987674">
        <w:rPr>
          <w:rStyle w:val="FootnoteReference"/>
          <w:rFonts w:ascii="Book Antiqua" w:hAnsi="Book Antiqua" w:cs="Calibri"/>
          <w:color w:val="000000" w:themeColor="text1"/>
          <w:sz w:val="24"/>
          <w:szCs w:val="32"/>
        </w:rPr>
        <w:footnoteReference w:id="119"/>
      </w:r>
      <w:r w:rsidR="00591987">
        <w:rPr>
          <w:rFonts w:ascii="Book Antiqua" w:hAnsi="Book Antiqua" w:cs="Calibri"/>
          <w:color w:val="000000" w:themeColor="text1"/>
          <w:sz w:val="24"/>
          <w:szCs w:val="32"/>
        </w:rPr>
        <w:t xml:space="preserve"> </w:t>
      </w:r>
      <w:r w:rsidRPr="001D02FB">
        <w:rPr>
          <w:rFonts w:ascii="Book Antiqua" w:hAnsi="Book Antiqua" w:cs="Calibri"/>
          <w:color w:val="000000" w:themeColor="text1"/>
          <w:sz w:val="24"/>
          <w:szCs w:val="32"/>
        </w:rPr>
        <w:t>The importance of laws that can provide benefits to all legal subjects, namely justice and legal certainty (Yasmine et al., 2021). Law is considered good if it can provide happiness to most people. The benefits obtained by the community in the implementation and enforcement of law are highly expected. This is due to the fact that the law exists for the benefit of humans (</w:t>
      </w:r>
      <w:proofErr w:type="spellStart"/>
      <w:r w:rsidRPr="001D02FB">
        <w:rPr>
          <w:rFonts w:ascii="Book Antiqua" w:hAnsi="Book Antiqua" w:cs="Calibri"/>
          <w:color w:val="000000" w:themeColor="text1"/>
          <w:sz w:val="24"/>
          <w:szCs w:val="32"/>
        </w:rPr>
        <w:t>Pratiwi</w:t>
      </w:r>
      <w:proofErr w:type="spellEnd"/>
      <w:r w:rsidRPr="001D02FB">
        <w:rPr>
          <w:rFonts w:ascii="Book Antiqua" w:hAnsi="Book Antiqua" w:cs="Calibri"/>
          <w:color w:val="000000" w:themeColor="text1"/>
          <w:sz w:val="24"/>
          <w:szCs w:val="32"/>
        </w:rPr>
        <w:t xml:space="preserve"> et al., 2021). Therefore, the implementation and enforcement of the law must provide benefits and usefulness for the community. The main purpose of the applicable laws and regulations is to provide maximum benefits for all parties involved. With effective and efficient regulations, it is expected to create a legal environment that is fair and beneficial to society as a whole. In the author's view, by prioritizing mediation as a method of resolving patent civil disputes, it can provide meaningful benefits to the parties in dispute.</w:t>
      </w:r>
      <w:r w:rsidR="0072728E">
        <w:rPr>
          <w:rStyle w:val="FootnoteReference"/>
          <w:rFonts w:ascii="Book Antiqua" w:hAnsi="Book Antiqua" w:cs="Calibri"/>
          <w:color w:val="000000" w:themeColor="text1"/>
          <w:sz w:val="24"/>
          <w:szCs w:val="32"/>
        </w:rPr>
        <w:footnoteReference w:id="120"/>
      </w:r>
      <w:r w:rsidR="00591987">
        <w:rPr>
          <w:rFonts w:ascii="Book Antiqua" w:hAnsi="Book Antiqua" w:cs="Calibri"/>
          <w:color w:val="000000" w:themeColor="text1"/>
          <w:sz w:val="24"/>
          <w:szCs w:val="32"/>
        </w:rPr>
        <w:t xml:space="preserve"> </w:t>
      </w:r>
      <w:r w:rsidRPr="001D02FB">
        <w:rPr>
          <w:rFonts w:ascii="Book Antiqua" w:hAnsi="Book Antiqua" w:cs="Calibri"/>
          <w:color w:val="000000" w:themeColor="text1"/>
          <w:sz w:val="24"/>
          <w:szCs w:val="32"/>
        </w:rPr>
        <w:t>Dispute resolution through mediation has the advantage of accelerating the dispute resolution process and providing freedom for the parties to determine the desired solution, so that it can produce a decision that is favorable to all parties involved.</w:t>
      </w:r>
      <w:r w:rsidR="006E4145">
        <w:rPr>
          <w:rStyle w:val="FootnoteReference"/>
          <w:rFonts w:ascii="Book Antiqua" w:hAnsi="Book Antiqua" w:cs="Calibri"/>
          <w:color w:val="000000" w:themeColor="text1"/>
          <w:sz w:val="24"/>
          <w:szCs w:val="32"/>
        </w:rPr>
        <w:footnoteReference w:id="121"/>
      </w:r>
      <w:r w:rsidRPr="001D02FB">
        <w:rPr>
          <w:rFonts w:ascii="Book Antiqua" w:hAnsi="Book Antiqua" w:cs="Calibri"/>
          <w:color w:val="000000" w:themeColor="text1"/>
          <w:sz w:val="24"/>
          <w:szCs w:val="32"/>
        </w:rPr>
        <w:t xml:space="preserve"> However, it is unfortunate that in the Patent Law, mediation is not required as a step to resolve patent disputes for the parties to the dispute</w:t>
      </w:r>
      <w:r w:rsidR="00B362F6">
        <w:rPr>
          <w:rFonts w:ascii="Book Antiqua" w:hAnsi="Book Antiqua" w:cs="Calibri"/>
          <w:color w:val="000000" w:themeColor="text1"/>
          <w:sz w:val="24"/>
          <w:szCs w:val="32"/>
        </w:rPr>
        <w:t>.</w:t>
      </w:r>
      <w:r w:rsidRPr="001D02FB">
        <w:rPr>
          <w:rFonts w:ascii="Book Antiqua" w:hAnsi="Book Antiqua" w:cs="Calibri"/>
          <w:color w:val="000000" w:themeColor="text1"/>
          <w:sz w:val="24"/>
          <w:szCs w:val="32"/>
        </w:rPr>
        <w:t xml:space="preserve"> If the parties directly file a lawsuit with </w:t>
      </w:r>
      <w:r w:rsidRPr="001D02FB">
        <w:rPr>
          <w:rFonts w:ascii="Book Antiqua" w:hAnsi="Book Antiqua" w:cs="Calibri"/>
          <w:color w:val="000000" w:themeColor="text1"/>
          <w:sz w:val="24"/>
          <w:szCs w:val="32"/>
        </w:rPr>
        <w:lastRenderedPageBreak/>
        <w:t xml:space="preserve">the Commercial Court without going through the mediation stage first, there will be an increase in the time required and the costs that must be incurred. Andi Kurniawan, who serves as the legal services division of the patent directorate at the </w:t>
      </w:r>
      <w:r w:rsidR="009B313A">
        <w:rPr>
          <w:rFonts w:ascii="Book Antiqua" w:hAnsi="Book Antiqua" w:cs="Calibri"/>
          <w:color w:val="000000" w:themeColor="text1"/>
          <w:sz w:val="24"/>
          <w:szCs w:val="32"/>
        </w:rPr>
        <w:t>IPR</w:t>
      </w:r>
      <w:r w:rsidRPr="001D02FB">
        <w:rPr>
          <w:rFonts w:ascii="Book Antiqua" w:hAnsi="Book Antiqua" w:cs="Calibri"/>
          <w:color w:val="000000" w:themeColor="text1"/>
          <w:sz w:val="24"/>
          <w:szCs w:val="32"/>
        </w:rPr>
        <w:t>, stated that resolving patent disputes through mediation provides greater benefits for patent holders.</w:t>
      </w:r>
      <w:r w:rsidR="00B362F6">
        <w:rPr>
          <w:rStyle w:val="FootnoteReference"/>
          <w:rFonts w:ascii="Book Antiqua" w:hAnsi="Book Antiqua" w:cs="Calibri"/>
          <w:color w:val="000000" w:themeColor="text1"/>
          <w:sz w:val="24"/>
          <w:szCs w:val="32"/>
        </w:rPr>
        <w:footnoteReference w:id="122"/>
      </w:r>
      <w:r w:rsidR="00591987">
        <w:rPr>
          <w:rFonts w:ascii="Book Antiqua" w:hAnsi="Book Antiqua" w:cs="Calibri"/>
          <w:color w:val="000000" w:themeColor="text1"/>
          <w:sz w:val="24"/>
          <w:szCs w:val="32"/>
        </w:rPr>
        <w:t xml:space="preserve"> </w:t>
      </w:r>
      <w:r w:rsidRPr="001D02FB">
        <w:rPr>
          <w:rFonts w:ascii="Book Antiqua" w:hAnsi="Book Antiqua" w:cs="Calibri"/>
          <w:color w:val="000000" w:themeColor="text1"/>
          <w:sz w:val="24"/>
          <w:szCs w:val="32"/>
        </w:rPr>
        <w:t>If the settlement of patent civil disputes is carried out through mediation before filing a lawsuit to the Commercial Court, there are several advantages that can be obtained by the parties involved, namely: 1). Mediation is an effective method to resolve disputes at a more affordable and targeted cost when compared to submitting the dispute to a court or arbitration institution; 2). Mediation will divert the parties' attention to their real interests and emotional or psychological needs, so that mediation does not focus solely on the legal aspects;</w:t>
      </w:r>
      <w:r>
        <w:rPr>
          <w:rFonts w:ascii="Book Antiqua" w:hAnsi="Book Antiqua" w:cs="Calibri"/>
          <w:color w:val="000000" w:themeColor="text1"/>
          <w:sz w:val="24"/>
          <w:szCs w:val="32"/>
        </w:rPr>
        <w:t xml:space="preserve"> </w:t>
      </w:r>
      <w:r w:rsidRPr="001D02FB">
        <w:rPr>
          <w:rFonts w:ascii="Book Antiqua" w:hAnsi="Book Antiqua" w:cs="Calibri"/>
          <w:color w:val="000000" w:themeColor="text1"/>
          <w:sz w:val="24"/>
          <w:szCs w:val="32"/>
        </w:rPr>
        <w:t>3). Mediation provides all parties with the opportunity to be directly and informally involved in resolving their conflict; 4). Mediation gives all parties the ability to control the process and outcome; 5). Mediation has the ability to transform outcomes that are difficult to predict in litigation and arbitration into certainty through the achievement of consensus; 6). Mediation produces tested results and creates a better understanding between the disputing parties because decisions are made by them.</w:t>
      </w:r>
    </w:p>
    <w:p w14:paraId="1B8C6B67" w14:textId="4322C6FB" w:rsidR="00035FBA" w:rsidRPr="007553F0" w:rsidRDefault="008A0EE2" w:rsidP="00591987">
      <w:pPr>
        <w:pStyle w:val="ListParagraph"/>
        <w:spacing w:after="120" w:line="240" w:lineRule="auto"/>
        <w:ind w:left="0" w:firstLine="360"/>
        <w:contextualSpacing w:val="0"/>
        <w:jc w:val="both"/>
        <w:rPr>
          <w:rFonts w:ascii="Book Antiqua" w:hAnsi="Book Antiqua" w:cs="Calibri"/>
          <w:color w:val="000000" w:themeColor="text1"/>
          <w:sz w:val="24"/>
          <w:szCs w:val="32"/>
        </w:rPr>
      </w:pPr>
      <w:r w:rsidRPr="008A0EE2">
        <w:rPr>
          <w:rFonts w:ascii="Book Antiqua" w:hAnsi="Book Antiqua" w:cs="Calibri"/>
          <w:color w:val="000000" w:themeColor="text1"/>
          <w:sz w:val="24"/>
          <w:szCs w:val="32"/>
        </w:rPr>
        <w:t>Significant benefits will be obtained by all parties involved in patent dispute resolution through the advantages of mediation. If the mediation is successful and the dispute is successfully resolved, then the parties no longer need to take the litigation route which is time-consuming and costly.</w:t>
      </w:r>
      <w:r w:rsidR="008E7CFB">
        <w:rPr>
          <w:rStyle w:val="FootnoteReference"/>
          <w:rFonts w:ascii="Book Antiqua" w:hAnsi="Book Antiqua" w:cs="Calibri"/>
          <w:color w:val="000000" w:themeColor="text1"/>
          <w:sz w:val="24"/>
          <w:szCs w:val="32"/>
        </w:rPr>
        <w:footnoteReference w:id="123"/>
      </w:r>
      <w:r w:rsidRPr="008A0EE2">
        <w:rPr>
          <w:rFonts w:ascii="Book Antiqua" w:hAnsi="Book Antiqua" w:cs="Calibri"/>
          <w:color w:val="000000" w:themeColor="text1"/>
          <w:sz w:val="24"/>
          <w:szCs w:val="32"/>
        </w:rPr>
        <w:t xml:space="preserve"> However, if dispute resolution does not provide benefits and satisfaction to the disputing parties, then the principle of expediency in law is not fulfilled.</w:t>
      </w:r>
      <w:r w:rsidR="008E7CFB">
        <w:rPr>
          <w:rStyle w:val="FootnoteReference"/>
          <w:rFonts w:ascii="Book Antiqua" w:hAnsi="Book Antiqua" w:cs="Calibri"/>
          <w:color w:val="000000" w:themeColor="text1"/>
          <w:sz w:val="24"/>
          <w:szCs w:val="32"/>
        </w:rPr>
        <w:footnoteReference w:id="124"/>
      </w:r>
      <w:r w:rsidRPr="008A0EE2">
        <w:rPr>
          <w:rFonts w:ascii="Book Antiqua" w:hAnsi="Book Antiqua" w:cs="Calibri"/>
          <w:color w:val="000000" w:themeColor="text1"/>
          <w:sz w:val="24"/>
          <w:szCs w:val="32"/>
        </w:rPr>
        <w:t xml:space="preserve"> An effective law is a law that provides benefits to all parties involved, because the community as a legal subject expects fair benefits in the implementation and enforcement of the law.</w:t>
      </w:r>
      <w:r w:rsidR="008E7CFB">
        <w:rPr>
          <w:rStyle w:val="FootnoteReference"/>
          <w:rFonts w:ascii="Book Antiqua" w:hAnsi="Book Antiqua" w:cs="Calibri"/>
          <w:color w:val="000000" w:themeColor="text1"/>
          <w:sz w:val="24"/>
          <w:szCs w:val="32"/>
        </w:rPr>
        <w:footnoteReference w:id="125"/>
      </w:r>
      <w:r w:rsidRPr="008A0EE2">
        <w:rPr>
          <w:rFonts w:ascii="Book Antiqua" w:hAnsi="Book Antiqua" w:cs="Calibri"/>
          <w:color w:val="000000" w:themeColor="text1"/>
          <w:sz w:val="24"/>
          <w:szCs w:val="32"/>
        </w:rPr>
        <w:t xml:space="preserve"> However, the patent dispute resolution regulated in the current Patent Law is still considered not fully fulfilling the principle of expediency which has an impact on justice.</w:t>
      </w:r>
      <w:r w:rsidR="00336B01">
        <w:rPr>
          <w:rStyle w:val="FootnoteReference"/>
          <w:rFonts w:ascii="Book Antiqua" w:hAnsi="Book Antiqua" w:cs="Calibri"/>
          <w:color w:val="000000" w:themeColor="text1"/>
          <w:sz w:val="24"/>
          <w:szCs w:val="32"/>
        </w:rPr>
        <w:footnoteReference w:id="126"/>
      </w:r>
      <w:r w:rsidR="00591987">
        <w:rPr>
          <w:rFonts w:ascii="Book Antiqua" w:hAnsi="Book Antiqua" w:cs="Calibri"/>
          <w:color w:val="000000" w:themeColor="text1"/>
          <w:sz w:val="24"/>
          <w:szCs w:val="32"/>
        </w:rPr>
        <w:t xml:space="preserve"> </w:t>
      </w:r>
      <w:r w:rsidR="00EF5FC1" w:rsidRPr="00EF5FC1">
        <w:rPr>
          <w:rFonts w:ascii="Book Antiqua" w:hAnsi="Book Antiqua" w:cs="Calibri"/>
          <w:color w:val="000000" w:themeColor="text1"/>
          <w:sz w:val="24"/>
          <w:szCs w:val="32"/>
        </w:rPr>
        <w:t>People generally choose to use alternative dispute resolution because there are several factors that provide advantages to this method.</w:t>
      </w:r>
      <w:r w:rsidR="007F3F12">
        <w:rPr>
          <w:rStyle w:val="FootnoteReference"/>
          <w:rFonts w:ascii="Book Antiqua" w:hAnsi="Book Antiqua" w:cs="Calibri"/>
          <w:color w:val="000000" w:themeColor="text1"/>
          <w:sz w:val="24"/>
          <w:szCs w:val="32"/>
        </w:rPr>
        <w:footnoteReference w:id="127"/>
      </w:r>
      <w:r w:rsidR="00EF5FC1" w:rsidRPr="00EF5FC1">
        <w:rPr>
          <w:rFonts w:ascii="Book Antiqua" w:hAnsi="Book Antiqua" w:cs="Calibri"/>
          <w:color w:val="000000" w:themeColor="text1"/>
          <w:sz w:val="24"/>
          <w:szCs w:val="32"/>
        </w:rPr>
        <w:t xml:space="preserve"> One of these factors is the economic factor, where alternative dispute resolution can save costs that must be incurred by the parties to the dispute.</w:t>
      </w:r>
      <w:r w:rsidR="007F3F12">
        <w:rPr>
          <w:rStyle w:val="FootnoteReference"/>
          <w:rFonts w:ascii="Book Antiqua" w:hAnsi="Book Antiqua" w:cs="Calibri"/>
          <w:color w:val="000000" w:themeColor="text1"/>
          <w:sz w:val="24"/>
          <w:szCs w:val="32"/>
        </w:rPr>
        <w:footnoteReference w:id="128"/>
      </w:r>
      <w:r w:rsidR="00EF5FC1" w:rsidRPr="00EF5FC1">
        <w:rPr>
          <w:rFonts w:ascii="Book Antiqua" w:hAnsi="Book Antiqua" w:cs="Calibri"/>
          <w:color w:val="000000" w:themeColor="text1"/>
          <w:sz w:val="24"/>
          <w:szCs w:val="32"/>
        </w:rPr>
        <w:t xml:space="preserve"> In addition, this method also has advantages in terms of the broad scope of issues that can be discussed. In alternative dispute resolution, the parties have the opportunity to discuss various aspects related to their dispute, making it possible to reach a more comprehensive solution. Therefore, if mediation is made mandatory for all parties in resolving patent disputes, it will provide positive benefits for all parties </w:t>
      </w:r>
      <w:r w:rsidR="00EF5FC1" w:rsidRPr="00EF5FC1">
        <w:rPr>
          <w:rFonts w:ascii="Book Antiqua" w:hAnsi="Book Antiqua" w:cs="Calibri"/>
          <w:color w:val="000000" w:themeColor="text1"/>
          <w:sz w:val="24"/>
          <w:szCs w:val="32"/>
        </w:rPr>
        <w:lastRenderedPageBreak/>
        <w:t>involved.</w:t>
      </w:r>
      <w:r w:rsidR="00770387">
        <w:rPr>
          <w:rStyle w:val="FootnoteReference"/>
          <w:rFonts w:ascii="Book Antiqua" w:hAnsi="Book Antiqua" w:cs="Calibri"/>
          <w:color w:val="000000" w:themeColor="text1"/>
          <w:sz w:val="24"/>
          <w:szCs w:val="32"/>
        </w:rPr>
        <w:footnoteReference w:id="129"/>
      </w:r>
      <w:r w:rsidR="00EF5FC1">
        <w:rPr>
          <w:rFonts w:ascii="Book Antiqua" w:hAnsi="Book Antiqua" w:cs="Calibri"/>
          <w:color w:val="000000" w:themeColor="text1"/>
          <w:sz w:val="24"/>
          <w:szCs w:val="32"/>
        </w:rPr>
        <w:t xml:space="preserve"> </w:t>
      </w:r>
      <w:r w:rsidR="00EF5FC1" w:rsidRPr="00EF5FC1">
        <w:rPr>
          <w:rFonts w:ascii="Book Antiqua" w:hAnsi="Book Antiqua" w:cs="Calibri"/>
          <w:color w:val="000000" w:themeColor="text1"/>
          <w:sz w:val="24"/>
          <w:szCs w:val="32"/>
        </w:rPr>
        <w:t xml:space="preserve">As previously explained regarding the theory of legal objectives explained by Gustav </w:t>
      </w:r>
      <w:proofErr w:type="spellStart"/>
      <w:r w:rsidR="00EF5FC1" w:rsidRPr="00EF5FC1">
        <w:rPr>
          <w:rFonts w:ascii="Book Antiqua" w:hAnsi="Book Antiqua" w:cs="Calibri"/>
          <w:color w:val="000000" w:themeColor="text1"/>
          <w:sz w:val="24"/>
          <w:szCs w:val="32"/>
        </w:rPr>
        <w:t>Radbruch</w:t>
      </w:r>
      <w:proofErr w:type="spellEnd"/>
      <w:r w:rsidR="00EF5FC1" w:rsidRPr="00EF5FC1">
        <w:rPr>
          <w:rFonts w:ascii="Book Antiqua" w:hAnsi="Book Antiqua" w:cs="Calibri"/>
          <w:color w:val="000000" w:themeColor="text1"/>
          <w:sz w:val="24"/>
          <w:szCs w:val="32"/>
        </w:rPr>
        <w:t>, legal objectives must not only be oriented towards justice and legal certainty, but must also pay attention to the principle of expediency.</w:t>
      </w:r>
      <w:r w:rsidR="00770387">
        <w:rPr>
          <w:rStyle w:val="FootnoteReference"/>
          <w:rFonts w:ascii="Book Antiqua" w:hAnsi="Book Antiqua" w:cs="Calibri"/>
          <w:color w:val="000000" w:themeColor="text1"/>
          <w:sz w:val="24"/>
          <w:szCs w:val="32"/>
        </w:rPr>
        <w:footnoteReference w:id="130"/>
      </w:r>
      <w:r w:rsidR="00EF5FC1" w:rsidRPr="00EF5FC1">
        <w:rPr>
          <w:rFonts w:ascii="Book Antiqua" w:hAnsi="Book Antiqua" w:cs="Calibri"/>
          <w:color w:val="000000" w:themeColor="text1"/>
          <w:sz w:val="24"/>
          <w:szCs w:val="32"/>
        </w:rPr>
        <w:t xml:space="preserve"> The approach based on the theory of legal objectives provides a new perspective on law related to patterns of human behavior. Previously, law was only seen as "right and wrong", but now this approach changes it to "risks and benefits". In this theory, it is considered that the purpose of law involves expediency, in addition to certainty and justice. Basically, the principle of expediency is between the principle of legal certainty and the principle of justice. Laws are basically formed to protect human interests. Therefore, in the Patent Law, specific regulations must provide maximum benefits for the welfare of society.</w:t>
      </w:r>
    </w:p>
    <w:p w14:paraId="2E1A272A" w14:textId="77777777" w:rsidR="00591987" w:rsidRDefault="00591987" w:rsidP="00645A5E">
      <w:pPr>
        <w:spacing w:after="120" w:line="240" w:lineRule="auto"/>
        <w:jc w:val="both"/>
        <w:rPr>
          <w:rFonts w:ascii="Book Antiqua" w:hAnsi="Book Antiqua"/>
          <w:b/>
          <w:color w:val="4472C4" w:themeColor="accent1"/>
          <w:sz w:val="24"/>
          <w:szCs w:val="24"/>
        </w:rPr>
      </w:pPr>
    </w:p>
    <w:p w14:paraId="4490C747" w14:textId="42180239" w:rsidR="004B1F20" w:rsidRPr="00EE6288" w:rsidRDefault="00636FF5" w:rsidP="00645A5E">
      <w:pPr>
        <w:spacing w:after="120" w:line="240" w:lineRule="auto"/>
        <w:jc w:val="both"/>
        <w:rPr>
          <w:rFonts w:ascii="Book Antiqua" w:hAnsi="Book Antiqua"/>
          <w:b/>
          <w:bCs/>
          <w:color w:val="FFC000" w:themeColor="accent4"/>
          <w:szCs w:val="22"/>
          <w:lang w:val="id-ID"/>
        </w:rPr>
      </w:pPr>
      <w:r w:rsidRPr="00636FF5">
        <w:rPr>
          <w:rFonts w:ascii="Book Antiqua" w:hAnsi="Book Antiqua"/>
          <w:b/>
          <w:color w:val="4472C4" w:themeColor="accent1"/>
          <w:sz w:val="24"/>
          <w:szCs w:val="24"/>
        </w:rPr>
        <w:t>CONCLUSION</w:t>
      </w:r>
    </w:p>
    <w:p w14:paraId="22FD8791" w14:textId="585624B9" w:rsidR="00560BF3" w:rsidRDefault="000D11E9" w:rsidP="00182585">
      <w:pPr>
        <w:spacing w:after="0" w:line="240" w:lineRule="auto"/>
        <w:ind w:firstLine="360"/>
        <w:jc w:val="both"/>
        <w:rPr>
          <w:rFonts w:ascii="Book Antiqua" w:hAnsi="Book Antiqua" w:cstheme="majorHAnsi"/>
          <w:color w:val="000000" w:themeColor="text1"/>
          <w:sz w:val="24"/>
          <w:szCs w:val="24"/>
          <w:lang w:val="en-GB"/>
        </w:rPr>
      </w:pPr>
      <w:r w:rsidRPr="000D11E9">
        <w:rPr>
          <w:rFonts w:ascii="Book Antiqua" w:hAnsi="Book Antiqua" w:cstheme="majorHAnsi"/>
          <w:color w:val="000000" w:themeColor="text1"/>
          <w:sz w:val="24"/>
          <w:szCs w:val="24"/>
          <w:lang w:val="en-GB"/>
        </w:rPr>
        <w:t>The Legal Arrangement of Patent Rights in Indonesia today has improved the regulations on IPR, one of which is patent rights, which is currently outlined in Law Number 13 of 2016 concerning patents.</w:t>
      </w:r>
      <w:r w:rsidR="00182585" w:rsidRPr="00182585">
        <w:rPr>
          <w:rFonts w:ascii="Book Antiqua" w:hAnsi="Book Antiqua" w:cstheme="majorHAnsi"/>
          <w:color w:val="000000" w:themeColor="text1"/>
          <w:sz w:val="24"/>
          <w:szCs w:val="24"/>
          <w:lang w:val="en-GB"/>
        </w:rPr>
        <w:t xml:space="preserve"> The improvement of the patent regulation is intended as an adjustment to international agreements such as the Trade Related Aspects of Intellectual Property Rights Agreement (TRIPS Agreement) that Indonesia has signed. If examined fundamentally, the improvement of the patent law is carried out covering several aspects of the approach, namely: 1). Optimizing the presence of the state in the best government services in the field of intellectual property; 2). </w:t>
      </w:r>
      <w:proofErr w:type="spellStart"/>
      <w:r w:rsidR="00182585" w:rsidRPr="00182585">
        <w:rPr>
          <w:rFonts w:ascii="Book Antiqua" w:hAnsi="Book Antiqua" w:cstheme="majorHAnsi"/>
          <w:color w:val="000000" w:themeColor="text1"/>
          <w:sz w:val="24"/>
          <w:szCs w:val="24"/>
          <w:lang w:val="en-GB"/>
        </w:rPr>
        <w:t>Favoring</w:t>
      </w:r>
      <w:proofErr w:type="spellEnd"/>
      <w:r w:rsidR="00182585" w:rsidRPr="00182585">
        <w:rPr>
          <w:rFonts w:ascii="Book Antiqua" w:hAnsi="Book Antiqua" w:cstheme="majorHAnsi"/>
          <w:color w:val="000000" w:themeColor="text1"/>
          <w:sz w:val="24"/>
          <w:szCs w:val="24"/>
          <w:lang w:val="en-GB"/>
        </w:rPr>
        <w:t xml:space="preserve"> Indonesia's interests without violating international principles; 3). Realizing economic independence by driving strategic sectors of the domestic economy by encouraging national inventions in the field of technology to realize technological strengthening; 4). Building a national patent foundation through a pragmatic legal realism approach.</w:t>
      </w:r>
    </w:p>
    <w:p w14:paraId="59E371CD" w14:textId="4F5B14C7" w:rsidR="002C3A2A" w:rsidRDefault="00DB6AC0" w:rsidP="00182585">
      <w:pPr>
        <w:spacing w:after="0" w:line="240" w:lineRule="auto"/>
        <w:ind w:firstLine="360"/>
        <w:jc w:val="both"/>
        <w:rPr>
          <w:rFonts w:ascii="Book Antiqua" w:hAnsi="Book Antiqua" w:cstheme="majorHAnsi"/>
          <w:color w:val="000000" w:themeColor="text1"/>
          <w:sz w:val="24"/>
          <w:szCs w:val="24"/>
          <w:lang w:val="en-GB"/>
        </w:rPr>
      </w:pPr>
      <w:r w:rsidRPr="00DB6AC0">
        <w:rPr>
          <w:rFonts w:ascii="Book Antiqua" w:hAnsi="Book Antiqua" w:cstheme="majorHAnsi"/>
          <w:color w:val="000000" w:themeColor="text1"/>
          <w:sz w:val="24"/>
          <w:szCs w:val="24"/>
          <w:lang w:val="en-GB"/>
        </w:rPr>
        <w:t>Unfortunately, the principles of legal certainty, justice, and expediency in patent dispute settlement have not been properly applied in the Patent Law. This discrepancy can be seen in Article 142 and Article 153 of the Patent Law which regulate the settlement of patent civil disputes. The mediation stage regulated in the settlement of patent civil disputes is only a norm that regulates (</w:t>
      </w:r>
      <w:proofErr w:type="spellStart"/>
      <w:r w:rsidRPr="00591987">
        <w:rPr>
          <w:rFonts w:ascii="Book Antiqua" w:hAnsi="Book Antiqua" w:cstheme="majorHAnsi"/>
          <w:i/>
          <w:iCs/>
          <w:color w:val="000000" w:themeColor="text1"/>
          <w:sz w:val="24"/>
          <w:szCs w:val="24"/>
          <w:lang w:val="en-GB"/>
        </w:rPr>
        <w:t>aanvullen</w:t>
      </w:r>
      <w:proofErr w:type="spellEnd"/>
      <w:r w:rsidRPr="00DB6AC0">
        <w:rPr>
          <w:rFonts w:ascii="Book Antiqua" w:hAnsi="Book Antiqua" w:cstheme="majorHAnsi"/>
          <w:color w:val="000000" w:themeColor="text1"/>
          <w:sz w:val="24"/>
          <w:szCs w:val="24"/>
          <w:lang w:val="en-GB"/>
        </w:rPr>
        <w:t>), not as a binding obligation (</w:t>
      </w:r>
      <w:proofErr w:type="spellStart"/>
      <w:r w:rsidRPr="00591987">
        <w:rPr>
          <w:rFonts w:ascii="Book Antiqua" w:hAnsi="Book Antiqua" w:cstheme="majorHAnsi"/>
          <w:i/>
          <w:iCs/>
          <w:color w:val="000000" w:themeColor="text1"/>
          <w:sz w:val="24"/>
          <w:szCs w:val="24"/>
          <w:lang w:val="en-GB"/>
        </w:rPr>
        <w:t>dwingend</w:t>
      </w:r>
      <w:proofErr w:type="spellEnd"/>
      <w:r w:rsidRPr="00DB6AC0">
        <w:rPr>
          <w:rFonts w:ascii="Book Antiqua" w:hAnsi="Book Antiqua" w:cstheme="majorHAnsi"/>
          <w:color w:val="000000" w:themeColor="text1"/>
          <w:sz w:val="24"/>
          <w:szCs w:val="24"/>
          <w:lang w:val="en-GB"/>
        </w:rPr>
        <w:t>). Therefore, the settlement of patent civil disputes depends on the initiative of the parties to use alternative dispute resolution, namely directly through the court (litigation) or through A</w:t>
      </w:r>
      <w:r>
        <w:rPr>
          <w:rFonts w:ascii="Book Antiqua" w:hAnsi="Book Antiqua" w:cstheme="majorHAnsi"/>
          <w:color w:val="000000" w:themeColor="text1"/>
          <w:sz w:val="24"/>
          <w:szCs w:val="24"/>
          <w:lang w:val="en-GB"/>
        </w:rPr>
        <w:t>DR</w:t>
      </w:r>
      <w:r w:rsidRPr="00DB6AC0">
        <w:rPr>
          <w:rFonts w:ascii="Book Antiqua" w:hAnsi="Book Antiqua" w:cstheme="majorHAnsi"/>
          <w:color w:val="000000" w:themeColor="text1"/>
          <w:sz w:val="24"/>
          <w:szCs w:val="24"/>
          <w:lang w:val="en-GB"/>
        </w:rPr>
        <w:t xml:space="preserve"> such as mediation (non-litigation). The Theory of Legal Objectives proposed by Gustav </w:t>
      </w:r>
      <w:proofErr w:type="spellStart"/>
      <w:r w:rsidRPr="00DB6AC0">
        <w:rPr>
          <w:rFonts w:ascii="Book Antiqua" w:hAnsi="Book Antiqua" w:cstheme="majorHAnsi"/>
          <w:color w:val="000000" w:themeColor="text1"/>
          <w:sz w:val="24"/>
          <w:szCs w:val="24"/>
          <w:lang w:val="en-GB"/>
        </w:rPr>
        <w:t>Radbruch</w:t>
      </w:r>
      <w:proofErr w:type="spellEnd"/>
      <w:r w:rsidRPr="00DB6AC0">
        <w:rPr>
          <w:rFonts w:ascii="Book Antiqua" w:hAnsi="Book Antiqua" w:cstheme="majorHAnsi"/>
          <w:color w:val="000000" w:themeColor="text1"/>
          <w:sz w:val="24"/>
          <w:szCs w:val="24"/>
          <w:lang w:val="en-GB"/>
        </w:rPr>
        <w:t xml:space="preserve"> explains that the law in its purpose needs to be oriented towards three things, namely certainty, justice, and expediency. Therefore, the regulations contained in the Patent Law must be oriented towards these 3 legal objectives, and it will be a problem if existing regulations such as the Patent Law in resolving patent civil disputes actually deviate from what is stated in the theory of legal objectives, namely the principle of usefulness. This is also in accordance with the example of the case in the Court Decision at the Supreme Court level belonging to Nokia Technologies Oy who filed a lawsuit with a "win-lose" result which interprets uselessness in the midst of justice and legal certainty.</w:t>
      </w:r>
    </w:p>
    <w:p w14:paraId="544160DF" w14:textId="516EA3C5" w:rsidR="002C3A2A" w:rsidRDefault="002C3A2A" w:rsidP="00182585">
      <w:pPr>
        <w:spacing w:after="0" w:line="240" w:lineRule="auto"/>
        <w:ind w:firstLine="360"/>
        <w:jc w:val="both"/>
        <w:rPr>
          <w:rFonts w:ascii="Book Antiqua" w:hAnsi="Book Antiqua" w:cstheme="majorHAnsi"/>
          <w:color w:val="000000" w:themeColor="text1"/>
          <w:sz w:val="24"/>
          <w:szCs w:val="24"/>
          <w:lang w:val="en-GB"/>
        </w:rPr>
      </w:pPr>
      <w:r w:rsidRPr="002C3A2A">
        <w:rPr>
          <w:rFonts w:ascii="Book Antiqua" w:hAnsi="Book Antiqua" w:cstheme="majorHAnsi"/>
          <w:color w:val="000000" w:themeColor="text1"/>
          <w:sz w:val="24"/>
          <w:szCs w:val="24"/>
          <w:lang w:val="en-GB"/>
        </w:rPr>
        <w:lastRenderedPageBreak/>
        <w:t xml:space="preserve">In an ideal dispute resolution based on the implementation of the aspects of justice, legal certainty, and usefulness, mediation is the best alternative dispute resolution before entering the realm of litigation, this has proven to be more effective as a method that should be pursued by all parties involved because of its win-win solution. Therefore, as a suggestion, the Government should review the Patent Law, especially Article 142 and Article 153 relating to civil dispute resolution, by requiring mediation as a mechanism that must be carried out by all parties, in accordance with the norms that apply in criminal patent dispute resolution. This is important considering that Intellectual Property Rights (IPR), especially patents, are personal rights and are closely related to the business world and have high economic value. The theory of legal objectives put forward by Gustav </w:t>
      </w:r>
      <w:proofErr w:type="spellStart"/>
      <w:r w:rsidRPr="002C3A2A">
        <w:rPr>
          <w:rFonts w:ascii="Book Antiqua" w:hAnsi="Book Antiqua" w:cstheme="majorHAnsi"/>
          <w:color w:val="000000" w:themeColor="text1"/>
          <w:sz w:val="24"/>
          <w:szCs w:val="24"/>
          <w:lang w:val="en-GB"/>
        </w:rPr>
        <w:t>Radbruch</w:t>
      </w:r>
      <w:proofErr w:type="spellEnd"/>
      <w:r w:rsidRPr="002C3A2A">
        <w:rPr>
          <w:rFonts w:ascii="Book Antiqua" w:hAnsi="Book Antiqua" w:cstheme="majorHAnsi"/>
          <w:color w:val="000000" w:themeColor="text1"/>
          <w:sz w:val="24"/>
          <w:szCs w:val="24"/>
          <w:lang w:val="en-GB"/>
        </w:rPr>
        <w:t xml:space="preserve"> states that law is not only oriented towards justice, and legal certainty but must be efficient and useful. Therefore, in revising the Patent Law, the government should not only prioritize justice and legal certainty, but also consider the benefits for all parties involved, including the obligation to conduct mediation.</w:t>
      </w:r>
    </w:p>
    <w:p w14:paraId="7675E36E" w14:textId="77777777" w:rsidR="00746761" w:rsidRPr="00EE6288" w:rsidRDefault="00746761" w:rsidP="00AA1A42">
      <w:pPr>
        <w:spacing w:after="0" w:line="240" w:lineRule="auto"/>
        <w:jc w:val="both"/>
        <w:rPr>
          <w:rFonts w:ascii="Book Antiqua" w:hAnsi="Book Antiqua" w:cs="Calibri"/>
          <w:bCs/>
          <w:color w:val="333333"/>
        </w:rPr>
      </w:pPr>
    </w:p>
    <w:p w14:paraId="23A2EA06" w14:textId="0BD13558" w:rsidR="004B1F20" w:rsidRDefault="00636FF5" w:rsidP="009A3BE0">
      <w:pPr>
        <w:spacing w:after="120" w:line="240" w:lineRule="auto"/>
        <w:jc w:val="both"/>
        <w:rPr>
          <w:rFonts w:ascii="Book Antiqua" w:eastAsia="Arial Unicode MS" w:hAnsi="Book Antiqua" w:cstheme="majorHAnsi"/>
          <w:b/>
          <w:color w:val="4472C4" w:themeColor="accent1"/>
          <w:sz w:val="24"/>
          <w:szCs w:val="24"/>
          <w:lang w:val="en-GB"/>
        </w:rPr>
      </w:pPr>
      <w:r w:rsidRPr="00636FF5">
        <w:rPr>
          <w:rFonts w:ascii="Book Antiqua" w:eastAsia="Arial Unicode MS" w:hAnsi="Book Antiqua" w:cstheme="majorHAnsi"/>
          <w:b/>
          <w:color w:val="4472C4" w:themeColor="accent1"/>
          <w:sz w:val="24"/>
          <w:szCs w:val="24"/>
          <w:lang w:val="en-GB"/>
        </w:rPr>
        <w:t>REFERENCES</w:t>
      </w:r>
    </w:p>
    <w:p w14:paraId="73F81694" w14:textId="4E1DD9A9" w:rsidR="00D069F4" w:rsidRPr="00D069F4" w:rsidRDefault="00D069F4" w:rsidP="009A3BE0">
      <w:pPr>
        <w:spacing w:after="120" w:line="240" w:lineRule="auto"/>
        <w:jc w:val="both"/>
        <w:rPr>
          <w:rFonts w:ascii="Book Antiqua" w:eastAsia="Arial Unicode MS" w:hAnsi="Book Antiqua" w:cstheme="majorHAnsi"/>
          <w:b/>
          <w:i/>
          <w:iCs/>
          <w:color w:val="000000" w:themeColor="text1"/>
          <w:sz w:val="24"/>
          <w:szCs w:val="24"/>
          <w:lang w:val="en-GB"/>
        </w:rPr>
      </w:pPr>
      <w:r w:rsidRPr="00D069F4">
        <w:rPr>
          <w:rFonts w:ascii="Book Antiqua" w:eastAsia="Arial Unicode MS" w:hAnsi="Book Antiqua" w:cstheme="majorHAnsi"/>
          <w:b/>
          <w:i/>
          <w:iCs/>
          <w:color w:val="000000" w:themeColor="text1"/>
          <w:sz w:val="24"/>
          <w:szCs w:val="24"/>
          <w:lang w:val="en-GB"/>
        </w:rPr>
        <w:t>Journal Article</w:t>
      </w:r>
    </w:p>
    <w:bookmarkEnd w:id="0"/>
    <w:bookmarkEnd w:id="1"/>
    <w:p w14:paraId="39299283" w14:textId="2ECC0F05" w:rsidR="002C142A" w:rsidRPr="002C142A" w:rsidRDefault="00756DB1"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cs="Calibri"/>
          <w:noProof/>
          <w:sz w:val="24"/>
          <w:szCs w:val="24"/>
        </w:rPr>
        <w:fldChar w:fldCharType="begin" w:fldLock="1"/>
      </w:r>
      <w:r w:rsidRPr="002C142A">
        <w:rPr>
          <w:rFonts w:ascii="Book Antiqua" w:hAnsi="Book Antiqua" w:cs="Calibri"/>
          <w:noProof/>
          <w:sz w:val="24"/>
          <w:szCs w:val="24"/>
        </w:rPr>
        <w:instrText xml:space="preserve">ADDIN Mendeley Bibliography CSL_BIBLIOGRAPHY </w:instrText>
      </w:r>
      <w:r w:rsidRPr="002C142A">
        <w:rPr>
          <w:rFonts w:ascii="Book Antiqua" w:hAnsi="Book Antiqua" w:cs="Calibri"/>
          <w:noProof/>
          <w:sz w:val="24"/>
          <w:szCs w:val="24"/>
        </w:rPr>
        <w:fldChar w:fldCharType="separate"/>
      </w:r>
      <w:r w:rsidR="002C142A" w:rsidRPr="002C142A">
        <w:rPr>
          <w:rFonts w:ascii="Book Antiqua" w:hAnsi="Book Antiqua"/>
          <w:noProof/>
          <w:sz w:val="24"/>
          <w:szCs w:val="24"/>
        </w:rPr>
        <w:t xml:space="preserve">Abdillah, Muhammad Faizal, Joko Sriwidodo, and Marni Emmy Mustafa. “Penyelesaian Sengketa Terhadap Hak Paten Yang Tidak Memiliki Unsur Kebaharuan Di Indonesia.” </w:t>
      </w:r>
      <w:r w:rsidR="002C142A" w:rsidRPr="002C142A">
        <w:rPr>
          <w:rFonts w:ascii="Book Antiqua" w:hAnsi="Book Antiqua"/>
          <w:i/>
          <w:iCs/>
          <w:noProof/>
          <w:sz w:val="24"/>
          <w:szCs w:val="24"/>
        </w:rPr>
        <w:t>PERFECTO</w:t>
      </w:r>
      <w:r w:rsidR="002C142A" w:rsidRPr="002C142A">
        <w:rPr>
          <w:rFonts w:ascii="Times New Roman" w:hAnsi="Times New Roman"/>
          <w:i/>
          <w:iCs/>
          <w:noProof/>
          <w:sz w:val="24"/>
          <w:szCs w:val="24"/>
        </w:rPr>
        <w:t> </w:t>
      </w:r>
      <w:r w:rsidR="002C142A" w:rsidRPr="002C142A">
        <w:rPr>
          <w:rFonts w:ascii="Book Antiqua" w:hAnsi="Book Antiqua"/>
          <w:i/>
          <w:iCs/>
          <w:noProof/>
          <w:sz w:val="24"/>
          <w:szCs w:val="24"/>
        </w:rPr>
        <w:t>: Jurnal Ilmu Hukum</w:t>
      </w:r>
      <w:r w:rsidR="002C142A" w:rsidRPr="002C142A">
        <w:rPr>
          <w:rFonts w:ascii="Book Antiqua" w:hAnsi="Book Antiqua"/>
          <w:noProof/>
          <w:sz w:val="24"/>
          <w:szCs w:val="24"/>
        </w:rPr>
        <w:t xml:space="preserve"> 01, no. 4 (2023): 319–36. https://doi.org/10.32884/jih.v1i4.1629.</w:t>
      </w:r>
    </w:p>
    <w:p w14:paraId="0AE67D57"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Akbar, Indra Padillah, and Asep Sarifudin. “Legalitas Kecerdasan Buatan (Artificial Intelligence) Sebagai Subjek Hukum Pemegang Hak Paten.” </w:t>
      </w:r>
      <w:r w:rsidRPr="002C142A">
        <w:rPr>
          <w:rFonts w:ascii="Book Antiqua" w:hAnsi="Book Antiqua"/>
          <w:i/>
          <w:iCs/>
          <w:noProof/>
          <w:sz w:val="24"/>
          <w:szCs w:val="24"/>
        </w:rPr>
        <w:t>NUSANTARA: Jurnal Ilmu Pengetahuan Sosial</w:t>
      </w:r>
      <w:r w:rsidRPr="002C142A">
        <w:rPr>
          <w:rFonts w:ascii="Book Antiqua" w:hAnsi="Book Antiqua"/>
          <w:noProof/>
          <w:sz w:val="24"/>
          <w:szCs w:val="24"/>
        </w:rPr>
        <w:t xml:space="preserve"> 11, no. 2 (2024): 779–88.</w:t>
      </w:r>
    </w:p>
    <w:p w14:paraId="47632C9A"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Anthon Fathanudien. “Peranan Perlindungan Kekayaan Intelektual Dalam Bidang Teknologi Pada Era Revolusi Industri 4.0.” </w:t>
      </w:r>
      <w:r w:rsidRPr="002C142A">
        <w:rPr>
          <w:rFonts w:ascii="Book Antiqua" w:hAnsi="Book Antiqua"/>
          <w:i/>
          <w:iCs/>
          <w:noProof/>
          <w:sz w:val="24"/>
          <w:szCs w:val="24"/>
        </w:rPr>
        <w:t>Universitas Kuningan</w:t>
      </w:r>
      <w:r w:rsidRPr="002C142A">
        <w:rPr>
          <w:rFonts w:ascii="Book Antiqua" w:hAnsi="Book Antiqua"/>
          <w:noProof/>
          <w:sz w:val="24"/>
          <w:szCs w:val="24"/>
        </w:rPr>
        <w:t xml:space="preserve"> XIX, no. 2 (2023): 1–16.</w:t>
      </w:r>
    </w:p>
    <w:p w14:paraId="42B2DA0D"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Aruan, Haposan Lambelouis Valentino. “Perlindungan Hukum Pemegang Paten Di Indonesia Studi Kasus No 46/Pdt.Sus-Paten/2021/PN.Niaga.Jkt.Pst.” Universitas Kristen Indonesia, 2023. http://repository.uki.ac.id/12453/.</w:t>
      </w:r>
    </w:p>
    <w:p w14:paraId="6263F0D9"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Azis, Dimas Akbar Iqbal. “Akibat Hukum Berlakunya Undang-Undang Nomor 13 Tahun 2016 Tentang Paten Terhadap Perkembangan Dan Perlindungan Paten Di Indonesia,” 2021, 1689–99. http://journal.unilak.ac.id/index.php/JIEB/article/view/3845%0Ahttp://dspace.uc.ac.id/handle/123456789/1288.</w:t>
      </w:r>
    </w:p>
    <w:p w14:paraId="2F1BA3A7"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Azizah, Ida Nur. “Pertentangan Pemberian Perlindungan Hak Paten Terhadap Invensi Penggunaan Teknologi CRISPR-Cas9 Pada Gen Manusia.” </w:t>
      </w:r>
      <w:r w:rsidRPr="002C142A">
        <w:rPr>
          <w:rFonts w:ascii="Book Antiqua" w:hAnsi="Book Antiqua"/>
          <w:i/>
          <w:iCs/>
          <w:noProof/>
          <w:sz w:val="24"/>
          <w:szCs w:val="24"/>
        </w:rPr>
        <w:t>Unes Law Review</w:t>
      </w:r>
      <w:r w:rsidRPr="002C142A">
        <w:rPr>
          <w:rFonts w:ascii="Book Antiqua" w:hAnsi="Book Antiqua"/>
          <w:noProof/>
          <w:sz w:val="24"/>
          <w:szCs w:val="24"/>
        </w:rPr>
        <w:t xml:space="preserve"> 5, no. 4 (2023): 3001–14. https://doi.org/10.31933/unesrev.v5i4.</w:t>
      </w:r>
    </w:p>
    <w:p w14:paraId="526209F2"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Balqis, Wizna Gania. “Perlindungan Merek Sebagai Hak Kekayaan Intelektual: Studi Di Kota Semarang, Indonesia.” </w:t>
      </w:r>
      <w:r w:rsidRPr="002C142A">
        <w:rPr>
          <w:rFonts w:ascii="Book Antiqua" w:hAnsi="Book Antiqua"/>
          <w:i/>
          <w:iCs/>
          <w:noProof/>
          <w:sz w:val="24"/>
          <w:szCs w:val="24"/>
        </w:rPr>
        <w:t>Journal of Judicial Review</w:t>
      </w:r>
      <w:r w:rsidRPr="002C142A">
        <w:rPr>
          <w:rFonts w:ascii="Book Antiqua" w:hAnsi="Book Antiqua"/>
          <w:noProof/>
          <w:sz w:val="24"/>
          <w:szCs w:val="24"/>
        </w:rPr>
        <w:t xml:space="preserve"> 23, no. 1 (2021): 41. https://doi.org/10.37253/jjr.v23i1.4360.</w:t>
      </w:r>
    </w:p>
    <w:p w14:paraId="16245F4F"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Darusman, Yoyon M. “Kedudukan Serta Perlindungan Hukum Bagi Pemegang Hak Paten Dalam Kerangka Hukum Nasional Indonesia Dan Hukum Internasional.” </w:t>
      </w:r>
      <w:r w:rsidRPr="002C142A">
        <w:rPr>
          <w:rFonts w:ascii="Book Antiqua" w:hAnsi="Book Antiqua"/>
          <w:i/>
          <w:iCs/>
          <w:noProof/>
          <w:sz w:val="24"/>
          <w:szCs w:val="24"/>
        </w:rPr>
        <w:t xml:space="preserve">Yustisia </w:t>
      </w:r>
      <w:r w:rsidRPr="002C142A">
        <w:rPr>
          <w:rFonts w:ascii="Book Antiqua" w:hAnsi="Book Antiqua"/>
          <w:i/>
          <w:iCs/>
          <w:noProof/>
          <w:sz w:val="24"/>
          <w:szCs w:val="24"/>
        </w:rPr>
        <w:lastRenderedPageBreak/>
        <w:t>Jurnal Hukum</w:t>
      </w:r>
      <w:r w:rsidRPr="002C142A">
        <w:rPr>
          <w:rFonts w:ascii="Book Antiqua" w:hAnsi="Book Antiqua"/>
          <w:noProof/>
          <w:sz w:val="24"/>
          <w:szCs w:val="24"/>
        </w:rPr>
        <w:t xml:space="preserve"> 5, no. 1 (2016): 203–15. https://doi.org/10.20961/yustisia.v5i1.8732.</w:t>
      </w:r>
    </w:p>
    <w:p w14:paraId="0C691DBD"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Disemadi, Hari Sutra, and Cindy Kang. “Tantangan Penegakan Hukum Hak Kekayaan Intelektual Dalam Pengembangan Ekonomi Kreatif Di Era Revolusi Industri 4.0.” </w:t>
      </w:r>
      <w:r w:rsidRPr="002C142A">
        <w:rPr>
          <w:rFonts w:ascii="Book Antiqua" w:hAnsi="Book Antiqua"/>
          <w:i/>
          <w:iCs/>
          <w:noProof/>
          <w:sz w:val="24"/>
          <w:szCs w:val="24"/>
        </w:rPr>
        <w:t>Jurnal Komunikasi Hukum (JKH)</w:t>
      </w:r>
      <w:r w:rsidRPr="002C142A">
        <w:rPr>
          <w:rFonts w:ascii="Book Antiqua" w:hAnsi="Book Antiqua"/>
          <w:noProof/>
          <w:sz w:val="24"/>
          <w:szCs w:val="24"/>
        </w:rPr>
        <w:t xml:space="preserve"> 7, no. 1 (2021): 54–71. https://doi.org/10.23887/jkh.v7i1.31457.</w:t>
      </w:r>
    </w:p>
    <w:p w14:paraId="37A68C70"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DJKI. “Laporan Tahunan Direktorat Jenderal Kekayaan Intelektual 2020,” 2020. https://ppid.dgip.go.id/file/1745999650.pdf.</w:t>
      </w:r>
    </w:p>
    <w:p w14:paraId="0B66880C"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Erfamiati, Alifia Devi. “Perlindungan Hukum Terhadap Pemegang Hak Paten Ditinjau Dari UU No 14 Tahun 2001 Tentang Hak Paten” 1, no. 2 (2019): 106–75.</w:t>
      </w:r>
    </w:p>
    <w:p w14:paraId="777DE24A"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Erlina, and Melisa Safitri. “Analisi Komparasi Antara Perlindungan Paten Biasa Dengan Paten Sederhan Berdasarkan Undang-Undang Paten,” 2020, 1–23.</w:t>
      </w:r>
    </w:p>
    <w:p w14:paraId="335F17FC"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Gorda, AAA. Ngr. Sri Rahayu, Putu Eva Ditayani Antari, and Ida Ayu Ketut Artami. “Sosialisasi Hak Cipta Dan Hak Merek Pada Kelompok Usaha Kecil Dan Menengah (UKM) Sebagai Aset Bisnis Di Era Industri Kreatif (Sosialisasi Hak Merek Dan Hak Paten Pada Masyarakat Desa Celuk Kabupaten Gianyar).” </w:t>
      </w:r>
      <w:r w:rsidRPr="002C142A">
        <w:rPr>
          <w:rFonts w:ascii="Book Antiqua" w:hAnsi="Book Antiqua"/>
          <w:i/>
          <w:iCs/>
          <w:noProof/>
          <w:sz w:val="24"/>
          <w:szCs w:val="24"/>
        </w:rPr>
        <w:t>PARTA: Jurnal Pengabdian Kepada Masyarakat</w:t>
      </w:r>
      <w:r w:rsidRPr="002C142A">
        <w:rPr>
          <w:rFonts w:ascii="Book Antiqua" w:hAnsi="Book Antiqua"/>
          <w:noProof/>
          <w:sz w:val="24"/>
          <w:szCs w:val="24"/>
        </w:rPr>
        <w:t xml:space="preserve"> 1, no. 1 (2020): 27–31. http://journal.undiknas.ac.id/index.php/parta.http://journal.undiknas.ac.id/index.php/parta.</w:t>
      </w:r>
    </w:p>
    <w:p w14:paraId="6227F5FD"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Hakim, Lukman, and Nalom Kurniwan. “Perlindungan Hak Konstitusional Ekonomi Warga Negara Melalui Hak Paten Di Indonesia.” </w:t>
      </w:r>
      <w:r w:rsidRPr="002C142A">
        <w:rPr>
          <w:rFonts w:ascii="Book Antiqua" w:hAnsi="Book Antiqua"/>
          <w:i/>
          <w:iCs/>
          <w:noProof/>
          <w:sz w:val="24"/>
          <w:szCs w:val="24"/>
        </w:rPr>
        <w:t>Jurnal Konstitusi</w:t>
      </w:r>
      <w:r w:rsidRPr="002C142A">
        <w:rPr>
          <w:rFonts w:ascii="Book Antiqua" w:hAnsi="Book Antiqua"/>
          <w:noProof/>
          <w:sz w:val="24"/>
          <w:szCs w:val="24"/>
        </w:rPr>
        <w:t xml:space="preserve"> 17, no. 3 (2020): 582–604. https://doi.org/10.31078/jk1736.</w:t>
      </w:r>
    </w:p>
    <w:p w14:paraId="3214C3C7"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Hutagalug, Whendy Pratama. “Tinjauan Yuridis Aspek Hak Moral Terhadap Cover Version Lagu Pada Platform Youtube (Studi Kasus Mahkamah Agung Putusan Nomor 910 K/Pdt.Sus-HKI/2020).” Universitas Jambi, 2022. https://repository.unja.ac.id/id/eprint/37729.</w:t>
      </w:r>
    </w:p>
    <w:p w14:paraId="61A76D1A"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Irfawandi, Irwanda Hirwan, Zahra Mawarda Aziz, M.Syukur, and Ibrahim Arifin. “Analisis Jenis Jenis Dan Penyebab Kekerasan Seksual Di Lingkungan Kampus.” </w:t>
      </w:r>
      <w:r w:rsidRPr="002C142A">
        <w:rPr>
          <w:rFonts w:ascii="Book Antiqua" w:hAnsi="Book Antiqua"/>
          <w:i/>
          <w:iCs/>
          <w:noProof/>
          <w:sz w:val="24"/>
          <w:szCs w:val="24"/>
        </w:rPr>
        <w:t>Jurnal Pendidikan Indonesia</w:t>
      </w:r>
      <w:r w:rsidRPr="002C142A">
        <w:rPr>
          <w:rFonts w:ascii="Book Antiqua" w:hAnsi="Book Antiqua"/>
          <w:noProof/>
          <w:sz w:val="24"/>
          <w:szCs w:val="24"/>
        </w:rPr>
        <w:t xml:space="preserve"> 4, no. 04 (2023): 383–92. https://doi.org/https://doi.org/10.59141/japendi.v4i04.1747.</w:t>
      </w:r>
    </w:p>
    <w:p w14:paraId="6F11670B"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Iriawan, Asep Iwan. “Kepastian Hukum Kompetensi Pengadilan Niaga Dalam Penyelesaian Sengketa Bisnis.” </w:t>
      </w:r>
      <w:r w:rsidRPr="002C142A">
        <w:rPr>
          <w:rFonts w:ascii="Book Antiqua" w:hAnsi="Book Antiqua"/>
          <w:i/>
          <w:iCs/>
          <w:noProof/>
          <w:sz w:val="24"/>
          <w:szCs w:val="24"/>
        </w:rPr>
        <w:t>Action Research Literate</w:t>
      </w:r>
      <w:r w:rsidRPr="002C142A">
        <w:rPr>
          <w:rFonts w:ascii="Book Antiqua" w:hAnsi="Book Antiqua"/>
          <w:noProof/>
          <w:sz w:val="24"/>
          <w:szCs w:val="24"/>
        </w:rPr>
        <w:t xml:space="preserve"> 7, no. 10 (2023): 102–13. https://arl.ridwaninstitute.co.id/index.php/arl.</w:t>
      </w:r>
    </w:p>
    <w:p w14:paraId="09AB00B8"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Jaelani, Abdul Kadir, Alexander A Kurniawan, and Lusia Indrastuti. “Abdul Kadir Jaelani, Alexander A. Kurniawan, Lusia Indrastuti Pelaksanaan Standarisasi Pemberian Paten Dalam Invensi Bidang Obat-Obatan Di Indonesia” 27, no. 2 (2020): 259–74.</w:t>
      </w:r>
    </w:p>
    <w:p w14:paraId="00473FBB"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Jean Neltje et al. “Pengertian Hak Paten-2.” </w:t>
      </w:r>
      <w:r w:rsidRPr="002C142A">
        <w:rPr>
          <w:rFonts w:ascii="Book Antiqua" w:hAnsi="Book Antiqua"/>
          <w:i/>
          <w:iCs/>
          <w:noProof/>
          <w:sz w:val="24"/>
          <w:szCs w:val="24"/>
        </w:rPr>
        <w:t>Jurnal Pendidikan Tambusai</w:t>
      </w:r>
      <w:r w:rsidRPr="002C142A">
        <w:rPr>
          <w:rFonts w:ascii="Book Antiqua" w:hAnsi="Book Antiqua"/>
          <w:noProof/>
          <w:sz w:val="24"/>
          <w:szCs w:val="24"/>
        </w:rPr>
        <w:t xml:space="preserve"> 7, no. 3 (2023): 22125–31. https://jptam.org/index.php/jptam/article/view/10039/8128.</w:t>
      </w:r>
    </w:p>
    <w:p w14:paraId="486494D7"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Kristianti, Dewi Sukma. “Kajian Model Penalaran Hukum Yang Dilakukan Hakim Atas Denda Ta’zir Pada Akad Pembiayaan Murabahah.” </w:t>
      </w:r>
      <w:r w:rsidRPr="002C142A">
        <w:rPr>
          <w:rFonts w:ascii="Book Antiqua" w:hAnsi="Book Antiqua"/>
          <w:i/>
          <w:iCs/>
          <w:noProof/>
          <w:sz w:val="24"/>
          <w:szCs w:val="24"/>
        </w:rPr>
        <w:t>Pandecta Research Law Journal</w:t>
      </w:r>
      <w:r w:rsidRPr="002C142A">
        <w:rPr>
          <w:rFonts w:ascii="Book Antiqua" w:hAnsi="Book Antiqua"/>
          <w:noProof/>
          <w:sz w:val="24"/>
          <w:szCs w:val="24"/>
        </w:rPr>
        <w:t xml:space="preserve"> 16, no. 2 (2021): 300–318. https://journal.unnes.ac.id/nju/index.php/pandecta/article/view/31815.</w:t>
      </w:r>
    </w:p>
    <w:p w14:paraId="55AEE6E1"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lastRenderedPageBreak/>
        <w:t xml:space="preserve">Kurnianingrum, Trias Palupi. “Pelindungan Hak Paten Atas Pengetahuan Obat Tradisional Melalui Pasal 26 UU No. 13 Tahun 2016 Tentang Paten Protection.” </w:t>
      </w:r>
      <w:r w:rsidRPr="002C142A">
        <w:rPr>
          <w:rFonts w:ascii="Book Antiqua" w:hAnsi="Book Antiqua"/>
          <w:i/>
          <w:iCs/>
          <w:noProof/>
          <w:sz w:val="24"/>
          <w:szCs w:val="24"/>
        </w:rPr>
        <w:t>Trias Palupi Kurnianingrum: Pelindungan Hak Paten Atas Pengetahuan Obat Tradisional</w:t>
      </w:r>
      <w:r w:rsidRPr="002C142A">
        <w:rPr>
          <w:rFonts w:ascii="Book Antiqua" w:hAnsi="Book Antiqua"/>
          <w:noProof/>
          <w:sz w:val="24"/>
          <w:szCs w:val="24"/>
        </w:rPr>
        <w:t xml:space="preserve"> 10, no. 1 (2019): 49–65. https://doi.org/10.22212/jnh.v10i1.1222.</w:t>
      </w:r>
    </w:p>
    <w:p w14:paraId="31DC27BF"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Lubis, Rahmad Anwar. “Perlindungan Hukum Terhadap Pemegang Hak Paten Sederhana Yang Terdaftar Lebih Dahulu Di Direktorat Paten (Studi Putusan Mahkamah Agung No. 437K/PDT.SUS-HK/2018” I, no. I (2021): 13–23. https://doi.org/https://doi.org/10.47709/cnapc.xxxx.</w:t>
      </w:r>
    </w:p>
    <w:p w14:paraId="65ED9457"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Lukman, Maman, and Happy Yulia Anggraeni. “Tantangan Penegakan Hukum Hak Kekayaan Intelektual Dalam Pengembangan Ekonomi Kreatif Di Era Revolusi Industri 4.0.” </w:t>
      </w:r>
      <w:r w:rsidRPr="002C142A">
        <w:rPr>
          <w:rFonts w:ascii="Book Antiqua" w:hAnsi="Book Antiqua"/>
          <w:i/>
          <w:iCs/>
          <w:noProof/>
          <w:sz w:val="24"/>
          <w:szCs w:val="24"/>
        </w:rPr>
        <w:t>Nusantara: Jurnal Ilmu Pengetahuan Sosial</w:t>
      </w:r>
      <w:r w:rsidRPr="002C142A">
        <w:rPr>
          <w:rFonts w:ascii="Book Antiqua" w:hAnsi="Book Antiqua"/>
          <w:noProof/>
          <w:sz w:val="24"/>
          <w:szCs w:val="24"/>
        </w:rPr>
        <w:t xml:space="preserve"> 10, no. 6 (2023): 2971–81.</w:t>
      </w:r>
    </w:p>
    <w:p w14:paraId="6660B228"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Marguratua, Andrewnov, and Elfrida Ratnawati Gultom. “REFORMASI HUKUM DIBIDANG KEKAYAAN INTELEKTUAL TERKAIT PENGATURAN PERCEPATAN LAYANAN PATEN SEDERHANA.” </w:t>
      </w:r>
      <w:r w:rsidRPr="002C142A">
        <w:rPr>
          <w:rFonts w:ascii="Book Antiqua" w:hAnsi="Book Antiqua"/>
          <w:i/>
          <w:iCs/>
          <w:noProof/>
          <w:sz w:val="24"/>
          <w:szCs w:val="24"/>
        </w:rPr>
        <w:t>Ensiklopedia of Journal</w:t>
      </w:r>
      <w:r w:rsidRPr="002C142A">
        <w:rPr>
          <w:rFonts w:ascii="Book Antiqua" w:hAnsi="Book Antiqua"/>
          <w:noProof/>
          <w:sz w:val="24"/>
          <w:szCs w:val="24"/>
        </w:rPr>
        <w:t xml:space="preserve"> 6, no. 1 (2023): 662–67. https://doi.org/https://doi.org/10.33559/eoj.v5i3.1892.</w:t>
      </w:r>
    </w:p>
    <w:p w14:paraId="269F9F98"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Masnun, Muh Ali, and Dina Roszana. “Persoalan Pengaturan Kewajiban Pemegang Paten Untuk Membuat Produk Atau Menggunakan Proses Di Indonesia.” </w:t>
      </w:r>
      <w:r w:rsidRPr="002C142A">
        <w:rPr>
          <w:rFonts w:ascii="Book Antiqua" w:hAnsi="Book Antiqua"/>
          <w:i/>
          <w:iCs/>
          <w:noProof/>
          <w:sz w:val="24"/>
          <w:szCs w:val="24"/>
        </w:rPr>
        <w:t>Jurnal Hukum Ius Quia Iustum</w:t>
      </w:r>
      <w:r w:rsidRPr="002C142A">
        <w:rPr>
          <w:rFonts w:ascii="Book Antiqua" w:hAnsi="Book Antiqua"/>
          <w:noProof/>
          <w:sz w:val="24"/>
          <w:szCs w:val="24"/>
        </w:rPr>
        <w:t xml:space="preserve"> 26, no. 2 (2019): 326–48. https://doi.org/10.20885/iustum.vol26.iss2.art6.</w:t>
      </w:r>
    </w:p>
    <w:p w14:paraId="54BA55BF"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Mayesha Andriana Yasmine, U. Sudjana, Muhamad Amirulloh. “Kewajiban Mediasi Sebelum Gugatan Ganti Rugi Perdata Atas Pelanggaran Hak Cipta Di Indonesia.” </w:t>
      </w:r>
      <w:r w:rsidRPr="002C142A">
        <w:rPr>
          <w:rFonts w:ascii="Book Antiqua" w:hAnsi="Book Antiqua"/>
          <w:i/>
          <w:iCs/>
          <w:noProof/>
          <w:sz w:val="24"/>
          <w:szCs w:val="24"/>
        </w:rPr>
        <w:t>Repertorium: Jurnal Ilmiah Hukum Kenotariatan</w:t>
      </w:r>
      <w:r w:rsidRPr="002C142A">
        <w:rPr>
          <w:rFonts w:ascii="Book Antiqua" w:hAnsi="Book Antiqua"/>
          <w:noProof/>
          <w:sz w:val="24"/>
          <w:szCs w:val="24"/>
        </w:rPr>
        <w:t xml:space="preserve"> 10, no. 2 (2021): 157–72. https://doi.org/10.28946/rpt.v10i2.1432.</w:t>
      </w:r>
    </w:p>
    <w:p w14:paraId="0B785DD3"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Mufidah, Luluk Indarinul, and Mukhamat Saini. “Perlindungan Dan Permasalahan Hukum Bagi Pemegang Hak Paten Di Indonesia.” </w:t>
      </w:r>
      <w:r w:rsidRPr="002C142A">
        <w:rPr>
          <w:rFonts w:ascii="Book Antiqua" w:hAnsi="Book Antiqua"/>
          <w:i/>
          <w:iCs/>
          <w:noProof/>
          <w:sz w:val="24"/>
          <w:szCs w:val="24"/>
        </w:rPr>
        <w:t>Kartika: Jurnal Studi Keislaman</w:t>
      </w:r>
      <w:r w:rsidRPr="002C142A">
        <w:rPr>
          <w:rFonts w:ascii="Book Antiqua" w:hAnsi="Book Antiqua"/>
          <w:noProof/>
          <w:sz w:val="24"/>
          <w:szCs w:val="24"/>
        </w:rPr>
        <w:t xml:space="preserve"> 3, no. 1 (May 24, 2023): 61–71. https://doi.org/10.59240/kjsk.v3i1.34.</w:t>
      </w:r>
    </w:p>
    <w:p w14:paraId="23B42E89"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Mulyono, Aji, Budi Sutrisno, and Dwi Martini. “Perlindungan Hukum Terhadap Pemakai Terdahulu Suatu Invensi Yang Sama Dalam Sistem Paten (Studi Putusan PN Niaga Surabaya Nomor 1/PDT.Sus-Paten/2019/PN.Niaga.SBY)” 1 (2021). https://doi.org/https://doi.org/10.29303/.</w:t>
      </w:r>
    </w:p>
    <w:p w14:paraId="526A112A"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Natalia, Diana Putri, Sandy Hanggara, Bondan Nugroho, Sindu Adi Dewanto, and Firmansyah Burhanudin Elmasry. “Analisis Sengketa Hak Paten Apple VS Samsung Dalam Hal Pengajuan Gugatan Dan Penyelesaian Sengketa.” </w:t>
      </w:r>
      <w:r w:rsidRPr="002C142A">
        <w:rPr>
          <w:rFonts w:ascii="Book Antiqua" w:hAnsi="Book Antiqua"/>
          <w:i/>
          <w:iCs/>
          <w:noProof/>
          <w:sz w:val="24"/>
          <w:szCs w:val="24"/>
        </w:rPr>
        <w:t>Lontar Merah Vol. 6 Nomor 2 (2023) E-ISSN</w:t>
      </w:r>
      <w:r w:rsidRPr="002C142A">
        <w:rPr>
          <w:rFonts w:ascii="Times New Roman" w:hAnsi="Times New Roman"/>
          <w:i/>
          <w:iCs/>
          <w:noProof/>
          <w:sz w:val="24"/>
          <w:szCs w:val="24"/>
        </w:rPr>
        <w:t> </w:t>
      </w:r>
      <w:r w:rsidRPr="002C142A">
        <w:rPr>
          <w:rFonts w:ascii="Book Antiqua" w:hAnsi="Book Antiqua"/>
          <w:i/>
          <w:iCs/>
          <w:noProof/>
          <w:sz w:val="24"/>
          <w:szCs w:val="24"/>
        </w:rPr>
        <w:t>: 2829-2464 Analisis</w:t>
      </w:r>
      <w:r w:rsidRPr="002C142A">
        <w:rPr>
          <w:rFonts w:ascii="Book Antiqua" w:hAnsi="Book Antiqua"/>
          <w:noProof/>
          <w:sz w:val="24"/>
          <w:szCs w:val="24"/>
        </w:rPr>
        <w:t xml:space="preserve"> 6 (2023): 736–49. https://jom.untidar.ac.id/index.php/lontarmerah/article/view/4260.</w:t>
      </w:r>
    </w:p>
    <w:p w14:paraId="4A215877"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Nov, Maulana Rizki, and Simona Bustani. “Perlindungan Hukum Hak Paten Alat Sterilisasi Untuk Pengolahan Tandan-Tandan Kelapa Sawit” 5, no. 3 (2023): 571–80.</w:t>
      </w:r>
    </w:p>
    <w:p w14:paraId="7C4BAFC2"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Nugraha, Andi Muhammad Reza Pahlevi. “Tinjauan Yuridis Hak Paten Di Dalam Kerangka Hukum Nasional Di Indonesia.” </w:t>
      </w:r>
      <w:r w:rsidRPr="002C142A">
        <w:rPr>
          <w:rFonts w:ascii="Book Antiqua" w:hAnsi="Book Antiqua"/>
          <w:i/>
          <w:iCs/>
          <w:noProof/>
          <w:sz w:val="24"/>
          <w:szCs w:val="24"/>
        </w:rPr>
        <w:t>Binamulia Hukum</w:t>
      </w:r>
      <w:r w:rsidRPr="002C142A">
        <w:rPr>
          <w:rFonts w:ascii="Book Antiqua" w:hAnsi="Book Antiqua"/>
          <w:noProof/>
          <w:sz w:val="24"/>
          <w:szCs w:val="24"/>
        </w:rPr>
        <w:t xml:space="preserve"> 11, no. 1 (July 1, 2022): 1–14. https://doi.org/10.37893/jbh.v11i1.668.</w:t>
      </w:r>
    </w:p>
    <w:p w14:paraId="7EA2A035"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Nurafifah, Amalia, and Devi Siti Hamzah Marpaung. “Mediasi Sebagai Alternatif Penyelesaian Sengketa.” </w:t>
      </w:r>
      <w:r w:rsidRPr="002C142A">
        <w:rPr>
          <w:rFonts w:ascii="Book Antiqua" w:hAnsi="Book Antiqua"/>
          <w:i/>
          <w:iCs/>
          <w:noProof/>
          <w:sz w:val="24"/>
          <w:szCs w:val="24"/>
        </w:rPr>
        <w:t>JUSTITIA</w:t>
      </w:r>
      <w:r w:rsidRPr="002C142A">
        <w:rPr>
          <w:rFonts w:ascii="Times New Roman" w:hAnsi="Times New Roman"/>
          <w:i/>
          <w:iCs/>
          <w:noProof/>
          <w:sz w:val="24"/>
          <w:szCs w:val="24"/>
        </w:rPr>
        <w:t> </w:t>
      </w:r>
      <w:r w:rsidRPr="002C142A">
        <w:rPr>
          <w:rFonts w:ascii="Book Antiqua" w:hAnsi="Book Antiqua"/>
          <w:i/>
          <w:iCs/>
          <w:noProof/>
          <w:sz w:val="24"/>
          <w:szCs w:val="24"/>
        </w:rPr>
        <w:t>: Jurnal Ilmu Hukum Dan Humaniora</w:t>
      </w:r>
      <w:r w:rsidRPr="002C142A">
        <w:rPr>
          <w:rFonts w:ascii="Book Antiqua" w:hAnsi="Book Antiqua"/>
          <w:noProof/>
          <w:sz w:val="24"/>
          <w:szCs w:val="24"/>
        </w:rPr>
        <w:t xml:space="preserve"> 9, no. 5 (August </w:t>
      </w:r>
      <w:r w:rsidRPr="002C142A">
        <w:rPr>
          <w:rFonts w:ascii="Book Antiqua" w:hAnsi="Book Antiqua"/>
          <w:noProof/>
          <w:sz w:val="24"/>
          <w:szCs w:val="24"/>
        </w:rPr>
        <w:lastRenderedPageBreak/>
        <w:t>13, 2022): 2303–17. https://doi.org/www. dx.doi.org 10.31604/justitia.v9i5. 2303-2317.</w:t>
      </w:r>
    </w:p>
    <w:p w14:paraId="3FE8FF79"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Nurahmasari, Revita, Muhamad Amirulloh, and Anita Afriana. “Mediasi Sebagai Kewajiban Penyelesaian Sengketa Perdata Pelanggaran Paten Di Indonesia Demi Kepastian Dan Kemanfaatan Hukum” 5 (2021): 123–38. https://doi.org/https://doi.org/10.23920/acta.v5i1.712.</w:t>
      </w:r>
    </w:p>
    <w:p w14:paraId="689DA649"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Pajrin, Rani. “Prinsip Small Claim Court (SCC) Dalam Penyelesaian Sengketa Hak Kekayaan Intelektual Di Indonesia (Fokus Kajian Hak Merek Dan Hak Cipta).” </w:t>
      </w:r>
      <w:r w:rsidRPr="002C142A">
        <w:rPr>
          <w:rFonts w:ascii="Book Antiqua" w:hAnsi="Book Antiqua"/>
          <w:i/>
          <w:iCs/>
          <w:noProof/>
          <w:sz w:val="24"/>
          <w:szCs w:val="24"/>
        </w:rPr>
        <w:t>Widya Pranata Hukum</w:t>
      </w:r>
      <w:r w:rsidRPr="002C142A">
        <w:rPr>
          <w:rFonts w:ascii="Times New Roman" w:hAnsi="Times New Roman"/>
          <w:i/>
          <w:iCs/>
          <w:noProof/>
          <w:sz w:val="24"/>
          <w:szCs w:val="24"/>
        </w:rPr>
        <w:t> </w:t>
      </w:r>
      <w:r w:rsidRPr="002C142A">
        <w:rPr>
          <w:rFonts w:ascii="Book Antiqua" w:hAnsi="Book Antiqua"/>
          <w:i/>
          <w:iCs/>
          <w:noProof/>
          <w:sz w:val="24"/>
          <w:szCs w:val="24"/>
        </w:rPr>
        <w:t>: Jurnal Kajian Dan Penelitian Hukum</w:t>
      </w:r>
      <w:r w:rsidRPr="002C142A">
        <w:rPr>
          <w:rFonts w:ascii="Book Antiqua" w:hAnsi="Book Antiqua"/>
          <w:noProof/>
          <w:sz w:val="24"/>
          <w:szCs w:val="24"/>
        </w:rPr>
        <w:t xml:space="preserve"> 1, no. 2 (2019): 163–75. https://doi.org/10.37631/widyapranata.v1i2.47.</w:t>
      </w:r>
    </w:p>
    <w:p w14:paraId="03013CDA"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Pinem, Lompoh Egia Nuansa, and Ni Luh Dwik Suryacahyani Gunadi. “Analisis Penyelesaian Sengketa Terhadap Hak Merek Atas Putusan Geprek Bensu Melawan I Am Geprek Bensu.” </w:t>
      </w:r>
      <w:r w:rsidRPr="002C142A">
        <w:rPr>
          <w:rFonts w:ascii="Book Antiqua" w:hAnsi="Book Antiqua"/>
          <w:i/>
          <w:iCs/>
          <w:noProof/>
          <w:sz w:val="24"/>
          <w:szCs w:val="24"/>
        </w:rPr>
        <w:t>Jurnal Pacta Sunt Servanda</w:t>
      </w:r>
      <w:r w:rsidRPr="002C142A">
        <w:rPr>
          <w:rFonts w:ascii="Book Antiqua" w:hAnsi="Book Antiqua"/>
          <w:noProof/>
          <w:sz w:val="24"/>
          <w:szCs w:val="24"/>
        </w:rPr>
        <w:t xml:space="preserve"> 2, no. 1 (2021): 24–35. https://doi.org/10.23887/jpss.v2i1.452.</w:t>
      </w:r>
    </w:p>
    <w:p w14:paraId="6188341C"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Praja, Chrisna Bagus Edhita, Budi Agus Riswandi, and Khudzaifah Dimyati. “Urgensi Mediasi Sebagai Alternatif Penyelesaian Sengketa Hak Cipta.” </w:t>
      </w:r>
      <w:r w:rsidRPr="002C142A">
        <w:rPr>
          <w:rFonts w:ascii="Book Antiqua" w:hAnsi="Book Antiqua"/>
          <w:i/>
          <w:iCs/>
          <w:noProof/>
          <w:sz w:val="24"/>
          <w:szCs w:val="24"/>
        </w:rPr>
        <w:t>Kertha Patrika</w:t>
      </w:r>
      <w:r w:rsidRPr="002C142A">
        <w:rPr>
          <w:rFonts w:ascii="Book Antiqua" w:hAnsi="Book Antiqua"/>
          <w:noProof/>
          <w:sz w:val="24"/>
          <w:szCs w:val="24"/>
        </w:rPr>
        <w:t xml:space="preserve"> 43, no. 3 (2021): 275–95. https://doi.org/10.24843/kp.2021.v43.i03.p04.</w:t>
      </w:r>
    </w:p>
    <w:p w14:paraId="414409DD"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Prasetyo, Handoyo, Bambang Waluyo, and Subakdi. “Penggunaan Kartu Khusus Pendamping Pekerja</w:t>
      </w:r>
      <w:r w:rsidRPr="002C142A">
        <w:rPr>
          <w:rFonts w:ascii="Times New Roman" w:hAnsi="Times New Roman"/>
          <w:noProof/>
          <w:sz w:val="24"/>
          <w:szCs w:val="24"/>
        </w:rPr>
        <w:t> </w:t>
      </w:r>
      <w:r w:rsidRPr="002C142A">
        <w:rPr>
          <w:rFonts w:ascii="Book Antiqua" w:hAnsi="Book Antiqua"/>
          <w:noProof/>
          <w:sz w:val="24"/>
          <w:szCs w:val="24"/>
        </w:rPr>
        <w:t xml:space="preserve">: Upaya Penguatan Keselamatan Pekerja Menghadapi Sindikat Perdagangan Orang.” </w:t>
      </w:r>
      <w:r w:rsidRPr="002C142A">
        <w:rPr>
          <w:rFonts w:ascii="Book Antiqua" w:hAnsi="Book Antiqua"/>
          <w:i/>
          <w:iCs/>
          <w:noProof/>
          <w:sz w:val="24"/>
          <w:szCs w:val="24"/>
        </w:rPr>
        <w:t>Proceeding: 5TH NATIONAL CONFERENCE on Law Studies 2023</w:t>
      </w:r>
      <w:r w:rsidRPr="002C142A">
        <w:rPr>
          <w:rFonts w:ascii="Book Antiqua" w:hAnsi="Book Antiqua"/>
          <w:noProof/>
          <w:sz w:val="24"/>
          <w:szCs w:val="24"/>
        </w:rPr>
        <w:t>, 2023, 550–69.</w:t>
      </w:r>
    </w:p>
    <w:p w14:paraId="6A3B3F25"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Prasetyo, Ramadhan Fajar, and Waluyo. “Tinjauan Yuridis New Novelty Dalam Pengajuan Permohonan Hak Paten” 2, no. 4 (2023): 84–103. https://doi.org/https://doi.org/10.30640/dewantara.v2i4.1692.</w:t>
      </w:r>
    </w:p>
    <w:p w14:paraId="7DF262CD"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Pratama, Radhyca Nanda, Dilla Nurfiana Astanti, and Muh. Ali Masnun. “Implikasi Kewajiban Pelaksanaan Paten Terhadap Penyelenggaraan Alih Teknologi” 17, no. 2 (2019): 158–73.</w:t>
      </w:r>
    </w:p>
    <w:p w14:paraId="56C5560C"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Prihardiati, RR. Lyia Aina. “Teori Hukum Pembangunan Antara Das Sein Dan Das Sollen” 5, no. 1 (2021). https://doi.org/10.33603/hermeneutika.v5i1.4898.</w:t>
      </w:r>
    </w:p>
    <w:p w14:paraId="6B82E2B3"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Purwaningsih, Endang, and Evie Rachmawati Nur Ariyanti. “Jurnal Surya Kencana Satu</w:t>
      </w:r>
      <w:r w:rsidRPr="002C142A">
        <w:rPr>
          <w:rFonts w:ascii="Times New Roman" w:hAnsi="Times New Roman"/>
          <w:noProof/>
          <w:sz w:val="24"/>
          <w:szCs w:val="24"/>
        </w:rPr>
        <w:t> </w:t>
      </w:r>
      <w:r w:rsidRPr="002C142A">
        <w:rPr>
          <w:rFonts w:ascii="Book Antiqua" w:hAnsi="Book Antiqua"/>
          <w:noProof/>
          <w:sz w:val="24"/>
          <w:szCs w:val="24"/>
        </w:rPr>
        <w:t>: Dinamika Masalah Hukum Dan Keadilan Volume 11 Nomor 1 Maret 2020 53” 11, no. 2 (2021): 53–70. http://openjournal.unpam.ac.id/index.php/sks%0AKebijakan.</w:t>
      </w:r>
    </w:p>
    <w:p w14:paraId="173FCCCA"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Putra, Julius Ariel. “Mekanisme Pembatalan Paten Sederhana (Studi Putusan Pengadilan Negeri Jakarta Pusat Nomor</w:t>
      </w:r>
      <w:r w:rsidRPr="002C142A">
        <w:rPr>
          <w:rFonts w:ascii="Times New Roman" w:hAnsi="Times New Roman"/>
          <w:noProof/>
          <w:sz w:val="24"/>
          <w:szCs w:val="24"/>
        </w:rPr>
        <w:t> </w:t>
      </w:r>
      <w:r w:rsidRPr="002C142A">
        <w:rPr>
          <w:rFonts w:ascii="Book Antiqua" w:hAnsi="Book Antiqua"/>
          <w:noProof/>
          <w:sz w:val="24"/>
          <w:szCs w:val="24"/>
        </w:rPr>
        <w:t>: 61/PDT.Sus-Paten/2018/ PN.Niaga.JKT.PST JO. Putusan Kasasi Nomor</w:t>
      </w:r>
      <w:r w:rsidRPr="002C142A">
        <w:rPr>
          <w:rFonts w:ascii="Times New Roman" w:hAnsi="Times New Roman"/>
          <w:noProof/>
          <w:sz w:val="24"/>
          <w:szCs w:val="24"/>
        </w:rPr>
        <w:t> </w:t>
      </w:r>
      <w:r w:rsidRPr="002C142A">
        <w:rPr>
          <w:rFonts w:ascii="Book Antiqua" w:hAnsi="Book Antiqua"/>
          <w:noProof/>
          <w:sz w:val="24"/>
          <w:szCs w:val="24"/>
        </w:rPr>
        <w:t xml:space="preserve">: 802 K/PDT.Sus-HKI/2019).” </w:t>
      </w:r>
      <w:r w:rsidRPr="002C142A">
        <w:rPr>
          <w:rFonts w:ascii="Book Antiqua" w:hAnsi="Book Antiqua"/>
          <w:i/>
          <w:iCs/>
          <w:noProof/>
          <w:sz w:val="24"/>
          <w:szCs w:val="24"/>
        </w:rPr>
        <w:t>Jurnal Darma Agung</w:t>
      </w:r>
      <w:r w:rsidRPr="002C142A">
        <w:rPr>
          <w:rFonts w:ascii="Book Antiqua" w:hAnsi="Book Antiqua"/>
          <w:noProof/>
          <w:sz w:val="24"/>
          <w:szCs w:val="24"/>
        </w:rPr>
        <w:t xml:space="preserve"> 32, no. 1 (2024): 494–507. https://doi.org/https://dx.doi.org.10.46930/ojsuda.v32i1.4067.</w:t>
      </w:r>
    </w:p>
    <w:p w14:paraId="05A01A42"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Putri, I Gusti Ayu Agung Ratih Maha Iswari Dwija. “Permasalahan Dalam Implementasi Ketentuan Trips Agreement Berdasarkan Undang Undang Nomor 13 Tahun 2016 Tentang Paten.” </w:t>
      </w:r>
      <w:r w:rsidRPr="002C142A">
        <w:rPr>
          <w:rFonts w:ascii="Book Antiqua" w:hAnsi="Book Antiqua"/>
          <w:i/>
          <w:iCs/>
          <w:noProof/>
          <w:sz w:val="24"/>
          <w:szCs w:val="24"/>
        </w:rPr>
        <w:t>Jurnal Kertha Semaya</w:t>
      </w:r>
      <w:r w:rsidRPr="002C142A">
        <w:rPr>
          <w:rFonts w:ascii="Book Antiqua" w:hAnsi="Book Antiqua"/>
          <w:noProof/>
          <w:sz w:val="24"/>
          <w:szCs w:val="24"/>
        </w:rPr>
        <w:t xml:space="preserve"> 8, no. 7 (2020): 1005–16.</w:t>
      </w:r>
    </w:p>
    <w:p w14:paraId="6A1C0448"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Qodri, Miftahul. “‘Benang Merah’ Penalaran Hukum, Argumentasi Hukum Dan Penegakan Hukum.” </w:t>
      </w:r>
      <w:r w:rsidRPr="002C142A">
        <w:rPr>
          <w:rFonts w:ascii="Book Antiqua" w:hAnsi="Book Antiqua"/>
          <w:i/>
          <w:iCs/>
          <w:noProof/>
          <w:sz w:val="24"/>
          <w:szCs w:val="24"/>
        </w:rPr>
        <w:t>Jurnal Hukum Progresif</w:t>
      </w:r>
      <w:r w:rsidRPr="002C142A">
        <w:rPr>
          <w:rFonts w:ascii="Book Antiqua" w:hAnsi="Book Antiqua"/>
          <w:noProof/>
          <w:sz w:val="24"/>
          <w:szCs w:val="24"/>
        </w:rPr>
        <w:t xml:space="preserve"> 7, no. 2 (2019): 182. https://doi.org/10.14710/hp.7.2.182-191.</w:t>
      </w:r>
    </w:p>
    <w:p w14:paraId="4FDD21BC"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lastRenderedPageBreak/>
        <w:t xml:space="preserve">Rahman, Niko Satria Dwi Putra, Luki Artur Rifaldi, and Muhammad Zaky Jamaludin Solih. “Pembuktian Kebaruan Suatu Invensi Dalam Gugatan Pembatalan Paten Sederhana.” </w:t>
      </w:r>
      <w:r w:rsidRPr="002C142A">
        <w:rPr>
          <w:rFonts w:ascii="Book Antiqua" w:hAnsi="Book Antiqua"/>
          <w:i/>
          <w:iCs/>
          <w:noProof/>
          <w:sz w:val="24"/>
          <w:szCs w:val="24"/>
        </w:rPr>
        <w:t>Jurnal Hukum Dan HAM Wara Sains</w:t>
      </w:r>
      <w:r w:rsidRPr="002C142A">
        <w:rPr>
          <w:rFonts w:ascii="Book Antiqua" w:hAnsi="Book Antiqua"/>
          <w:noProof/>
          <w:sz w:val="24"/>
          <w:szCs w:val="24"/>
        </w:rPr>
        <w:t xml:space="preserve"> 03, no. 01 (2024): 42–50. https://doi.org/https://doi.org/10.58812/jhhws.v3i01.967.</w:t>
      </w:r>
    </w:p>
    <w:p w14:paraId="7164127E"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Raihana, Syafruddin, Dion Welli, and Sugiharto. “Analisis Yuridis Pengaturan Tentang Hak Cipta Di Indonesia.” </w:t>
      </w:r>
      <w:r w:rsidRPr="002C142A">
        <w:rPr>
          <w:rFonts w:ascii="Book Antiqua" w:hAnsi="Book Antiqua"/>
          <w:i/>
          <w:iCs/>
          <w:noProof/>
          <w:sz w:val="24"/>
          <w:szCs w:val="24"/>
        </w:rPr>
        <w:t>Iinnovative: Journal Of Social Science Research</w:t>
      </w:r>
      <w:r w:rsidRPr="002C142A">
        <w:rPr>
          <w:rFonts w:ascii="Book Antiqua" w:hAnsi="Book Antiqua"/>
          <w:noProof/>
          <w:sz w:val="24"/>
          <w:szCs w:val="24"/>
        </w:rPr>
        <w:t xml:space="preserve"> 3, no. 2 (2023): 1466–77. https://doi.org/https://doi.org/10.31004/innovative.v3i2.456.</w:t>
      </w:r>
    </w:p>
    <w:p w14:paraId="27266CE0"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Ribowo, Mochammad Bambang, and Kholis Roisah. “Perlindungan Hukum Terhadap Paten Sederhana Dalam Sistem Hukum Paten Di Indonesia (Studi Komparasi Dengan Sistem Hukum Paten Di Negara China),” no. July (2020): 1–23.</w:t>
      </w:r>
    </w:p>
    <w:p w14:paraId="082BA605"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Rompas, Jeferson David, Godlieb N. Mamahit, and Fernando J. M. M. Karisoh. “Hak Pemegang Paten Dalam Gugatan Ganti Rugi Melalui Pengadilan Niaga Menurut Undang-Undang Nomor 13 Tahun 2016 Tentang Paten.” </w:t>
      </w:r>
      <w:r w:rsidRPr="002C142A">
        <w:rPr>
          <w:rFonts w:ascii="Book Antiqua" w:hAnsi="Book Antiqua"/>
          <w:i/>
          <w:iCs/>
          <w:noProof/>
          <w:sz w:val="24"/>
          <w:szCs w:val="24"/>
        </w:rPr>
        <w:t>Lex Privatum</w:t>
      </w:r>
      <w:r w:rsidRPr="002C142A">
        <w:rPr>
          <w:rFonts w:ascii="Book Antiqua" w:hAnsi="Book Antiqua"/>
          <w:noProof/>
          <w:sz w:val="24"/>
          <w:szCs w:val="24"/>
        </w:rPr>
        <w:t xml:space="preserve"> VI, no. 3 (2018): 1–26. https://ejournal.unsrat.ac.id/v2/index.php/lexprivatum/article/view/20417.</w:t>
      </w:r>
    </w:p>
    <w:p w14:paraId="0D8CBCBA"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Rulendari, Mieke Novice. “Perlindungan Hukum Terhadap Pemegang Hak Paten Konstruksi Sarang Laba-Laba Yang Digunakan Tanpa Izin Oleh Perusahaan Lain,” 2020.</w:t>
      </w:r>
    </w:p>
    <w:p w14:paraId="6B30D3CE"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Sadino, Sadino, and Julia Astuti. “Penerapan Hak Paten Di Indonesia.” </w:t>
      </w:r>
      <w:r w:rsidRPr="002C142A">
        <w:rPr>
          <w:rFonts w:ascii="Book Antiqua" w:hAnsi="Book Antiqua"/>
          <w:i/>
          <w:iCs/>
          <w:noProof/>
          <w:sz w:val="24"/>
          <w:szCs w:val="24"/>
        </w:rPr>
        <w:t>Jurnal Magister Ilmu Hukum</w:t>
      </w:r>
      <w:r w:rsidRPr="002C142A">
        <w:rPr>
          <w:rFonts w:ascii="Book Antiqua" w:hAnsi="Book Antiqua"/>
          <w:noProof/>
          <w:sz w:val="24"/>
          <w:szCs w:val="24"/>
        </w:rPr>
        <w:t xml:space="preserve"> 3, no. 2 (2021): 41. https://doi.org/10.36722/jmih.v3i2.755.</w:t>
      </w:r>
    </w:p>
    <w:p w14:paraId="4B3A746E"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Santoso, Hari Agus. “Perspektif Keadilan Hukum Teori Gustav Radbruch Dalam Putusan PKPU ‘PTB.’” </w:t>
      </w:r>
      <w:r w:rsidRPr="002C142A">
        <w:rPr>
          <w:rFonts w:ascii="Book Antiqua" w:hAnsi="Book Antiqua"/>
          <w:i/>
          <w:iCs/>
          <w:noProof/>
          <w:sz w:val="24"/>
          <w:szCs w:val="24"/>
        </w:rPr>
        <w:t>JATISWARA</w:t>
      </w:r>
      <w:r w:rsidRPr="002C142A">
        <w:rPr>
          <w:rFonts w:ascii="Book Antiqua" w:hAnsi="Book Antiqua"/>
          <w:noProof/>
          <w:sz w:val="24"/>
          <w:szCs w:val="24"/>
        </w:rPr>
        <w:t xml:space="preserve"> 36, no. 3 (November 29, 2021): 325–34. https://doi.org/10.29303/jtsw.v36i3.341.</w:t>
      </w:r>
    </w:p>
    <w:p w14:paraId="1C917DB3"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Saputra, Andi. “Sengketa Paten, Gugatan Rp 2,3 Triliun Nokia Vs Oppo Kandas.” </w:t>
      </w:r>
      <w:r w:rsidRPr="002C142A">
        <w:rPr>
          <w:rFonts w:ascii="Book Antiqua" w:hAnsi="Book Antiqua"/>
          <w:i/>
          <w:iCs/>
          <w:noProof/>
          <w:sz w:val="24"/>
          <w:szCs w:val="24"/>
        </w:rPr>
        <w:t>Detik News</w:t>
      </w:r>
      <w:r w:rsidRPr="002C142A">
        <w:rPr>
          <w:rFonts w:ascii="Book Antiqua" w:hAnsi="Book Antiqua"/>
          <w:noProof/>
          <w:sz w:val="24"/>
          <w:szCs w:val="24"/>
        </w:rPr>
        <w:t>, 2022. https://news.detik.com/berita/d-6353023/sengketa-paten-gugatan-rp-2-3-triliun-nokia-vs-oppo-kandas?single=1.</w:t>
      </w:r>
    </w:p>
    <w:p w14:paraId="148FF86C"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Saputra, Yogi, and Pasha Aizani. “Aspek Hak Kekayaan Intelektual Dalam Hukum Perdata: Perlindungan Terhadap Karya-Karya Seni Dan Inovasi Teknologi” 2, no. 2 (2024): 161–69.</w:t>
      </w:r>
    </w:p>
    <w:p w14:paraId="723A0A25"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Savala, Maulana Saputra. “Pembaharuan Hukum Penggunaan Hak Paten Sebagai Objek Jaminan Fidusia Dalam Perspektif Hukum Jaminan Di Indonesia Berbasis Nilai Keadilan Bermartabat,” 2019. https://repository.unissula.ac.id/15644/.</w:t>
      </w:r>
    </w:p>
    <w:p w14:paraId="37A40F26"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Sinaga, Niru Anita, and Tiberius Zaluchu. “Tinjauan Yuridis Tentang Perlindungan Hak Kekayaan Intelektual Di Bidang Paten,” 2021. https://doi.org/https://doi.org/10.35968/jti.v4i0.676.</w:t>
      </w:r>
    </w:p>
    <w:p w14:paraId="2BE5F940"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Sudirman, Lu, and Hari Sutra Disemadi. “Comparing Patent Protection in Indonesia with That in Singapore and Hong Kong.” </w:t>
      </w:r>
      <w:r w:rsidRPr="002C142A">
        <w:rPr>
          <w:rFonts w:ascii="Book Antiqua" w:hAnsi="Book Antiqua"/>
          <w:i/>
          <w:iCs/>
          <w:noProof/>
          <w:sz w:val="24"/>
          <w:szCs w:val="24"/>
        </w:rPr>
        <w:t>Legality</w:t>
      </w:r>
      <w:r w:rsidRPr="002C142A">
        <w:rPr>
          <w:rFonts w:ascii="Times New Roman" w:hAnsi="Times New Roman"/>
          <w:i/>
          <w:iCs/>
          <w:noProof/>
          <w:sz w:val="24"/>
          <w:szCs w:val="24"/>
        </w:rPr>
        <w:t> </w:t>
      </w:r>
      <w:r w:rsidRPr="002C142A">
        <w:rPr>
          <w:rFonts w:ascii="Book Antiqua" w:hAnsi="Book Antiqua"/>
          <w:i/>
          <w:iCs/>
          <w:noProof/>
          <w:sz w:val="24"/>
          <w:szCs w:val="24"/>
        </w:rPr>
        <w:t>: Jurnal Ilmiah Hukum</w:t>
      </w:r>
      <w:r w:rsidRPr="002C142A">
        <w:rPr>
          <w:rFonts w:ascii="Book Antiqua" w:hAnsi="Book Antiqua"/>
          <w:noProof/>
          <w:sz w:val="24"/>
          <w:szCs w:val="24"/>
        </w:rPr>
        <w:t xml:space="preserve"> 29, no. 2 (June 18, 2021): 200–222. https://doi.org/10.22219/ljih.v29i2.15680.</w:t>
      </w:r>
    </w:p>
    <w:p w14:paraId="3097DAED"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“Reconciling Conflicting Norms</w:t>
      </w:r>
      <w:r w:rsidRPr="002C142A">
        <w:rPr>
          <w:rFonts w:ascii="Times New Roman" w:hAnsi="Times New Roman"/>
          <w:noProof/>
          <w:sz w:val="24"/>
          <w:szCs w:val="24"/>
        </w:rPr>
        <w:t> </w:t>
      </w:r>
      <w:r w:rsidRPr="002C142A">
        <w:rPr>
          <w:rFonts w:ascii="Book Antiqua" w:hAnsi="Book Antiqua"/>
          <w:noProof/>
          <w:sz w:val="24"/>
          <w:szCs w:val="24"/>
        </w:rPr>
        <w:t xml:space="preserve">: Addressing Patentability Challenges in Indonesia’s Virtual Workspaces.” </w:t>
      </w:r>
      <w:r w:rsidRPr="002C142A">
        <w:rPr>
          <w:rFonts w:ascii="Book Antiqua" w:hAnsi="Book Antiqua"/>
          <w:i/>
          <w:iCs/>
          <w:noProof/>
          <w:sz w:val="24"/>
          <w:szCs w:val="24"/>
        </w:rPr>
        <w:t>Jurnal Akta</w:t>
      </w:r>
      <w:r w:rsidRPr="002C142A">
        <w:rPr>
          <w:rFonts w:ascii="Book Antiqua" w:hAnsi="Book Antiqua"/>
          <w:noProof/>
          <w:sz w:val="24"/>
          <w:szCs w:val="24"/>
        </w:rPr>
        <w:t xml:space="preserve"> 11, no. 1 (2024): 1–18. https://doi.org/http://dx.doi.org/10.30659/akta.v11i1.35694.</w:t>
      </w:r>
    </w:p>
    <w:p w14:paraId="4CB6854C"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Sudjana. “Makna Mediasi Dalam Undang-Undang Nomor 28 Tahun 2014 Tentang Hak </w:t>
      </w:r>
      <w:r w:rsidRPr="002C142A">
        <w:rPr>
          <w:rFonts w:ascii="Book Antiqua" w:hAnsi="Book Antiqua"/>
          <w:noProof/>
          <w:sz w:val="24"/>
          <w:szCs w:val="24"/>
        </w:rPr>
        <w:lastRenderedPageBreak/>
        <w:t xml:space="preserve">Cipta.” </w:t>
      </w:r>
      <w:r w:rsidRPr="002C142A">
        <w:rPr>
          <w:rFonts w:ascii="Book Antiqua" w:hAnsi="Book Antiqua"/>
          <w:i/>
          <w:iCs/>
          <w:noProof/>
          <w:sz w:val="24"/>
          <w:szCs w:val="24"/>
        </w:rPr>
        <w:t>Veritas et Justitia</w:t>
      </w:r>
      <w:r w:rsidRPr="002C142A">
        <w:rPr>
          <w:rFonts w:ascii="Book Antiqua" w:hAnsi="Book Antiqua"/>
          <w:noProof/>
          <w:sz w:val="24"/>
          <w:szCs w:val="24"/>
        </w:rPr>
        <w:t xml:space="preserve"> 7, no. 1 (2021): 91–114. https://doi.org/10.25123/vej.v7i1.3716.</w:t>
      </w:r>
    </w:p>
    <w:p w14:paraId="11248E3A"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Sulasno, Lolitawati, and Putri Pratama Ayu Ningsih. “Pengembangan Produk Usaha Mikro Kecil Menengah Dan Kekayaan Intelektual Atas Batik Di Sanggar Batik Krakatoa Kota Cilegon” 1, no. 2 (2024): 121–44. https://doi.org/https://doi.org10.10.30656/j hak.v1i2.8066.</w:t>
      </w:r>
    </w:p>
    <w:p w14:paraId="427103D6"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Sulistianingsih, Dewi, and Mumammad Shidqon Prabowo. “Problematik Dan Karakteristik Penyelesaian Sengketa Kekayaan Intelektual Melalui Badan Arbitrase Nasional Indonesia.” </w:t>
      </w:r>
      <w:r w:rsidRPr="002C142A">
        <w:rPr>
          <w:rFonts w:ascii="Book Antiqua" w:hAnsi="Book Antiqua"/>
          <w:i/>
          <w:iCs/>
          <w:noProof/>
          <w:sz w:val="24"/>
          <w:szCs w:val="24"/>
        </w:rPr>
        <w:t>Qistie</w:t>
      </w:r>
      <w:r w:rsidRPr="002C142A">
        <w:rPr>
          <w:rFonts w:ascii="Book Antiqua" w:hAnsi="Book Antiqua"/>
          <w:noProof/>
          <w:sz w:val="24"/>
          <w:szCs w:val="24"/>
        </w:rPr>
        <w:t xml:space="preserve"> 12, no. 2 (2019): 166. https://doi.org/10.31942/jqi.v12i2.3135.</w:t>
      </w:r>
    </w:p>
    <w:p w14:paraId="04AD0E80"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Suryani, Nuraini Endah. “Perlindungan Hukum Inventor Di Bawah Suatu Hubungan Kerja Atas Suatu Invensi Ciptaannya.” </w:t>
      </w:r>
      <w:r w:rsidRPr="002C142A">
        <w:rPr>
          <w:rFonts w:ascii="Book Antiqua" w:hAnsi="Book Antiqua"/>
          <w:i/>
          <w:iCs/>
          <w:noProof/>
          <w:sz w:val="24"/>
          <w:szCs w:val="24"/>
        </w:rPr>
        <w:t>Fakultas Hukum Universitas Sebelas Maret Surakarta</w:t>
      </w:r>
      <w:r w:rsidRPr="002C142A">
        <w:rPr>
          <w:rFonts w:ascii="Book Antiqua" w:hAnsi="Book Antiqua"/>
          <w:noProof/>
          <w:sz w:val="24"/>
          <w:szCs w:val="24"/>
        </w:rPr>
        <w:t>, 2020.</w:t>
      </w:r>
    </w:p>
    <w:p w14:paraId="7E11EB3C"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Syamhadi, Muhammad Fauzen Adiman, and Retno Sari Dewi. “Analisis Penyelesaian Sengketa Secara Litigasi Paten Terhadap Perkembangan Inovasi Teknologi Di Indonesia.” </w:t>
      </w:r>
      <w:r w:rsidRPr="002C142A">
        <w:rPr>
          <w:rFonts w:ascii="Book Antiqua" w:hAnsi="Book Antiqua"/>
          <w:i/>
          <w:iCs/>
          <w:noProof/>
          <w:sz w:val="24"/>
          <w:szCs w:val="24"/>
        </w:rPr>
        <w:t>Jurnal Hukum Dan HAM Wara Sains</w:t>
      </w:r>
      <w:r w:rsidRPr="002C142A">
        <w:rPr>
          <w:rFonts w:ascii="Book Antiqua" w:hAnsi="Book Antiqua"/>
          <w:noProof/>
          <w:sz w:val="24"/>
          <w:szCs w:val="24"/>
        </w:rPr>
        <w:t xml:space="preserve"> 02, no. 12 (2023): 1191–1200. https://doi.org/10.58812/jhhws.v2i12.873.</w:t>
      </w:r>
    </w:p>
    <w:p w14:paraId="107A597B"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Tamara, Dwi Intan Permatasari, Dientje Rumimpunu, and Karel Yossi Umboh. “Aspek Hukum Eksistensi Perjanjian Lisensi Dalam Pelaksanaan Alih Teknologi Berdasarkan Undang-Undang No 13 Tahun 2016 Tentang Paten,” no. 13 (2020).</w:t>
      </w:r>
    </w:p>
    <w:p w14:paraId="40C780C0"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Taufik Hidayatullah, Yachlam Pudayana Fitriani Gulo, and Ujang Badru Jnman. “Analisis Yuridis Perlindungan Hukum Terhadap Korban Pelecehan Seksual Verbal.” </w:t>
      </w:r>
      <w:r w:rsidRPr="002C142A">
        <w:rPr>
          <w:rFonts w:ascii="Book Antiqua" w:hAnsi="Book Antiqua"/>
          <w:i/>
          <w:iCs/>
          <w:noProof/>
          <w:sz w:val="24"/>
          <w:szCs w:val="24"/>
        </w:rPr>
        <w:t>Jurnal Rechten</w:t>
      </w:r>
      <w:r w:rsidRPr="002C142A">
        <w:rPr>
          <w:rFonts w:ascii="Times New Roman" w:hAnsi="Times New Roman"/>
          <w:i/>
          <w:iCs/>
          <w:noProof/>
          <w:sz w:val="24"/>
          <w:szCs w:val="24"/>
        </w:rPr>
        <w:t> </w:t>
      </w:r>
      <w:r w:rsidRPr="002C142A">
        <w:rPr>
          <w:rFonts w:ascii="Book Antiqua" w:hAnsi="Book Antiqua"/>
          <w:i/>
          <w:iCs/>
          <w:noProof/>
          <w:sz w:val="24"/>
          <w:szCs w:val="24"/>
        </w:rPr>
        <w:t>: Riset Hukum Dan Hak Asasi Manusia</w:t>
      </w:r>
      <w:r w:rsidRPr="002C142A">
        <w:rPr>
          <w:rFonts w:ascii="Book Antiqua" w:hAnsi="Book Antiqua"/>
          <w:noProof/>
          <w:sz w:val="24"/>
          <w:szCs w:val="24"/>
        </w:rPr>
        <w:t xml:space="preserve"> 4, no. 2 (2022): 12–22. https://doi.org/10.52005/rechten.v4i2.100.</w:t>
      </w:r>
    </w:p>
    <w:p w14:paraId="40A32103"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Tumbel, Cindy Valencya. “Perlindungan Hukum Terhadap Pemegang Paten Dalam Pembekuan Sementara Paten,” no. July (2022): 1–23. https://repository.unhas.ac.id/id/eprint/20601/.</w:t>
      </w:r>
    </w:p>
    <w:p w14:paraId="4D365312"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Winsherly Tan, Ampuan Situmeang, Kevin Indra Bhaskara. “TV Broadcasts Piracy Through Illegal Live Streaming Application</w:t>
      </w:r>
      <w:r w:rsidRPr="002C142A">
        <w:rPr>
          <w:rFonts w:ascii="Times New Roman" w:hAnsi="Times New Roman"/>
          <w:noProof/>
          <w:sz w:val="24"/>
          <w:szCs w:val="24"/>
        </w:rPr>
        <w:t> </w:t>
      </w:r>
      <w:r w:rsidRPr="002C142A">
        <w:rPr>
          <w:rFonts w:ascii="Book Antiqua" w:hAnsi="Book Antiqua"/>
          <w:noProof/>
          <w:sz w:val="24"/>
          <w:szCs w:val="24"/>
        </w:rPr>
        <w:t>: Challenges and Legal Protection for Copyright Holders” 9, no. 1 (2024): 66–79.</w:t>
      </w:r>
    </w:p>
    <w:p w14:paraId="381DB15B"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Yuliantari, I Gusti Ayu Eviani, I Gede Agus Kurniawan, and Ni Putu Dian Puspita Dewi. “Perlindungan Hukum Pemegang Hak Cipta Terhadap Pembajakan Potongan Film Pada Aplikasi Tiktok.” </w:t>
      </w:r>
      <w:r w:rsidRPr="002C142A">
        <w:rPr>
          <w:rFonts w:ascii="Book Antiqua" w:hAnsi="Book Antiqua"/>
          <w:i/>
          <w:iCs/>
          <w:noProof/>
          <w:sz w:val="24"/>
          <w:szCs w:val="24"/>
        </w:rPr>
        <w:t>Jurnal Hukum Sasana</w:t>
      </w:r>
      <w:r w:rsidRPr="002C142A">
        <w:rPr>
          <w:rFonts w:ascii="Book Antiqua" w:hAnsi="Book Antiqua"/>
          <w:noProof/>
          <w:sz w:val="24"/>
          <w:szCs w:val="24"/>
        </w:rPr>
        <w:t xml:space="preserve"> 9, no. 1 (2023): 81–90. https://doi.org/10.31599/sasana.v9i1.1866.</w:t>
      </w:r>
    </w:p>
    <w:p w14:paraId="6629C566" w14:textId="77777777" w:rsidR="002C142A" w:rsidRPr="002C142A" w:rsidRDefault="002C142A" w:rsidP="002C142A">
      <w:pPr>
        <w:widowControl w:val="0"/>
        <w:autoSpaceDE w:val="0"/>
        <w:autoSpaceDN w:val="0"/>
        <w:adjustRightInd w:val="0"/>
        <w:spacing w:after="120" w:line="240" w:lineRule="auto"/>
        <w:ind w:left="480" w:hanging="480"/>
        <w:jc w:val="both"/>
        <w:rPr>
          <w:rFonts w:ascii="Book Antiqua" w:hAnsi="Book Antiqua"/>
          <w:noProof/>
          <w:sz w:val="24"/>
          <w:szCs w:val="24"/>
        </w:rPr>
      </w:pPr>
      <w:r w:rsidRPr="002C142A">
        <w:rPr>
          <w:rFonts w:ascii="Book Antiqua" w:hAnsi="Book Antiqua"/>
          <w:noProof/>
          <w:sz w:val="24"/>
          <w:szCs w:val="24"/>
        </w:rPr>
        <w:t xml:space="preserve">Zuami, Mutia Denti Armala, and Bakti Tresnawati. “Perlindungan Hukum Terhadap Pemegang Hak Paten Akibat Dihapusnya Kepemilikan Hak Paten Dari Daftar Umum Paten.” </w:t>
      </w:r>
      <w:r w:rsidRPr="002C142A">
        <w:rPr>
          <w:rFonts w:ascii="Book Antiqua" w:hAnsi="Book Antiqua"/>
          <w:i/>
          <w:iCs/>
          <w:noProof/>
          <w:sz w:val="24"/>
          <w:szCs w:val="24"/>
        </w:rPr>
        <w:t>Jurnal JURISTIC</w:t>
      </w:r>
      <w:r w:rsidRPr="002C142A">
        <w:rPr>
          <w:rFonts w:ascii="Book Antiqua" w:hAnsi="Book Antiqua"/>
          <w:noProof/>
          <w:sz w:val="24"/>
          <w:szCs w:val="24"/>
        </w:rPr>
        <w:t xml:space="preserve"> 1, no. 01 (April 4, 2020): 95. https://doi.org/10.35973/jrs.v1i01.1486.</w:t>
      </w:r>
    </w:p>
    <w:p w14:paraId="053528DC" w14:textId="425B6CCF" w:rsidR="00B36F1C" w:rsidRPr="004B420B" w:rsidRDefault="00756DB1" w:rsidP="002C142A">
      <w:pPr>
        <w:jc w:val="both"/>
        <w:rPr>
          <w:noProof/>
        </w:rPr>
      </w:pPr>
      <w:r w:rsidRPr="002C142A">
        <w:rPr>
          <w:rFonts w:ascii="Book Antiqua" w:hAnsi="Book Antiqua"/>
          <w:noProof/>
          <w:sz w:val="24"/>
          <w:szCs w:val="24"/>
        </w:rPr>
        <w:fldChar w:fldCharType="end"/>
      </w:r>
    </w:p>
    <w:p w14:paraId="636D265C" w14:textId="77777777" w:rsidR="00B36F1C" w:rsidRDefault="00B36F1C" w:rsidP="00F2670C">
      <w:pPr>
        <w:pStyle w:val="ListParagraph"/>
        <w:spacing w:after="120" w:line="240" w:lineRule="auto"/>
        <w:ind w:left="567" w:hanging="567"/>
        <w:contextualSpacing w:val="0"/>
        <w:jc w:val="both"/>
        <w:rPr>
          <w:rFonts w:ascii="Book Antiqua" w:hAnsi="Book Antiqua" w:cs="Calibri"/>
          <w:noProof/>
          <w:sz w:val="24"/>
          <w:szCs w:val="24"/>
        </w:rPr>
      </w:pPr>
    </w:p>
    <w:p w14:paraId="6D65783A" w14:textId="77777777" w:rsidR="00B36F1C" w:rsidRDefault="00B36F1C" w:rsidP="00F2670C">
      <w:pPr>
        <w:pStyle w:val="ListParagraph"/>
        <w:spacing w:after="120" w:line="240" w:lineRule="auto"/>
        <w:ind w:left="567" w:hanging="567"/>
        <w:contextualSpacing w:val="0"/>
        <w:jc w:val="both"/>
        <w:rPr>
          <w:rFonts w:ascii="Book Antiqua" w:hAnsi="Book Antiqua" w:cs="Calibri"/>
          <w:noProof/>
          <w:sz w:val="24"/>
          <w:szCs w:val="24"/>
        </w:rPr>
      </w:pPr>
    </w:p>
    <w:p w14:paraId="68C23CFB" w14:textId="77777777" w:rsidR="004A3361" w:rsidRDefault="004A3361" w:rsidP="004A3361">
      <w:pPr>
        <w:pStyle w:val="ListParagraph"/>
        <w:spacing w:after="120" w:line="240" w:lineRule="auto"/>
        <w:ind w:left="0"/>
        <w:contextualSpacing w:val="0"/>
        <w:jc w:val="both"/>
        <w:rPr>
          <w:rFonts w:ascii="Book Antiqua" w:hAnsi="Book Antiqua" w:cs="Calibri"/>
          <w:noProof/>
          <w:sz w:val="24"/>
          <w:szCs w:val="24"/>
        </w:rPr>
      </w:pPr>
    </w:p>
    <w:p w14:paraId="7EAA6962" w14:textId="77777777" w:rsidR="003C532A"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6A99CCA2" w14:textId="77777777" w:rsidR="003C532A"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294C62C2" w14:textId="77777777" w:rsidR="003C532A"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72756246" w14:textId="77777777" w:rsidR="003C532A"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1C48014E" w14:textId="77777777" w:rsidR="00B36F1C"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r w:rsidRPr="00E05BD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1166DA24"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31CB5186"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60034F3B"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7A036432"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6F27C33A"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63798C04"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48FD70B6"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3DD9C83D"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66E3A8FF"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46D71A80" w14:textId="60B86A0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45206E80" w14:textId="4BB004A1"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083C01B7" w14:textId="58A4BD5C"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011A7B76" w14:textId="43E65D82"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6FFF1742" w14:textId="27B35210"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82C446D" w14:textId="3656EC5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4549DBF2" w14:textId="0503086D"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D879E4B" w14:textId="21D05B0B"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55CED883" w14:textId="6ECBF4FE" w:rsidR="00E05BDD" w:rsidRPr="0034063C" w:rsidRDefault="008E2523" w:rsidP="0034063C">
      <w:pPr>
        <w:spacing w:after="120" w:line="240" w:lineRule="auto"/>
        <w:jc w:val="both"/>
        <w:rPr>
          <w:rFonts w:ascii="Book Antiqua" w:hAnsi="Book Antiqua"/>
          <w:b/>
          <w:lang w:eastAsia="fi-FI" w:bidi="ar-SA"/>
        </w:rPr>
      </w:pPr>
      <w:r w:rsidRPr="00292640">
        <w:rPr>
          <w:rFonts w:ascii="Book Antiqua" w:hAnsi="Book Antiqua"/>
          <w:b/>
          <w:noProof/>
          <w:lang w:bidi="ar-SA"/>
        </w:rPr>
        <w:drawing>
          <wp:anchor distT="0" distB="0" distL="114300" distR="114300" simplePos="0" relativeHeight="251693056" behindDoc="0" locked="0" layoutInCell="1" allowOverlap="1" wp14:anchorId="63355328" wp14:editId="1F6EAA96">
            <wp:simplePos x="0" y="0"/>
            <wp:positionH relativeFrom="column">
              <wp:posOffset>499110</wp:posOffset>
            </wp:positionH>
            <wp:positionV relativeFrom="paragraph">
              <wp:posOffset>1068705</wp:posOffset>
            </wp:positionV>
            <wp:extent cx="5324475" cy="1352550"/>
            <wp:effectExtent l="0" t="0" r="9525" b="0"/>
            <wp:wrapNone/>
            <wp:docPr id="7" name="Picture 7" descr="E:\FileKu\JURNAL FH UNPATTI\BALLREV\Konflik Ineteres BALLREV_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leKu\JURNAL FH UNPATTI\BALLREV\Konflik Ineteres BALLREV_202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447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05BDD" w:rsidRPr="0034063C" w:rsidSect="00576E8E">
      <w:footerReference w:type="even" r:id="rId18"/>
      <w:footerReference w:type="default" r:id="rId19"/>
      <w:headerReference w:type="first" r:id="rId20"/>
      <w:footerReference w:type="first" r:id="rId21"/>
      <w:pgSz w:w="11906" w:h="16838" w:code="9"/>
      <w:pgMar w:top="1276" w:right="1134" w:bottom="1134" w:left="1134" w:header="720" w:footer="1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FFAC1" w14:textId="77777777" w:rsidR="00A173A6" w:rsidRDefault="00A173A6" w:rsidP="00934130">
      <w:pPr>
        <w:spacing w:after="0" w:line="240" w:lineRule="auto"/>
      </w:pPr>
      <w:r>
        <w:separator/>
      </w:r>
    </w:p>
  </w:endnote>
  <w:endnote w:type="continuationSeparator" w:id="0">
    <w:p w14:paraId="57999A7C" w14:textId="77777777" w:rsidR="00A173A6" w:rsidRDefault="00A173A6"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7375166"/>
      <w:docPartObj>
        <w:docPartGallery w:val="Page Numbers (Bottom of Page)"/>
        <w:docPartUnique/>
      </w:docPartObj>
    </w:sdtPr>
    <w:sdtEndPr>
      <w:rPr>
        <w:color w:val="7F7F7F" w:themeColor="background1" w:themeShade="7F"/>
        <w:spacing w:val="60"/>
      </w:rPr>
    </w:sdtEndPr>
    <w:sdtContent>
      <w:p w14:paraId="77F589F2" w14:textId="77777777" w:rsidR="00C04C78" w:rsidRPr="00F11C7E" w:rsidRDefault="00C04C78" w:rsidP="00F11C7E">
        <w:pPr>
          <w:pStyle w:val="Footer"/>
          <w:pBdr>
            <w:top w:val="single" w:sz="4" w:space="1" w:color="D9D9D9" w:themeColor="background1" w:themeShade="D9"/>
          </w:pBdr>
          <w:tabs>
            <w:tab w:val="left" w:pos="567"/>
          </w:tabs>
          <w:spacing w:after="120"/>
          <w:ind w:left="567" w:hanging="567"/>
          <w:rPr>
            <w:b/>
            <w:bCs/>
          </w:rPr>
        </w:pPr>
        <w:r w:rsidRPr="004B3AE2">
          <w:rPr>
            <w:rFonts w:ascii="Book Antiqua" w:hAnsi="Book Antiqua"/>
            <w:b/>
            <w:color w:val="FF0000"/>
            <w:sz w:val="28"/>
          </w:rPr>
          <w:fldChar w:fldCharType="begin"/>
        </w:r>
        <w:r w:rsidRPr="004B3AE2">
          <w:rPr>
            <w:rFonts w:ascii="Book Antiqua" w:hAnsi="Book Antiqua"/>
            <w:b/>
            <w:color w:val="FF0000"/>
            <w:sz w:val="28"/>
          </w:rPr>
          <w:instrText xml:space="preserve"> PAGE   \* MERGEFORMAT </w:instrText>
        </w:r>
        <w:r w:rsidRPr="004B3AE2">
          <w:rPr>
            <w:rFonts w:ascii="Book Antiqua" w:hAnsi="Book Antiqua"/>
            <w:b/>
            <w:color w:val="FF0000"/>
            <w:sz w:val="28"/>
          </w:rPr>
          <w:fldChar w:fldCharType="separate"/>
        </w:r>
        <w:r w:rsidRPr="00D57DFC">
          <w:rPr>
            <w:rFonts w:ascii="Book Antiqua" w:hAnsi="Book Antiqua"/>
            <w:b/>
            <w:bCs/>
            <w:noProof/>
            <w:color w:val="FF0000"/>
            <w:sz w:val="28"/>
          </w:rPr>
          <w:t>4</w:t>
        </w:r>
        <w:r w:rsidRPr="004B3AE2">
          <w:rPr>
            <w:rFonts w:ascii="Book Antiqua" w:hAnsi="Book Antiqua"/>
            <w:b/>
            <w:bCs/>
            <w:noProof/>
            <w:color w:val="FF0000"/>
            <w:sz w:val="28"/>
          </w:rPr>
          <w:fldChar w:fldCharType="end"/>
        </w:r>
        <w:r w:rsidRPr="0038264A">
          <w:rPr>
            <w:b/>
            <w:bCs/>
            <w:color w:val="1F3864" w:themeColor="accent1" w:themeShade="80"/>
            <w:sz w:val="24"/>
          </w:rPr>
          <w:t xml:space="preserve"> </w:t>
        </w:r>
        <w:proofErr w:type="gramStart"/>
        <w:r>
          <w:rPr>
            <w:b/>
            <w:bCs/>
          </w:rPr>
          <w:t xml:space="preserve">|  </w:t>
        </w:r>
        <w:r>
          <w:rPr>
            <w:b/>
            <w:bCs/>
          </w:rPr>
          <w:tab/>
        </w:r>
        <w:proofErr w:type="gramEnd"/>
      </w:p>
    </w:sdtContent>
  </w:sdt>
  <w:p w14:paraId="21BA0632" w14:textId="77777777" w:rsidR="00C04C78" w:rsidRPr="00185CD9" w:rsidRDefault="00C04C78" w:rsidP="00332B9B">
    <w:pPr>
      <w:pStyle w:val="Footer"/>
      <w:spacing w:after="40"/>
      <w:jc w:val="right"/>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348651"/>
      <w:docPartObj>
        <w:docPartGallery w:val="Page Numbers (Bottom of Page)"/>
        <w:docPartUnique/>
      </w:docPartObj>
    </w:sdtPr>
    <w:sdtEndPr>
      <w:rPr>
        <w:color w:val="7F7F7F" w:themeColor="background1" w:themeShade="7F"/>
        <w:spacing w:val="60"/>
      </w:rPr>
    </w:sdtEndPr>
    <w:sdtContent>
      <w:p w14:paraId="4048B9B1" w14:textId="4771DD7D" w:rsidR="00C04C78" w:rsidRPr="00A13D9B" w:rsidRDefault="00C04C78" w:rsidP="00A13D9B">
        <w:pPr>
          <w:pStyle w:val="Footer"/>
          <w:pBdr>
            <w:top w:val="single" w:sz="4" w:space="1" w:color="D9D9D9" w:themeColor="background1" w:themeShade="D9"/>
          </w:pBdr>
          <w:tabs>
            <w:tab w:val="left" w:pos="426"/>
          </w:tabs>
          <w:spacing w:before="120"/>
          <w:ind w:left="993" w:hanging="993"/>
          <w:jc w:val="both"/>
          <w:rPr>
            <w:rFonts w:ascii="Book Antiqua" w:hAnsi="Book Antiqua"/>
            <w:i/>
            <w:iCs/>
            <w:noProof/>
            <w:sz w:val="16"/>
            <w:szCs w:val="16"/>
          </w:rPr>
        </w:pPr>
        <w:r w:rsidRPr="008425BD">
          <w:rPr>
            <w:rFonts w:ascii="Book Antiqua" w:hAnsi="Book Antiqua"/>
            <w:b/>
            <w:color w:val="FFFFFF" w:themeColor="background1"/>
            <w:sz w:val="26"/>
            <w:szCs w:val="26"/>
            <w:highlight w:val="black"/>
            <w:shd w:val="clear" w:color="auto" w:fill="FFFFFF" w:themeFill="background1"/>
          </w:rPr>
          <w:fldChar w:fldCharType="begin"/>
        </w:r>
        <w:r w:rsidRPr="008425BD">
          <w:rPr>
            <w:rFonts w:ascii="Book Antiqua" w:hAnsi="Book Antiqua"/>
            <w:b/>
            <w:color w:val="FFFFFF" w:themeColor="background1"/>
            <w:sz w:val="26"/>
            <w:szCs w:val="26"/>
            <w:highlight w:val="black"/>
            <w:shd w:val="clear" w:color="auto" w:fill="FFFFFF" w:themeFill="background1"/>
          </w:rPr>
          <w:instrText xml:space="preserve"> PAGE   \* MERGEFORMAT </w:instrText>
        </w:r>
        <w:r w:rsidRPr="008425BD">
          <w:rPr>
            <w:rFonts w:ascii="Book Antiqua" w:hAnsi="Book Antiqua"/>
            <w:b/>
            <w:color w:val="FFFFFF" w:themeColor="background1"/>
            <w:sz w:val="26"/>
            <w:szCs w:val="26"/>
            <w:highlight w:val="black"/>
            <w:shd w:val="clear" w:color="auto" w:fill="FFFFFF" w:themeFill="background1"/>
          </w:rPr>
          <w:fldChar w:fldCharType="separate"/>
        </w:r>
        <w:r w:rsidRPr="001610CC">
          <w:rPr>
            <w:rFonts w:ascii="Book Antiqua" w:hAnsi="Book Antiqua"/>
            <w:b/>
            <w:bCs/>
            <w:noProof/>
            <w:color w:val="FFFFFF" w:themeColor="background1"/>
            <w:sz w:val="26"/>
            <w:szCs w:val="26"/>
            <w:highlight w:val="black"/>
            <w:shd w:val="clear" w:color="auto" w:fill="FFFFFF" w:themeFill="background1"/>
          </w:rPr>
          <w:t>1</w:t>
        </w:r>
        <w:r w:rsidRPr="008425BD">
          <w:rPr>
            <w:rFonts w:ascii="Book Antiqua" w:hAnsi="Book Antiqua"/>
            <w:b/>
            <w:bCs/>
            <w:noProof/>
            <w:color w:val="FFFFFF" w:themeColor="background1"/>
            <w:sz w:val="26"/>
            <w:szCs w:val="26"/>
            <w:highlight w:val="black"/>
            <w:shd w:val="clear" w:color="auto" w:fill="FFFFFF" w:themeFill="background1"/>
          </w:rPr>
          <w:fldChar w:fldCharType="end"/>
        </w:r>
        <w:r w:rsidRPr="0038264A">
          <w:rPr>
            <w:b/>
            <w:bCs/>
            <w:sz w:val="24"/>
          </w:rPr>
          <w:t xml:space="preserve"> </w:t>
        </w:r>
        <w:r>
          <w:rPr>
            <w:b/>
            <w:bCs/>
          </w:rPr>
          <w:t>|</w:t>
        </w:r>
        <w:r w:rsidR="00A13D9B">
          <w:rPr>
            <w:b/>
            <w:bCs/>
          </w:rPr>
          <w:tab/>
        </w:r>
        <w:r>
          <w:rPr>
            <w:rFonts w:ascii="Book Antiqua" w:hAnsi="Book Antiqua" w:cstheme="majorHAnsi"/>
            <w:color w:val="000000" w:themeColor="text1"/>
            <w:sz w:val="16"/>
            <w:szCs w:val="16"/>
          </w:rPr>
          <w:t>Moehammad Mahastar Ritonga</w:t>
        </w:r>
        <w:r w:rsidR="00A13D9B">
          <w:rPr>
            <w:rFonts w:ascii="Book Antiqua" w:hAnsi="Book Antiqua" w:cstheme="majorHAnsi"/>
            <w:color w:val="000000" w:themeColor="text1"/>
            <w:sz w:val="16"/>
            <w:szCs w:val="16"/>
          </w:rPr>
          <w:t>,</w:t>
        </w:r>
        <w:r w:rsidR="00A13D9B" w:rsidRPr="00A13D9B">
          <w:rPr>
            <w:rFonts w:ascii="Book Antiqua" w:hAnsi="Book Antiqua" w:cstheme="majorHAnsi"/>
            <w:color w:val="000000" w:themeColor="text1"/>
            <w:sz w:val="16"/>
            <w:szCs w:val="16"/>
          </w:rPr>
          <w:t xml:space="preserve"> </w:t>
        </w:r>
        <w:proofErr w:type="spellStart"/>
        <w:r w:rsidR="00A13D9B">
          <w:rPr>
            <w:rFonts w:ascii="Book Antiqua" w:hAnsi="Book Antiqua" w:cstheme="majorHAnsi"/>
            <w:color w:val="000000" w:themeColor="text1"/>
            <w:sz w:val="16"/>
            <w:szCs w:val="16"/>
          </w:rPr>
          <w:t>Febri</w:t>
        </w:r>
        <w:proofErr w:type="spellEnd"/>
        <w:r w:rsidR="00A13D9B">
          <w:rPr>
            <w:rFonts w:ascii="Book Antiqua" w:hAnsi="Book Antiqua" w:cstheme="majorHAnsi"/>
            <w:color w:val="000000" w:themeColor="text1"/>
            <w:sz w:val="16"/>
            <w:szCs w:val="16"/>
          </w:rPr>
          <w:t xml:space="preserve"> Jaya,</w:t>
        </w:r>
        <w:r w:rsidR="00A13D9B">
          <w:rPr>
            <w:rFonts w:ascii="Book Antiqua" w:hAnsi="Book Antiqua" w:cstheme="majorHAnsi"/>
            <w:color w:val="000000" w:themeColor="text1"/>
            <w:sz w:val="16"/>
            <w:szCs w:val="16"/>
          </w:rPr>
          <w:t xml:space="preserve"> and </w:t>
        </w:r>
        <w:r w:rsidR="00A13D9B" w:rsidRPr="00A13D9B">
          <w:rPr>
            <w:rFonts w:ascii="Book Antiqua" w:hAnsi="Book Antiqua" w:cstheme="majorHAnsi"/>
            <w:color w:val="000000" w:themeColor="text1"/>
            <w:sz w:val="16"/>
            <w:szCs w:val="16"/>
          </w:rPr>
          <w:t>Lu Sudirman</w:t>
        </w:r>
        <w:r w:rsidRPr="009807F2">
          <w:rPr>
            <w:rFonts w:ascii="Book Antiqua" w:hAnsi="Book Antiqua" w:cstheme="majorHAnsi"/>
            <w:color w:val="000000" w:themeColor="text1"/>
            <w:sz w:val="16"/>
            <w:szCs w:val="16"/>
          </w:rPr>
          <w:t xml:space="preserve">. </w:t>
        </w:r>
        <w:r w:rsidRPr="002B6B96">
          <w:rPr>
            <w:rFonts w:ascii="Book Antiqua" w:hAnsi="Book Antiqua" w:cstheme="majorHAnsi"/>
            <w:color w:val="000000" w:themeColor="text1"/>
            <w:sz w:val="16"/>
            <w:szCs w:val="16"/>
          </w:rPr>
          <w:t>“</w:t>
        </w:r>
        <w:r w:rsidR="00A13D9B" w:rsidRPr="00A13D9B">
          <w:rPr>
            <w:rFonts w:ascii="Book Antiqua" w:hAnsi="Book Antiqua"/>
            <w:i/>
            <w:iCs/>
            <w:noProof/>
            <w:sz w:val="16"/>
            <w:szCs w:val="16"/>
          </w:rPr>
          <w:t>Aspects of Justice, Legal Certainty and Benefit in the Settlement of Patent Disputes</w:t>
        </w:r>
        <w:r w:rsidRPr="002B6B96">
          <w:rPr>
            <w:rFonts w:ascii="Book Antiqua" w:hAnsi="Book Antiqua"/>
            <w:i/>
            <w:iCs/>
            <w:noProof/>
            <w:sz w:val="16"/>
            <w:szCs w:val="16"/>
          </w:rPr>
          <w:t>”</w:t>
        </w:r>
      </w:p>
      <w:p w14:paraId="4108A16E" w14:textId="5C3444E7" w:rsidR="00C04C78" w:rsidRPr="00E54AD5" w:rsidRDefault="00C04C78" w:rsidP="00716F9B">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Pr>
            <w:rFonts w:ascii="Book Antiqua" w:hAnsi="Book Antiqua"/>
            <w:b/>
            <w:i/>
            <w:color w:val="000000" w:themeColor="text1"/>
            <w:sz w:val="16"/>
            <w:szCs w:val="16"/>
          </w:rPr>
          <w:t xml:space="preserve"> </w:t>
        </w:r>
        <w:proofErr w:type="spellStart"/>
        <w:r w:rsidRPr="00332B9B">
          <w:rPr>
            <w:rFonts w:ascii="Book Antiqua" w:hAnsi="Book Antiqua"/>
            <w:b/>
            <w:i/>
            <w:color w:val="000000" w:themeColor="text1"/>
            <w:sz w:val="16"/>
            <w:szCs w:val="16"/>
          </w:rPr>
          <w:t>Batulis</w:t>
        </w:r>
        <w:proofErr w:type="spellEnd"/>
        <w:r w:rsidRPr="00332B9B">
          <w:rPr>
            <w:rFonts w:ascii="Book Antiqua" w:hAnsi="Book Antiqua"/>
            <w:b/>
            <w:i/>
            <w:color w:val="000000" w:themeColor="text1"/>
            <w:sz w:val="16"/>
            <w:szCs w:val="16"/>
          </w:rPr>
          <w:t xml:space="preserve"> Civil Law Rev</w:t>
        </w:r>
        <w:r w:rsidRPr="00E54AD5">
          <w:rPr>
            <w:rFonts w:ascii="Book Antiqua" w:hAnsi="Book Antiqua"/>
            <w:color w:val="000000" w:themeColor="text1"/>
            <w:sz w:val="16"/>
            <w:szCs w:val="16"/>
          </w:rPr>
          <w:t>,</w:t>
        </w:r>
        <w:r w:rsidRPr="00E54AD5">
          <w:rPr>
            <w:rFonts w:ascii="Book Antiqua" w:hAnsi="Book Antiqua"/>
            <w:color w:val="000000" w:themeColor="text1"/>
            <w:sz w:val="16"/>
            <w:szCs w:val="16"/>
            <w:lang w:val="id-ID"/>
          </w:rPr>
          <w:t xml:space="preserve"> </w:t>
        </w:r>
        <w:r>
          <w:rPr>
            <w:rFonts w:ascii="Book Antiqua" w:hAnsi="Book Antiqua"/>
            <w:color w:val="000000" w:themeColor="text1"/>
            <w:sz w:val="16"/>
            <w:szCs w:val="16"/>
          </w:rPr>
          <w:t>X</w:t>
        </w:r>
        <w:r w:rsidRPr="00E54AD5">
          <w:rPr>
            <w:rFonts w:ascii="Book Antiqua" w:hAnsi="Book Antiqua"/>
            <w:color w:val="000000" w:themeColor="text1"/>
            <w:sz w:val="16"/>
            <w:szCs w:val="16"/>
          </w:rPr>
          <w:t xml:space="preserve"> </w:t>
        </w:r>
        <w:r w:rsidRPr="00E54AD5">
          <w:rPr>
            <w:rFonts w:ascii="Book Antiqua" w:hAnsi="Book Antiqua"/>
            <w:color w:val="000000" w:themeColor="text1"/>
            <w:sz w:val="16"/>
            <w:szCs w:val="16"/>
            <w:lang w:val="id-ID"/>
          </w:rPr>
          <w:t>(</w:t>
        </w:r>
        <w:r>
          <w:rPr>
            <w:rFonts w:ascii="Book Antiqua" w:hAnsi="Book Antiqua"/>
            <w:color w:val="000000" w:themeColor="text1"/>
            <w:sz w:val="16"/>
            <w:szCs w:val="16"/>
          </w:rPr>
          <w:t>X</w:t>
        </w:r>
        <w:r w:rsidRPr="00E54AD5">
          <w:rPr>
            <w:rFonts w:ascii="Book Antiqua" w:hAnsi="Book Antiqua"/>
            <w:color w:val="000000" w:themeColor="text1"/>
            <w:sz w:val="16"/>
            <w:szCs w:val="16"/>
            <w:lang w:val="id-ID"/>
          </w:rPr>
          <w:t>)</w:t>
        </w:r>
        <w:r w:rsidRPr="00E54AD5">
          <w:rPr>
            <w:rFonts w:ascii="Book Antiqua" w:hAnsi="Book Antiqua"/>
            <w:color w:val="000000" w:themeColor="text1"/>
            <w:sz w:val="16"/>
            <w:szCs w:val="16"/>
          </w:rPr>
          <w:t xml:space="preserve"> </w:t>
        </w:r>
        <w:proofErr w:type="spellStart"/>
        <w:r>
          <w:rPr>
            <w:rFonts w:ascii="Book Antiqua" w:hAnsi="Book Antiqua"/>
            <w:color w:val="000000" w:themeColor="text1"/>
            <w:sz w:val="16"/>
            <w:szCs w:val="16"/>
          </w:rPr>
          <w:t>Bulan</w:t>
        </w:r>
        <w:proofErr w:type="spellEnd"/>
        <w:r>
          <w:rPr>
            <w:rFonts w:ascii="Book Antiqua" w:hAnsi="Book Antiqua"/>
            <w:color w:val="000000" w:themeColor="text1"/>
            <w:sz w:val="16"/>
            <w:szCs w:val="16"/>
          </w:rPr>
          <w:t xml:space="preserve"> </w:t>
        </w:r>
        <w:proofErr w:type="spellStart"/>
        <w:r>
          <w:rPr>
            <w:rFonts w:ascii="Book Antiqua" w:hAnsi="Book Antiqua"/>
            <w:color w:val="000000" w:themeColor="text1"/>
            <w:sz w:val="16"/>
            <w:szCs w:val="16"/>
          </w:rPr>
          <w:t>Tahun</w:t>
        </w:r>
        <w:proofErr w:type="spellEnd"/>
        <w:r w:rsidRPr="00E54AD5">
          <w:rPr>
            <w:rFonts w:ascii="Book Antiqua" w:hAnsi="Book Antiqua"/>
            <w:color w:val="000000" w:themeColor="text1"/>
            <w:sz w:val="16"/>
            <w:szCs w:val="16"/>
            <w:lang w:val="id-ID"/>
          </w:rPr>
          <w:t xml:space="preserve">: </w:t>
        </w:r>
        <w:r w:rsidRPr="00E54AD5">
          <w:rPr>
            <w:rFonts w:ascii="Book Antiqua" w:hAnsi="Book Antiqua"/>
            <w:color w:val="000000" w:themeColor="text1"/>
            <w:sz w:val="16"/>
            <w:szCs w:val="16"/>
          </w:rPr>
          <w:t>X</w:t>
        </w:r>
        <w:r w:rsidRPr="00E54AD5">
          <w:rPr>
            <w:rFonts w:ascii="Book Antiqua" w:hAnsi="Book Antiqua"/>
            <w:color w:val="000000" w:themeColor="text1"/>
            <w:sz w:val="16"/>
            <w:szCs w:val="16"/>
            <w:lang w:val="id-ID"/>
          </w:rPr>
          <w:t>-</w:t>
        </w:r>
        <w:r w:rsidRPr="00E54AD5">
          <w:rPr>
            <w:rFonts w:ascii="Book Antiqua" w:hAnsi="Book Antiqua"/>
            <w:color w:val="000000" w:themeColor="text1"/>
            <w:sz w:val="16"/>
            <w:szCs w:val="16"/>
          </w:rPr>
          <w:t>XX</w:t>
        </w:r>
      </w:p>
      <w:p w14:paraId="0325C28B" w14:textId="77777777" w:rsidR="00C04C78" w:rsidRPr="00E54AD5" w:rsidRDefault="00C04C78" w:rsidP="00B550DD">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lang w:val="id-ID"/>
          </w:rPr>
        </w:pPr>
        <w:r w:rsidRPr="00AF434B">
          <w:rPr>
            <w:rFonts w:ascii="Book Antiqua" w:hAnsi="Book Antiqua"/>
            <w:sz w:val="16"/>
            <w:lang w:val="id-ID"/>
          </w:rPr>
          <w:t>P-ISSN: 27</w:t>
        </w:r>
        <w:r w:rsidRPr="00AF434B">
          <w:rPr>
            <w:rFonts w:ascii="Book Antiqua" w:hAnsi="Book Antiqua"/>
            <w:sz w:val="16"/>
          </w:rPr>
          <w:t>22</w:t>
        </w:r>
        <w:r w:rsidRPr="00AF434B">
          <w:rPr>
            <w:rFonts w:ascii="Book Antiqua" w:hAnsi="Book Antiqua"/>
            <w:sz w:val="16"/>
            <w:lang w:val="id-ID"/>
          </w:rPr>
          <w:t>-4465, E-ISSN: 2746-8151</w:t>
        </w:r>
      </w:p>
      <w:p w14:paraId="5AA51035" w14:textId="77777777" w:rsidR="00C04C78" w:rsidRPr="00C14BB6" w:rsidRDefault="00C04C78" w:rsidP="00B550DD">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sidRPr="00E54AD5">
          <w:rPr>
            <w:rFonts w:ascii="Book Antiqua" w:hAnsi="Book Antiqua"/>
            <w:sz w:val="16"/>
          </w:rPr>
          <w:t>Published by</w:t>
        </w:r>
        <w:r>
          <w:rPr>
            <w:rFonts w:ascii="Book Antiqua" w:hAnsi="Book Antiqua"/>
            <w:sz w:val="16"/>
          </w:rPr>
          <w:t>:</w:t>
        </w:r>
        <w:r w:rsidRPr="00E54AD5">
          <w:rPr>
            <w:rFonts w:ascii="Book Antiqua" w:hAnsi="Book Antiqua"/>
            <w:sz w:val="16"/>
          </w:rPr>
          <w:t xml:space="preserve"> Faculty of Law</w:t>
        </w:r>
        <w:r>
          <w:rPr>
            <w:rFonts w:ascii="Book Antiqua" w:hAnsi="Book Antiqua"/>
            <w:sz w:val="16"/>
          </w:rPr>
          <w:t xml:space="preserve">, </w:t>
        </w:r>
        <w:proofErr w:type="spellStart"/>
        <w:r>
          <w:rPr>
            <w:rFonts w:ascii="Book Antiqua" w:hAnsi="Book Antiqua"/>
            <w:sz w:val="16"/>
          </w:rPr>
          <w:t>Universitas</w:t>
        </w:r>
        <w:proofErr w:type="spellEnd"/>
        <w:r w:rsidRPr="00E54AD5">
          <w:rPr>
            <w:rFonts w:ascii="Book Antiqua" w:hAnsi="Book Antiqua"/>
            <w:sz w:val="16"/>
          </w:rPr>
          <w:t xml:space="preserve"> </w:t>
        </w:r>
        <w:proofErr w:type="spellStart"/>
        <w:r w:rsidRPr="00E54AD5">
          <w:rPr>
            <w:rFonts w:ascii="Book Antiqua" w:hAnsi="Book Antiqua"/>
            <w:sz w:val="16"/>
          </w:rPr>
          <w:t>Pattimura</w:t>
        </w:r>
        <w:proofErr w:type="spellEnd"/>
      </w:p>
    </w:sdtContent>
  </w:sdt>
  <w:p w14:paraId="096BA690" w14:textId="77777777" w:rsidR="00C04C78" w:rsidRPr="00F11C7E" w:rsidRDefault="00C04C78" w:rsidP="0071563E">
    <w:pPr>
      <w:pStyle w:val="Footer"/>
      <w:pBdr>
        <w:top w:val="single" w:sz="4" w:space="1" w:color="D9D9D9" w:themeColor="background1" w:themeShade="D9"/>
      </w:pBdr>
      <w:tabs>
        <w:tab w:val="left" w:pos="567"/>
        <w:tab w:val="left" w:pos="7800"/>
      </w:tabs>
      <w:spacing w:after="120"/>
      <w:ind w:left="567" w:hanging="567"/>
      <w:rPr>
        <w:b/>
        <w:bCs/>
      </w:rPr>
    </w:pPr>
    <w:r>
      <w:rPr>
        <w:b/>
        <w:bCs/>
      </w:rPr>
      <w:tab/>
    </w:r>
    <w:r>
      <w:rPr>
        <w:b/>
        <w:bCs/>
      </w:rPr>
      <w:tab/>
    </w:r>
    <w:r>
      <w:rPr>
        <w:b/>
        <w:bCs/>
      </w:rPr>
      <w:tab/>
    </w:r>
    <w:r>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2E57C" w14:textId="77777777" w:rsidR="00C04C78" w:rsidRDefault="00C04C78" w:rsidP="00F11C7E">
    <w:pPr>
      <w:tabs>
        <w:tab w:val="left" w:pos="567"/>
      </w:tabs>
      <w:spacing w:after="0" w:line="240" w:lineRule="auto"/>
      <w:ind w:left="567" w:hanging="567"/>
      <w:rPr>
        <w:rFonts w:ascii="Book Antiqua" w:hAnsi="Book Antiqua"/>
        <w:b/>
        <w:i/>
        <w:color w:val="000000" w:themeColor="text1"/>
        <w:sz w:val="16"/>
        <w:szCs w:val="16"/>
      </w:rPr>
    </w:pPr>
  </w:p>
  <w:p w14:paraId="594ABDEE" w14:textId="77777777" w:rsidR="00C04C78" w:rsidRPr="00332B9B" w:rsidRDefault="00C04C78" w:rsidP="00D57DFC">
    <w:pPr>
      <w:tabs>
        <w:tab w:val="left" w:pos="567"/>
      </w:tabs>
      <w:spacing w:after="120" w:line="240" w:lineRule="auto"/>
      <w:ind w:left="567" w:hanging="567"/>
      <w:rPr>
        <w:rFonts w:ascii="Book Antiqua" w:hAnsi="Book Antiqua"/>
        <w:b/>
        <w:i/>
        <w:color w:val="000000" w:themeColor="text1"/>
        <w:sz w:val="16"/>
        <w:szCs w:val="16"/>
        <w:lang w:val="id-ID"/>
      </w:rPr>
    </w:pPr>
    <w:r>
      <w:rPr>
        <w:rFonts w:ascii="Book Antiqua" w:hAnsi="Book Antiqua"/>
        <w:b/>
        <w:i/>
        <w:color w:val="000000" w:themeColor="text1"/>
        <w:sz w:val="16"/>
        <w:szCs w:val="16"/>
      </w:rPr>
      <w:tab/>
    </w:r>
  </w:p>
  <w:p w14:paraId="23654547" w14:textId="77777777" w:rsidR="00C04C78" w:rsidRPr="00332B9B" w:rsidRDefault="00C04C78" w:rsidP="00332B9B">
    <w:pPr>
      <w:pStyle w:val="Footer"/>
      <w:jc w:val="right"/>
      <w:rPr>
        <w:rFonts w:ascii="Book Antiqua" w:hAnsi="Book Antiqua"/>
        <w:b/>
        <w:i/>
        <w:color w:val="000000" w:themeColor="text1"/>
        <w:sz w:val="16"/>
        <w:szCs w:val="16"/>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A8E12" w14:textId="77777777" w:rsidR="00A173A6" w:rsidRDefault="00A173A6" w:rsidP="00934130">
      <w:pPr>
        <w:spacing w:after="0" w:line="240" w:lineRule="auto"/>
      </w:pPr>
      <w:r>
        <w:separator/>
      </w:r>
    </w:p>
  </w:footnote>
  <w:footnote w:type="continuationSeparator" w:id="0">
    <w:p w14:paraId="6EC2A279" w14:textId="77777777" w:rsidR="00A173A6" w:rsidRDefault="00A173A6" w:rsidP="00934130">
      <w:pPr>
        <w:spacing w:after="0" w:line="240" w:lineRule="auto"/>
      </w:pPr>
      <w:r>
        <w:continuationSeparator/>
      </w:r>
    </w:p>
  </w:footnote>
  <w:footnote w:id="1">
    <w:p w14:paraId="796FEE17" w14:textId="70C270BD" w:rsidR="00C04C78" w:rsidRPr="00E47044" w:rsidRDefault="00C04C78">
      <w:pPr>
        <w:pStyle w:val="FootnoteText"/>
        <w:rPr>
          <w:rFonts w:ascii="Book Antiqua" w:hAnsi="Book Antiqua"/>
          <w:sz w:val="16"/>
          <w:szCs w:val="16"/>
        </w:rPr>
      </w:pPr>
      <w:r w:rsidRPr="00E47044">
        <w:rPr>
          <w:rStyle w:val="FootnoteReference"/>
          <w:rFonts w:ascii="Book Antiqua" w:hAnsi="Book Antiqua"/>
          <w:sz w:val="16"/>
          <w:szCs w:val="16"/>
        </w:rPr>
        <w:footnoteRef/>
      </w:r>
      <w:r w:rsidRPr="00E47044">
        <w:rPr>
          <w:rFonts w:ascii="Book Antiqua" w:hAnsi="Book Antiqua"/>
          <w:sz w:val="16"/>
          <w:szCs w:val="16"/>
        </w:rPr>
        <w:t xml:space="preserve"> </w:t>
      </w:r>
      <w:r w:rsidRPr="00E47044">
        <w:rPr>
          <w:rFonts w:ascii="Book Antiqua" w:hAnsi="Book Antiqua"/>
          <w:sz w:val="16"/>
          <w:szCs w:val="16"/>
        </w:rPr>
        <w:fldChar w:fldCharType="begin" w:fldLock="1"/>
      </w:r>
      <w:r>
        <w:rPr>
          <w:rFonts w:ascii="Book Antiqua" w:hAnsi="Book Antiqua"/>
          <w:sz w:val="16"/>
          <w:szCs w:val="16"/>
        </w:rPr>
        <w:instrText>ADDIN CSL_CITATION {"citationItems":[{"id":"ITEM-1","itemData":{"DOI":"https://doi.org/10.30640/dewantara.v2i4.1692","abstract":"Terhadap penelitian skripsi ini, penulis dalam penelitiannya menggunakan metode yuridis normatif yang artinya dimaksudkan bahwa penelitian mengacu pada norma – norma hukum dalam undang- undang nasional. Penelitian ini juga memiliki tujuan guna untuk mengetahui pemberlakuan prinsip new novelty dalam pengajuan permohonan paten dan mengetahui akibat hukum bagi pemohon paten yang tidak menggunakan prinsip new novelty. Sumber data penelitian ini diperoleh dari pengumpulan data dalam penelitian ini dilakukan dengan studi dokumen atau kepustakaan. Studi dokumen atau kepustakaan merupakan teknik pengumpulan data yang utama karena pembuktian asumsi dasar penelitian didasarkan bersandar pada norma-norma hukum positif, doktrin-doktrin atau ajaran hukum, hasil-hasil penelitian akademik maupun putusan-putusan pengadilan, di mana kesemuanya berbasis pada dokumen tertulis. Terkait dengan studi dokumen pada dasarnya merupakan kegiatan mengkaji berbagai informasi tertulis mengenai hukum, baik yang telah dipublikasikan atau tidak dipublikasikan secara umum tetapi boleh diketahui oleh pihak tertentu. Studi dokumen adalah kegiatan mengumpulkan dan memeriksa dan menelusuri dokumen-dokumen atau kepustakaan yang dapat memberikan informasi atau keterangan yang dibutuhkan oleh peneliti. Hasil penelitian menunjukkan bahwa prinsip new and novelty menjadi syarat mutlak dalam pendaftaran paten sesuai dengan Undang – Undang Nomor 13 Tahun 2016.","author":[{"dropping-particle":"","family":"Prasetyo","given":"Ramadhan Fajar","non-dropping-particle":"","parse-names":false,"suffix":""},{"dropping-particle":"","family":"Waluyo","given":"","non-dropping-particle":"","parse-names":false,"suffix":""}],"id":"ITEM-1","issue":"4","issued":{"date-parts":[["2023"]]},"page":"84 - 103","title":"Tinjauan Yuridis New Novelty Dalam Pengajuan Permohonan Hak Paten","type":"article-journal","volume":"2"},"uris":["http://www.mendeley.com/documents/?uuid=d16b43c8-f7a8-4d1c-a83a-6b0e68c3ef6b"]}],"mendeley":{"formattedCitation":"Ramadhan Fajar Prasetyo and Waluyo, “Tinjauan Yuridis New Novelty Dalam Pengajuan Permohonan Hak Paten” 2, no. 4 (2023): 84–103, https://doi.org/https://doi.org/10.30640/dewantara.v2i4.1692.","plainTextFormattedCitation":"Ramadhan Fajar Prasetyo and Waluyo, “Tinjauan Yuridis New Novelty Dalam Pengajuan Permohonan Hak Paten” 2, no. 4 (2023): 84–103, https://doi.org/https://doi.org/10.30640/dewantara.v2i4.1692.","previouslyFormattedCitation":"Ramadhan Fajar Prasetyo and Waluyo, “Tinjauan Yuridis New Novelty Dalam Pengajuan Permohonan Hak Paten” 2, no. 4 (2023): 84–103, https://doi.org/https://doi.org/10.30640/dewantara.v2i4.1692."},"properties":{"noteIndex":1},"schema":"https://github.com/citation-style-language/schema/raw/master/csl-citation.json"}</w:instrText>
      </w:r>
      <w:r w:rsidRPr="00E47044">
        <w:rPr>
          <w:rFonts w:ascii="Book Antiqua" w:hAnsi="Book Antiqua"/>
          <w:sz w:val="16"/>
          <w:szCs w:val="16"/>
        </w:rPr>
        <w:fldChar w:fldCharType="separate"/>
      </w:r>
      <w:r w:rsidRPr="00E47044">
        <w:rPr>
          <w:rFonts w:ascii="Book Antiqua" w:hAnsi="Book Antiqua"/>
          <w:noProof/>
          <w:sz w:val="16"/>
          <w:szCs w:val="16"/>
        </w:rPr>
        <w:t>Ramadhan Fajar Prasetyo and Waluyo, “Tinjauan Yuridis New Novelty Dalam Pengajuan Permohonan Hak Paten” 2, no. 4 (2023): 84–103, https://doi.org/https://doi.org/10.30640/dewantara.v2i4.1692.</w:t>
      </w:r>
      <w:r w:rsidRPr="00E47044">
        <w:rPr>
          <w:rFonts w:ascii="Book Antiqua" w:hAnsi="Book Antiqua"/>
          <w:sz w:val="16"/>
          <w:szCs w:val="16"/>
        </w:rPr>
        <w:fldChar w:fldCharType="end"/>
      </w:r>
    </w:p>
  </w:footnote>
  <w:footnote w:id="2">
    <w:p w14:paraId="52BE4477" w14:textId="273B378A" w:rsidR="00C04C78" w:rsidRPr="00D5120C" w:rsidRDefault="00C04C78" w:rsidP="00D5120C">
      <w:pPr>
        <w:pStyle w:val="FootnoteText"/>
        <w:jc w:val="both"/>
        <w:rPr>
          <w:rFonts w:ascii="Book Antiqua" w:hAnsi="Book Antiqua"/>
          <w:sz w:val="16"/>
          <w:szCs w:val="16"/>
        </w:rPr>
      </w:pPr>
      <w:r w:rsidRPr="00D5120C">
        <w:rPr>
          <w:rStyle w:val="FootnoteReference"/>
          <w:rFonts w:ascii="Book Antiqua" w:hAnsi="Book Antiqua"/>
          <w:sz w:val="16"/>
          <w:szCs w:val="16"/>
        </w:rPr>
        <w:footnoteRef/>
      </w:r>
      <w:r w:rsidRPr="00D5120C">
        <w:rPr>
          <w:rFonts w:ascii="Book Antiqua" w:hAnsi="Book Antiqua"/>
          <w:sz w:val="16"/>
          <w:szCs w:val="16"/>
        </w:rPr>
        <w:t xml:space="preserve"> </w:t>
      </w:r>
      <w:r w:rsidRPr="00D5120C">
        <w:rPr>
          <w:rFonts w:ascii="Book Antiqua" w:hAnsi="Book Antiqua"/>
          <w:sz w:val="16"/>
          <w:szCs w:val="16"/>
        </w:rPr>
        <w:fldChar w:fldCharType="begin" w:fldLock="1"/>
      </w:r>
      <w:r w:rsidRPr="00D5120C">
        <w:rPr>
          <w:rFonts w:ascii="Book Antiqua" w:hAnsi="Book Antiqua"/>
          <w:sz w:val="16"/>
          <w:szCs w:val="16"/>
        </w:rPr>
        <w:instrText>ADDIN CSL_CITATION {"citationItems":[{"id":"ITEM-1","itemData":{"ISBN":"2013206534","author":[{"dropping-particle":"","family":"Erlina","given":"","non-dropping-particle":"","parse-names":false,"suffix":""},{"dropping-particle":"","family":"Safitri","given":"Melisa","non-dropping-particle":"","parse-names":false,"suffix":""}],"id":"ITEM-1","issued":{"date-parts":[["2020"]]},"page":"1-23","title":"Analisi Komparasi Antara Perlindungan Paten Biasa dengan Paten Sederhan Berdasarkan Undang-Undang Paten","type":"article-journal"},"uris":["http://www.mendeley.com/documents/?uuid=1420d989-af3c-42f0-a7fb-031505eca2c2"]}],"mendeley":{"formattedCitation":"Erlina and Melisa Safitri, “Analisi Komparasi Antara Perlindungan Paten Biasa Dengan Paten Sederhan Berdasarkan Undang-Undang Paten,” 2020, 1–23.","plainTextFormattedCitation":"Erlina and Melisa Safitri, “Analisi Komparasi Antara Perlindungan Paten Biasa Dengan Paten Sederhan Berdasarkan Undang-Undang Paten,” 2020, 1–23.","previouslyFormattedCitation":"Erlina and Melisa Safitri, “Analisi Komparasi Antara Perlindungan Paten Biasa Dengan Paten Sederhan Berdasarkan Undang-Undang Paten,” 2020, 1–23."},"properties":{"noteIndex":2},"schema":"https://github.com/citation-style-language/schema/raw/master/csl-citation.json"}</w:instrText>
      </w:r>
      <w:r w:rsidRPr="00D5120C">
        <w:rPr>
          <w:rFonts w:ascii="Book Antiqua" w:hAnsi="Book Antiqua"/>
          <w:sz w:val="16"/>
          <w:szCs w:val="16"/>
        </w:rPr>
        <w:fldChar w:fldCharType="separate"/>
      </w:r>
      <w:r w:rsidRPr="00D5120C">
        <w:rPr>
          <w:rFonts w:ascii="Book Antiqua" w:hAnsi="Book Antiqua"/>
          <w:noProof/>
          <w:sz w:val="16"/>
          <w:szCs w:val="16"/>
        </w:rPr>
        <w:t>Erlina and Melisa Safitri, “Analisi Komparasi Antara Perlindungan Paten Biasa Dengan Paten Sederhan Berdasarkan Undang-Undang Paten,” 2020, 1–23.</w:t>
      </w:r>
      <w:r w:rsidRPr="00D5120C">
        <w:rPr>
          <w:rFonts w:ascii="Book Antiqua" w:hAnsi="Book Antiqua"/>
          <w:sz w:val="16"/>
          <w:szCs w:val="16"/>
        </w:rPr>
        <w:fldChar w:fldCharType="end"/>
      </w:r>
    </w:p>
  </w:footnote>
  <w:footnote w:id="3">
    <w:p w14:paraId="59672124" w14:textId="7794AEFA" w:rsidR="00C04C78" w:rsidRDefault="00C04C78" w:rsidP="00D5120C">
      <w:pPr>
        <w:pStyle w:val="FootnoteText"/>
        <w:jc w:val="both"/>
      </w:pPr>
      <w:r w:rsidRPr="00D5120C">
        <w:rPr>
          <w:rStyle w:val="FootnoteReference"/>
          <w:rFonts w:ascii="Book Antiqua" w:hAnsi="Book Antiqua"/>
          <w:sz w:val="16"/>
          <w:szCs w:val="16"/>
        </w:rPr>
        <w:footnoteRef/>
      </w:r>
      <w:r w:rsidRPr="00D5120C">
        <w:rPr>
          <w:rFonts w:ascii="Book Antiqua" w:hAnsi="Book Antiqua"/>
          <w:sz w:val="16"/>
          <w:szCs w:val="16"/>
        </w:rPr>
        <w:t xml:space="preserve"> </w:t>
      </w:r>
      <w:r w:rsidRPr="00D5120C">
        <w:rPr>
          <w:rFonts w:ascii="Book Antiqua" w:hAnsi="Book Antiqua"/>
          <w:sz w:val="16"/>
          <w:szCs w:val="16"/>
        </w:rPr>
        <w:fldChar w:fldCharType="begin" w:fldLock="1"/>
      </w:r>
      <w:r>
        <w:rPr>
          <w:rFonts w:ascii="Book Antiqua" w:hAnsi="Book Antiqua"/>
          <w:sz w:val="16"/>
          <w:szCs w:val="16"/>
        </w:rPr>
        <w:instrText>ADDIN CSL_CITATION {"citationItems":[{"id":"ITEM-1","itemData":{"DOI":"10.35973/jrs.v1i01.1486","ISSN":"2721-6098","abstract":"2016 Tentang Paten pasal 134 ayat 2 yang menyatakan :Menteri wajib memberitahukan kepada pemegang paten dalam jangka waktu 30 hari sebelum Paten dimaksud dinyatakan hapus berdasarkan alasan sebagaimana ayat(1), Pasal 135 ayat (1) dan (2) dalam hal paten dihapus sebagaimana pasal 130, menteri memberitahukan secara tertulis dalam bentuk elektronik atau non elektronik kepada pemegang paten. Pasal 2 paten yang dinyatakan dihapus dicatat dan diumumkan. Permasalahan yang akan dibahas apakah pemegang hak paten tanpa suatu sebab bisa dihapus dari daftar umum paten? dan bagaimana perlindungan hukum terhadap pemegang hak paten? Metode pendekatan yaitu yuridis normatif. Spesifikasi penelitian bersifat deskriptif analitis, sumber data adalah data sekunder, metode pengumpulan data dengan studi pustaka,Analisa data dengan analisa kualitatif. Hasil penelitian dan pembahasan sebagai berikut: 1.Pemegang Hak Paten tanpa suatu sebab tidak bisa di hapus dari daftar umum paten karena berdasarkan Pasal 130 Undang-Undang Nomor 13 Tahun 2016 terdapat 4 penyebab paten dihapuskan sebagian atau seluruhnya.tetapi dalam kenyataanya ada kasus paten yang dihapus secara tiba-tiba dari daftar umum paten 2.Perlindungan hukum terhadap pemegang hak paten berdasarkan UU No 13 Tahun 2016 pasal 134 ayat 2 dan Pasal 135 ayat (1) dan (2) dimana .paten tidak bisa langsung dihapus tanpa pemberitahuan secara tertulis disertai dengan alasan Seperti Contoh kasus PT.Starmas Inti Aluminium Industri dia dikabulkan permohonannya untuk menghidupkan kembali sertifikat paten.","author":[{"dropping-particle":"","family":"Zuami","given":"Mutia Denti Armala","non-dropping-particle":"","parse-names":false,"suffix":""},{"dropping-particle":"","family":"Tresnawati","given":"Bakti","non-dropping-particle":"","parse-names":false,"suffix":""}],"container-title":"Jurnal JURISTIC","id":"ITEM-1","issue":"01","issued":{"date-parts":[["2020","4","4"]]},"page":"95","title":"Perlindungan Hukum Terhadap Pemegang Hak Paten Akibat Dihapusnya Kepemilikan Hak Paten Dari Daftar Umum Paten","type":"article-journal","volume":"1"},"uris":["http://www.mendeley.com/documents/?uuid=19251d0a-4669-499c-bb4b-8e326cceaaf2"]}],"mendeley":{"formattedCitation":"Mutia Denti Armala Zuami and Bakti Tresnawati, “Perlindungan Hukum Terhadap Pemegang Hak Paten Akibat Dihapusnya Kepemilikan Hak Paten Dari Daftar Umum Paten,” &lt;i&gt;Jurnal JURISTIC&lt;/i&gt; 1, no. 01 (April 4, 2020): 95, https://doi.org/10.35973/jrs.v1i01.1486.","plainTextFormattedCitation":"Mutia Denti Armala Zuami and Bakti Tresnawati, “Perlindungan Hukum Terhadap Pemegang Hak Paten Akibat Dihapusnya Kepemilikan Hak Paten Dari Daftar Umum Paten,” Jurnal JURISTIC 1, no. 01 (April 4, 2020): 95, https://doi.org/10.35973/jrs.v1i01.1486.","previouslyFormattedCitation":"Mutia Denti Armala Zuami and Bakti Tresnawati, “Perlindungan Hukum Terhadap Pemegang Hak Paten Akibat Dihapusnya Kepemilikan Hak Paten Dari Daftar Umum Paten,” &lt;i&gt;Jurnal JURISTIC&lt;/i&gt; 1, no. 01 (April 4, 2020): 95, https://doi.org/10.35973/jrs.v1i01.1486."},"properties":{"noteIndex":3},"schema":"https://github.com/citation-style-language/schema/raw/master/csl-citation.json"}</w:instrText>
      </w:r>
      <w:r w:rsidRPr="00D5120C">
        <w:rPr>
          <w:rFonts w:ascii="Book Antiqua" w:hAnsi="Book Antiqua"/>
          <w:sz w:val="16"/>
          <w:szCs w:val="16"/>
        </w:rPr>
        <w:fldChar w:fldCharType="separate"/>
      </w:r>
      <w:r w:rsidRPr="00D5120C">
        <w:rPr>
          <w:rFonts w:ascii="Book Antiqua" w:hAnsi="Book Antiqua"/>
          <w:noProof/>
          <w:sz w:val="16"/>
          <w:szCs w:val="16"/>
        </w:rPr>
        <w:t xml:space="preserve">Mutia Denti Armala Zuami and Bakti Tresnawati, “Perlindungan Hukum Terhadap Pemegang Hak Paten Akibat Dihapusnya Kepemilikan Hak Paten Dari Daftar Umum Paten,” </w:t>
      </w:r>
      <w:r w:rsidRPr="00D5120C">
        <w:rPr>
          <w:rFonts w:ascii="Book Antiqua" w:hAnsi="Book Antiqua"/>
          <w:i/>
          <w:noProof/>
          <w:sz w:val="16"/>
          <w:szCs w:val="16"/>
        </w:rPr>
        <w:t>Jurnal JURISTIC</w:t>
      </w:r>
      <w:r w:rsidRPr="00D5120C">
        <w:rPr>
          <w:rFonts w:ascii="Book Antiqua" w:hAnsi="Book Antiqua"/>
          <w:noProof/>
          <w:sz w:val="16"/>
          <w:szCs w:val="16"/>
        </w:rPr>
        <w:t xml:space="preserve"> 1, no. 01 (April 4, 2020): 95, https://doi.org/10.35973/jrs.v1i01.1486.</w:t>
      </w:r>
      <w:r w:rsidRPr="00D5120C">
        <w:rPr>
          <w:rFonts w:ascii="Book Antiqua" w:hAnsi="Book Antiqua"/>
          <w:sz w:val="16"/>
          <w:szCs w:val="16"/>
        </w:rPr>
        <w:fldChar w:fldCharType="end"/>
      </w:r>
    </w:p>
  </w:footnote>
  <w:footnote w:id="4">
    <w:p w14:paraId="04704BF8" w14:textId="31278A7E" w:rsidR="00C04C78" w:rsidRPr="00C97F4C" w:rsidRDefault="00C04C78" w:rsidP="00C97F4C">
      <w:pPr>
        <w:pStyle w:val="FootnoteText"/>
        <w:jc w:val="both"/>
        <w:rPr>
          <w:rFonts w:ascii="Book Antiqua" w:hAnsi="Book Antiqua"/>
          <w:sz w:val="16"/>
          <w:szCs w:val="16"/>
        </w:rPr>
      </w:pPr>
      <w:r w:rsidRPr="00C97F4C">
        <w:rPr>
          <w:rStyle w:val="FootnoteReference"/>
          <w:rFonts w:ascii="Book Antiqua" w:hAnsi="Book Antiqua"/>
          <w:sz w:val="16"/>
          <w:szCs w:val="16"/>
        </w:rPr>
        <w:footnoteRef/>
      </w:r>
      <w:r w:rsidRPr="00C97F4C">
        <w:rPr>
          <w:rFonts w:ascii="Book Antiqua" w:hAnsi="Book Antiqua"/>
          <w:sz w:val="16"/>
          <w:szCs w:val="16"/>
        </w:rPr>
        <w:t xml:space="preserve"> </w:t>
      </w:r>
      <w:r w:rsidRPr="00C97F4C">
        <w:rPr>
          <w:rFonts w:ascii="Book Antiqua" w:hAnsi="Book Antiqua"/>
          <w:sz w:val="16"/>
          <w:szCs w:val="16"/>
        </w:rPr>
        <w:fldChar w:fldCharType="begin" w:fldLock="1"/>
      </w:r>
      <w:r>
        <w:rPr>
          <w:rFonts w:ascii="Book Antiqua" w:hAnsi="Book Antiqua"/>
          <w:sz w:val="16"/>
          <w:szCs w:val="16"/>
        </w:rPr>
        <w:instrText>ADDIN CSL_CITATION {"citationItems":[{"id":"ITEM-1","itemData":{"ISBN":"9788578110796","ISSN":"1098-6596","PMID":"25246403","author":[{"dropping-particle":"","family":"Azis","given":"Dimas Akbar Iqbal","non-dropping-particle":"","parse-names":false,"suffix":""}],"id":"ITEM-1","issued":{"date-parts":[["2021"]]},"page":"1689-1699","title":"Akibat Hukum Berlakunya Undang-Undang Nomor 13 Tahun 2016 Tentang Paten Terhadap Perkembangan dan Perlindungan Paten di Indonesia","type":"article-journal"},"uris":["http://www.mendeley.com/documents/?uuid=77ff0a20-c532-496a-9c35-fc97f4e0d8c4"]}],"mendeley":{"formattedCitation":"Dimas Akbar Iqbal Azis, “Akibat Hukum Berlakunya Undang-Undang Nomor 13 Tahun 2016 Tentang Paten Terhadap Perkembangan Dan Perlindungan Paten Di Indonesia,” 2021, 1689–99, http://journal.unilak.ac.id/index.php/JIEB/article/view/3845%0Ahttp://dspace.uc.ac.id/handle/123456789/1288.","plainTextFormattedCitation":"Dimas Akbar Iqbal Azis, “Akibat Hukum Berlakunya Undang-Undang Nomor 13 Tahun 2016 Tentang Paten Terhadap Perkembangan Dan Perlindungan Paten Di Indonesia,” 2021, 1689–99, http://journal.unilak.ac.id/index.php/JIEB/article/view/3845%0Ahttp://dspace.uc.ac.id/handle/123456789/1288.","previouslyFormattedCitation":"Dimas Akbar Iqbal Azis, “Akibat Hukum Berlakunya Undang-Undang Nomor 13 Tahun 2016 Tentang Paten Terhadap Perkembangan Dan Perlindungan Paten Di Indonesia,” 2021, 1689–99, http://journal.unilak.ac.id/index.php/JIEB/article/view/3845%0Ahttp://dspace.uc.ac.id/handle/123456789/1288."},"properties":{"noteIndex":4},"schema":"https://github.com/citation-style-language/schema/raw/master/csl-citation.json"}</w:instrText>
      </w:r>
      <w:r w:rsidRPr="00C97F4C">
        <w:rPr>
          <w:rFonts w:ascii="Book Antiqua" w:hAnsi="Book Antiqua"/>
          <w:sz w:val="16"/>
          <w:szCs w:val="16"/>
        </w:rPr>
        <w:fldChar w:fldCharType="separate"/>
      </w:r>
      <w:r w:rsidRPr="00C97F4C">
        <w:rPr>
          <w:rFonts w:ascii="Book Antiqua" w:hAnsi="Book Antiqua"/>
          <w:noProof/>
          <w:sz w:val="16"/>
          <w:szCs w:val="16"/>
        </w:rPr>
        <w:t xml:space="preserve">Dimas Akbar Iqbal Azis, “Akibat Hukum Berlakunya Undang-Undang Nomor 13 Tahun 2016 Tentang Paten </w:t>
      </w:r>
      <w:r w:rsidRPr="00C97F4C">
        <w:rPr>
          <w:rFonts w:ascii="Book Antiqua" w:hAnsi="Book Antiqua"/>
          <w:noProof/>
          <w:color w:val="000000" w:themeColor="text1"/>
          <w:sz w:val="16"/>
          <w:szCs w:val="16"/>
        </w:rPr>
        <w:t xml:space="preserve">Terhadap Perkembangan Dan Perlindungan Paten Di Indonesia,” 2021, 1689–99, </w:t>
      </w:r>
      <w:r w:rsidRPr="00C97F4C">
        <w:rPr>
          <w:rFonts w:ascii="Book Antiqua" w:hAnsi="Book Antiqua"/>
          <w:noProof/>
          <w:sz w:val="16"/>
          <w:szCs w:val="16"/>
        </w:rPr>
        <w:t>http://journal.unilak.ac.id/index.php/JIEB/article/view/3845%0Ahttp://dspace.uc.ac.id/handle/123456789/1288.</w:t>
      </w:r>
      <w:r w:rsidRPr="00C97F4C">
        <w:rPr>
          <w:rFonts w:ascii="Book Antiqua" w:hAnsi="Book Antiqua"/>
          <w:sz w:val="16"/>
          <w:szCs w:val="16"/>
        </w:rPr>
        <w:fldChar w:fldCharType="end"/>
      </w:r>
    </w:p>
  </w:footnote>
  <w:footnote w:id="5">
    <w:p w14:paraId="60466016" w14:textId="3F141D4A" w:rsidR="00C04C78" w:rsidRPr="00837282" w:rsidRDefault="00C04C78" w:rsidP="00837282">
      <w:pPr>
        <w:pStyle w:val="FootnoteText"/>
        <w:jc w:val="both"/>
        <w:rPr>
          <w:rFonts w:ascii="Book Antiqua" w:hAnsi="Book Antiqua" w:cstheme="majorHAnsi"/>
          <w:color w:val="000000" w:themeColor="text1"/>
          <w:sz w:val="16"/>
          <w:szCs w:val="16"/>
        </w:rPr>
      </w:pPr>
      <w:r w:rsidRPr="00837282">
        <w:rPr>
          <w:rStyle w:val="FootnoteReference"/>
          <w:rFonts w:ascii="Book Antiqua" w:hAnsi="Book Antiqua"/>
          <w:sz w:val="16"/>
          <w:szCs w:val="16"/>
        </w:rPr>
        <w:footnoteRef/>
      </w:r>
      <w:r w:rsidRPr="00837282">
        <w:rPr>
          <w:rFonts w:ascii="Book Antiqua" w:hAnsi="Book Antiqua"/>
          <w:sz w:val="16"/>
          <w:szCs w:val="16"/>
        </w:rPr>
        <w:t xml:space="preserve"> </w:t>
      </w:r>
      <w:r w:rsidRPr="00837282">
        <w:rPr>
          <w:rFonts w:ascii="Book Antiqua" w:hAnsi="Book Antiqua" w:cstheme="majorHAnsi"/>
          <w:color w:val="000000" w:themeColor="text1"/>
          <w:sz w:val="16"/>
          <w:szCs w:val="16"/>
        </w:rPr>
        <w:fldChar w:fldCharType="begin" w:fldLock="1"/>
      </w:r>
      <w:r w:rsidRPr="00837282">
        <w:rPr>
          <w:rFonts w:ascii="Book Antiqua" w:hAnsi="Book Antiqua" w:cstheme="majorHAnsi"/>
          <w:color w:val="000000" w:themeColor="text1"/>
          <w:sz w:val="16"/>
          <w:szCs w:val="16"/>
        </w:rPr>
        <w:instrText>ADDIN CSL_CITATION {"citationItems":[{"id":"ITEM-1","itemData":{"ISBN":"2013206534","author":[{"dropping-particle":"","family":"Tumbel","given":"Cindy Valencya","non-dropping-particle":"","parse-names":false,"suffix":""}],"id":"ITEM-1","issue":"July","issued":{"date-parts":[["2022"]]},"page":"1-23","title":"Perlindungan Hukum Terhadap Pemegang Paten dalam Pembekuan Sementara Paten","type":"article-journal"},"uris":["http://www.mendeley.com/documents/?uuid=19b095f6-cd04-428c-b2fd-f9c0420f4241"]}],"mendeley":{"formattedCitation":"Cindy Valencya Tumbel, “Perlindungan Hukum Terhadap Pemegang Paten Dalam Pembekuan Sementara Paten,” no. July (2022): 1–23, https://repository.unhas.ac.id/id/eprint/20601/.","plainTextFormattedCitation":"Cindy Valencya Tumbel, “Perlindungan Hukum Terhadap Pemegang Paten Dalam Pembekuan Sementara Paten,” no. July (2022): 1–23, https://repository.unhas.ac.id/id/eprint/20601/.","previouslyFormattedCitation":"Cindy Valencya Tumbel, “Perlindungan Hukum Terhadap Pemegang Paten Dalam Pembekuan Sementara Paten,” no. July (2022): 1–23, https://repository.unhas.ac.id/id/eprint/20601/."},"properties":{"noteIndex":5},"schema":"https://github.com/citation-style-language/schema/raw/master/csl-citation.json"}</w:instrText>
      </w:r>
      <w:r w:rsidRPr="00837282">
        <w:rPr>
          <w:rFonts w:ascii="Book Antiqua" w:hAnsi="Book Antiqua" w:cstheme="majorHAnsi"/>
          <w:color w:val="000000" w:themeColor="text1"/>
          <w:sz w:val="16"/>
          <w:szCs w:val="16"/>
        </w:rPr>
        <w:fldChar w:fldCharType="separate"/>
      </w:r>
      <w:r w:rsidRPr="00837282">
        <w:rPr>
          <w:rFonts w:ascii="Book Antiqua" w:hAnsi="Book Antiqua" w:cstheme="majorHAnsi"/>
          <w:noProof/>
          <w:color w:val="000000" w:themeColor="text1"/>
          <w:sz w:val="16"/>
          <w:szCs w:val="16"/>
        </w:rPr>
        <w:t>Cindy Valencya Tumbel, “Perlindungan Hukum Terhadap Pemegang Paten Dalam Pembekuan Sementara Paten,” no. July (2022): 1–23, https://repository.unhas.ac.id/id/eprint/20601/.</w:t>
      </w:r>
      <w:r w:rsidRPr="00837282">
        <w:rPr>
          <w:rFonts w:ascii="Book Antiqua" w:hAnsi="Book Antiqua" w:cstheme="majorHAnsi"/>
          <w:color w:val="000000" w:themeColor="text1"/>
          <w:sz w:val="16"/>
          <w:szCs w:val="16"/>
        </w:rPr>
        <w:fldChar w:fldCharType="end"/>
      </w:r>
    </w:p>
  </w:footnote>
  <w:footnote w:id="6">
    <w:p w14:paraId="13B7B331" w14:textId="03A97F1A" w:rsidR="00C04C78" w:rsidRDefault="00C04C78" w:rsidP="00837282">
      <w:pPr>
        <w:pStyle w:val="FootnoteText"/>
        <w:jc w:val="both"/>
      </w:pPr>
      <w:r w:rsidRPr="00837282">
        <w:rPr>
          <w:rStyle w:val="FootnoteReference"/>
          <w:rFonts w:ascii="Book Antiqua" w:hAnsi="Book Antiqua" w:cstheme="majorHAnsi"/>
          <w:color w:val="000000" w:themeColor="text1"/>
          <w:sz w:val="16"/>
          <w:szCs w:val="16"/>
        </w:rPr>
        <w:footnoteRef/>
      </w:r>
      <w:r w:rsidRPr="00837282">
        <w:rPr>
          <w:rFonts w:ascii="Book Antiqua" w:hAnsi="Book Antiqua" w:cstheme="majorHAnsi"/>
          <w:color w:val="000000" w:themeColor="text1"/>
          <w:sz w:val="16"/>
          <w:szCs w:val="16"/>
        </w:rPr>
        <w:t xml:space="preserve"> </w:t>
      </w:r>
      <w:r w:rsidRPr="00837282">
        <w:rPr>
          <w:rFonts w:ascii="Book Antiqua" w:hAnsi="Book Antiqua" w:cstheme="majorHAnsi"/>
          <w:color w:val="000000" w:themeColor="text1"/>
          <w:sz w:val="16"/>
          <w:szCs w:val="16"/>
        </w:rPr>
        <w:fldChar w:fldCharType="begin" w:fldLock="1"/>
      </w:r>
      <w:r>
        <w:rPr>
          <w:rFonts w:ascii="Book Antiqua" w:hAnsi="Book Antiqua" w:cstheme="majorHAnsi"/>
          <w:color w:val="000000" w:themeColor="text1"/>
          <w:sz w:val="16"/>
          <w:szCs w:val="16"/>
        </w:rPr>
        <w:instrText>ADDIN CSL_CITATION {"citationItems":[{"id":"ITEM-1","itemData":{"author":[{"dropping-particle":"","family":"DJKI","given":"","non-dropping-particle":"","parse-names":false,"suffix":""}],"id":"ITEM-1","issued":{"date-parts":[["2020"]]},"page":"1-60","title":"Laporan Tahunan Direktorat jenderal Kekayaan Intelektual 2020","type":"article"},"uris":["http://www.mendeley.com/documents/?uuid=f81d8f4a-94dc-43c3-98ad-8a0a1b039342"]}],"mendeley":{"formattedCitation":"DJKI, “Laporan Tahunan Direktorat Jenderal Kekayaan Intelektual 2020,” 2020, https://ppid.dgip.go.id/file/1745999650.pdf.","plainTextFormattedCitation":"DJKI, “Laporan Tahunan Direktorat Jenderal Kekayaan Intelektual 2020,” 2020, https://ppid.dgip.go.id/file/1745999650.pdf.","previouslyFormattedCitation":"DJKI, “Laporan Tahunan Direktorat Jenderal Kekayaan Intelektual 2020,” 2020, https://ppid.dgip.go.id/file/1745999650.pdf."},"properties":{"noteIndex":6},"schema":"https://github.com/citation-style-language/schema/raw/master/csl-citation.json"}</w:instrText>
      </w:r>
      <w:r w:rsidRPr="00837282">
        <w:rPr>
          <w:rFonts w:ascii="Book Antiqua" w:hAnsi="Book Antiqua" w:cstheme="majorHAnsi"/>
          <w:color w:val="000000" w:themeColor="text1"/>
          <w:sz w:val="16"/>
          <w:szCs w:val="16"/>
        </w:rPr>
        <w:fldChar w:fldCharType="separate"/>
      </w:r>
      <w:r w:rsidRPr="00837282">
        <w:rPr>
          <w:rFonts w:ascii="Book Antiqua" w:hAnsi="Book Antiqua" w:cstheme="majorHAnsi"/>
          <w:noProof/>
          <w:color w:val="000000" w:themeColor="text1"/>
          <w:sz w:val="16"/>
          <w:szCs w:val="16"/>
        </w:rPr>
        <w:t>DJKI, “Laporan Tahunan Direktorat Jenderal Kekayaan Intelektual 2020,” 2020, https://ppid.dgip.go.id/file/1745999650.pdf.</w:t>
      </w:r>
      <w:r w:rsidRPr="00837282">
        <w:rPr>
          <w:rFonts w:ascii="Book Antiqua" w:hAnsi="Book Antiqua" w:cstheme="majorHAnsi"/>
          <w:color w:val="000000" w:themeColor="text1"/>
          <w:sz w:val="16"/>
          <w:szCs w:val="16"/>
        </w:rPr>
        <w:fldChar w:fldCharType="end"/>
      </w:r>
    </w:p>
  </w:footnote>
  <w:footnote w:id="7">
    <w:p w14:paraId="38F65FFF" w14:textId="561D2678" w:rsidR="00C04C78" w:rsidRPr="00960B18" w:rsidRDefault="00C04C78" w:rsidP="00960B18">
      <w:pPr>
        <w:pStyle w:val="FootnoteText"/>
        <w:jc w:val="both"/>
        <w:rPr>
          <w:rFonts w:ascii="Book Antiqua" w:hAnsi="Book Antiqua"/>
          <w:color w:val="000000" w:themeColor="text1"/>
          <w:sz w:val="16"/>
          <w:szCs w:val="16"/>
        </w:rPr>
      </w:pPr>
      <w:r w:rsidRPr="00960B18">
        <w:rPr>
          <w:rStyle w:val="FootnoteReference"/>
          <w:rFonts w:ascii="Book Antiqua" w:hAnsi="Book Antiqua"/>
          <w:color w:val="000000" w:themeColor="text1"/>
          <w:sz w:val="16"/>
          <w:szCs w:val="16"/>
        </w:rPr>
        <w:footnoteRef/>
      </w:r>
      <w:r w:rsidRPr="00960B18">
        <w:rPr>
          <w:rFonts w:ascii="Book Antiqua" w:hAnsi="Book Antiqua"/>
          <w:color w:val="000000" w:themeColor="text1"/>
          <w:sz w:val="16"/>
          <w:szCs w:val="16"/>
        </w:rPr>
        <w:t xml:space="preserve"> </w:t>
      </w:r>
      <w:r w:rsidRPr="00960B18">
        <w:rPr>
          <w:rFonts w:ascii="Book Antiqua" w:hAnsi="Book Antiqua"/>
          <w:color w:val="000000" w:themeColor="text1"/>
          <w:sz w:val="16"/>
          <w:szCs w:val="16"/>
        </w:rPr>
        <w:fldChar w:fldCharType="begin" w:fldLock="1"/>
      </w:r>
      <w:r w:rsidRPr="00960B18">
        <w:rPr>
          <w:rFonts w:ascii="Book Antiqua" w:hAnsi="Book Antiqua"/>
          <w:color w:val="000000" w:themeColor="text1"/>
          <w:sz w:val="16"/>
          <w:szCs w:val="16"/>
        </w:rPr>
        <w:instrText>ADDIN CSL_CITATION {"citationItems":[{"id":"ITEM-1","itemData":{"author":[{"dropping-particle":"","family":"Rulendari","given":"Mieke Novice","non-dropping-particle":"","parse-names":false,"suffix":""}],"id":"ITEM-1","issued":{"date-parts":[["2020"]]},"title":"Perlindungan Hukum Terhadap Pemegang Hak Paten Konstruksi Sarang Laba-Laba Yang Digunakan Tanpa Izin Oleh Perusahaan Lain","type":"article-journal"},"uris":["http://www.mendeley.com/documents/?uuid=fdb1fc5d-5a8b-4e17-aef1-3436802cb13a"]}],"mendeley":{"formattedCitation":"Mieke Novice Rulendari, “Perlindungan Hukum Terhadap Pemegang Hak Paten Konstruksi Sarang Laba-Laba Yang Digunakan Tanpa Izin Oleh Perusahaan Lain,” 2020.","plainTextFormattedCitation":"Mieke Novice Rulendari, “Perlindungan Hukum Terhadap Pemegang Hak Paten Konstruksi Sarang Laba-Laba Yang Digunakan Tanpa Izin Oleh Perusahaan Lain,” 2020.","previouslyFormattedCitation":"Mieke Novice Rulendari, “Perlindungan Hukum Terhadap Pemegang Hak Paten Konstruksi Sarang Laba-Laba Yang Digunakan Tanpa Izin Oleh Perusahaan Lain,” 2020."},"properties":{"noteIndex":7},"schema":"https://github.com/citation-style-language/schema/raw/master/csl-citation.json"}</w:instrText>
      </w:r>
      <w:r w:rsidRPr="00960B18">
        <w:rPr>
          <w:rFonts w:ascii="Book Antiqua" w:hAnsi="Book Antiqua"/>
          <w:color w:val="000000" w:themeColor="text1"/>
          <w:sz w:val="16"/>
          <w:szCs w:val="16"/>
        </w:rPr>
        <w:fldChar w:fldCharType="separate"/>
      </w:r>
      <w:r w:rsidRPr="00960B18">
        <w:rPr>
          <w:rFonts w:ascii="Book Antiqua" w:hAnsi="Book Antiqua"/>
          <w:noProof/>
          <w:color w:val="000000" w:themeColor="text1"/>
          <w:sz w:val="16"/>
          <w:szCs w:val="16"/>
        </w:rPr>
        <w:t>Mieke Novice Rulendari, “Perlindungan Hukum Terhadap Pemegang Hak Paten Konstruksi Sarang Laba-Laba Yang Digunakan Tanpa Izin Oleh Perusahaan Lain,” 2020.</w:t>
      </w:r>
      <w:r w:rsidRPr="00960B18">
        <w:rPr>
          <w:rFonts w:ascii="Book Antiqua" w:hAnsi="Book Antiqua"/>
          <w:color w:val="000000" w:themeColor="text1"/>
          <w:sz w:val="16"/>
          <w:szCs w:val="16"/>
        </w:rPr>
        <w:fldChar w:fldCharType="end"/>
      </w:r>
    </w:p>
  </w:footnote>
  <w:footnote w:id="8">
    <w:p w14:paraId="148EE156" w14:textId="34719D7F" w:rsidR="00C04C78" w:rsidRDefault="00C04C78" w:rsidP="00960B18">
      <w:pPr>
        <w:pStyle w:val="FootnoteText"/>
        <w:jc w:val="both"/>
      </w:pPr>
      <w:r w:rsidRPr="00960B18">
        <w:rPr>
          <w:rStyle w:val="FootnoteReference"/>
          <w:rFonts w:ascii="Book Antiqua" w:hAnsi="Book Antiqua"/>
          <w:color w:val="000000" w:themeColor="text1"/>
          <w:sz w:val="16"/>
          <w:szCs w:val="16"/>
        </w:rPr>
        <w:footnoteRef/>
      </w:r>
      <w:r w:rsidRPr="00960B18">
        <w:rPr>
          <w:rFonts w:ascii="Book Antiqua" w:hAnsi="Book Antiqua"/>
          <w:color w:val="000000" w:themeColor="text1"/>
          <w:sz w:val="16"/>
          <w:szCs w:val="16"/>
        </w:rPr>
        <w:t xml:space="preserve"> </w:t>
      </w:r>
      <w:r w:rsidRPr="00960B18">
        <w:rPr>
          <w:rFonts w:ascii="Book Antiqua" w:hAnsi="Book Antiqua"/>
          <w:color w:val="000000" w:themeColor="text1"/>
          <w:sz w:val="16"/>
          <w:szCs w:val="16"/>
        </w:rPr>
        <w:fldChar w:fldCharType="begin" w:fldLock="1"/>
      </w:r>
      <w:r>
        <w:rPr>
          <w:rFonts w:ascii="Book Antiqua" w:hAnsi="Book Antiqua"/>
          <w:color w:val="000000" w:themeColor="text1"/>
          <w:sz w:val="16"/>
          <w:szCs w:val="16"/>
        </w:rPr>
        <w:instrText>ADDIN CSL_CITATION {"citationItems":[{"id":"ITEM-1","itemData":{"DOI":"https://doi.org/10.30640/dewantara.v2i4.1692","abstract":"Terhadap penelitian skripsi ini, penulis dalam penelitiannya menggunakan metode yuridis normatif yang artinya dimaksudkan bahwa penelitian mengacu pada norma – norma hukum dalam undang- undang nasional. Penelitian ini juga memiliki tujuan guna untuk mengetahui pemberlakuan prinsip new novelty dalam pengajuan permohonan paten dan mengetahui akibat hukum bagi pemohon paten yang tidak menggunakan prinsip new novelty. Sumber data penelitian ini diperoleh dari pengumpulan data dalam penelitian ini dilakukan dengan studi dokumen atau kepustakaan. Studi dokumen atau kepustakaan merupakan teknik pengumpulan data yang utama karena pembuktian asumsi dasar penelitian didasarkan bersandar pada norma-norma hukum positif, doktrin-doktrin atau ajaran hukum, hasil-hasil penelitian akademik maupun putusan-putusan pengadilan, di mana kesemuanya berbasis pada dokumen tertulis. Terkait dengan studi dokumen pada dasarnya merupakan kegiatan mengkaji berbagai informasi tertulis mengenai hukum, baik yang telah dipublikasikan atau tidak dipublikasikan secara umum tetapi boleh diketahui oleh pihak tertentu. Studi dokumen adalah kegiatan mengumpulkan dan memeriksa dan menelusuri dokumen-dokumen atau kepustakaan yang dapat memberikan informasi atau keterangan yang dibutuhkan oleh peneliti. Hasil penelitian menunjukkan bahwa prinsip new and novelty menjadi syarat mutlak dalam pendaftaran paten sesuai dengan Undang – Undang Nomor 13 Tahun 2016.","author":[{"dropping-particle":"","family":"Prasetyo","given":"Ramadhan Fajar","non-dropping-particle":"","parse-names":false,"suffix":""},{"dropping-particle":"","family":"Waluyo","given":"","non-dropping-particle":"","parse-names":false,"suffix":""}],"id":"ITEM-1","issue":"4","issued":{"date-parts":[["2023"]]},"page":"84 - 103","title":"Tinjauan Yuridis New Novelty Dalam Pengajuan Permohonan Hak Paten","type":"article-journal","volume":"2"},"uris":["http://www.mendeley.com/documents/?uuid=d16b43c8-f7a8-4d1c-a83a-6b0e68c3ef6b"]}],"mendeley":{"formattedCitation":"Prasetyo and Waluyo, “Tinjauan Yuridis New Novelty Dalam Pengajuan Permohonan Hak Paten.”","plainTextFormattedCitation":"Prasetyo and Waluyo, “Tinjauan Yuridis New Novelty Dalam Pengajuan Permohonan Hak Paten.”","previouslyFormattedCitation":"Prasetyo and Waluyo, “Tinjauan Yuridis New Novelty Dalam Pengajuan Permohonan Hak Paten.”"},"properties":{"noteIndex":8},"schema":"https://github.com/citation-style-language/schema/raw/master/csl-citation.json"}</w:instrText>
      </w:r>
      <w:r w:rsidRPr="00960B18">
        <w:rPr>
          <w:rFonts w:ascii="Book Antiqua" w:hAnsi="Book Antiqua"/>
          <w:color w:val="000000" w:themeColor="text1"/>
          <w:sz w:val="16"/>
          <w:szCs w:val="16"/>
        </w:rPr>
        <w:fldChar w:fldCharType="separate"/>
      </w:r>
      <w:r w:rsidRPr="00960B18">
        <w:rPr>
          <w:rFonts w:ascii="Book Antiqua" w:hAnsi="Book Antiqua"/>
          <w:noProof/>
          <w:color w:val="000000" w:themeColor="text1"/>
          <w:sz w:val="16"/>
          <w:szCs w:val="16"/>
        </w:rPr>
        <w:t>Prasetyo and Waluyo, “Tinjauan Yuridis New Novelty Dalam Pengajuan Permohonan Hak Paten.”</w:t>
      </w:r>
      <w:r w:rsidRPr="00960B18">
        <w:rPr>
          <w:rFonts w:ascii="Book Antiqua" w:hAnsi="Book Antiqua"/>
          <w:color w:val="000000" w:themeColor="text1"/>
          <w:sz w:val="16"/>
          <w:szCs w:val="16"/>
        </w:rPr>
        <w:fldChar w:fldCharType="end"/>
      </w:r>
    </w:p>
  </w:footnote>
  <w:footnote w:id="9">
    <w:p w14:paraId="758015F1" w14:textId="62CB1D46" w:rsidR="00C04C78" w:rsidRPr="00367A20" w:rsidRDefault="00C04C78" w:rsidP="00367A20">
      <w:pPr>
        <w:pStyle w:val="FootnoteText"/>
        <w:jc w:val="both"/>
        <w:rPr>
          <w:rFonts w:ascii="Book Antiqua" w:hAnsi="Book Antiqua"/>
        </w:rPr>
      </w:pPr>
      <w:r w:rsidRPr="00367A20">
        <w:rPr>
          <w:rStyle w:val="FootnoteReference"/>
          <w:rFonts w:ascii="Book Antiqua" w:hAnsi="Book Antiqua"/>
          <w:sz w:val="16"/>
          <w:szCs w:val="16"/>
        </w:rPr>
        <w:footnoteRef/>
      </w:r>
      <w:r w:rsidRPr="00367A20">
        <w:rPr>
          <w:rFonts w:ascii="Book Antiqua" w:hAnsi="Book Antiqua"/>
          <w:sz w:val="16"/>
          <w:szCs w:val="16"/>
        </w:rPr>
        <w:t xml:space="preserve"> </w:t>
      </w:r>
      <w:r w:rsidRPr="00367A20">
        <w:rPr>
          <w:rFonts w:ascii="Book Antiqua" w:hAnsi="Book Antiqua"/>
          <w:sz w:val="16"/>
          <w:szCs w:val="16"/>
        </w:rPr>
        <w:fldChar w:fldCharType="begin" w:fldLock="1"/>
      </w:r>
      <w:r>
        <w:rPr>
          <w:rFonts w:ascii="Book Antiqua" w:hAnsi="Book Antiqua"/>
          <w:sz w:val="16"/>
          <w:szCs w:val="16"/>
        </w:rPr>
        <w:instrText>ADDIN CSL_CITATION {"citationItems":[{"id":"ITEM-1","itemData":{"author":[{"dropping-particle":"","family":"Savala","given":"Maulana Saputra","non-dropping-particle":"","parse-names":false,"suffix":""}],"id":"ITEM-1","issued":{"date-parts":[["2019"]]},"title":"Pembaharuan Hukum Penggunaan Hak Paten Sebagai Objek Jaminan Fidusia Dalam Perspektif Hukum Jaminan di Indonesia Berbasis Nilai Keadilan Bermartabat","type":"article-journal"},"uris":["http://www.mendeley.com/documents/?uuid=61cb3b2e-6b22-46f7-a2a3-c0fd544a0aa3"]}],"mendeley":{"formattedCitation":"Maulana Saputra Savala, “Pembaharuan Hukum Penggunaan Hak Paten Sebagai Objek Jaminan Fidusia Dalam Perspektif Hukum Jaminan Di Indonesia Berbasis Nilai Keadilan Bermartabat,” 2019, https://repository.unissula.ac.id/15644/.","plainTextFormattedCitation":"Maulana Saputra Savala, “Pembaharuan Hukum Penggunaan Hak Paten Sebagai Objek Jaminan Fidusia Dalam Perspektif Hukum Jaminan Di Indonesia Berbasis Nilai Keadilan Bermartabat,” 2019, https://repository.unissula.ac.id/15644/.","previouslyFormattedCitation":"Maulana Saputra Savala, “Pembaharuan Hukum Penggunaan Hak Paten Sebagai Objek Jaminan Fidusia Dalam Perspektif Hukum Jaminan Di Indonesia Berbasis Nilai Keadilan Bermartabat,” 2019, https://repository.unissula.ac.id/15644/."},"properties":{"noteIndex":9},"schema":"https://github.com/citation-style-language/schema/raw/master/csl-citation.json"}</w:instrText>
      </w:r>
      <w:r w:rsidRPr="00367A20">
        <w:rPr>
          <w:rFonts w:ascii="Book Antiqua" w:hAnsi="Book Antiqua"/>
          <w:sz w:val="16"/>
          <w:szCs w:val="16"/>
        </w:rPr>
        <w:fldChar w:fldCharType="separate"/>
      </w:r>
      <w:r w:rsidRPr="00367A20">
        <w:rPr>
          <w:rFonts w:ascii="Book Antiqua" w:hAnsi="Book Antiqua"/>
          <w:noProof/>
          <w:sz w:val="16"/>
          <w:szCs w:val="16"/>
        </w:rPr>
        <w:t>Maulana Saputra Savala, “Pembaharuan Hukum Penggunaan Hak Paten Sebagai Objek Jaminan Fidusia Dalam Perspektif Hukum Jaminan Di Indonesia Berbasis Nilai Keadilan Bermartabat,” 2019, https://repository.unissula.ac.id/15644/.</w:t>
      </w:r>
      <w:r w:rsidRPr="00367A20">
        <w:rPr>
          <w:rFonts w:ascii="Book Antiqua" w:hAnsi="Book Antiqua"/>
          <w:sz w:val="16"/>
          <w:szCs w:val="16"/>
        </w:rPr>
        <w:fldChar w:fldCharType="end"/>
      </w:r>
    </w:p>
  </w:footnote>
  <w:footnote w:id="10">
    <w:p w14:paraId="409A7C8A" w14:textId="07810C6B" w:rsidR="00C04C78" w:rsidRPr="003C2C91" w:rsidRDefault="00C04C78" w:rsidP="00C33797">
      <w:pPr>
        <w:pStyle w:val="FootnoteText"/>
        <w:jc w:val="both"/>
        <w:rPr>
          <w:rFonts w:ascii="Book Antiqua" w:hAnsi="Book Antiqua"/>
          <w:color w:val="000000" w:themeColor="text1"/>
          <w:sz w:val="16"/>
          <w:szCs w:val="16"/>
        </w:rPr>
      </w:pPr>
      <w:r w:rsidRPr="00C33797">
        <w:rPr>
          <w:rStyle w:val="FootnoteReference"/>
          <w:rFonts w:ascii="Book Antiqua" w:hAnsi="Book Antiqua"/>
          <w:sz w:val="16"/>
          <w:szCs w:val="16"/>
        </w:rPr>
        <w:footnoteRef/>
      </w:r>
      <w:r w:rsidRPr="00C33797">
        <w:rPr>
          <w:rFonts w:ascii="Book Antiqua" w:hAnsi="Book Antiqua"/>
          <w:sz w:val="16"/>
          <w:szCs w:val="16"/>
        </w:rPr>
        <w:t xml:space="preserve"> </w:t>
      </w:r>
      <w:r w:rsidRPr="003C2C91">
        <w:rPr>
          <w:rFonts w:ascii="Book Antiqua" w:hAnsi="Book Antiqua"/>
          <w:color w:val="000000" w:themeColor="text1"/>
          <w:sz w:val="16"/>
          <w:szCs w:val="16"/>
        </w:rPr>
        <w:fldChar w:fldCharType="begin" w:fldLock="1"/>
      </w:r>
      <w:r w:rsidRPr="003C2C91">
        <w:rPr>
          <w:rFonts w:ascii="Book Antiqua" w:hAnsi="Book Antiqua"/>
          <w:color w:val="000000" w:themeColor="text1"/>
          <w:sz w:val="16"/>
          <w:szCs w:val="16"/>
        </w:rPr>
        <w:instrText>ADDIN CSL_CITATION {"citationItems":[{"id":"ITEM-1","itemData":{"DOI":"https://doi.org/10.23920/acta.v5i1.712","author":[{"dropping-particle":"","family":"Nurahmasari","given":"Revita","non-dropping-particle":"","parse-names":false,"suffix":""},{"dropping-particle":"","family":"Amirulloh","given":"Muhamad","non-dropping-particle":"","parse-names":false,"suffix":""},{"dropping-particle":"","family":"Afriana","given":"Anita","non-dropping-particle":"","parse-names":false,"suffix":""}],"id":"ITEM-1","issued":{"date-parts":[["2021"]]},"page":"123-138","title":"Mediasi Sebagai Kewajiban Penyelesaian Sengketa Perdata Pelanggaran Paten di Indonesia Demi Kepastian dan Kemanfaatan Hukum","type":"article-journal","volume":"5"},"uris":["http://www.mendeley.com/documents/?uuid=94e79f0d-f58c-4ddc-867f-de9f2f0fc0aa"]}],"mendeley":{"formattedCitation":"Revita Nurahmasari, Muhamad Amirulloh, and Anita Afriana, “Mediasi Sebagai Kewajiban Penyelesaian Sengketa Perdata Pelanggaran Paten Di Indonesia Demi Kepastian Dan Kemanfaatan Hukum” 5 (2021): 123–38, https://doi.org/https://doi.org/10.23920/acta.v5i1.712.","plainTextFormattedCitation":"Revita Nurahmasari, Muhamad Amirulloh, and Anita Afriana, “Mediasi Sebagai Kewajiban Penyelesaian Sengketa Perdata Pelanggaran Paten Di Indonesia Demi Kepastian Dan Kemanfaatan Hukum” 5 (2021): 123–38, https://doi.org/https://doi.org/10.23920/acta.v5i1.712.","previouslyFormattedCitation":"Revita Nurahmasari, Muhamad Amirulloh, and Anita Afriana, “Mediasi Sebagai Kewajiban Penyelesaian Sengketa Perdata Pelanggaran Paten Di Indonesia Demi Kepastian Dan Kemanfaatan Hukum” 5 (2021): 123–38, https://doi.org/https://doi.org/10.23920/acta.v5i1.712."},"properties":{"noteIndex":10},"schema":"https://github.com/citation-style-language/schema/raw/master/csl-citation.json"}</w:instrText>
      </w:r>
      <w:r w:rsidRPr="003C2C91">
        <w:rPr>
          <w:rFonts w:ascii="Book Antiqua" w:hAnsi="Book Antiqua"/>
          <w:color w:val="000000" w:themeColor="text1"/>
          <w:sz w:val="16"/>
          <w:szCs w:val="16"/>
        </w:rPr>
        <w:fldChar w:fldCharType="separate"/>
      </w:r>
      <w:r w:rsidRPr="003C2C91">
        <w:rPr>
          <w:rFonts w:ascii="Book Antiqua" w:hAnsi="Book Antiqua"/>
          <w:noProof/>
          <w:color w:val="000000" w:themeColor="text1"/>
          <w:sz w:val="16"/>
          <w:szCs w:val="16"/>
        </w:rPr>
        <w:t>Revita Nurahmasari, Muhamad Amirull</w:t>
      </w:r>
      <w:bookmarkStart w:id="2" w:name="_GoBack"/>
      <w:bookmarkEnd w:id="2"/>
      <w:r w:rsidRPr="003C2C91">
        <w:rPr>
          <w:rFonts w:ascii="Book Antiqua" w:hAnsi="Book Antiqua"/>
          <w:noProof/>
          <w:color w:val="000000" w:themeColor="text1"/>
          <w:sz w:val="16"/>
          <w:szCs w:val="16"/>
        </w:rPr>
        <w:t>oh, and Anita Afriana, “Mediasi Sebagai Kewajiban Penyelesaian Sengketa Perdata Pelanggaran Paten Di Indonesia Demi Kepastian Dan Kemanfaatan Hukum” 5 (2021): 123–38, https://doi.org/https://doi.org/10.23920/acta.v5i1.712.</w:t>
      </w:r>
      <w:r w:rsidRPr="003C2C91">
        <w:rPr>
          <w:rFonts w:ascii="Book Antiqua" w:hAnsi="Book Antiqua"/>
          <w:color w:val="000000" w:themeColor="text1"/>
          <w:sz w:val="16"/>
          <w:szCs w:val="16"/>
        </w:rPr>
        <w:fldChar w:fldCharType="end"/>
      </w:r>
    </w:p>
  </w:footnote>
  <w:footnote w:id="11">
    <w:p w14:paraId="08FEB6F9" w14:textId="5FD0C4AC" w:rsidR="00C04C78" w:rsidRPr="003C2C91" w:rsidRDefault="00C04C78" w:rsidP="00014DC2">
      <w:pPr>
        <w:pStyle w:val="FootnoteText"/>
        <w:jc w:val="both"/>
        <w:rPr>
          <w:rFonts w:ascii="Book Antiqua" w:hAnsi="Book Antiqua"/>
          <w:color w:val="000000" w:themeColor="text1"/>
          <w:sz w:val="16"/>
          <w:szCs w:val="16"/>
        </w:rPr>
      </w:pPr>
      <w:r w:rsidRPr="003C2C91">
        <w:rPr>
          <w:rStyle w:val="FootnoteReference"/>
          <w:rFonts w:ascii="Book Antiqua" w:hAnsi="Book Antiqua"/>
          <w:color w:val="000000" w:themeColor="text1"/>
          <w:sz w:val="16"/>
          <w:szCs w:val="16"/>
        </w:rPr>
        <w:footnoteRef/>
      </w:r>
      <w:r w:rsidRPr="003C2C91">
        <w:rPr>
          <w:rFonts w:ascii="Book Antiqua" w:hAnsi="Book Antiqua"/>
          <w:color w:val="000000" w:themeColor="text1"/>
          <w:sz w:val="16"/>
          <w:szCs w:val="16"/>
        </w:rPr>
        <w:t xml:space="preserve"> </w:t>
      </w:r>
      <w:r w:rsidRPr="003C2C91">
        <w:rPr>
          <w:rFonts w:ascii="Book Antiqua" w:hAnsi="Book Antiqua"/>
          <w:color w:val="000000" w:themeColor="text1"/>
          <w:sz w:val="16"/>
          <w:szCs w:val="16"/>
        </w:rPr>
        <w:fldChar w:fldCharType="begin" w:fldLock="1"/>
      </w:r>
      <w:r>
        <w:rPr>
          <w:rFonts w:ascii="Book Antiqua" w:hAnsi="Book Antiqua"/>
          <w:color w:val="000000" w:themeColor="text1"/>
          <w:sz w:val="16"/>
          <w:szCs w:val="16"/>
        </w:rPr>
        <w:instrText>ADDIN CSL_CITATION {"citationItems":[{"id":"ITEM-1","itemData":{"author":[{"dropping-particle":"","family":"Jean Neltje et al","given":"","non-dropping-particle":"","parse-names":false,"suffix":""}],"container-title":"Jurnal Pendidikan Tambusai","id":"ITEM-1","issue":"3","issued":{"date-parts":[["2023"]]},"page":"22125-22131","title":"Pengertian Hak Paten-2","type":"article-journal","volume":"7"},"uris":["http://www.mendeley.com/documents/?uuid=564cd4e9-3f51-4caf-8c90-6fd7421d4a19"]}],"mendeley":{"formattedCitation":"Jean Neltje et al, “Pengertian Hak Paten-2,” &lt;i&gt;Jurnal Pendidikan Tambusai&lt;/i&gt; 7, no. 3 (2023): 22125–31, https://jptam.org/index.php/jptam/article/view/10039/8128.","plainTextFormattedCitation":"Jean Neltje et al, “Pengertian Hak Paten-2,” Jurnal Pendidikan Tambusai 7, no. 3 (2023): 22125–31, https://jptam.org/index.php/jptam/article/view/10039/8128.","previouslyFormattedCitation":"Jean Neltje et al, “Pengertian Hak Paten-2,” &lt;i&gt;Jurnal Pendidikan Tambusai&lt;/i&gt; 7, no. 3 (2023): 22125–31, https://jptam.org/index.php/jptam/article/view/10039/8128."},"properties":{"noteIndex":11},"schema":"https://github.com/citation-style-language/schema/raw/master/csl-citation.json"}</w:instrText>
      </w:r>
      <w:r w:rsidRPr="003C2C91">
        <w:rPr>
          <w:rFonts w:ascii="Book Antiqua" w:hAnsi="Book Antiqua"/>
          <w:color w:val="000000" w:themeColor="text1"/>
          <w:sz w:val="16"/>
          <w:szCs w:val="16"/>
        </w:rPr>
        <w:fldChar w:fldCharType="separate"/>
      </w:r>
      <w:r w:rsidRPr="0033762A">
        <w:rPr>
          <w:rFonts w:ascii="Book Antiqua" w:hAnsi="Book Antiqua"/>
          <w:noProof/>
          <w:color w:val="000000" w:themeColor="text1"/>
          <w:sz w:val="16"/>
          <w:szCs w:val="16"/>
        </w:rPr>
        <w:t xml:space="preserve">Jean Neltje et al, “Pengertian Hak Paten-2,” </w:t>
      </w:r>
      <w:r w:rsidRPr="0033762A">
        <w:rPr>
          <w:rFonts w:ascii="Book Antiqua" w:hAnsi="Book Antiqua"/>
          <w:i/>
          <w:noProof/>
          <w:color w:val="000000" w:themeColor="text1"/>
          <w:sz w:val="16"/>
          <w:szCs w:val="16"/>
        </w:rPr>
        <w:t>Jurnal Pendidikan Tambusai</w:t>
      </w:r>
      <w:r w:rsidRPr="0033762A">
        <w:rPr>
          <w:rFonts w:ascii="Book Antiqua" w:hAnsi="Book Antiqua"/>
          <w:noProof/>
          <w:color w:val="000000" w:themeColor="text1"/>
          <w:sz w:val="16"/>
          <w:szCs w:val="16"/>
        </w:rPr>
        <w:t xml:space="preserve"> 7, no. 3 (2023): 22125–31, https://jptam.org/index.php/jptam/article/view/10039/8128.</w:t>
      </w:r>
      <w:r w:rsidRPr="003C2C91">
        <w:rPr>
          <w:rFonts w:ascii="Book Antiqua" w:hAnsi="Book Antiqua"/>
          <w:color w:val="000000" w:themeColor="text1"/>
          <w:sz w:val="16"/>
          <w:szCs w:val="16"/>
        </w:rPr>
        <w:fldChar w:fldCharType="end"/>
      </w:r>
    </w:p>
  </w:footnote>
  <w:footnote w:id="12">
    <w:p w14:paraId="38754615" w14:textId="250596CD" w:rsidR="00C04C78" w:rsidRDefault="00C04C78" w:rsidP="008E1AF3">
      <w:pPr>
        <w:pStyle w:val="FootnoteText"/>
        <w:jc w:val="both"/>
      </w:pPr>
      <w:r w:rsidRPr="003C2C91">
        <w:rPr>
          <w:rStyle w:val="FootnoteReference"/>
          <w:rFonts w:ascii="Book Antiqua" w:hAnsi="Book Antiqua"/>
          <w:color w:val="000000" w:themeColor="text1"/>
          <w:sz w:val="16"/>
          <w:szCs w:val="16"/>
        </w:rPr>
        <w:footnoteRef/>
      </w:r>
      <w:r w:rsidRPr="003C2C91">
        <w:rPr>
          <w:rFonts w:ascii="Book Antiqua" w:hAnsi="Book Antiqua"/>
          <w:color w:val="000000" w:themeColor="text1"/>
          <w:sz w:val="16"/>
          <w:szCs w:val="16"/>
        </w:rPr>
        <w:t xml:space="preserve"> </w:t>
      </w:r>
      <w:r w:rsidRPr="003C2C91">
        <w:rPr>
          <w:rFonts w:ascii="Book Antiqua" w:hAnsi="Book Antiqua"/>
          <w:color w:val="000000" w:themeColor="text1"/>
          <w:sz w:val="16"/>
          <w:szCs w:val="16"/>
        </w:rPr>
        <w:fldChar w:fldCharType="begin" w:fldLock="1"/>
      </w:r>
      <w:r>
        <w:rPr>
          <w:rFonts w:ascii="Book Antiqua" w:hAnsi="Book Antiqua"/>
          <w:color w:val="000000" w:themeColor="text1"/>
          <w:sz w:val="16"/>
          <w:szCs w:val="16"/>
        </w:rPr>
        <w:instrText>ADDIN CSL_CITATION {"citationItems":[{"id":"ITEM-1","itemData":{"DOI":"10.29303/jtsw.v36i3.341","ISSN":"0853-392X","abstract":"Putusan Pengadilan Niaga Surabaya â€œNomor 18/Pdt.Sus-PKPU/2021/PN.Niaga Sbyâ€</w:instrText>
      </w:r>
      <w:r>
        <w:rPr>
          <w:rFonts w:ascii="Book Antiqua" w:hAnsi="Book Antiqua" w:cs="Book Antiqua"/>
          <w:color w:val="000000" w:themeColor="text1"/>
          <w:sz w:val="16"/>
          <w:szCs w:val="16"/>
        </w:rPr>
        <w:instrText></w:instrText>
      </w:r>
      <w:r>
        <w:rPr>
          <w:rFonts w:ascii="Book Antiqua" w:hAnsi="Book Antiqua"/>
          <w:color w:val="000000" w:themeColor="text1"/>
          <w:sz w:val="16"/>
          <w:szCs w:val="16"/>
        </w:rPr>
        <w:instrText xml:space="preserve"> dalam perkara Penundaan Kewajiban Pembayaran Utang dengan termohon PT. GBP sangat menarik untuk dikaji karena menimbulkan pro dan kontra di masyarakat, terutama dikalangan enam ribu (6.000) pedagang Pasar Turi Baru yang telah membeli stand sejak tahun 2012 yang mana sampai saat ini tidak dapat memanfaatkan stand tersebut dengan optimal. Tujuan penelitian ini adalah untuk mengetahui apakah putusan tersebut sudah memenuhi rasa keadilan. Pendekatan yang dipakai adalah pendekatan perundang-undangan dan pendekatan konseptual. Sedangkan sebagai pisau analisis memakai Teori Hukum Gustav Radbruch. Pengajuan proposal perdamaian yang diajukan oleh Debitur dikabulkan oleh Hakim Pengawas meskipun dalam proses persidangan terdapat banyak hal yang seharusnya perlu digali lebih dalam. Seperti status keabsahan dan nilai nominal kewajiban dari para Kreditur Separatis, dan isi proposal perdamaian yang merugikan pihak Kreditur. Putusan PKPU ini menimbulkan tanda tanya besar jika ditelaah dari Teori Hukum Gustav Radbruch yang seharusnya hukum itu bertujuan memberikan keadilan, kemanfaatan, dan kepastian hukum. Penulis berkesimpulan bahwa putusan ini bertolak belakang dengan Teori Hukum Gustav Radbruch.","author":[{"dropping-particle":"","family":"Santoso","given":"Hari Agus","non-dropping-particle":"","parse-names":false,"suffix":""}],"container-title":"JATISWARA","id":"ITEM-1","issue":"3","issued":{"date-parts":[["2021","11","29"]]},"page":"325-334","title":"Perspektif Keadilan Hukum Teori Gustav Radbruch Dalam Putusan PKPU \"PTB\"","type":"article-journal","volume":"36"},"uris":["http://www.mendeley.com/documents/?uuid=968b6ad1-68c8-3518-8492-4567e7a3c229"]}],"mendeley":{"formattedCitation":"Hari Agus Santoso, “Perspektif Keadilan Hukum Teori Gustav Radbruch Dalam Putusan PKPU ‘PTB,’” &lt;i&gt;JATISWARA&lt;/i&gt; 36, no. 3 (November 29, 2021): 325–34, https://doi.org/10.29303/jtsw.v36i3.341.","plainTextFormattedCitation":"Hari Agus Santoso, “Perspektif Keadilan Hukum Teori Gustav Radbruch Dalam Putusan PKPU ‘PTB,’” JATISWARA 36, no. 3 (November 29, 2021): 325–34, https://doi.org/10.29303/jtsw.v36i3.341.","previouslyFormattedCitation":"Hari Agus Santoso, “Perspektif Keadilan Hukum Teori Gustav Radbruch Dalam Putusan PKPU ‘PTB,’” &lt;i&gt;JATISWARA&lt;/i&gt; 36, no. 3 (November 29, 2021): 325–34, https://doi.org/10.29303/jtsw.v36i3.341."},"properties":{"noteIndex":12},"schema":"https://github.com/citation-style-language/schema/raw/master/csl-citation.json"}</w:instrText>
      </w:r>
      <w:r w:rsidRPr="003C2C91">
        <w:rPr>
          <w:rFonts w:ascii="Book Antiqua" w:hAnsi="Book Antiqua"/>
          <w:color w:val="000000" w:themeColor="text1"/>
          <w:sz w:val="16"/>
          <w:szCs w:val="16"/>
        </w:rPr>
        <w:fldChar w:fldCharType="separate"/>
      </w:r>
      <w:r w:rsidRPr="003C2C91">
        <w:rPr>
          <w:rFonts w:ascii="Book Antiqua" w:hAnsi="Book Antiqua"/>
          <w:noProof/>
          <w:color w:val="000000" w:themeColor="text1"/>
          <w:sz w:val="16"/>
          <w:szCs w:val="16"/>
        </w:rPr>
        <w:t xml:space="preserve">Hari Agus Santoso, “Perspektif Keadilan Hukum Teori Gustav Radbruch Dalam Putusan PKPU ‘PTB,’” </w:t>
      </w:r>
      <w:r w:rsidRPr="003C2C91">
        <w:rPr>
          <w:rFonts w:ascii="Book Antiqua" w:hAnsi="Book Antiqua"/>
          <w:i/>
          <w:noProof/>
          <w:color w:val="000000" w:themeColor="text1"/>
          <w:sz w:val="16"/>
          <w:szCs w:val="16"/>
        </w:rPr>
        <w:t>JATISWARA</w:t>
      </w:r>
      <w:r w:rsidRPr="003C2C91">
        <w:rPr>
          <w:rFonts w:ascii="Book Antiqua" w:hAnsi="Book Antiqua"/>
          <w:noProof/>
          <w:color w:val="000000" w:themeColor="text1"/>
          <w:sz w:val="16"/>
          <w:szCs w:val="16"/>
        </w:rPr>
        <w:t xml:space="preserve"> 36, no. 3 (November 29, 2021): 325–34, https://doi.org/10.29303/jtsw.v36i3.341.</w:t>
      </w:r>
      <w:r w:rsidRPr="003C2C91">
        <w:rPr>
          <w:rFonts w:ascii="Book Antiqua" w:hAnsi="Book Antiqua"/>
          <w:color w:val="000000" w:themeColor="text1"/>
          <w:sz w:val="16"/>
          <w:szCs w:val="16"/>
        </w:rPr>
        <w:fldChar w:fldCharType="end"/>
      </w:r>
    </w:p>
  </w:footnote>
  <w:footnote w:id="13">
    <w:p w14:paraId="5E595372" w14:textId="6D39187A" w:rsidR="00C04C78" w:rsidRPr="00A03C61" w:rsidRDefault="00C04C78" w:rsidP="00A03C61">
      <w:pPr>
        <w:pStyle w:val="FootnoteText"/>
        <w:jc w:val="both"/>
        <w:rPr>
          <w:rFonts w:ascii="Book Antiqua" w:hAnsi="Book Antiqua"/>
        </w:rPr>
      </w:pPr>
      <w:r w:rsidRPr="00A03C61">
        <w:rPr>
          <w:rStyle w:val="FootnoteReference"/>
          <w:rFonts w:ascii="Book Antiqua" w:hAnsi="Book Antiqua"/>
          <w:color w:val="000000" w:themeColor="text1"/>
          <w:sz w:val="16"/>
          <w:szCs w:val="16"/>
        </w:rPr>
        <w:footnoteRef/>
      </w:r>
      <w:r w:rsidRPr="00A03C61">
        <w:rPr>
          <w:rFonts w:ascii="Book Antiqua" w:hAnsi="Book Antiqua"/>
          <w:color w:val="000000" w:themeColor="text1"/>
          <w:sz w:val="16"/>
          <w:szCs w:val="16"/>
        </w:rPr>
        <w:t xml:space="preserve"> </w:t>
      </w:r>
      <w:r w:rsidRPr="00A03C61">
        <w:rPr>
          <w:rFonts w:ascii="Book Antiqua" w:hAnsi="Book Antiqua"/>
          <w:color w:val="000000" w:themeColor="text1"/>
          <w:sz w:val="16"/>
          <w:szCs w:val="16"/>
        </w:rPr>
        <w:fldChar w:fldCharType="begin" w:fldLock="1"/>
      </w:r>
      <w:r>
        <w:rPr>
          <w:rFonts w:ascii="Book Antiqua" w:hAnsi="Book Antiqua"/>
          <w:color w:val="000000" w:themeColor="text1"/>
          <w:sz w:val="16"/>
          <w:szCs w:val="16"/>
        </w:rPr>
        <w:instrText>ADDIN CSL_CITATION {"citationItems":[{"id":"ITEM-1","itemData":{"author":[{"dropping-particle":"","family":"Nov","given":"Maulana Rizki","non-dropping-particle":"","parse-names":false,"suffix":""},{"dropping-particle":"","family":"Bustani","given":"Simona","non-dropping-particle":"","parse-names":false,"suffix":""}],"id":"ITEM-1","issue":"3","issued":{"date-parts":[["2023"]]},"page":"571-580","title":"Perlindungan Hukum Hak Paten Alat Sterilisasi Untuk Pengolahan Tandan-Tandan Kelapa Sawit","type":"article-journal","volume":"5"},"uris":["http://www.mendeley.com/documents/?uuid=34e1ef84-28a9-4298-9bd3-b05fad2b1822"]}],"mendeley":{"formattedCitation":"Maulana Rizki Nov and Simona Bustani, “Perlindungan Hukum Hak Paten Alat Sterilisasi Untuk Pengolahan Tandan-Tandan Kelapa Sawit” 5, no. 3 (2023): 571–80.","plainTextFormattedCitation":"Maulana Rizki Nov and Simona Bustani, “Perlindungan Hukum Hak Paten Alat Sterilisasi Untuk Pengolahan Tandan-Tandan Kelapa Sawit” 5, no. 3 (2023): 571–80.","previouslyFormattedCitation":"Maulana Rizki Nov and Simona Bustani, “Perlindungan Hukum Hak Paten Alat Sterilisasi Untuk Pengolahan Tandan-Tandan Kelapa Sawit” 5, no. 3 (2023): 571–80."},"properties":{"noteIndex":13},"schema":"https://github.com/citation-style-language/schema/raw/master/csl-citation.json"}</w:instrText>
      </w:r>
      <w:r w:rsidRPr="00A03C61">
        <w:rPr>
          <w:rFonts w:ascii="Book Antiqua" w:hAnsi="Book Antiqua"/>
          <w:color w:val="000000" w:themeColor="text1"/>
          <w:sz w:val="16"/>
          <w:szCs w:val="16"/>
        </w:rPr>
        <w:fldChar w:fldCharType="separate"/>
      </w:r>
      <w:r w:rsidRPr="003F1A9E">
        <w:rPr>
          <w:rFonts w:ascii="Book Antiqua" w:hAnsi="Book Antiqua"/>
          <w:noProof/>
          <w:color w:val="000000" w:themeColor="text1"/>
          <w:sz w:val="16"/>
          <w:szCs w:val="16"/>
        </w:rPr>
        <w:t>Maulana Rizki Nov and Simona Bustani, “Perlindungan Hukum Hak Paten Alat Sterilisasi Untuk Pengolahan Tandan-Tandan Kelapa Sawit” 5, no. 3 (2023): 571–80.</w:t>
      </w:r>
      <w:r w:rsidRPr="00A03C61">
        <w:rPr>
          <w:rFonts w:ascii="Book Antiqua" w:hAnsi="Book Antiqua"/>
          <w:color w:val="000000" w:themeColor="text1"/>
          <w:sz w:val="16"/>
          <w:szCs w:val="16"/>
        </w:rPr>
        <w:fldChar w:fldCharType="end"/>
      </w:r>
    </w:p>
  </w:footnote>
  <w:footnote w:id="14">
    <w:p w14:paraId="29C176BB" w14:textId="5739270E" w:rsidR="00C04C78" w:rsidRPr="00D9789A" w:rsidRDefault="00C04C78" w:rsidP="00E80CBA">
      <w:pPr>
        <w:pStyle w:val="FootnoteText"/>
        <w:jc w:val="both"/>
        <w:rPr>
          <w:rFonts w:ascii="Book Antiqua" w:hAnsi="Book Antiqua"/>
          <w:color w:val="000000" w:themeColor="text1"/>
          <w:sz w:val="16"/>
          <w:szCs w:val="16"/>
        </w:rPr>
      </w:pPr>
      <w:r w:rsidRPr="00D9789A">
        <w:rPr>
          <w:rStyle w:val="FootnoteReference"/>
          <w:rFonts w:ascii="Book Antiqua" w:hAnsi="Book Antiqua"/>
          <w:color w:val="000000" w:themeColor="text1"/>
          <w:sz w:val="16"/>
          <w:szCs w:val="16"/>
        </w:rPr>
        <w:footnoteRef/>
      </w:r>
      <w:r w:rsidRPr="00D9789A">
        <w:rPr>
          <w:rFonts w:ascii="Book Antiqua" w:hAnsi="Book Antiqua"/>
          <w:color w:val="000000" w:themeColor="text1"/>
          <w:sz w:val="16"/>
          <w:szCs w:val="16"/>
        </w:rPr>
        <w:t xml:space="preserve"> </w:t>
      </w:r>
      <w:r w:rsidRPr="00D9789A">
        <w:rPr>
          <w:rFonts w:ascii="Book Antiqua" w:hAnsi="Book Antiqua"/>
          <w:color w:val="000000" w:themeColor="text1"/>
          <w:sz w:val="16"/>
          <w:szCs w:val="16"/>
        </w:rPr>
        <w:fldChar w:fldCharType="begin" w:fldLock="1"/>
      </w:r>
      <w:r w:rsidRPr="00D9789A">
        <w:rPr>
          <w:rFonts w:ascii="Book Antiqua" w:hAnsi="Book Antiqua"/>
          <w:color w:val="000000" w:themeColor="text1"/>
          <w:sz w:val="16"/>
          <w:szCs w:val="16"/>
        </w:rPr>
        <w:instrText>ADDIN CSL_CITATION {"citationItems":[{"id":"ITEM-1","itemData":{"DOI":"10.32884/jih.v1i4.1629","abstract":"Pasal 4 huruf f Undang-Undang Nomor 13 Tahun 2016 tentang Paten menentukan bahwa invensi tidak dapat diberikan kepada suatu temuan (discovery) yang sudah ada sebelumnya yang tidak mengandung unsur kebaharuan (novelty) dan juga merupakan produk yang dikenal oleh masyarakat luas, maka harusnya tidak dapat diberikan sertifikat paten guna melindungi hak pemegang paten yang sah. Penyelesaian sengeketa atas paten terdaftar yang tidak memilik unsur kebaruan (lack of novelty) dapat diajukan gugatan kepada instansi yang berwenang yakni Pengadilan Niaga dalam wilayah domisili hukum setempat. Novelty atau yang dalam bahasa Indonesia sebagai suatu unsur kebaruan dalam suatu invensi merupakan sebuah keharusan yang dimiliki invensi tersebut. Istilah novelty dan antisipasi dapat menggantikan satu sama lain dalam penggunaannya. sebagai sebuah antisipasi untuk sebuah invensi, dalam sebuah prior art atau langkah penemuan itu haruslah terkandung di dalamnya suatu hal mengenai pengungkapan produk (yang dapat dilaksanakan) atau apabila invensi itu dalam hal paten proses diharuskan untuk memberikan arahan yang jelas dan tidak boleh salah dalam melakukan hasil invensi yang telah dilakukan seorang inventor.","author":[{"dropping-particle":"","family":"Abdillah","given":"Muhammad Faizal","non-dropping-particle":"","parse-names":false,"suffix":""},{"dropping-particle":"","family":"Sriwidodo","given":"Joko","non-dropping-particle":"","parse-names":false,"suffix":""},{"dropping-particle":"","family":"Mustafa","given":"Marni Emmy","non-dropping-particle":"","parse-names":false,"suffix":""}],"container-title":"PERFECTO : Jurnal Ilmu Hukum","id":"ITEM-1","issue":"4","issued":{"date-parts":[["2023"]]},"page":"319-336","title":"Penyelesaian Sengketa terhadap Hak Paten yang Tidak Memiliki Unsur Kebaharuan di Indonesia","type":"article-journal","volume":"01"},"uris":["http://www.mendeley.com/documents/?uuid=7af59f54-b254-4d0c-8d3f-874e51f1ef90"]}],"mendeley":{"formattedCitation":"Muhammad Faizal Abdillah, Joko Sriwidodo, and Marni Emmy Mustafa, “Penyelesaian Sengketa Terhadap Hak Paten Yang Tidak Memiliki Unsur Kebaharuan Di Indonesia,” &lt;i&gt;PERFECTO</w:instrText>
      </w:r>
      <w:r w:rsidRPr="00D9789A">
        <w:rPr>
          <w:color w:val="000000" w:themeColor="text1"/>
          <w:sz w:val="16"/>
          <w:szCs w:val="16"/>
        </w:rPr>
        <w:instrText> </w:instrText>
      </w:r>
      <w:r w:rsidRPr="00D9789A">
        <w:rPr>
          <w:rFonts w:ascii="Book Antiqua" w:hAnsi="Book Antiqua"/>
          <w:color w:val="000000" w:themeColor="text1"/>
          <w:sz w:val="16"/>
          <w:szCs w:val="16"/>
        </w:rPr>
        <w:instrText>: Jurnal Ilmu Hukum&lt;/i&gt; 01, no. 4 (2023): 319</w:instrText>
      </w:r>
      <w:r w:rsidRPr="00D9789A">
        <w:rPr>
          <w:rFonts w:ascii="Book Antiqua" w:hAnsi="Book Antiqua" w:cs="Book Antiqua"/>
          <w:color w:val="000000" w:themeColor="text1"/>
          <w:sz w:val="16"/>
          <w:szCs w:val="16"/>
        </w:rPr>
        <w:instrText>–</w:instrText>
      </w:r>
      <w:r w:rsidRPr="00D9789A">
        <w:rPr>
          <w:rFonts w:ascii="Book Antiqua" w:hAnsi="Book Antiqua"/>
          <w:color w:val="000000" w:themeColor="text1"/>
          <w:sz w:val="16"/>
          <w:szCs w:val="16"/>
        </w:rPr>
        <w:instrText>36, https://doi.org/10.32884/jih.v1i4.1629.","plainTextFormattedCitation":"Muhammad Faizal Abdillah, Joko Sriwidodo, and Marni Emmy Mustafa, “Penyelesaian Sengketa Terhadap Hak Paten Yang Tidak Memiliki Unsur Kebaharuan Di Indonesia,” PERFECTO</w:instrText>
      </w:r>
      <w:r w:rsidRPr="00D9789A">
        <w:rPr>
          <w:color w:val="000000" w:themeColor="text1"/>
          <w:sz w:val="16"/>
          <w:szCs w:val="16"/>
        </w:rPr>
        <w:instrText> </w:instrText>
      </w:r>
      <w:r w:rsidRPr="00D9789A">
        <w:rPr>
          <w:rFonts w:ascii="Book Antiqua" w:hAnsi="Book Antiqua"/>
          <w:color w:val="000000" w:themeColor="text1"/>
          <w:sz w:val="16"/>
          <w:szCs w:val="16"/>
        </w:rPr>
        <w:instrText>: Jurnal Ilmu Hukum 01, no. 4 (2023): 319</w:instrText>
      </w:r>
      <w:r w:rsidRPr="00D9789A">
        <w:rPr>
          <w:rFonts w:ascii="Book Antiqua" w:hAnsi="Book Antiqua" w:cs="Book Antiqua"/>
          <w:color w:val="000000" w:themeColor="text1"/>
          <w:sz w:val="16"/>
          <w:szCs w:val="16"/>
        </w:rPr>
        <w:instrText>–</w:instrText>
      </w:r>
      <w:r w:rsidRPr="00D9789A">
        <w:rPr>
          <w:rFonts w:ascii="Book Antiqua" w:hAnsi="Book Antiqua"/>
          <w:color w:val="000000" w:themeColor="text1"/>
          <w:sz w:val="16"/>
          <w:szCs w:val="16"/>
        </w:rPr>
        <w:instrText>36, https://doi.org/10.32884/jih.v1i4.1629.","previouslyFormattedCitation":"Muhammad Faizal Abdillah, Joko Sriwidodo, and Marni Emmy Mustafa, “Penyelesaian Sengketa Terhadap Hak Paten Yang Tidak Memiliki Unsur Kebaharuan Di Indonesia,” &lt;i&gt;PERFECTO</w:instrText>
      </w:r>
      <w:r w:rsidRPr="00D9789A">
        <w:rPr>
          <w:color w:val="000000" w:themeColor="text1"/>
          <w:sz w:val="16"/>
          <w:szCs w:val="16"/>
        </w:rPr>
        <w:instrText> </w:instrText>
      </w:r>
      <w:r w:rsidRPr="00D9789A">
        <w:rPr>
          <w:rFonts w:ascii="Book Antiqua" w:hAnsi="Book Antiqua"/>
          <w:color w:val="000000" w:themeColor="text1"/>
          <w:sz w:val="16"/>
          <w:szCs w:val="16"/>
        </w:rPr>
        <w:instrText>: Jurnal Ilmu Hukum&lt;/i&gt; 01, no. 4 (2023): 319</w:instrText>
      </w:r>
      <w:r w:rsidRPr="00D9789A">
        <w:rPr>
          <w:rFonts w:ascii="Book Antiqua" w:hAnsi="Book Antiqua" w:cs="Book Antiqua"/>
          <w:color w:val="000000" w:themeColor="text1"/>
          <w:sz w:val="16"/>
          <w:szCs w:val="16"/>
        </w:rPr>
        <w:instrText>–</w:instrText>
      </w:r>
      <w:r w:rsidRPr="00D9789A">
        <w:rPr>
          <w:rFonts w:ascii="Book Antiqua" w:hAnsi="Book Antiqua"/>
          <w:color w:val="000000" w:themeColor="text1"/>
          <w:sz w:val="16"/>
          <w:szCs w:val="16"/>
        </w:rPr>
        <w:instrText>36, https://doi.org/10.32884/jih.v1i4.1629."},"properties":{"noteIndex":14},"schema":"https://github.com/citation-style-language/schema/raw/master/csl-citation.json"}</w:instrText>
      </w:r>
      <w:r w:rsidRPr="00D9789A">
        <w:rPr>
          <w:rFonts w:ascii="Book Antiqua" w:hAnsi="Book Antiqua"/>
          <w:color w:val="000000" w:themeColor="text1"/>
          <w:sz w:val="16"/>
          <w:szCs w:val="16"/>
        </w:rPr>
        <w:fldChar w:fldCharType="separate"/>
      </w:r>
      <w:r w:rsidRPr="00D9789A">
        <w:rPr>
          <w:rFonts w:ascii="Book Antiqua" w:hAnsi="Book Antiqua"/>
          <w:noProof/>
          <w:color w:val="000000" w:themeColor="text1"/>
          <w:sz w:val="16"/>
          <w:szCs w:val="16"/>
        </w:rPr>
        <w:t xml:space="preserve">Muhammad Faizal Abdillah, Joko Sriwidodo, and Marni Emmy Mustafa, “Penyelesaian Sengketa Terhadap Hak Paten Yang Tidak Memiliki Unsur Kebaharuan Di Indonesia,” </w:t>
      </w:r>
      <w:r w:rsidRPr="00D9789A">
        <w:rPr>
          <w:rFonts w:ascii="Book Antiqua" w:hAnsi="Book Antiqua"/>
          <w:i/>
          <w:noProof/>
          <w:color w:val="000000" w:themeColor="text1"/>
          <w:sz w:val="16"/>
          <w:szCs w:val="16"/>
        </w:rPr>
        <w:t>PERFECTO</w:t>
      </w:r>
      <w:r w:rsidRPr="00D9789A">
        <w:rPr>
          <w:i/>
          <w:noProof/>
          <w:color w:val="000000" w:themeColor="text1"/>
          <w:sz w:val="16"/>
          <w:szCs w:val="16"/>
        </w:rPr>
        <w:t> </w:t>
      </w:r>
      <w:r w:rsidRPr="00D9789A">
        <w:rPr>
          <w:rFonts w:ascii="Book Antiqua" w:hAnsi="Book Antiqua"/>
          <w:i/>
          <w:noProof/>
          <w:color w:val="000000" w:themeColor="text1"/>
          <w:sz w:val="16"/>
          <w:szCs w:val="16"/>
        </w:rPr>
        <w:t>: Jurnal Ilmu Hukum</w:t>
      </w:r>
      <w:r w:rsidRPr="00D9789A">
        <w:rPr>
          <w:rFonts w:ascii="Book Antiqua" w:hAnsi="Book Antiqua"/>
          <w:noProof/>
          <w:color w:val="000000" w:themeColor="text1"/>
          <w:sz w:val="16"/>
          <w:szCs w:val="16"/>
        </w:rPr>
        <w:t xml:space="preserve"> 01, no. 4 (2023): 319–36, https://doi.org/10.32884/jih.v1i4.1629.</w:t>
      </w:r>
      <w:r w:rsidRPr="00D9789A">
        <w:rPr>
          <w:rFonts w:ascii="Book Antiqua" w:hAnsi="Book Antiqua"/>
          <w:color w:val="000000" w:themeColor="text1"/>
          <w:sz w:val="16"/>
          <w:szCs w:val="16"/>
        </w:rPr>
        <w:fldChar w:fldCharType="end"/>
      </w:r>
    </w:p>
  </w:footnote>
  <w:footnote w:id="15">
    <w:p w14:paraId="03AECC93" w14:textId="7A06191D" w:rsidR="00C04C78" w:rsidRPr="00F60DA9" w:rsidRDefault="00C04C78" w:rsidP="00F60DA9">
      <w:pPr>
        <w:pStyle w:val="FootnoteText"/>
        <w:jc w:val="both"/>
        <w:rPr>
          <w:rFonts w:ascii="Book Antiqua" w:hAnsi="Book Antiqua"/>
          <w:color w:val="000000" w:themeColor="text1"/>
          <w:sz w:val="16"/>
          <w:szCs w:val="16"/>
        </w:rPr>
      </w:pPr>
      <w:r w:rsidRPr="00D9789A">
        <w:rPr>
          <w:rStyle w:val="FootnoteReference"/>
          <w:rFonts w:ascii="Book Antiqua" w:hAnsi="Book Antiqua"/>
          <w:color w:val="000000" w:themeColor="text1"/>
          <w:sz w:val="16"/>
          <w:szCs w:val="16"/>
        </w:rPr>
        <w:footnoteRef/>
      </w:r>
      <w:r w:rsidRPr="00D9789A">
        <w:rPr>
          <w:rFonts w:ascii="Book Antiqua" w:hAnsi="Book Antiqua"/>
          <w:color w:val="000000" w:themeColor="text1"/>
          <w:sz w:val="16"/>
          <w:szCs w:val="16"/>
        </w:rPr>
        <w:t xml:space="preserve"> </w:t>
      </w:r>
      <w:r w:rsidRPr="00F60DA9">
        <w:rPr>
          <w:rFonts w:ascii="Book Antiqua" w:hAnsi="Book Antiqua"/>
          <w:color w:val="000000" w:themeColor="text1"/>
          <w:sz w:val="16"/>
          <w:szCs w:val="16"/>
        </w:rPr>
        <w:fldChar w:fldCharType="begin" w:fldLock="1"/>
      </w:r>
      <w:r w:rsidRPr="00F60DA9">
        <w:rPr>
          <w:rFonts w:ascii="Book Antiqua" w:hAnsi="Book Antiqua"/>
          <w:color w:val="000000" w:themeColor="text1"/>
          <w:sz w:val="16"/>
          <w:szCs w:val="16"/>
        </w:rPr>
        <w:instrText>ADDIN CSL_CITATION {"citationItems":[{"id":"ITEM-1","itemData":{"ISBN":"9788578110796","ISSN":"1098-6596","PMID":"25246403","author":[{"dropping-particle":"","family":"Azis","given":"Dimas Akbar Iqbal","non-dropping-particle":"","parse-names":false,"suffix":""}],"id":"ITEM-1","issued":{"date-parts":[["2021"]]},"page":"1689-1699","title":"Akibat Hukum Berlakunya Undang-Undang Nomor 13 Tahun 2016 Tentang Paten Terhadap Perkembangan dan Perlindungan Paten di Indonesia","type":"article-journal"},"uris":["http://www.mendeley.com/documents/?uuid=77ff0a20-c532-496a-9c35-fc97f4e0d8c4"]}],"mendeley":{"formattedCitation":"Azis, “Akibat Hukum Berlakunya Undang-Undang Nomor 13 Tahun 2016 Tentang Paten Terhadap Perkembangan Dan Perlindungan Paten Di Indonesia.”","plainTextFormattedCitation":"Azis, “Akibat Hukum Berlakunya Undang-Undang Nomor 13 Tahun 2016 Tentang Paten Terhadap Perkembangan Dan Perlindungan Paten Di Indonesia.”","previouslyFormattedCitation":"Azis, “Akibat Hukum Berlakunya Undang-Undang Nomor 13 Tahun 2016 Tentang Paten Terhadap Perkembangan Dan Perlindungan Paten Di Indonesia.”"},"properties":{"noteIndex":15},"schema":"https://github.com/citation-style-language/schema/raw/master/csl-citation.json"}</w:instrText>
      </w:r>
      <w:r w:rsidRPr="00F60DA9">
        <w:rPr>
          <w:rFonts w:ascii="Book Antiqua" w:hAnsi="Book Antiqua"/>
          <w:color w:val="000000" w:themeColor="text1"/>
          <w:sz w:val="16"/>
          <w:szCs w:val="16"/>
        </w:rPr>
        <w:fldChar w:fldCharType="separate"/>
      </w:r>
      <w:r w:rsidRPr="00F60DA9">
        <w:rPr>
          <w:rFonts w:ascii="Book Antiqua" w:hAnsi="Book Antiqua"/>
          <w:noProof/>
          <w:color w:val="000000" w:themeColor="text1"/>
          <w:sz w:val="16"/>
          <w:szCs w:val="16"/>
        </w:rPr>
        <w:t>Azis, “Akibat Hukum Berlakunya Undang-Undang Nomor 13 Tahun 2016 Tentang Paten Terhadap Perkembangan Dan Perlindungan Paten Di Indonesia.”</w:t>
      </w:r>
      <w:r w:rsidRPr="00F60DA9">
        <w:rPr>
          <w:rFonts w:ascii="Book Antiqua" w:hAnsi="Book Antiqua"/>
          <w:color w:val="000000" w:themeColor="text1"/>
          <w:sz w:val="16"/>
          <w:szCs w:val="16"/>
        </w:rPr>
        <w:fldChar w:fldCharType="end"/>
      </w:r>
    </w:p>
  </w:footnote>
  <w:footnote w:id="16">
    <w:p w14:paraId="1E5B5680" w14:textId="347B75E4" w:rsidR="00C04C78" w:rsidRPr="00F60DA9" w:rsidRDefault="00C04C78" w:rsidP="00F60DA9">
      <w:pPr>
        <w:pStyle w:val="FootnoteText"/>
        <w:jc w:val="both"/>
        <w:rPr>
          <w:rFonts w:ascii="Book Antiqua" w:hAnsi="Book Antiqua"/>
          <w:color w:val="000000" w:themeColor="text1"/>
          <w:sz w:val="16"/>
          <w:szCs w:val="16"/>
        </w:rPr>
      </w:pPr>
      <w:r w:rsidRPr="00F60DA9">
        <w:rPr>
          <w:rStyle w:val="FootnoteReference"/>
          <w:rFonts w:ascii="Book Antiqua" w:hAnsi="Book Antiqua"/>
          <w:color w:val="000000" w:themeColor="text1"/>
          <w:sz w:val="16"/>
          <w:szCs w:val="16"/>
        </w:rPr>
        <w:footnoteRef/>
      </w:r>
      <w:r w:rsidRPr="00F60DA9">
        <w:rPr>
          <w:rFonts w:ascii="Book Antiqua" w:hAnsi="Book Antiqua"/>
          <w:color w:val="000000" w:themeColor="text1"/>
          <w:sz w:val="16"/>
          <w:szCs w:val="16"/>
        </w:rPr>
        <w:t xml:space="preserve"> </w:t>
      </w:r>
      <w:r w:rsidRPr="00F60DA9">
        <w:rPr>
          <w:rFonts w:ascii="Book Antiqua" w:hAnsi="Book Antiqua"/>
          <w:color w:val="000000" w:themeColor="text1"/>
          <w:sz w:val="16"/>
          <w:szCs w:val="16"/>
        </w:rPr>
        <w:fldChar w:fldCharType="begin" w:fldLock="1"/>
      </w:r>
      <w:r w:rsidRPr="00F60DA9">
        <w:rPr>
          <w:rFonts w:ascii="Book Antiqua" w:hAnsi="Book Antiqua"/>
          <w:color w:val="000000" w:themeColor="text1"/>
          <w:sz w:val="16"/>
          <w:szCs w:val="16"/>
        </w:rPr>
        <w:instrText>ADDIN CSL_CITATION {"citationItems":[{"id":"ITEM-1","itemData":{"author":[{"dropping-particle":"","family":"Jean Neltje et al","given":"","non-dropping-particle":"","parse-names":false,"suffix":""}],"container-title":"Jurnal Pendidikan Tambusai","id":"ITEM-1","issue":"3","issued":{"date-parts":[["2023"]]},"page":"22125-22131","title":"Pengertian Hak Paten-2","type":"article-journal","volume":"7"},"uris":["http://www.mendeley.com/documents/?uuid=564cd4e9-3f51-4caf-8c90-6fd7421d4a19"]}],"mendeley":{"formattedCitation":"Jean Neltje et al, “Pengertian Hak Paten-2.”","plainTextFormattedCitation":"Jean Neltje et al, “Pengertian Hak Paten-2.”","previouslyFormattedCitation":"Jean Neltje et al, “Pengertian Hak Paten-2.”"},"properties":{"noteIndex":16},"schema":"https://github.com/citation-style-language/schema/raw/master/csl-citation.json"}</w:instrText>
      </w:r>
      <w:r w:rsidRPr="00F60DA9">
        <w:rPr>
          <w:rFonts w:ascii="Book Antiqua" w:hAnsi="Book Antiqua"/>
          <w:color w:val="000000" w:themeColor="text1"/>
          <w:sz w:val="16"/>
          <w:szCs w:val="16"/>
        </w:rPr>
        <w:fldChar w:fldCharType="separate"/>
      </w:r>
      <w:r w:rsidRPr="00F60DA9">
        <w:rPr>
          <w:rFonts w:ascii="Book Antiqua" w:hAnsi="Book Antiqua"/>
          <w:noProof/>
          <w:color w:val="000000" w:themeColor="text1"/>
          <w:sz w:val="16"/>
          <w:szCs w:val="16"/>
        </w:rPr>
        <w:t>Jean Neltje et al, “Pengertian Hak Paten-2.”</w:t>
      </w:r>
      <w:r w:rsidRPr="00F60DA9">
        <w:rPr>
          <w:rFonts w:ascii="Book Antiqua" w:hAnsi="Book Antiqua"/>
          <w:color w:val="000000" w:themeColor="text1"/>
          <w:sz w:val="16"/>
          <w:szCs w:val="16"/>
        </w:rPr>
        <w:fldChar w:fldCharType="end"/>
      </w:r>
    </w:p>
  </w:footnote>
  <w:footnote w:id="17">
    <w:p w14:paraId="1E4996F5" w14:textId="167B067F" w:rsidR="00C04C78" w:rsidRPr="00F60DA9" w:rsidRDefault="00C04C78" w:rsidP="00F60DA9">
      <w:pPr>
        <w:pStyle w:val="FootnoteText"/>
        <w:jc w:val="both"/>
        <w:rPr>
          <w:rFonts w:ascii="Book Antiqua" w:hAnsi="Book Antiqua"/>
          <w:color w:val="000000" w:themeColor="text1"/>
          <w:sz w:val="16"/>
          <w:szCs w:val="16"/>
        </w:rPr>
      </w:pPr>
      <w:r w:rsidRPr="00F60DA9">
        <w:rPr>
          <w:rStyle w:val="FootnoteReference"/>
          <w:rFonts w:ascii="Book Antiqua" w:hAnsi="Book Antiqua"/>
          <w:color w:val="000000" w:themeColor="text1"/>
          <w:sz w:val="16"/>
          <w:szCs w:val="16"/>
        </w:rPr>
        <w:footnoteRef/>
      </w:r>
      <w:r w:rsidRPr="00F60DA9">
        <w:rPr>
          <w:rFonts w:ascii="Book Antiqua" w:hAnsi="Book Antiqua"/>
          <w:color w:val="000000" w:themeColor="text1"/>
          <w:sz w:val="16"/>
          <w:szCs w:val="16"/>
        </w:rPr>
        <w:t xml:space="preserve"> </w:t>
      </w:r>
      <w:r w:rsidRPr="00F60DA9">
        <w:rPr>
          <w:rFonts w:ascii="Book Antiqua" w:hAnsi="Book Antiqua"/>
          <w:color w:val="000000" w:themeColor="text1"/>
          <w:sz w:val="16"/>
          <w:szCs w:val="16"/>
        </w:rPr>
        <w:fldChar w:fldCharType="begin" w:fldLock="1"/>
      </w:r>
      <w:r w:rsidRPr="00F60DA9">
        <w:rPr>
          <w:rFonts w:ascii="Book Antiqua" w:hAnsi="Book Antiqua"/>
          <w:color w:val="000000" w:themeColor="text1"/>
          <w:sz w:val="16"/>
          <w:szCs w:val="16"/>
        </w:rPr>
        <w:instrText>ADDIN CSL_CITATION {"citationItems":[{"id":"ITEM-1","itemData":{"author":[{"dropping-particle":"","family":"Purwaningsih","given":"Endang","non-dropping-particle":"","parse-names":false,"suffix":""},{"dropping-particle":"","family":"Ariyanti","given":"Evie Rachmawati Nur","non-dropping-particle":"","parse-names":false,"suffix":""}],"id":"ITEM-1","issue":"2","issued":{"date-parts":[["2021"]]},"page":"53-70","title":"Jurnal Surya Kencana Satu : Dinamika Masalah Hukum dan Keadilan Volume 11 Nomor 1 Maret 2020 53","type":"article-journal","volume":"11"},"uris":["http://www.mendeley.com/documents/?uuid=dbaed6c5-b027-4559-b006-341d2f62f8cc"]}],"mendeley":{"formattedCitation":"Endang Purwaningsih and Evie Rachmawati Nur Ariyanti, “Jurnal Surya Kencana Satu</w:instrText>
      </w:r>
      <w:r w:rsidRPr="00F60DA9">
        <w:rPr>
          <w:color w:val="000000" w:themeColor="text1"/>
          <w:sz w:val="16"/>
          <w:szCs w:val="16"/>
        </w:rPr>
        <w:instrText> </w:instrText>
      </w:r>
      <w:r w:rsidRPr="00F60DA9">
        <w:rPr>
          <w:rFonts w:ascii="Book Antiqua" w:hAnsi="Book Antiqua"/>
          <w:color w:val="000000" w:themeColor="text1"/>
          <w:sz w:val="16"/>
          <w:szCs w:val="16"/>
        </w:rPr>
        <w:instrText>: Dinamika Masalah Hukum Dan Keadilan Volume 11 Nomor 1 Maret 2020 53</w:instrText>
      </w:r>
      <w:r w:rsidRPr="00F60DA9">
        <w:rPr>
          <w:rFonts w:ascii="Book Antiqua" w:hAnsi="Book Antiqua" w:cs="Book Antiqua"/>
          <w:color w:val="000000" w:themeColor="text1"/>
          <w:sz w:val="16"/>
          <w:szCs w:val="16"/>
        </w:rPr>
        <w:instrText>”</w:instrText>
      </w:r>
      <w:r w:rsidRPr="00F60DA9">
        <w:rPr>
          <w:rFonts w:ascii="Book Antiqua" w:hAnsi="Book Antiqua"/>
          <w:color w:val="000000" w:themeColor="text1"/>
          <w:sz w:val="16"/>
          <w:szCs w:val="16"/>
        </w:rPr>
        <w:instrText xml:space="preserve"> 11, no. 2 (2021): 53</w:instrText>
      </w:r>
      <w:r w:rsidRPr="00F60DA9">
        <w:rPr>
          <w:rFonts w:ascii="Book Antiqua" w:hAnsi="Book Antiqua" w:cs="Book Antiqua"/>
          <w:color w:val="000000" w:themeColor="text1"/>
          <w:sz w:val="16"/>
          <w:szCs w:val="16"/>
        </w:rPr>
        <w:instrText>–</w:instrText>
      </w:r>
      <w:r w:rsidRPr="00F60DA9">
        <w:rPr>
          <w:rFonts w:ascii="Book Antiqua" w:hAnsi="Book Antiqua"/>
          <w:color w:val="000000" w:themeColor="text1"/>
          <w:sz w:val="16"/>
          <w:szCs w:val="16"/>
        </w:rPr>
        <w:instrText xml:space="preserve">70, http://openjournal.unpam.ac.id/index.php/sks%0AKebijakan.","plainTextFormattedCitation":"Endang Purwaningsih and Evie Rachmawati Nur Ariyanti, </w:instrText>
      </w:r>
      <w:r w:rsidRPr="00F60DA9">
        <w:rPr>
          <w:rFonts w:ascii="Book Antiqua" w:hAnsi="Book Antiqua" w:cs="Book Antiqua"/>
          <w:color w:val="000000" w:themeColor="text1"/>
          <w:sz w:val="16"/>
          <w:szCs w:val="16"/>
        </w:rPr>
        <w:instrText>“</w:instrText>
      </w:r>
      <w:r w:rsidRPr="00F60DA9">
        <w:rPr>
          <w:rFonts w:ascii="Book Antiqua" w:hAnsi="Book Antiqua"/>
          <w:color w:val="000000" w:themeColor="text1"/>
          <w:sz w:val="16"/>
          <w:szCs w:val="16"/>
        </w:rPr>
        <w:instrText>Jurnal Surya Kencana Satu</w:instrText>
      </w:r>
      <w:r w:rsidRPr="00F60DA9">
        <w:rPr>
          <w:color w:val="000000" w:themeColor="text1"/>
          <w:sz w:val="16"/>
          <w:szCs w:val="16"/>
        </w:rPr>
        <w:instrText> </w:instrText>
      </w:r>
      <w:r w:rsidRPr="00F60DA9">
        <w:rPr>
          <w:rFonts w:ascii="Book Antiqua" w:hAnsi="Book Antiqua"/>
          <w:color w:val="000000" w:themeColor="text1"/>
          <w:sz w:val="16"/>
          <w:szCs w:val="16"/>
        </w:rPr>
        <w:instrText>: Dinamika Masalah Hukum Dan Keadilan Volume 11 Nomor 1 Maret 2020 53</w:instrText>
      </w:r>
      <w:r w:rsidRPr="00F60DA9">
        <w:rPr>
          <w:rFonts w:ascii="Book Antiqua" w:hAnsi="Book Antiqua" w:cs="Book Antiqua"/>
          <w:color w:val="000000" w:themeColor="text1"/>
          <w:sz w:val="16"/>
          <w:szCs w:val="16"/>
        </w:rPr>
        <w:instrText>”</w:instrText>
      </w:r>
      <w:r w:rsidRPr="00F60DA9">
        <w:rPr>
          <w:rFonts w:ascii="Book Antiqua" w:hAnsi="Book Antiqua"/>
          <w:color w:val="000000" w:themeColor="text1"/>
          <w:sz w:val="16"/>
          <w:szCs w:val="16"/>
        </w:rPr>
        <w:instrText xml:space="preserve"> 11, no. 2 (2021): 53</w:instrText>
      </w:r>
      <w:r w:rsidRPr="00F60DA9">
        <w:rPr>
          <w:rFonts w:ascii="Book Antiqua" w:hAnsi="Book Antiqua" w:cs="Book Antiqua"/>
          <w:color w:val="000000" w:themeColor="text1"/>
          <w:sz w:val="16"/>
          <w:szCs w:val="16"/>
        </w:rPr>
        <w:instrText>–</w:instrText>
      </w:r>
      <w:r w:rsidRPr="00F60DA9">
        <w:rPr>
          <w:rFonts w:ascii="Book Antiqua" w:hAnsi="Book Antiqua"/>
          <w:color w:val="000000" w:themeColor="text1"/>
          <w:sz w:val="16"/>
          <w:szCs w:val="16"/>
        </w:rPr>
        <w:instrText>70, http://openjournal.unpam.ac.id/index.php/sks%0AKebijakan.","previouslyFormattedCitation":"Endang Purwaningsih and Evie Rachmawati Nur Ariyanti, “Jurnal Surya Kencana Satu</w:instrText>
      </w:r>
      <w:r w:rsidRPr="00F60DA9">
        <w:rPr>
          <w:color w:val="000000" w:themeColor="text1"/>
          <w:sz w:val="16"/>
          <w:szCs w:val="16"/>
        </w:rPr>
        <w:instrText> </w:instrText>
      </w:r>
      <w:r w:rsidRPr="00F60DA9">
        <w:rPr>
          <w:rFonts w:ascii="Book Antiqua" w:hAnsi="Book Antiqua"/>
          <w:color w:val="000000" w:themeColor="text1"/>
          <w:sz w:val="16"/>
          <w:szCs w:val="16"/>
        </w:rPr>
        <w:instrText>: Dinamika Masalah Hukum Dan Keadilan Volume 11 Nomor 1 Maret 2020 53</w:instrText>
      </w:r>
      <w:r w:rsidRPr="00F60DA9">
        <w:rPr>
          <w:rFonts w:ascii="Book Antiqua" w:hAnsi="Book Antiqua" w:cs="Book Antiqua"/>
          <w:color w:val="000000" w:themeColor="text1"/>
          <w:sz w:val="16"/>
          <w:szCs w:val="16"/>
        </w:rPr>
        <w:instrText>”</w:instrText>
      </w:r>
      <w:r w:rsidRPr="00F60DA9">
        <w:rPr>
          <w:rFonts w:ascii="Book Antiqua" w:hAnsi="Book Antiqua"/>
          <w:color w:val="000000" w:themeColor="text1"/>
          <w:sz w:val="16"/>
          <w:szCs w:val="16"/>
        </w:rPr>
        <w:instrText xml:space="preserve"> 11, no. 2 (2021): 53</w:instrText>
      </w:r>
      <w:r w:rsidRPr="00F60DA9">
        <w:rPr>
          <w:rFonts w:ascii="Book Antiqua" w:hAnsi="Book Antiqua" w:cs="Book Antiqua"/>
          <w:color w:val="000000" w:themeColor="text1"/>
          <w:sz w:val="16"/>
          <w:szCs w:val="16"/>
        </w:rPr>
        <w:instrText>–</w:instrText>
      </w:r>
      <w:r w:rsidRPr="00F60DA9">
        <w:rPr>
          <w:rFonts w:ascii="Book Antiqua" w:hAnsi="Book Antiqua"/>
          <w:color w:val="000000" w:themeColor="text1"/>
          <w:sz w:val="16"/>
          <w:szCs w:val="16"/>
        </w:rPr>
        <w:instrText>70, http://openjournal.unpam.ac.id/index.php/sks%0AKebijakan."},"properties":{"noteIndex":17},"schema":"https://github.com/citation-style-language/schema/raw/master/csl-citation.json"}</w:instrText>
      </w:r>
      <w:r w:rsidRPr="00F60DA9">
        <w:rPr>
          <w:rFonts w:ascii="Book Antiqua" w:hAnsi="Book Antiqua"/>
          <w:color w:val="000000" w:themeColor="text1"/>
          <w:sz w:val="16"/>
          <w:szCs w:val="16"/>
        </w:rPr>
        <w:fldChar w:fldCharType="separate"/>
      </w:r>
      <w:r w:rsidRPr="00F60DA9">
        <w:rPr>
          <w:rFonts w:ascii="Book Antiqua" w:hAnsi="Book Antiqua"/>
          <w:noProof/>
          <w:color w:val="000000" w:themeColor="text1"/>
          <w:sz w:val="16"/>
          <w:szCs w:val="16"/>
        </w:rPr>
        <w:t>Endang Purwaningsih and Evie Rachmawati Nur Ariyanti, “Jurnal Surya Kencana Satu</w:t>
      </w:r>
      <w:r w:rsidRPr="00F60DA9">
        <w:rPr>
          <w:noProof/>
          <w:color w:val="000000" w:themeColor="text1"/>
          <w:sz w:val="16"/>
          <w:szCs w:val="16"/>
        </w:rPr>
        <w:t> </w:t>
      </w:r>
      <w:r w:rsidRPr="00F60DA9">
        <w:rPr>
          <w:rFonts w:ascii="Book Antiqua" w:hAnsi="Book Antiqua"/>
          <w:noProof/>
          <w:color w:val="000000" w:themeColor="text1"/>
          <w:sz w:val="16"/>
          <w:szCs w:val="16"/>
        </w:rPr>
        <w:t>: Dinamika Masalah Hukum Dan Keadilan Volume 11 Nomor 1 Maret 2020 53” 11, no. 2 (2021): 53–70, http://openjournal.unpam.ac.id/index.php/sks%0AKebijakan.</w:t>
      </w:r>
      <w:r w:rsidRPr="00F60DA9">
        <w:rPr>
          <w:rFonts w:ascii="Book Antiqua" w:hAnsi="Book Antiqua"/>
          <w:color w:val="000000" w:themeColor="text1"/>
          <w:sz w:val="16"/>
          <w:szCs w:val="16"/>
        </w:rPr>
        <w:fldChar w:fldCharType="end"/>
      </w:r>
    </w:p>
  </w:footnote>
  <w:footnote w:id="18">
    <w:p w14:paraId="52931C59" w14:textId="0E22B281" w:rsidR="00C04C78" w:rsidRPr="00F60DA9" w:rsidRDefault="00C04C78" w:rsidP="00F60DA9">
      <w:pPr>
        <w:pStyle w:val="FootnoteText"/>
        <w:jc w:val="both"/>
        <w:rPr>
          <w:rFonts w:ascii="Book Antiqua" w:hAnsi="Book Antiqua"/>
          <w:color w:val="000000" w:themeColor="text1"/>
          <w:sz w:val="16"/>
          <w:szCs w:val="16"/>
        </w:rPr>
      </w:pPr>
      <w:r w:rsidRPr="00F60DA9">
        <w:rPr>
          <w:rStyle w:val="FootnoteReference"/>
          <w:rFonts w:ascii="Book Antiqua" w:hAnsi="Book Antiqua"/>
          <w:color w:val="000000" w:themeColor="text1"/>
          <w:sz w:val="16"/>
          <w:szCs w:val="16"/>
        </w:rPr>
        <w:footnoteRef/>
      </w:r>
      <w:r w:rsidRPr="00F60DA9">
        <w:rPr>
          <w:rFonts w:ascii="Book Antiqua" w:hAnsi="Book Antiqua"/>
          <w:color w:val="000000" w:themeColor="text1"/>
          <w:sz w:val="16"/>
          <w:szCs w:val="16"/>
        </w:rPr>
        <w:t xml:space="preserve"> </w:t>
      </w:r>
      <w:r w:rsidRPr="00F60DA9">
        <w:rPr>
          <w:rFonts w:ascii="Book Antiqua" w:hAnsi="Book Antiqua"/>
          <w:color w:val="000000" w:themeColor="text1"/>
          <w:sz w:val="16"/>
          <w:szCs w:val="16"/>
        </w:rPr>
        <w:fldChar w:fldCharType="begin" w:fldLock="1"/>
      </w:r>
      <w:r w:rsidRPr="00F60DA9">
        <w:rPr>
          <w:rFonts w:ascii="Book Antiqua" w:hAnsi="Book Antiqua"/>
          <w:color w:val="000000" w:themeColor="text1"/>
          <w:sz w:val="16"/>
          <w:szCs w:val="16"/>
        </w:rPr>
        <w:instrText>ADDIN CSL_CITATION {"citationItems":[{"id":"ITEM-1","itemData":{"DOI":"10.33603/hermeneutika.v5i1.4898","ISSN":"1978-8487","abstract":"Teori Hukum Pembangunan sampai saat ini adalah teori hukum yang eksis di Indonesia karena diciptakan oleh orang Indonesia dengan melihat dimensi dan kultur masyarakat Indonesia. Oleh karena itu, dengan tolok ukur dimensi teori hukum pembangunan tersebut lahir, tumbuh dan berkembang sesuai dengan kondisi Indonesia maka hakikatnya jikalau diterapkan dalam aplikasinya akan sesuai dengan kondisi dan situasi masyarakat Indonesia yang pluralistik. Permasalahannya adalah Bagaimana perkembangan penerapan teori hukum pembangunan dalam sistem hukum nasional dan Bagaimana pengaruh teori hukum pembangunan bagi modernisasi hukum nasional das sein dan das sollen. Metode penelitiannya menggunakan Metode Pendekatan, Penelitian ini termasuk dalam bentuk penelitian yuridis normatif, yaitu penelitian yang memberi pemahaman terhadap permasalahan norma yang dialami oleh ilmu hukum dogmatif dalam kegiatannya mendeskripsikan norma hukum, merumuskan norma hukum (membentuk peraturan perundang-undangan), dan menegakkan norma hukum (praktik yudisial). Tipe Penelitian yang digunakan dalam penelitian ini adalah deskriptif analisis, untuk memperoleh kejelasan penyelesaian masalah dan ditarik kesimpulan. Sumber data yang digunakan dalam penelitian ini adalah data sekunder. Pada data sekunder, Penulis membagi menjadi 3 (tiga), yaitu sumber hukum primer, sumber hukum sekunder, sumber hukum tersier. Teknik Analisis Data yang diperoleh akan dianalisis secara analisis deskriptif kualitatif. Kesimpulannya adalah Perkembangan Penerapan Teori Hukum Pembangunan Dalam Sistem Hukum Nasional. Perkembangan sistem hukum nasional tentunya merupakan input dari lapisan masyarakat dalam melihat pelaksanaan sistem hukum yang ada saat ini.","author":[{"dropping-particle":"","family":"Prihardiati","given":"RR. Lyia Aina","non-dropping-particle":"","parse-names":false,"suffix":""}],"id":"ITEM-1","issue":"1","issued":{"date-parts":[["2021"]]},"title":"Teori Hukum Pembangunan Antara Das Sein Dan Das Sollen","type":"article-journal","volume":"5"},"uris":["http://www.mendeley.com/documents/?uuid=27bceafb-3232-44fb-a7cd-825f86ef94a0"]}],"mendeley":{"formattedCitation":"RR. Lyia Aina Prihardiati, “Teori Hukum Pembangunan Antara Das Sein Dan Das Sollen” 5, no. 1 (2021), https://doi.org/10.33603/hermeneutika.v5i1.4898.","plainTextFormattedCitation":"RR. Lyia Aina Prihardiati, “Teori Hukum Pembangunan Antara Das Sein Dan Das Sollen” 5, no. 1 (2021), https://doi.org/10.33603/hermeneutika.v5i1.4898.","previouslyFormattedCitation":"RR. Lyia Aina Prihardiati, “Teori Hukum Pembangunan Antara Das Sein Dan Das Sollen” 5, no. 1 (2021), https://doi.org/10.33603/hermeneutika.v5i1.4898."},"properties":{"noteIndex":18},"schema":"https://github.com/citation-style-language/schema/raw/master/csl-citation.json"}</w:instrText>
      </w:r>
      <w:r w:rsidRPr="00F60DA9">
        <w:rPr>
          <w:rFonts w:ascii="Book Antiqua" w:hAnsi="Book Antiqua"/>
          <w:color w:val="000000" w:themeColor="text1"/>
          <w:sz w:val="16"/>
          <w:szCs w:val="16"/>
        </w:rPr>
        <w:fldChar w:fldCharType="separate"/>
      </w:r>
      <w:r w:rsidRPr="00F60DA9">
        <w:rPr>
          <w:rFonts w:ascii="Book Antiqua" w:hAnsi="Book Antiqua"/>
          <w:noProof/>
          <w:color w:val="000000" w:themeColor="text1"/>
          <w:sz w:val="16"/>
          <w:szCs w:val="16"/>
        </w:rPr>
        <w:t>RR. Lyia Aina Prihardiati, “Teori Hukum Pembangunan Antara Das Sein Dan Das Sollen” 5, no. 1 (2021), https://doi.org/10.33603/hermeneutika.v5i1.4898.</w:t>
      </w:r>
      <w:r w:rsidRPr="00F60DA9">
        <w:rPr>
          <w:rFonts w:ascii="Book Antiqua" w:hAnsi="Book Antiqua"/>
          <w:color w:val="000000" w:themeColor="text1"/>
          <w:sz w:val="16"/>
          <w:szCs w:val="16"/>
        </w:rPr>
        <w:fldChar w:fldCharType="end"/>
      </w:r>
    </w:p>
  </w:footnote>
  <w:footnote w:id="19">
    <w:p w14:paraId="622A18D0" w14:textId="073784C7" w:rsidR="00C04C78" w:rsidRPr="00F60DA9" w:rsidRDefault="00C04C78" w:rsidP="00F60DA9">
      <w:pPr>
        <w:pStyle w:val="FootnoteText"/>
        <w:jc w:val="both"/>
        <w:rPr>
          <w:rFonts w:ascii="Book Antiqua" w:hAnsi="Book Antiqua"/>
          <w:color w:val="000000" w:themeColor="text1"/>
          <w:sz w:val="16"/>
          <w:szCs w:val="16"/>
        </w:rPr>
      </w:pPr>
      <w:r w:rsidRPr="00F60DA9">
        <w:rPr>
          <w:rStyle w:val="FootnoteReference"/>
          <w:rFonts w:ascii="Book Antiqua" w:hAnsi="Book Antiqua"/>
          <w:color w:val="000000" w:themeColor="text1"/>
          <w:sz w:val="16"/>
          <w:szCs w:val="16"/>
        </w:rPr>
        <w:footnoteRef/>
      </w:r>
      <w:r w:rsidRPr="00F60DA9">
        <w:rPr>
          <w:rFonts w:ascii="Book Antiqua" w:hAnsi="Book Antiqua"/>
          <w:color w:val="000000" w:themeColor="text1"/>
          <w:sz w:val="16"/>
          <w:szCs w:val="16"/>
        </w:rPr>
        <w:t xml:space="preserve"> </w:t>
      </w:r>
      <w:r w:rsidRPr="00F60DA9">
        <w:rPr>
          <w:rFonts w:ascii="Book Antiqua" w:hAnsi="Book Antiqua"/>
          <w:color w:val="000000" w:themeColor="text1"/>
          <w:sz w:val="16"/>
          <w:szCs w:val="16"/>
        </w:rPr>
        <w:fldChar w:fldCharType="begin" w:fldLock="1"/>
      </w:r>
      <w:r>
        <w:rPr>
          <w:rFonts w:ascii="Book Antiqua" w:hAnsi="Book Antiqua"/>
          <w:color w:val="000000" w:themeColor="text1"/>
          <w:sz w:val="16"/>
          <w:szCs w:val="16"/>
        </w:rPr>
        <w:instrText>ADDIN CSL_CITATION {"citationItems":[{"id":"ITEM-1","itemData":{"DOI":"10.31078/jk1736","ISSN":"1829-7706","abstract":"Cases of piracy against patents or trademarks are cases that often occur in Indonesia. Responding to these challenges, this study aims to find out how the legal protection of citizens economic constitutional laws through patents in Indonesia. This research is prescriptive legal research and was carried out using systematic literature review methods. The research data is sourced from rules and regulations in force in Indonesia, books, and articles from national and international journals that discuss patent rights. The researcher then analyzed the data collected in a descriptive qualitative manner. The results of this study indicate that the Indonesian government protects the constitutional rights of its citizens through patents by registering their work or products by the provisions in force in Indonesia. However, when the work or product is not registered, the product is not protected by law. For this reason, citizens who have works and products that are economically valuable that allow them to be reproduced are advised to register their products or works through patents.","author":[{"dropping-particle":"","family":"Hakim","given":"Lukman","non-dropping-particle":"","parse-names":false,"suffix":""},{"dropping-particle":"","family":"Kurniwan","given":"Nalom","non-dropping-particle":"","parse-names":false,"suffix":""}],"container-title":"Jurnal Konstitusi","id":"ITEM-1","issue":"3","issued":{"date-parts":[["2020"]]},"page":"582-604","title":"Perlindungan Hak Konstitusional Ekonomi Warga Negara Melalui Hak Paten di Indonesia","type":"article-journal","volume":"17"},"uris":["http://www.mendeley.com/documents/?uuid=9a51b0a1-d218-405e-9356-56cac39ac736"]}],"mendeley":{"formattedCitation":"Lukman Hakim and Nalom Kurniwan, “Perlindungan Hak Konstitusional Ekonomi Warga Negara Melalui Hak Paten Di Indonesia,” &lt;i&gt;Jurnal Konstitusi&lt;/i&gt; 17, no. 3 (2020): 582–604, https://doi.org/10.31078/jk1736.","plainTextFormattedCitation":"Lukman Hakim and Nalom Kurniwan, “Perlindungan Hak Konstitusional Ekonomi Warga Negara Melalui Hak Paten Di Indonesia,” Jurnal Konstitusi 17, no. 3 (2020): 582–604, https://doi.org/10.31078/jk1736.","previouslyFormattedCitation":"Lukman Hakim and Nalom Kurniwan, “Perlindungan Hak Konstitusional Ekonomi Warga Negara Melalui Hak Paten Di Indonesia,” &lt;i&gt;Jurnal Konstitusi&lt;/i&gt; 17, no. 3 (2020): 582–604, https://doi.org/10.31078/jk1736."},"properties":{"noteIndex":19},"schema":"https://github.com/citation-style-language/schema/raw/master/csl-citation.json"}</w:instrText>
      </w:r>
      <w:r w:rsidRPr="00F60DA9">
        <w:rPr>
          <w:rFonts w:ascii="Book Antiqua" w:hAnsi="Book Antiqua"/>
          <w:color w:val="000000" w:themeColor="text1"/>
          <w:sz w:val="16"/>
          <w:szCs w:val="16"/>
        </w:rPr>
        <w:fldChar w:fldCharType="separate"/>
      </w:r>
      <w:r w:rsidRPr="00F60DA9">
        <w:rPr>
          <w:rFonts w:ascii="Book Antiqua" w:hAnsi="Book Antiqua"/>
          <w:noProof/>
          <w:color w:val="000000" w:themeColor="text1"/>
          <w:sz w:val="16"/>
          <w:szCs w:val="16"/>
        </w:rPr>
        <w:t xml:space="preserve">Lukman Hakim and Nalom Kurniwan, “Perlindungan Hak Konstitusional Ekonomi Warga Negara Melalui Hak Paten Di Indonesia,” </w:t>
      </w:r>
      <w:r w:rsidRPr="00F60DA9">
        <w:rPr>
          <w:rFonts w:ascii="Book Antiqua" w:hAnsi="Book Antiqua"/>
          <w:i/>
          <w:noProof/>
          <w:color w:val="000000" w:themeColor="text1"/>
          <w:sz w:val="16"/>
          <w:szCs w:val="16"/>
        </w:rPr>
        <w:t>Jurnal Konstitusi</w:t>
      </w:r>
      <w:r w:rsidRPr="00F60DA9">
        <w:rPr>
          <w:rFonts w:ascii="Book Antiqua" w:hAnsi="Book Antiqua"/>
          <w:noProof/>
          <w:color w:val="000000" w:themeColor="text1"/>
          <w:sz w:val="16"/>
          <w:szCs w:val="16"/>
        </w:rPr>
        <w:t xml:space="preserve"> 17, no. 3 (2020): 582–604, https://doi.org/10.31078/jk1736.</w:t>
      </w:r>
      <w:r w:rsidRPr="00F60DA9">
        <w:rPr>
          <w:rFonts w:ascii="Book Antiqua" w:hAnsi="Book Antiqua"/>
          <w:color w:val="000000" w:themeColor="text1"/>
          <w:sz w:val="16"/>
          <w:szCs w:val="16"/>
        </w:rPr>
        <w:fldChar w:fldCharType="end"/>
      </w:r>
    </w:p>
  </w:footnote>
  <w:footnote w:id="20">
    <w:p w14:paraId="7EC9B6A8" w14:textId="40E87E6D" w:rsidR="00C04C78" w:rsidRDefault="00C04C78" w:rsidP="00D9789A">
      <w:pPr>
        <w:pStyle w:val="FootnoteText"/>
        <w:jc w:val="both"/>
      </w:pPr>
      <w:r w:rsidRPr="00D9789A">
        <w:rPr>
          <w:rStyle w:val="FootnoteReference"/>
          <w:rFonts w:ascii="Book Antiqua" w:hAnsi="Book Antiqua"/>
          <w:sz w:val="16"/>
          <w:szCs w:val="16"/>
        </w:rPr>
        <w:footnoteRef/>
      </w:r>
      <w:r w:rsidRPr="00D9789A">
        <w:rPr>
          <w:rFonts w:ascii="Book Antiqua" w:hAnsi="Book Antiqua"/>
          <w:sz w:val="16"/>
          <w:szCs w:val="16"/>
        </w:rPr>
        <w:t xml:space="preserve"> </w:t>
      </w:r>
      <w:r w:rsidRPr="00D9789A">
        <w:rPr>
          <w:rFonts w:ascii="Book Antiqua" w:hAnsi="Book Antiqua"/>
          <w:sz w:val="16"/>
          <w:szCs w:val="16"/>
        </w:rPr>
        <w:fldChar w:fldCharType="begin" w:fldLock="1"/>
      </w:r>
      <w:r>
        <w:rPr>
          <w:rFonts w:ascii="Book Antiqua" w:hAnsi="Book Antiqua"/>
          <w:sz w:val="16"/>
          <w:szCs w:val="16"/>
        </w:rPr>
        <w:instrText>ADDIN CSL_CITATION {"citationItems":[{"id":"ITEM-1","itemData":{"ISBN":"2013206534","author":[{"dropping-particle":"","family":"Erlina","given":"","non-dropping-particle":"","parse-names":false,"suffix":""},{"dropping-particle":"","family":"Safitri","given":"Melisa","non-dropping-particle":"","parse-names":false,"suffix":""}],"id":"ITEM-1","issued":{"date-parts":[["2020"]]},"page":"1-23","title":"Analisi Komparasi Antara Perlindungan Paten Biasa dengan Paten Sederhan Berdasarkan Undang-Undang Paten","type":"article-journal"},"uris":["http://www.mendeley.com/documents/?uuid=1420d989-af3c-42f0-a7fb-031505eca2c2"]}],"mendeley":{"formattedCitation":"Erlina and Safitri, “Analisi Komparasi Antara Perlindungan Paten Biasa Dengan Paten Sederhan Berdasarkan Undang-Undang Paten.”","plainTextFormattedCitation":"Erlina and Safitri, “Analisi Komparasi Antara Perlindungan Paten Biasa Dengan Paten Sederhan Berdasarkan Undang-Undang Paten.”","previouslyFormattedCitation":"Erlina and Safitri, “Analisi Komparasi Antara Perlindungan Paten Biasa Dengan Paten Sederhan Berdasarkan Undang-Undang Paten.”"},"properties":{"noteIndex":20},"schema":"https://github.com/citation-style-language/schema/raw/master/csl-citation.json"}</w:instrText>
      </w:r>
      <w:r w:rsidRPr="00D9789A">
        <w:rPr>
          <w:rFonts w:ascii="Book Antiqua" w:hAnsi="Book Antiqua"/>
          <w:sz w:val="16"/>
          <w:szCs w:val="16"/>
        </w:rPr>
        <w:fldChar w:fldCharType="separate"/>
      </w:r>
      <w:r w:rsidRPr="00D9789A">
        <w:rPr>
          <w:rFonts w:ascii="Book Antiqua" w:hAnsi="Book Antiqua"/>
          <w:noProof/>
          <w:sz w:val="16"/>
          <w:szCs w:val="16"/>
        </w:rPr>
        <w:t>Erlina and Safitri, “Analisi Komparasi Antara Perlindungan Paten Biasa Dengan Paten Sederhan Berdasarkan Undang-Undang Paten.”</w:t>
      </w:r>
      <w:r w:rsidRPr="00D9789A">
        <w:rPr>
          <w:rFonts w:ascii="Book Antiqua" w:hAnsi="Book Antiqua"/>
          <w:sz w:val="16"/>
          <w:szCs w:val="16"/>
        </w:rPr>
        <w:fldChar w:fldCharType="end"/>
      </w:r>
    </w:p>
  </w:footnote>
  <w:footnote w:id="21">
    <w:p w14:paraId="248BAB7D" w14:textId="12486375" w:rsidR="00C04C78" w:rsidRPr="00D9789A" w:rsidRDefault="00C04C78" w:rsidP="00D9789A">
      <w:pPr>
        <w:pStyle w:val="FootnoteText"/>
        <w:jc w:val="both"/>
        <w:rPr>
          <w:rFonts w:ascii="Book Antiqua" w:hAnsi="Book Antiqua"/>
          <w:sz w:val="16"/>
          <w:szCs w:val="16"/>
        </w:rPr>
      </w:pPr>
      <w:r w:rsidRPr="00D9789A">
        <w:rPr>
          <w:rStyle w:val="FootnoteReference"/>
          <w:rFonts w:ascii="Book Antiqua" w:hAnsi="Book Antiqua"/>
          <w:sz w:val="16"/>
          <w:szCs w:val="16"/>
        </w:rPr>
        <w:footnoteRef/>
      </w:r>
      <w:r w:rsidRPr="00D9789A">
        <w:rPr>
          <w:rFonts w:ascii="Book Antiqua" w:hAnsi="Book Antiqua"/>
          <w:sz w:val="16"/>
          <w:szCs w:val="16"/>
        </w:rPr>
        <w:t xml:space="preserve"> </w:t>
      </w:r>
      <w:r w:rsidRPr="00D9789A">
        <w:rPr>
          <w:rFonts w:ascii="Book Antiqua" w:hAnsi="Book Antiqua"/>
          <w:sz w:val="16"/>
          <w:szCs w:val="16"/>
        </w:rPr>
        <w:fldChar w:fldCharType="begin" w:fldLock="1"/>
      </w:r>
      <w:r>
        <w:rPr>
          <w:rFonts w:ascii="Book Antiqua" w:hAnsi="Book Antiqua"/>
          <w:sz w:val="16"/>
          <w:szCs w:val="16"/>
        </w:rPr>
        <w:instrText>ADDIN CSL_CITATION {"citationItems":[{"id":"ITEM-1","itemData":{"DOI":"https://doi.org/10.23920/acta.v5i1.712","author":[{"dropping-particle":"","family":"Nurahmasari","given":"Revita","non-dropping-particle":"","parse-names":false,"suffix":""},{"dropping-particle":"","family":"Amirulloh","given":"Muhamad","non-dropping-particle":"","parse-names":false,"suffix":""},{"dropping-particle":"","family":"Afriana","given":"Anita","non-dropping-particle":"","parse-names":false,"suffix":""}],"id":"ITEM-1","issued":{"date-parts":[["2021"]]},"page":"123-138","title":"Mediasi Sebagai Kewajiban Penyelesaian Sengketa Perdata Pelanggaran Paten di Indonesia Demi Kepastian dan Kemanfaatan Hukum","type":"article-journal","volume":"5"},"uris":["http://www.mendeley.com/documents/?uuid=94e79f0d-f58c-4ddc-867f-de9f2f0fc0aa"]}],"mendeley":{"formattedCitation":"Nurahmasari, Amirulloh, and Afriana, “Mediasi Sebagai Kewajiban Penyelesaian Sengketa Perdata Pelanggaran Paten Di Indonesia Demi Kepastian Dan Kemanfaatan Hukum.”","plainTextFormattedCitation":"Nurahmasari, Amirulloh, and Afriana, “Mediasi Sebagai Kewajiban Penyelesaian Sengketa Perdata Pelanggaran Paten Di Indonesia Demi Kepastian Dan Kemanfaatan Hukum.”","previouslyFormattedCitation":"Nurahmasari, Amirulloh, and Afriana, “Mediasi Sebagai Kewajiban Penyelesaian Sengketa Perdata Pelanggaran Paten Di Indonesia Demi Kepastian Dan Kemanfaatan Hukum.”"},"properties":{"noteIndex":21},"schema":"https://github.com/citation-style-language/schema/raw/master/csl-citation.json"}</w:instrText>
      </w:r>
      <w:r w:rsidRPr="00D9789A">
        <w:rPr>
          <w:rFonts w:ascii="Book Antiqua" w:hAnsi="Book Antiqua"/>
          <w:sz w:val="16"/>
          <w:szCs w:val="16"/>
        </w:rPr>
        <w:fldChar w:fldCharType="separate"/>
      </w:r>
      <w:r w:rsidRPr="00D9789A">
        <w:rPr>
          <w:rFonts w:ascii="Book Antiqua" w:hAnsi="Book Antiqua"/>
          <w:noProof/>
          <w:sz w:val="16"/>
          <w:szCs w:val="16"/>
        </w:rPr>
        <w:t>Nurahmasari, Amirulloh, and Afriana, “Mediasi Sebagai Kewajiban Penyelesaian Sengketa Perdata Pelanggaran Paten Di Indonesia Demi Kepastian Dan Kemanfaatan Hukum.”</w:t>
      </w:r>
      <w:r w:rsidRPr="00D9789A">
        <w:rPr>
          <w:rFonts w:ascii="Book Antiqua" w:hAnsi="Book Antiqua"/>
          <w:sz w:val="16"/>
          <w:szCs w:val="16"/>
        </w:rPr>
        <w:fldChar w:fldCharType="end"/>
      </w:r>
    </w:p>
  </w:footnote>
  <w:footnote w:id="22">
    <w:p w14:paraId="122C3A67" w14:textId="1B20BBFE" w:rsidR="00C04C78" w:rsidRPr="002C142A" w:rsidRDefault="00C04C78" w:rsidP="002C142A">
      <w:pPr>
        <w:pStyle w:val="FootnoteText"/>
        <w:jc w:val="both"/>
        <w:rPr>
          <w:rFonts w:ascii="Book Antiqua" w:hAnsi="Book Antiqua"/>
        </w:rPr>
      </w:pPr>
      <w:r w:rsidRPr="002C142A">
        <w:rPr>
          <w:rStyle w:val="FootnoteReference"/>
          <w:rFonts w:ascii="Book Antiqua" w:hAnsi="Book Antiqua"/>
          <w:color w:val="000000" w:themeColor="text1"/>
          <w:sz w:val="16"/>
          <w:szCs w:val="16"/>
        </w:rPr>
        <w:footnoteRef/>
      </w:r>
      <w:r w:rsidRPr="002C142A">
        <w:rPr>
          <w:rFonts w:ascii="Book Antiqua" w:hAnsi="Book Antiqua"/>
          <w:color w:val="000000" w:themeColor="text1"/>
          <w:sz w:val="16"/>
          <w:szCs w:val="16"/>
        </w:rPr>
        <w:t xml:space="preserve"> </w:t>
      </w:r>
      <w:r w:rsidRPr="002C142A">
        <w:rPr>
          <w:rFonts w:ascii="Book Antiqua" w:hAnsi="Book Antiqua"/>
          <w:color w:val="000000" w:themeColor="text1"/>
          <w:sz w:val="16"/>
          <w:szCs w:val="16"/>
        </w:rPr>
        <w:fldChar w:fldCharType="begin" w:fldLock="1"/>
      </w:r>
      <w:r w:rsidRPr="002C142A">
        <w:rPr>
          <w:rFonts w:ascii="Book Antiqua" w:hAnsi="Book Antiqua"/>
          <w:color w:val="000000" w:themeColor="text1"/>
          <w:sz w:val="16"/>
          <w:szCs w:val="16"/>
        </w:rPr>
        <w:instrText>ADDIN CSL_CITATION {"citationItems":[{"id":"ITEM-1","itemData":{"DOI":"https://doi.org/10.47709/cnapc.xxxx","abstract":"Patents are exclusive rights granted by the state to inventors for their inventions in the field of technology, for a certain period of time. A simple patent is an exclusive right granted by the Patent Directorate Office to a patent holder to realize a new invention, either in the form of a product or a certain process. If a simple patent does not contain an element of novelty or does not contain an element of progress, a simple patent may be rejected for registration at the Directorate. The type of research used in this research is normative legal research. The nature of this research is descriptive analytical where this research seeks to describe, describe and analyze the problems that arise, then look for the correct answer as a solution to the problem. The results of the discussion of the problems that arise in this research, the rights to simple patents contain elements of novelty or are the development of a technology from simple patent products from existing simple patent products. The simple patent holder must be protected by law if another party sues the registered simple patent product The panel of judges of the Supreme Court in their legal considerations have complied with the provisions of the legislation in the field of patents in this case is Law No. 13 of 2016 concerning Patents, where the judge's legal consideration is that the plaintiff / respondent for cassation YA does not have a strong juridical basis in filing a lawsuit for cancellation simple patent.","author":[{"dropping-particle":"","family":"Lubis","given":"Rahmad Anwar","non-dropping-particle":"","parse-names":false,"suffix":""}],"id":"ITEM-1","issue":"I","issued":{"date-parts":[["2021"]]},"page":"13-23","title":"Perlindungan Hukum Terhadap Pemegang Hak Paten Sederhana Yang Terdaftar Lebih Dahulu Di Direktorat Paten (Studi Putusan Mahkamah Agung No. 437K/PDT.SUS-HK/2018","type":"article-journal","volume":"I"},"uris":["http://www.mendeley.com/documents/?uuid=441ac5a9-e3b2-4534-9138-983345a82b9d"]}],"mendeley":{"formattedCitation":"Rahmad Anwar Lubis, “Perlindungan Hukum Terhadap Pemegang Hak Paten Sederhana Yang Terdaftar Lebih Dahulu Di Direktorat Paten (Studi Putusan Mahkamah Agung No. 437K/PDT.SUS-HK/2018” I, no. I (2021): 13–23, https://doi.org/https://doi.org/10.47709/cnapc.xxxx.","plainTextFormattedCitation":"Rahmad Anwar Lubis, “Perlindungan Hukum Terhadap Pemegang Hak Paten Sederhana Yang Terdaftar Lebih Dahulu Di Direktorat Paten (Studi Putusan Mahkamah Agung No. 437K/PDT.SUS-HK/2018” I, no. I (2021): 13–23, https://doi.org/https://doi.org/10.47709/cnapc.xxxx.","previouslyFormattedCitation":"Rahmad Anwar Lubis, “Perlindungan Hukum Terhadap Pemegang Hak Paten Sederhana Yang Terdaftar Lebih Dahulu Di Direktorat Paten (Studi Putusan Mahkamah Agung No. 437K/PDT.SUS-HK/2018” I, no. I (2021): 13–23, https://doi.org/https://doi.org/10.47709/cnapc.xxxx."},"properties":{"noteIndex":22},"schema":"https://github.com/citation-style-language/schema/raw/master/csl-citation.json"}</w:instrText>
      </w:r>
      <w:r w:rsidRPr="002C142A">
        <w:rPr>
          <w:rFonts w:ascii="Book Antiqua" w:hAnsi="Book Antiqua"/>
          <w:color w:val="000000" w:themeColor="text1"/>
          <w:sz w:val="16"/>
          <w:szCs w:val="16"/>
        </w:rPr>
        <w:fldChar w:fldCharType="separate"/>
      </w:r>
      <w:r w:rsidRPr="002C142A">
        <w:rPr>
          <w:rFonts w:ascii="Book Antiqua" w:hAnsi="Book Antiqua"/>
          <w:noProof/>
          <w:color w:val="000000" w:themeColor="text1"/>
          <w:sz w:val="16"/>
          <w:szCs w:val="16"/>
        </w:rPr>
        <w:t>Rahmad Anwar Lubis, “Perlindungan Hukum Terhadap Pemegang Hak Paten Sederhana Yang Terdaftar Lebih Dahulu Di Direktorat Paten (Studi Putusan Mahkamah Agung No. 437K/PDT.SUS-HK/2018” I, no. I (2021): 13–23, https://doi.org/https://doi.org/10.47709/cnapc.xxxx.</w:t>
      </w:r>
      <w:r w:rsidRPr="002C142A">
        <w:rPr>
          <w:rFonts w:ascii="Book Antiqua" w:hAnsi="Book Antiqua"/>
          <w:color w:val="000000" w:themeColor="text1"/>
          <w:sz w:val="16"/>
          <w:szCs w:val="16"/>
        </w:rPr>
        <w:fldChar w:fldCharType="end"/>
      </w:r>
    </w:p>
  </w:footnote>
  <w:footnote w:id="23">
    <w:p w14:paraId="372560BE" w14:textId="745BAB42" w:rsidR="00C04C78" w:rsidRPr="002C142A" w:rsidRDefault="00C04C78" w:rsidP="002C142A">
      <w:pPr>
        <w:pStyle w:val="FootnoteText"/>
        <w:jc w:val="both"/>
        <w:rPr>
          <w:rFonts w:ascii="Book Antiqua" w:hAnsi="Book Antiqua"/>
        </w:rPr>
      </w:pPr>
      <w:r w:rsidRPr="002C142A">
        <w:rPr>
          <w:rStyle w:val="FootnoteReference"/>
          <w:rFonts w:ascii="Book Antiqua" w:hAnsi="Book Antiqua"/>
          <w:color w:val="000000" w:themeColor="text1"/>
          <w:sz w:val="16"/>
          <w:szCs w:val="16"/>
        </w:rPr>
        <w:footnoteRef/>
      </w:r>
      <w:r w:rsidRPr="002C142A">
        <w:rPr>
          <w:rFonts w:ascii="Book Antiqua" w:hAnsi="Book Antiqua"/>
          <w:color w:val="000000" w:themeColor="text1"/>
          <w:sz w:val="16"/>
          <w:szCs w:val="16"/>
        </w:rPr>
        <w:t xml:space="preserve"> </w:t>
      </w:r>
      <w:r w:rsidRPr="002C142A">
        <w:rPr>
          <w:rFonts w:ascii="Book Antiqua" w:hAnsi="Book Antiqua"/>
          <w:color w:val="000000" w:themeColor="text1"/>
          <w:sz w:val="16"/>
          <w:szCs w:val="16"/>
        </w:rPr>
        <w:fldChar w:fldCharType="begin" w:fldLock="1"/>
      </w:r>
      <w:r w:rsidRPr="002C142A">
        <w:rPr>
          <w:rFonts w:ascii="Book Antiqua" w:hAnsi="Book Antiqua"/>
          <w:color w:val="000000" w:themeColor="text1"/>
          <w:sz w:val="16"/>
          <w:szCs w:val="16"/>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Kata","author":[{"dropping-particle":"","family":"Ribowo","given":"Mochammad Bambang","non-dropping-particle":"","parse-names":false,"suffix":""},{"dropping-particle":"","family":"Roisah","given":"Kholis","non-dropping-particle":"","parse-names":false,"suffix":""}],"id":"ITEM-1","issue":"July","issued":{"date-parts":[["2020"]]},"page":"1-23","title":"Perlindungan Hukum terhadap Paten Sederhana dalam Sistem Hukum Paten di Indonesia (Studi Komparasi dengan Sistem Hukum Paten di Negara China)","type":"article-journal"},"uris":["http://www.mendeley.com/documents/?uuid=8c06922f-9aa5-43de-bc09-da96840ed32f"]}],"mendeley":{"formattedCitation":"Mochammad Bambang Ribowo and Kholis Roisah, “Perlindungan Hukum Terhadap Paten Sederhana Dalam Sistem Hukum Paten Di Indonesia (Studi Komparasi Dengan Sistem Hukum Paten Di Negara China),” no. July (2020): 1–23.","plainTextFormattedCitation":"Mochammad Bambang Ribowo and Kholis Roisah, “Perlindungan Hukum Terhadap Paten Sederhana Dalam Sistem Hukum Paten Di Indonesia (Studi Komparasi Dengan Sistem Hukum Paten Di Negara China),” no. July (2020): 1–23.","previouslyFormattedCitation":"Mochammad Bambang Ribowo and Kholis Roisah, “Perlindungan Hukum Terhadap Paten Sederhana Dalam Sistem Hukum Paten Di Indonesia (Studi Komparasi Dengan Sistem Hukum Paten Di Negara China),” no. July (2020): 1–23."},"properties":{"noteIndex":23},"schema":"https://github.com/citation-style-language/schema/raw/master/csl-citation.json"}</w:instrText>
      </w:r>
      <w:r w:rsidRPr="002C142A">
        <w:rPr>
          <w:rFonts w:ascii="Book Antiqua" w:hAnsi="Book Antiqua"/>
          <w:color w:val="000000" w:themeColor="text1"/>
          <w:sz w:val="16"/>
          <w:szCs w:val="16"/>
        </w:rPr>
        <w:fldChar w:fldCharType="separate"/>
      </w:r>
      <w:r w:rsidRPr="002C142A">
        <w:rPr>
          <w:rFonts w:ascii="Book Antiqua" w:hAnsi="Book Antiqua"/>
          <w:noProof/>
          <w:color w:val="000000" w:themeColor="text1"/>
          <w:sz w:val="16"/>
          <w:szCs w:val="16"/>
        </w:rPr>
        <w:t>Mochammad Bambang Ribowo and Kholis Roisah, “Perlindungan Hukum Terhadap Paten Sederhana Dalam Sistem Hukum Paten Di Indonesia (Studi Komparasi Dengan Sistem Hukum Paten Di Negara China),” no. July (2020): 1–23.</w:t>
      </w:r>
      <w:r w:rsidRPr="002C142A">
        <w:rPr>
          <w:rFonts w:ascii="Book Antiqua" w:hAnsi="Book Antiqua"/>
          <w:color w:val="000000" w:themeColor="text1"/>
          <w:sz w:val="16"/>
          <w:szCs w:val="16"/>
        </w:rPr>
        <w:fldChar w:fldCharType="end"/>
      </w:r>
    </w:p>
  </w:footnote>
  <w:footnote w:id="24">
    <w:p w14:paraId="09F7FED2" w14:textId="565FBAB5" w:rsidR="00C04C78" w:rsidRPr="002C142A" w:rsidRDefault="00C04C78" w:rsidP="002C142A">
      <w:pPr>
        <w:pStyle w:val="FootnoteText"/>
        <w:jc w:val="both"/>
        <w:rPr>
          <w:rFonts w:ascii="Book Antiqua" w:hAnsi="Book Antiqua"/>
        </w:rPr>
      </w:pPr>
      <w:r w:rsidRPr="002C142A">
        <w:rPr>
          <w:rStyle w:val="FootnoteReference"/>
          <w:rFonts w:ascii="Book Antiqua" w:hAnsi="Book Antiqua"/>
          <w:sz w:val="16"/>
          <w:szCs w:val="16"/>
        </w:rPr>
        <w:footnoteRef/>
      </w:r>
      <w:r w:rsidRPr="002C142A">
        <w:rPr>
          <w:rFonts w:ascii="Book Antiqua" w:hAnsi="Book Antiqua"/>
          <w:sz w:val="16"/>
          <w:szCs w:val="16"/>
        </w:rPr>
        <w:t xml:space="preserve"> </w:t>
      </w:r>
      <w:r w:rsidRPr="002C142A">
        <w:rPr>
          <w:rFonts w:ascii="Book Antiqua" w:hAnsi="Book Antiqua"/>
          <w:sz w:val="16"/>
          <w:szCs w:val="16"/>
        </w:rPr>
        <w:fldChar w:fldCharType="begin" w:fldLock="1"/>
      </w:r>
      <w:r w:rsidRPr="002C142A">
        <w:rPr>
          <w:rFonts w:ascii="Book Antiqua" w:hAnsi="Book Antiqua"/>
          <w:sz w:val="16"/>
          <w:szCs w:val="16"/>
        </w:rPr>
        <w:instrText>ADDIN CSL_CITATION {"citationItems":[{"id":"ITEM-1","itemData":{"author":[{"dropping-particle":"","family":"Rulendari","given":"Mieke Novice","non-dropping-particle":"","parse-names":false,"suffix":""}],"id":"ITEM-1","issued":{"date-parts":[["2020"]]},"title":"Perlindungan Hukum Terhadap Pemegang Hak Paten Konstruksi Sarang Laba-Laba Yang Digunakan Tanpa Izin Oleh Perusahaan Lain","type":"article-journal"},"uris":["http://www.mendeley.com/documents/?uuid=fdb1fc5d-5a8b-4e17-aef1-3436802cb13a"]}],"mendeley":{"formattedCitation":"Rulendari, “Perlindungan Hukum Terhadap Pemegang Hak Paten Konstruksi Sarang Laba-Laba Yang Digunakan Tanpa Izin Oleh Perusahaan Lain.”","plainTextFormattedCitation":"Rulendari, “Perlindungan Hukum Terhadap Pemegang Hak Paten Konstruksi Sarang Laba-Laba Yang Digunakan Tanpa Izin Oleh Perusahaan Lain.”","previouslyFormattedCitation":"Rulendari, “Perlindungan Hukum Terhadap Pemegang Hak Paten Konstruksi Sarang Laba-Laba Yang Digunakan Tanpa Izin Oleh Perusahaan Lain.”"},"properties":{"noteIndex":24},"schema":"https://github.com/citation-style-language/schema/raw/master/csl-citation.json"}</w:instrText>
      </w:r>
      <w:r w:rsidRPr="002C142A">
        <w:rPr>
          <w:rFonts w:ascii="Book Antiqua" w:hAnsi="Book Antiqua"/>
          <w:sz w:val="16"/>
          <w:szCs w:val="16"/>
        </w:rPr>
        <w:fldChar w:fldCharType="separate"/>
      </w:r>
      <w:r w:rsidRPr="002C142A">
        <w:rPr>
          <w:rFonts w:ascii="Book Antiqua" w:hAnsi="Book Antiqua"/>
          <w:noProof/>
          <w:sz w:val="16"/>
          <w:szCs w:val="16"/>
        </w:rPr>
        <w:t>Rulendari, “Perlindungan Hukum Terhadap Pemegang Hak Paten Konstruksi Sarang Laba-Laba Yang Digunakan Tanpa Izin Oleh Perusahaan Lain.”</w:t>
      </w:r>
      <w:r w:rsidRPr="002C142A">
        <w:rPr>
          <w:rFonts w:ascii="Book Antiqua" w:hAnsi="Book Antiqua"/>
          <w:sz w:val="16"/>
          <w:szCs w:val="16"/>
        </w:rPr>
        <w:fldChar w:fldCharType="end"/>
      </w:r>
    </w:p>
  </w:footnote>
  <w:footnote w:id="25">
    <w:p w14:paraId="6E66BE20" w14:textId="0B764DCD" w:rsidR="00C04C78" w:rsidRPr="002C142A" w:rsidRDefault="00C04C78" w:rsidP="002C142A">
      <w:pPr>
        <w:pStyle w:val="FootnoteText"/>
        <w:jc w:val="both"/>
        <w:rPr>
          <w:rFonts w:ascii="Book Antiqua" w:hAnsi="Book Antiqua"/>
        </w:rPr>
      </w:pPr>
      <w:r w:rsidRPr="002C142A">
        <w:rPr>
          <w:rStyle w:val="FootnoteReference"/>
          <w:rFonts w:ascii="Book Antiqua" w:hAnsi="Book Antiqua"/>
          <w:sz w:val="16"/>
          <w:szCs w:val="16"/>
        </w:rPr>
        <w:footnoteRef/>
      </w:r>
      <w:r w:rsidRPr="002C142A">
        <w:rPr>
          <w:rFonts w:ascii="Book Antiqua" w:hAnsi="Book Antiqua"/>
          <w:sz w:val="16"/>
          <w:szCs w:val="16"/>
        </w:rPr>
        <w:t xml:space="preserve"> </w:t>
      </w:r>
      <w:r w:rsidRPr="002C142A">
        <w:rPr>
          <w:rFonts w:ascii="Book Antiqua" w:hAnsi="Book Antiqua"/>
          <w:sz w:val="16"/>
          <w:szCs w:val="16"/>
        </w:rPr>
        <w:fldChar w:fldCharType="begin" w:fldLock="1"/>
      </w:r>
      <w:r w:rsidRPr="002C142A">
        <w:rPr>
          <w:rFonts w:ascii="Book Antiqua" w:hAnsi="Book Antiqua"/>
          <w:sz w:val="16"/>
          <w:szCs w:val="16"/>
        </w:rPr>
        <w:instrText>ADDIN CSL_CITATION {"citationItems":[{"id":"ITEM-1","itemData":{"author":[{"dropping-particle":"","family":"Akbar","given":"Indra Padillah","non-dropping-particle":"","parse-names":false,"suffix":""},{"dropping-particle":"","family":"Sarifudin","given":"Asep","non-dropping-particle":"","parse-names":false,"suffix":""}],"container-title":"NUSANTARA: Jurnal Ilmu Pengetahuan Sosial","id":"ITEM-1","issue":"2","issued":{"date-parts":[["2024"]]},"page":"779-788","title":"Legalitas Kecerdasan Buatan (Artificial Intelligence) sebagai Subjek Hukum Pemegang Hak Paten","type":"article-journal","volume":"11"},"uris":["http://www.mendeley.com/documents/?uuid=89695ba1-7a6b-44e5-aa36-43425906091c"]}],"mendeley":{"formattedCitation":"Indra Padillah Akbar and Asep Sarifudin, “Legalitas Kecerdasan Buatan (Artificial Intelligence) Sebagai Subjek Hukum Pemegang Hak Paten,” &lt;i&gt;NUSANTARA: Jurnal Ilmu Pengetahuan Sosial&lt;/i&gt; 11, no. 2 (2024): 779–88.","plainTextFormattedCitation":"Indra Padillah Akbar and Asep Sarifudin, “Legalitas Kecerdasan Buatan (Artificial Intelligence) Sebagai Subjek Hukum Pemegang Hak Paten,” NUSANTARA: Jurnal Ilmu Pengetahuan Sosial 11, no. 2 (2024): 779–88.","previouslyFormattedCitation":"Indra Padillah Akbar and Asep Sarifudin, “Legalitas Kecerdasan Buatan (Artificial Intelligence) Sebagai Subjek Hukum Pemegang Hak Paten,” &lt;i&gt;NUSANTARA: Jurnal Ilmu Pengetahuan Sosial&lt;/i&gt; 11, no. 2 (2024): 779–88."},"properties":{"noteIndex":25},"schema":"https://github.com/citation-style-language/schema/raw/master/csl-citation.json"}</w:instrText>
      </w:r>
      <w:r w:rsidRPr="002C142A">
        <w:rPr>
          <w:rFonts w:ascii="Book Antiqua" w:hAnsi="Book Antiqua"/>
          <w:sz w:val="16"/>
          <w:szCs w:val="16"/>
        </w:rPr>
        <w:fldChar w:fldCharType="separate"/>
      </w:r>
      <w:r w:rsidRPr="002C142A">
        <w:rPr>
          <w:rFonts w:ascii="Book Antiqua" w:hAnsi="Book Antiqua"/>
          <w:noProof/>
          <w:sz w:val="16"/>
          <w:szCs w:val="16"/>
        </w:rPr>
        <w:t xml:space="preserve">Indra Padillah Akbar and Asep Sarifudin, “Legalitas Kecerdasan Buatan (Artificial Intelligence) Sebagai Subjek Hukum Pemegang Hak Paten,” </w:t>
      </w:r>
      <w:r w:rsidRPr="002C142A">
        <w:rPr>
          <w:rFonts w:ascii="Book Antiqua" w:hAnsi="Book Antiqua"/>
          <w:i/>
          <w:noProof/>
          <w:sz w:val="16"/>
          <w:szCs w:val="16"/>
        </w:rPr>
        <w:t>NUSANTARA: Jurnal Ilmu Pengetahuan Sosial</w:t>
      </w:r>
      <w:r w:rsidRPr="002C142A">
        <w:rPr>
          <w:rFonts w:ascii="Book Antiqua" w:hAnsi="Book Antiqua"/>
          <w:noProof/>
          <w:sz w:val="16"/>
          <w:szCs w:val="16"/>
        </w:rPr>
        <w:t xml:space="preserve"> 11, no. 2 (2024): 779–88.</w:t>
      </w:r>
      <w:r w:rsidRPr="002C142A">
        <w:rPr>
          <w:rFonts w:ascii="Book Antiqua" w:hAnsi="Book Antiqua"/>
          <w:sz w:val="16"/>
          <w:szCs w:val="16"/>
        </w:rPr>
        <w:fldChar w:fldCharType="end"/>
      </w:r>
    </w:p>
  </w:footnote>
  <w:footnote w:id="26">
    <w:p w14:paraId="55522CB9" w14:textId="14C24172" w:rsidR="00C04C78" w:rsidRPr="002C142A" w:rsidRDefault="00C04C78" w:rsidP="002C142A">
      <w:pPr>
        <w:pStyle w:val="FootnoteText"/>
        <w:jc w:val="both"/>
        <w:rPr>
          <w:rFonts w:ascii="Book Antiqua" w:hAnsi="Book Antiqua"/>
        </w:rPr>
      </w:pPr>
      <w:r w:rsidRPr="002C142A">
        <w:rPr>
          <w:rStyle w:val="FootnoteReference"/>
          <w:rFonts w:ascii="Book Antiqua" w:hAnsi="Book Antiqua"/>
          <w:sz w:val="16"/>
          <w:szCs w:val="16"/>
        </w:rPr>
        <w:footnoteRef/>
      </w:r>
      <w:r w:rsidRPr="002C142A">
        <w:rPr>
          <w:rFonts w:ascii="Book Antiqua" w:hAnsi="Book Antiqua"/>
          <w:sz w:val="16"/>
          <w:szCs w:val="16"/>
        </w:rPr>
        <w:t xml:space="preserve"> </w:t>
      </w:r>
      <w:r w:rsidRPr="002C142A">
        <w:rPr>
          <w:rFonts w:ascii="Book Antiqua" w:hAnsi="Book Antiqua"/>
          <w:sz w:val="16"/>
          <w:szCs w:val="16"/>
        </w:rPr>
        <w:fldChar w:fldCharType="begin" w:fldLock="1"/>
      </w:r>
      <w:r w:rsidRPr="002C142A">
        <w:rPr>
          <w:rFonts w:ascii="Book Antiqua" w:hAnsi="Book Antiqua"/>
          <w:sz w:val="16"/>
          <w:szCs w:val="16"/>
        </w:rPr>
        <w:instrText>ADDIN CSL_CITATION {"citationItems":[{"id":"ITEM-1","itemData":{"DOI":"https://doi.org/10.23920/acta.v5i1.712","author":[{"dropping-particle":"","family":"Nurahmasari","given":"Revita","non-dropping-particle":"","parse-names":false,"suffix":""},{"dropping-particle":"","family":"Amirulloh","given":"Muhamad","non-dropping-particle":"","parse-names":false,"suffix":""},{"dropping-particle":"","family":"Afriana","given":"Anita","non-dropping-particle":"","parse-names":false,"suffix":""}],"id":"ITEM-1","issued":{"date-parts":[["2021"]]},"page":"123-138","title":"Mediasi Sebagai Kewajiban Penyelesaian Sengketa Perdata Pelanggaran Paten di Indonesia Demi Kepastian dan Kemanfaatan Hukum","type":"article-journal","volume":"5"},"uris":["http://www.mendeley.com/documents/?uuid=94e79f0d-f58c-4ddc-867f-de9f2f0fc0aa"]}],"mendeley":{"formattedCitation":"Nurahmasari, Amirulloh, and Afriana, “Mediasi Sebagai Kewajiban Penyelesaian Sengketa Perdata Pelanggaran Paten Di Indonesia Demi Kepastian Dan Kemanfaatan Hukum.”","plainTextFormattedCitation":"Nurahmasari, Amirulloh, and Afriana, “Mediasi Sebagai Kewajiban Penyelesaian Sengketa Perdata Pelanggaran Paten Di Indonesia Demi Kepastian Dan Kemanfaatan Hukum.”","previouslyFormattedCitation":"Nurahmasari, Amirulloh, and Afriana, “Mediasi Sebagai Kewajiban Penyelesaian Sengketa Perdata Pelanggaran Paten Di Indonesia Demi Kepastian Dan Kemanfaatan Hukum.”"},"properties":{"noteIndex":26},"schema":"https://github.com/citation-style-language/schema/raw/master/csl-citation.json"}</w:instrText>
      </w:r>
      <w:r w:rsidRPr="002C142A">
        <w:rPr>
          <w:rFonts w:ascii="Book Antiqua" w:hAnsi="Book Antiqua"/>
          <w:sz w:val="16"/>
          <w:szCs w:val="16"/>
        </w:rPr>
        <w:fldChar w:fldCharType="separate"/>
      </w:r>
      <w:r w:rsidRPr="002C142A">
        <w:rPr>
          <w:rFonts w:ascii="Book Antiqua" w:hAnsi="Book Antiqua"/>
          <w:noProof/>
          <w:sz w:val="16"/>
          <w:szCs w:val="16"/>
        </w:rPr>
        <w:t>Nurahmasari, Amirulloh, and Afriana, “Mediasi Sebagai Kewajiban Penyelesaian Sengketa Perdata Pelanggaran Paten Di Indonesia Demi Kepastian Dan Kemanfaatan Hukum.”</w:t>
      </w:r>
      <w:r w:rsidRPr="002C142A">
        <w:rPr>
          <w:rFonts w:ascii="Book Antiqua" w:hAnsi="Book Antiqua"/>
          <w:sz w:val="16"/>
          <w:szCs w:val="16"/>
        </w:rPr>
        <w:fldChar w:fldCharType="end"/>
      </w:r>
    </w:p>
  </w:footnote>
  <w:footnote w:id="27">
    <w:p w14:paraId="7B6A955E" w14:textId="0EC56082" w:rsidR="00C04C78" w:rsidRPr="002C142A" w:rsidRDefault="00C04C78" w:rsidP="002C142A">
      <w:pPr>
        <w:pStyle w:val="FootnoteText"/>
        <w:jc w:val="both"/>
        <w:rPr>
          <w:rFonts w:ascii="Book Antiqua" w:hAnsi="Book Antiqua"/>
        </w:rPr>
      </w:pPr>
      <w:r w:rsidRPr="002C142A">
        <w:rPr>
          <w:rStyle w:val="FootnoteReference"/>
          <w:rFonts w:ascii="Book Antiqua" w:hAnsi="Book Antiqua"/>
          <w:sz w:val="16"/>
          <w:szCs w:val="16"/>
        </w:rPr>
        <w:footnoteRef/>
      </w:r>
      <w:r w:rsidRPr="002C142A">
        <w:rPr>
          <w:rFonts w:ascii="Book Antiqua" w:hAnsi="Book Antiqua"/>
          <w:sz w:val="16"/>
          <w:szCs w:val="16"/>
        </w:rPr>
        <w:t xml:space="preserve"> </w:t>
      </w:r>
      <w:r w:rsidRPr="002C142A">
        <w:rPr>
          <w:rFonts w:ascii="Book Antiqua" w:hAnsi="Book Antiqua"/>
          <w:sz w:val="16"/>
          <w:szCs w:val="16"/>
        </w:rPr>
        <w:fldChar w:fldCharType="begin" w:fldLock="1"/>
      </w:r>
      <w:r w:rsidRPr="002C142A">
        <w:rPr>
          <w:rFonts w:ascii="Book Antiqua" w:hAnsi="Book Antiqua"/>
          <w:sz w:val="16"/>
          <w:szCs w:val="16"/>
        </w:rPr>
        <w:instrText>ADDIN CSL_CITATION {"citationItems":[{"id":"ITEM-1","itemData":{"DOI":"www. dx.doi.org 10.31604/justitia.v9i5. 2303-2317","ISSN":"2686-5963","abstract":"Tidak dapat dipungkiri bahwa pada saat ini persaingan usaha atau kegiatan bisnis yang semakin hari semakin pesat sangat menunjukkan bahwa dalam hal kegiatan usaha yang mencapai ratusan atau bahkan pula ribuan dalam setiap harinya, tidak menutup kemungkinan bahwa dapat terjadi suatu sengketa ( dispute, diferrence ) diantara para pihak yang terlibat dalam dunia bisnis tersebut, yang disebabkan dari semakin banyaknya kegiatan perdagangan yang semakin luas. Dalam sengketa tersebut pasti pula ada salah satu pihak menuntut dan berharap penyelesaian dan pemecahannya dapat diselesaikan melalui sebuah alternatif penyelesaian sengketa yang salah satunya mediasi tentu diharapkan dalam upaya yang dilakukan oleh para pihak untuk dapat menyelesaikan suatu sengketa dengan hasil kesepakatan bersama dengan bantuan seorang mediator yang bersikap netral dan tidak memihak, penyelesaian sengketa melalui alternatif penyelesaian sengketa mampu diharapkan pula selalu berperan dalam membantu para pihak. Sehingga mediasi pula tidak hanya dimanfaatkan dinegara Indonesia saja tetapi dimanfaatkan oleh negara-negara lain, yang pastinya memiliki perbandingan negara satu dengan yang lainnya dalam penerapan mediasi sebagai alternatif penyelesaian sengketa.","author":[{"dropping-particle":"","family":"Nurafifah","given":"Amalia","non-dropping-particle":"","parse-names":false,"suffix":""},{"dropping-particle":"","family":"Marpaung","given":"Devi Siti Hamzah","non-dropping-particle":"","parse-names":false,"suffix":""}],"container-title":"JUSTITIA : Jurnal Ilmu Hukum dan Humaniora","id":"ITEM-1","issue":"5","issued":{"date-parts":[["2022","8","13"]]},"page":"2303-2317","title":"Mediasi Sebagai Alternatif Penyelesaian Sengketa","type":"article-journal","volume":"9"},"uris":["http://www.mendeley.com/documents/?uuid=25505ef2-5c53-4c55-8e4f-1fd2b95a1ad7"]}],"mendeley":{"formattedCitation":"Amalia Nurafifah and Devi Siti Hamzah Marpaung, “Mediasi Sebagai Alternatif Penyelesaian Sengketa,” &lt;i&gt;JUSTITIA</w:instrText>
      </w:r>
      <w:r w:rsidRPr="002C142A">
        <w:rPr>
          <w:sz w:val="16"/>
          <w:szCs w:val="16"/>
        </w:rPr>
        <w:instrText> </w:instrText>
      </w:r>
      <w:r w:rsidRPr="002C142A">
        <w:rPr>
          <w:rFonts w:ascii="Book Antiqua" w:hAnsi="Book Antiqua"/>
          <w:sz w:val="16"/>
          <w:szCs w:val="16"/>
        </w:rPr>
        <w:instrText>: Jurnal Ilmu Hukum Dan Humaniora&lt;/i&gt; 9, no. 5 (August 13, 2022): 2303–17, https://doi.org/www. dx.doi.org 10.31604/justitia.v9i5. 2303-2317.","plainTextFormattedCitation":"Amalia Nurafifah and Devi Siti Hamzah Marpaung, “Mediasi Sebagai Alternatif Penyelesaian Sengketa,” JUSTITIA</w:instrText>
      </w:r>
      <w:r w:rsidRPr="002C142A">
        <w:rPr>
          <w:sz w:val="16"/>
          <w:szCs w:val="16"/>
        </w:rPr>
        <w:instrText> </w:instrText>
      </w:r>
      <w:r w:rsidRPr="002C142A">
        <w:rPr>
          <w:rFonts w:ascii="Book Antiqua" w:hAnsi="Book Antiqua"/>
          <w:sz w:val="16"/>
          <w:szCs w:val="16"/>
        </w:rPr>
        <w:instrText>: Jurnal Ilmu Hukum Dan Humaniora 9, no. 5 (August 13, 2022): 2303–17, https://doi.org/www. dx.doi.org 10.31604/justitia.v9i5. 2303-2317.","previouslyFormattedCitation":"Amalia Nurafifah and Devi Siti Hamzah Marpaung, “Mediasi Sebagai Alternatif Penyelesaian Sengketa,” &lt;i&gt;JUSTITIA</w:instrText>
      </w:r>
      <w:r w:rsidRPr="002C142A">
        <w:rPr>
          <w:sz w:val="16"/>
          <w:szCs w:val="16"/>
        </w:rPr>
        <w:instrText> </w:instrText>
      </w:r>
      <w:r w:rsidRPr="002C142A">
        <w:rPr>
          <w:rFonts w:ascii="Book Antiqua" w:hAnsi="Book Antiqua"/>
          <w:sz w:val="16"/>
          <w:szCs w:val="16"/>
        </w:rPr>
        <w:instrText>: Jurnal Ilmu Hukum Dan Humaniora&lt;/i&gt; 9, no. 5 (August 13, 2022): 2303</w:instrText>
      </w:r>
      <w:r w:rsidRPr="002C142A">
        <w:rPr>
          <w:rFonts w:ascii="Book Antiqua" w:hAnsi="Book Antiqua" w:cs="Book Antiqua"/>
          <w:sz w:val="16"/>
          <w:szCs w:val="16"/>
        </w:rPr>
        <w:instrText>–</w:instrText>
      </w:r>
      <w:r w:rsidRPr="002C142A">
        <w:rPr>
          <w:rFonts w:ascii="Book Antiqua" w:hAnsi="Book Antiqua"/>
          <w:sz w:val="16"/>
          <w:szCs w:val="16"/>
        </w:rPr>
        <w:instrText>17, https://doi.org/www. dx.doi.org 10.31604/justitia.v9i5. 2303-2317."},"properties":{"noteIndex":27},"schema":"https://github.com/citation-style-language/schema/raw/master/csl-citation.json"}</w:instrText>
      </w:r>
      <w:r w:rsidRPr="002C142A">
        <w:rPr>
          <w:rFonts w:ascii="Book Antiqua" w:hAnsi="Book Antiqua"/>
          <w:sz w:val="16"/>
          <w:szCs w:val="16"/>
        </w:rPr>
        <w:fldChar w:fldCharType="separate"/>
      </w:r>
      <w:r w:rsidRPr="002C142A">
        <w:rPr>
          <w:rFonts w:ascii="Book Antiqua" w:hAnsi="Book Antiqua"/>
          <w:noProof/>
          <w:sz w:val="16"/>
          <w:szCs w:val="16"/>
        </w:rPr>
        <w:t xml:space="preserve">Amalia Nurafifah and Devi Siti Hamzah Marpaung, “Mediasi Sebagai Alternatif Penyelesaian Sengketa,” </w:t>
      </w:r>
      <w:r w:rsidRPr="002C142A">
        <w:rPr>
          <w:rFonts w:ascii="Book Antiqua" w:hAnsi="Book Antiqua"/>
          <w:i/>
          <w:noProof/>
          <w:sz w:val="16"/>
          <w:szCs w:val="16"/>
        </w:rPr>
        <w:t>JUSTITIA</w:t>
      </w:r>
      <w:r w:rsidRPr="002C142A">
        <w:rPr>
          <w:i/>
          <w:noProof/>
          <w:sz w:val="16"/>
          <w:szCs w:val="16"/>
        </w:rPr>
        <w:t> </w:t>
      </w:r>
      <w:r w:rsidRPr="002C142A">
        <w:rPr>
          <w:rFonts w:ascii="Book Antiqua" w:hAnsi="Book Antiqua"/>
          <w:i/>
          <w:noProof/>
          <w:sz w:val="16"/>
          <w:szCs w:val="16"/>
        </w:rPr>
        <w:t>: Jurnal Ilmu Hukum Dan Humaniora</w:t>
      </w:r>
      <w:r w:rsidRPr="002C142A">
        <w:rPr>
          <w:rFonts w:ascii="Book Antiqua" w:hAnsi="Book Antiqua"/>
          <w:noProof/>
          <w:sz w:val="16"/>
          <w:szCs w:val="16"/>
        </w:rPr>
        <w:t xml:space="preserve"> 9, no. 5 (August 13, 2022): 2303</w:t>
      </w:r>
      <w:r w:rsidRPr="002C142A">
        <w:rPr>
          <w:rFonts w:ascii="Book Antiqua" w:hAnsi="Book Antiqua" w:cs="Book Antiqua"/>
          <w:noProof/>
          <w:sz w:val="16"/>
          <w:szCs w:val="16"/>
        </w:rPr>
        <w:t>–</w:t>
      </w:r>
      <w:r w:rsidRPr="002C142A">
        <w:rPr>
          <w:rFonts w:ascii="Book Antiqua" w:hAnsi="Book Antiqua"/>
          <w:noProof/>
          <w:sz w:val="16"/>
          <w:szCs w:val="16"/>
        </w:rPr>
        <w:t>17, https://doi.org/www. dx.doi.org 10.31604/justitia.v9i5. 2303-2317.</w:t>
      </w:r>
      <w:r w:rsidRPr="002C142A">
        <w:rPr>
          <w:rFonts w:ascii="Book Antiqua" w:hAnsi="Book Antiqua"/>
          <w:sz w:val="16"/>
          <w:szCs w:val="16"/>
        </w:rPr>
        <w:fldChar w:fldCharType="end"/>
      </w:r>
    </w:p>
  </w:footnote>
  <w:footnote w:id="28">
    <w:p w14:paraId="47615780" w14:textId="3CBDFA74" w:rsidR="00C04C78" w:rsidRPr="002C142A" w:rsidRDefault="00C04C78" w:rsidP="002C142A">
      <w:pPr>
        <w:pStyle w:val="FootnoteText"/>
        <w:jc w:val="both"/>
        <w:rPr>
          <w:rFonts w:ascii="Book Antiqua" w:hAnsi="Book Antiqua"/>
          <w:sz w:val="16"/>
          <w:szCs w:val="16"/>
        </w:rPr>
      </w:pPr>
      <w:r w:rsidRPr="002C142A">
        <w:rPr>
          <w:rStyle w:val="FootnoteReference"/>
          <w:rFonts w:ascii="Book Antiqua" w:hAnsi="Book Antiqua"/>
          <w:sz w:val="16"/>
          <w:szCs w:val="16"/>
        </w:rPr>
        <w:footnoteRef/>
      </w:r>
      <w:r w:rsidRPr="002C142A">
        <w:rPr>
          <w:rFonts w:ascii="Book Antiqua" w:hAnsi="Book Antiqua"/>
          <w:sz w:val="16"/>
          <w:szCs w:val="16"/>
        </w:rPr>
        <w:t xml:space="preserve"> </w:t>
      </w:r>
      <w:r w:rsidRPr="002C142A">
        <w:rPr>
          <w:rFonts w:ascii="Book Antiqua" w:hAnsi="Book Antiqua"/>
          <w:sz w:val="16"/>
          <w:szCs w:val="16"/>
        </w:rPr>
        <w:fldChar w:fldCharType="begin" w:fldLock="1"/>
      </w:r>
      <w:r w:rsidRPr="002C142A">
        <w:rPr>
          <w:rFonts w:ascii="Book Antiqua" w:hAnsi="Book Antiqua"/>
          <w:sz w:val="16"/>
          <w:szCs w:val="16"/>
        </w:rPr>
        <w:instrText>ADDIN CSL_CITATION {"citationItems":[{"id":"ITEM-1","itemData":{"DOI":"10.14710/hp.7.2.182-191","ISSN":"1858-0254","abstract":"Saat ini pemahaman dan pengetahuan tentang logika, penalaran hukum semakin dibutuhkan oleh semua kalangan. Kebutuhan ini dirasakan tidak hanya bagi kaum akademisi dalam bidang filsafat dan ilmuhukum tetapi juga seluruh masyarakat yang setiap hari berhadapan dengan persoalan-persoalan hukum, khususnya bagi penegak hukum dalam hal mengambil keputusan dalam penegakan hukum. Penalaran hukum sebagai bagian dari penalaran pada umumnya memiliki sejumlah karakteristik yang berbeda, baik itu pada kaidah-kaidah penalaran yang tepat seperti hukum-hukum berpikir, hukum-hukum silogisme, ketentuan tentang probabilitas induksi, dan kesesatan informal penalaran. Penalaran hukum bukanlah jenis penalaran yang berbeda dan terpisah dari logika sebagai ilmu tentang bagaimana berpikir secara tepat (sebagai salah satu cabang filsafat), akan tetapi sama dengan jenis penalaran pada umumnya, hanya saja penalaran hukum mempelajari tentang bagaimana menerapkan kaidah-kaidah berpikir menurut ketentuan logika dalam bidang hukum.","author":[{"dropping-particle":"","family":"Qodri","given":"Miftahul","non-dropping-particle":"","parse-names":false,"suffix":""}],"container-title":"Jurnal Hukum Progresif","id":"ITEM-1","issue":"2","issued":{"date-parts":[["2019"]]},"page":"182","title":"“Benang Merah” Penalaran Hukum, Argumentasi Hukum Dan Penegakan Hukum","type":"article-journal","volume":"7"},"uris":["http://www.mendeley.com/documents/?uuid=f6ea885b-1913-40c7-b838-cecb0522a57c"]}],"mendeley":{"formattedCitation":"Miftahul Qodri, “‘Benang Merah’ Penalaran Hukum, Argumentasi Hukum Dan Penegakan Hukum,” &lt;i&gt;Jurnal Hukum Progresif&lt;/i&gt; 7, no. 2 (2019): 182, https://doi.org/10.14710/hp.7.2.182-191.","plainTextFormattedCitation":"Miftahul Qodri, “‘Benang Merah’ Penalaran Hukum, Argumentasi Hukum Dan Penegakan Hukum,” Jurnal Hukum Progresif 7, no. 2 (2019): 182, https://doi.org/10.14710/hp.7.2.182-191.","previouslyFormattedCitation":"Miftahul Qodri, “‘Benang Merah’ Penalaran Hukum, Argumentasi Hukum Dan Penegakan Hukum,” &lt;i&gt;Jurnal Hukum Progresif&lt;/i&gt; 7, no. 2 (2019): 182, https://doi.org/10.14710/hp.7.2.182-191."},"properties":{"noteIndex":28},"schema":"https://github.com/citation-style-language/schema/raw/master/csl-citation.json"}</w:instrText>
      </w:r>
      <w:r w:rsidRPr="002C142A">
        <w:rPr>
          <w:rFonts w:ascii="Book Antiqua" w:hAnsi="Book Antiqua"/>
          <w:sz w:val="16"/>
          <w:szCs w:val="16"/>
        </w:rPr>
        <w:fldChar w:fldCharType="separate"/>
      </w:r>
      <w:r w:rsidRPr="002C142A">
        <w:rPr>
          <w:rFonts w:ascii="Book Antiqua" w:hAnsi="Book Antiqua"/>
          <w:noProof/>
          <w:sz w:val="16"/>
          <w:szCs w:val="16"/>
        </w:rPr>
        <w:t xml:space="preserve">Miftahul Qodri, “‘Benang Merah’ Penalaran Hukum, Argumentasi Hukum Dan Penegakan Hukum,” </w:t>
      </w:r>
      <w:r w:rsidRPr="002C142A">
        <w:rPr>
          <w:rFonts w:ascii="Book Antiqua" w:hAnsi="Book Antiqua"/>
          <w:i/>
          <w:noProof/>
          <w:sz w:val="16"/>
          <w:szCs w:val="16"/>
        </w:rPr>
        <w:t>Jurnal Hukum Progresif</w:t>
      </w:r>
      <w:r w:rsidRPr="002C142A">
        <w:rPr>
          <w:rFonts w:ascii="Book Antiqua" w:hAnsi="Book Antiqua"/>
          <w:noProof/>
          <w:sz w:val="16"/>
          <w:szCs w:val="16"/>
        </w:rPr>
        <w:t xml:space="preserve"> 7, no. 2 (2019): 182, https://doi.org/10.14710/hp.7.2.182-191.</w:t>
      </w:r>
      <w:r w:rsidRPr="002C142A">
        <w:rPr>
          <w:rFonts w:ascii="Book Antiqua" w:hAnsi="Book Antiqua"/>
          <w:sz w:val="16"/>
          <w:szCs w:val="16"/>
        </w:rPr>
        <w:fldChar w:fldCharType="end"/>
      </w:r>
    </w:p>
  </w:footnote>
  <w:footnote w:id="29">
    <w:p w14:paraId="518193C4" w14:textId="290C64ED" w:rsidR="00C04C78" w:rsidRPr="002C142A" w:rsidRDefault="00C04C78" w:rsidP="002C142A">
      <w:pPr>
        <w:pStyle w:val="FootnoteText"/>
        <w:jc w:val="both"/>
        <w:rPr>
          <w:rFonts w:ascii="Book Antiqua" w:hAnsi="Book Antiqua"/>
        </w:rPr>
      </w:pPr>
      <w:r w:rsidRPr="002C142A">
        <w:rPr>
          <w:rStyle w:val="FootnoteReference"/>
          <w:rFonts w:ascii="Book Antiqua" w:hAnsi="Book Antiqua"/>
          <w:sz w:val="16"/>
          <w:szCs w:val="16"/>
        </w:rPr>
        <w:footnoteRef/>
      </w:r>
      <w:r w:rsidRPr="002C142A">
        <w:rPr>
          <w:rFonts w:ascii="Book Antiqua" w:hAnsi="Book Antiqua"/>
          <w:sz w:val="16"/>
          <w:szCs w:val="16"/>
        </w:rPr>
        <w:t xml:space="preserve"> </w:t>
      </w:r>
      <w:r w:rsidRPr="002C142A">
        <w:rPr>
          <w:rFonts w:ascii="Book Antiqua" w:hAnsi="Book Antiqua"/>
          <w:sz w:val="16"/>
          <w:szCs w:val="16"/>
        </w:rPr>
        <w:fldChar w:fldCharType="begin" w:fldLock="1"/>
      </w:r>
      <w:r w:rsidRPr="002C142A">
        <w:rPr>
          <w:rFonts w:ascii="Book Antiqua" w:hAnsi="Book Antiqua"/>
          <w:sz w:val="16"/>
          <w:szCs w:val="16"/>
        </w:rPr>
        <w:instrText>ADDIN CSL_CITATION {"citationItems":[{"id":"ITEM-1","itemData":{"abstract":"… pembiayaan murabahah secara detil, karena kajian inipun sudah banyak diteliti oleh peneliti lain, salah satunya adalah Roifatus Syauqoti dengan judul “Aplikasi Akad Murabahah …","author":[{"dropping-particle":"","family":"Kristianti","given":"Dewi Sukma","non-dropping-particle":"","parse-names":false,"suffix":""}],"container-title":"Pandecta Research Law Journal","id":"ITEM-1","issue":"2","issued":{"date-parts":[["2021"]]},"page":"300-318","title":"Kajian Model Penalaran Hukum yang Dilakukan Hakim Atas Denda Ta'zir Pada Akad Pembiayaan Murabahah","type":"article-journal","volume":"16"},"uris":["http://www.mendeley.com/documents/?uuid=3c860816-d410-46a6-9a29-089a66fb19a6"]}],"mendeley":{"formattedCitation":"Dewi Sukma Kristianti, “Kajian Model Penalaran Hukum Yang Dilakukan Hakim Atas Denda Ta’zir Pada Akad Pembiayaan Murabahah,” &lt;i&gt;Pandecta Research Law Journal&lt;/i&gt; 16, no. 2 (2021): 300–318, https://journal.unnes.ac.id/nju/index.php/pandecta/article/view/31815.","plainTextFormattedCitation":"Dewi Sukma Kristianti, “Kajian Model Penalaran Hukum Yang Dilakukan Hakim Atas Denda Ta’zir Pada Akad Pembiayaan Murabahah,” Pandecta Research Law Journal 16, no. 2 (2021): 300–318, https://journal.unnes.ac.id/nju/index.php/pandecta/article/view/31815.","previouslyFormattedCitation":"Dewi Sukma Kristianti, “Kajian Model Penalaran Hukum Yang Dilakukan Hakim Atas Denda Ta’zir Pada Akad Pembiayaan Murabahah,” &lt;i&gt;Pandecta Research Law Journal&lt;/i&gt; 16, no. 2 (2021): 300–318, https://journal.unnes.ac.id/nju/index.php/pandecta/article/view/31815."},"properties":{"noteIndex":29},"schema":"https://github.com/citation-style-language/schema/raw/master/csl-citation.json"}</w:instrText>
      </w:r>
      <w:r w:rsidRPr="002C142A">
        <w:rPr>
          <w:rFonts w:ascii="Book Antiqua" w:hAnsi="Book Antiqua"/>
          <w:sz w:val="16"/>
          <w:szCs w:val="16"/>
        </w:rPr>
        <w:fldChar w:fldCharType="separate"/>
      </w:r>
      <w:r w:rsidRPr="002C142A">
        <w:rPr>
          <w:rFonts w:ascii="Book Antiqua" w:hAnsi="Book Antiqua"/>
          <w:noProof/>
          <w:sz w:val="16"/>
          <w:szCs w:val="16"/>
        </w:rPr>
        <w:t xml:space="preserve">Dewi Sukma Kristianti, “Kajian Model Penalaran Hukum Yang Dilakukan Hakim Atas Denda Ta’zir Pada Akad Pembiayaan Murabahah,” </w:t>
      </w:r>
      <w:r w:rsidRPr="002C142A">
        <w:rPr>
          <w:rFonts w:ascii="Book Antiqua" w:hAnsi="Book Antiqua"/>
          <w:i/>
          <w:noProof/>
          <w:sz w:val="16"/>
          <w:szCs w:val="16"/>
        </w:rPr>
        <w:t>Pandecta Research Law Journal</w:t>
      </w:r>
      <w:r w:rsidRPr="002C142A">
        <w:rPr>
          <w:rFonts w:ascii="Book Antiqua" w:hAnsi="Book Antiqua"/>
          <w:noProof/>
          <w:sz w:val="16"/>
          <w:szCs w:val="16"/>
        </w:rPr>
        <w:t xml:space="preserve"> 16, no. 2 (2021): 300–318, https://journal.unnes.ac.id/nju/index.php/pandecta/article/view/31815.</w:t>
      </w:r>
      <w:r w:rsidRPr="002C142A">
        <w:rPr>
          <w:rFonts w:ascii="Book Antiqua" w:hAnsi="Book Antiqua"/>
          <w:sz w:val="16"/>
          <w:szCs w:val="16"/>
        </w:rPr>
        <w:fldChar w:fldCharType="end"/>
      </w:r>
    </w:p>
  </w:footnote>
  <w:footnote w:id="30">
    <w:p w14:paraId="135209E9" w14:textId="2343683C" w:rsidR="00C04C78" w:rsidRPr="002C142A" w:rsidRDefault="00C04C78" w:rsidP="002C142A">
      <w:pPr>
        <w:pStyle w:val="FootnoteText"/>
        <w:jc w:val="both"/>
        <w:rPr>
          <w:rFonts w:ascii="Book Antiqua" w:hAnsi="Book Antiqua"/>
        </w:rPr>
      </w:pPr>
      <w:r w:rsidRPr="002C142A">
        <w:rPr>
          <w:rStyle w:val="FootnoteReference"/>
          <w:rFonts w:ascii="Book Antiqua" w:hAnsi="Book Antiqua"/>
          <w:sz w:val="16"/>
          <w:szCs w:val="16"/>
        </w:rPr>
        <w:footnoteRef/>
      </w:r>
      <w:r w:rsidRPr="002C142A">
        <w:rPr>
          <w:rFonts w:ascii="Book Antiqua" w:hAnsi="Book Antiqua"/>
          <w:sz w:val="16"/>
          <w:szCs w:val="16"/>
        </w:rPr>
        <w:t xml:space="preserve"> </w:t>
      </w:r>
      <w:r w:rsidRPr="002C142A">
        <w:rPr>
          <w:rFonts w:ascii="Book Antiqua" w:hAnsi="Book Antiqua"/>
          <w:sz w:val="16"/>
          <w:szCs w:val="16"/>
        </w:rPr>
        <w:fldChar w:fldCharType="begin" w:fldLock="1"/>
      </w:r>
      <w:r w:rsidRPr="002C142A">
        <w:rPr>
          <w:rFonts w:ascii="Book Antiqua" w:hAnsi="Book Antiqua"/>
          <w:sz w:val="16"/>
          <w:szCs w:val="16"/>
        </w:rPr>
        <w:instrText>ADDIN CSL_CITATION {"citationItems":[{"id":"ITEM-1","itemData":{"ISBN":"9788578110796","ISSN":"1098-6596","PMID":"25246403","author":[{"dropping-particle":"","family":"Azis","given":"Dimas Akbar Iqbal","non-dropping-particle":"","parse-names":false,"suffix":""}],"id":"ITEM-1","issued":{"date-parts":[["2021"]]},"page":"1689-1699","title":"Akibat Hukum Berlakunya Undang-Undang Nomor 13 Tahun 2016 Tentang Paten Terhadap Perkembangan dan Perlindungan Paten di Indonesia","type":"article-journal"},"uris":["http://www.mendeley.com/documents/?uuid=77ff0a20-c532-496a-9c35-fc97f4e0d8c4"]}],"mendeley":{"formattedCitation":"Azis, “Akibat Hukum Berlakunya Undang-Undang Nomor 13 Tahun 2016 Tentang Paten Terhadap Perkembangan Dan Perlindungan Paten Di Indonesia.”","plainTextFormattedCitation":"Azis, “Akibat Hukum Berlakunya Undang-Undang Nomor 13 Tahun 2016 Tentang Paten Terhadap Perkembangan Dan Perlindungan Paten Di Indonesia.”","previouslyFormattedCitation":"Azis, “Akibat Hukum Berlakunya Undang-Undang Nomor 13 Tahun 2016 Tentang Paten Terhadap Perkembangan Dan Perlindungan Paten Di Indonesia.”"},"properties":{"noteIndex":30},"schema":"https://github.com/citation-style-language/schema/raw/master/csl-citation.json"}</w:instrText>
      </w:r>
      <w:r w:rsidRPr="002C142A">
        <w:rPr>
          <w:rFonts w:ascii="Book Antiqua" w:hAnsi="Book Antiqua"/>
          <w:sz w:val="16"/>
          <w:szCs w:val="16"/>
        </w:rPr>
        <w:fldChar w:fldCharType="separate"/>
      </w:r>
      <w:r w:rsidRPr="002C142A">
        <w:rPr>
          <w:rFonts w:ascii="Book Antiqua" w:hAnsi="Book Antiqua"/>
          <w:noProof/>
          <w:sz w:val="16"/>
          <w:szCs w:val="16"/>
        </w:rPr>
        <w:t>Azis, “Akibat Hukum Berlakunya Undang-Undang Nomor 13 Tahun 2016 Tentang Paten Terhadap Perkembangan Dan Perlindungan Paten Di Indonesia.”</w:t>
      </w:r>
      <w:r w:rsidRPr="002C142A">
        <w:rPr>
          <w:rFonts w:ascii="Book Antiqua" w:hAnsi="Book Antiqua"/>
          <w:sz w:val="16"/>
          <w:szCs w:val="16"/>
        </w:rPr>
        <w:fldChar w:fldCharType="end"/>
      </w:r>
    </w:p>
  </w:footnote>
  <w:footnote w:id="31">
    <w:p w14:paraId="5B52DDE6" w14:textId="032F9168" w:rsidR="00C04C78" w:rsidRPr="0033762A" w:rsidRDefault="00C04C78" w:rsidP="002C142A">
      <w:pPr>
        <w:pStyle w:val="FootnoteText"/>
        <w:jc w:val="both"/>
        <w:rPr>
          <w:rFonts w:ascii="Book Antiqua" w:hAnsi="Book Antiqua"/>
          <w:sz w:val="16"/>
          <w:szCs w:val="16"/>
        </w:rPr>
      </w:pPr>
      <w:r w:rsidRPr="002C142A">
        <w:rPr>
          <w:rStyle w:val="FootnoteReference"/>
          <w:rFonts w:ascii="Book Antiqua" w:hAnsi="Book Antiqua"/>
          <w:sz w:val="16"/>
          <w:szCs w:val="16"/>
        </w:rPr>
        <w:footnoteRef/>
      </w:r>
      <w:r w:rsidRPr="002C142A">
        <w:rPr>
          <w:rFonts w:ascii="Book Antiqua" w:hAnsi="Book Antiqua"/>
          <w:sz w:val="16"/>
          <w:szCs w:val="16"/>
        </w:rPr>
        <w:t xml:space="preserve"> </w:t>
      </w:r>
      <w:r w:rsidRPr="002C142A">
        <w:rPr>
          <w:rFonts w:ascii="Book Antiqua" w:hAnsi="Book Antiqua"/>
          <w:sz w:val="16"/>
          <w:szCs w:val="16"/>
        </w:rPr>
        <w:fldChar w:fldCharType="begin" w:fldLock="1"/>
      </w:r>
      <w:r w:rsidRPr="002C142A">
        <w:rPr>
          <w:rFonts w:ascii="Book Antiqua" w:hAnsi="Book Antiqua"/>
          <w:sz w:val="16"/>
          <w:szCs w:val="16"/>
        </w:rPr>
        <w:instrText>ADDIN CSL_CITATION {"citationItems":[{"id":"ITEM-1","itemData":{"author":[{"dropping-particle":"","family":"Jean Neltje et al","given":"","non-dropping-particle":"","parse-names":false,"suffix":""}],"container-title":"Jurnal Pendidikan Tambusai","id":"ITEM-1","issue":"3","issued":{"date-parts":[["2023"]]},"page":"22125-22131","title":"Pengertian Hak Paten-2","type":"article-journal","volume":"7"},"uris":["http://www.mendeley.com/documents/?uuid=564cd4e9-3f51-4caf-8c90-6fd7421d4a19"]}],"mendeley":{"formattedCitation":"Jean Neltje et al, “Pengertian Hak Paten-2.”","plainTextFormattedCitation":"Jean Neltje et al, “Pengertian Hak Paten-2.”","previouslyFormattedCitation":"Jean Neltje et al, “Pengertian Hak Paten-2.”"},"properties":{"noteIndex":31},"schema":"https://github.com/citation-style-language/schema/raw/master/csl-citation.json"}</w:instrText>
      </w:r>
      <w:r w:rsidRPr="002C142A">
        <w:rPr>
          <w:rFonts w:ascii="Book Antiqua" w:hAnsi="Book Antiqua"/>
          <w:sz w:val="16"/>
          <w:szCs w:val="16"/>
        </w:rPr>
        <w:fldChar w:fldCharType="separate"/>
      </w:r>
      <w:r w:rsidRPr="002C142A">
        <w:rPr>
          <w:rFonts w:ascii="Book Antiqua" w:hAnsi="Book Antiqua"/>
          <w:noProof/>
          <w:sz w:val="16"/>
          <w:szCs w:val="16"/>
        </w:rPr>
        <w:t>Jean Neltje et al, “Pengertian Hak Paten-2.”</w:t>
      </w:r>
      <w:r w:rsidRPr="002C142A">
        <w:rPr>
          <w:rFonts w:ascii="Book Antiqua" w:hAnsi="Book Antiqua"/>
          <w:sz w:val="16"/>
          <w:szCs w:val="16"/>
        </w:rPr>
        <w:fldChar w:fldCharType="end"/>
      </w:r>
    </w:p>
  </w:footnote>
  <w:footnote w:id="32">
    <w:p w14:paraId="5FDF7200" w14:textId="51940471" w:rsidR="00C04C78" w:rsidRPr="002C142A" w:rsidRDefault="00C04C78" w:rsidP="0033762A">
      <w:pPr>
        <w:pStyle w:val="FootnoteText"/>
        <w:jc w:val="both"/>
        <w:rPr>
          <w:rFonts w:ascii="Book Antiqua" w:hAnsi="Book Antiqua"/>
        </w:rPr>
      </w:pPr>
      <w:r w:rsidRPr="002C142A">
        <w:rPr>
          <w:rStyle w:val="FootnoteReference"/>
          <w:rFonts w:ascii="Book Antiqua" w:hAnsi="Book Antiqua"/>
          <w:sz w:val="16"/>
          <w:szCs w:val="16"/>
        </w:rPr>
        <w:footnoteRef/>
      </w:r>
      <w:r w:rsidRPr="002C142A">
        <w:rPr>
          <w:rFonts w:ascii="Book Antiqua" w:hAnsi="Book Antiqua"/>
          <w:sz w:val="16"/>
          <w:szCs w:val="16"/>
        </w:rPr>
        <w:t xml:space="preserve"> </w:t>
      </w:r>
      <w:r w:rsidRPr="002C142A">
        <w:rPr>
          <w:rFonts w:ascii="Book Antiqua" w:hAnsi="Book Antiqua"/>
          <w:sz w:val="16"/>
          <w:szCs w:val="16"/>
        </w:rPr>
        <w:fldChar w:fldCharType="begin" w:fldLock="1"/>
      </w:r>
      <w:r w:rsidRPr="002C142A">
        <w:rPr>
          <w:rFonts w:ascii="Book Antiqua" w:hAnsi="Book Antiqua"/>
          <w:sz w:val="16"/>
          <w:szCs w:val="16"/>
        </w:rPr>
        <w:instrText>ADDIN CSL_CITATION {"citationItems":[{"id":"ITEM-1","itemData":{"DOI":"10.32884/jih.v1i4.1629","abstract":"Pasal 4 huruf f Undang-Undang Nomor 13 Tahun 2016 tentang Paten menentukan bahwa invensi tidak dapat diberikan kepada suatu temuan (discovery) yang sudah ada sebelumnya yang tidak mengandung unsur kebaharuan (novelty) dan juga merupakan produk yang dikenal oleh masyarakat luas, maka harusnya tidak dapat diberikan sertifikat paten guna melindungi hak pemegang paten yang sah. Penyelesaian sengeketa atas paten terdaftar yang tidak memilik unsur kebaruan (lack of novelty) dapat diajukan gugatan kepada instansi yang berwenang yakni Pengadilan Niaga dalam wilayah domisili hukum setempat. Novelty atau yang dalam bahasa Indonesia sebagai suatu unsur kebaruan dalam suatu invensi merupakan sebuah keharusan yang dimiliki invensi tersebut. Istilah novelty dan antisipasi dapat menggantikan satu sama lain dalam penggunaannya. sebagai sebuah antisipasi untuk sebuah invensi, dalam sebuah prior art atau langkah penemuan itu haruslah terkandung di dalamnya suatu hal mengenai pengungkapan produk (yang dapat dilaksanakan) atau apabila invensi itu dalam hal paten proses diharuskan untuk memberikan arahan yang jelas dan tidak boleh salah dalam melakukan hasil invensi yang telah dilakukan seorang inventor.","author":[{"dropping-particle":"","family":"Abdillah","given":"Muhammad Faizal","non-dropping-particle":"","parse-names":false,"suffix":""},{"dropping-particle":"","family":"Sriwidodo","given":"Joko","non-dropping-particle":"","parse-names":false,"suffix":""},{"dropping-particle":"","family":"Mustafa","given":"Marni Emmy","non-dropping-particle":"","parse-names":false,"suffix":""}],"container-title":"PERFECTO : Jurnal Ilmu Hukum","id":"ITEM-1","issue":"4","issued":{"date-parts":[["2023"]]},"page":"319-336","title":"Penyelesaian Sengketa terhadap Hak Paten yang Tidak Memiliki Unsur Kebaharuan di Indonesia","type":"article-journal","volume":"01"},"uris":["http://www.mendeley.com/documents/?uuid=7af59f54-b254-4d0c-8d3f-874e51f1ef90"]}],"mendeley":{"formattedCitation":"Abdillah, Sriwidodo, and Mustafa, “Penyelesaian Sengketa Terhadap Hak Paten Yang Tidak Memiliki Unsur Kebaharuan Di Indonesia.”","plainTextFormattedCitation":"Abdillah, Sriwidodo, and Mustafa, “Penyelesaian Sengketa Terhadap Hak Paten Yang Tidak Memiliki Unsur Kebaharuan Di Indonesia.”","previouslyFormattedCitation":"Abdillah, Sriwidodo, and Mustafa, “Penyelesaian Sengketa Terhadap Hak Paten Yang Tidak Memiliki Unsur Kebaharuan Di Indonesia.”"},"properties":{"noteIndex":32},"schema":"https://github.com/citation-style-language/schema/raw/master/csl-citation.json"}</w:instrText>
      </w:r>
      <w:r w:rsidRPr="002C142A">
        <w:rPr>
          <w:rFonts w:ascii="Book Antiqua" w:hAnsi="Book Antiqua"/>
          <w:sz w:val="16"/>
          <w:szCs w:val="16"/>
        </w:rPr>
        <w:fldChar w:fldCharType="separate"/>
      </w:r>
      <w:r w:rsidRPr="002C142A">
        <w:rPr>
          <w:rFonts w:ascii="Book Antiqua" w:hAnsi="Book Antiqua"/>
          <w:noProof/>
          <w:sz w:val="16"/>
          <w:szCs w:val="16"/>
        </w:rPr>
        <w:t>Abdillah, Sriwidodo, and Mustafa, “Penyelesaian Sengketa Terhadap Hak Paten Yang Tidak Memiliki Unsur Kebaharuan Di Indonesia.”</w:t>
      </w:r>
      <w:r w:rsidRPr="002C142A">
        <w:rPr>
          <w:rFonts w:ascii="Book Antiqua" w:hAnsi="Book Antiqua"/>
          <w:sz w:val="16"/>
          <w:szCs w:val="16"/>
        </w:rPr>
        <w:fldChar w:fldCharType="end"/>
      </w:r>
    </w:p>
  </w:footnote>
  <w:footnote w:id="33">
    <w:p w14:paraId="4A8161BA" w14:textId="4495AD5A" w:rsidR="00C04C78" w:rsidRPr="002C142A" w:rsidRDefault="00C04C78" w:rsidP="0033762A">
      <w:pPr>
        <w:pStyle w:val="FootnoteText"/>
        <w:jc w:val="both"/>
        <w:rPr>
          <w:rFonts w:ascii="Book Antiqua" w:hAnsi="Book Antiqua"/>
        </w:rPr>
      </w:pPr>
      <w:r w:rsidRPr="002C142A">
        <w:rPr>
          <w:rStyle w:val="FootnoteReference"/>
          <w:rFonts w:ascii="Book Antiqua" w:hAnsi="Book Antiqua"/>
          <w:color w:val="000000" w:themeColor="text1"/>
          <w:sz w:val="16"/>
          <w:szCs w:val="16"/>
        </w:rPr>
        <w:footnoteRef/>
      </w:r>
      <w:r w:rsidRPr="002C142A">
        <w:rPr>
          <w:rFonts w:ascii="Book Antiqua" w:hAnsi="Book Antiqua"/>
          <w:color w:val="000000" w:themeColor="text1"/>
          <w:sz w:val="16"/>
          <w:szCs w:val="16"/>
        </w:rPr>
        <w:t xml:space="preserve"> </w:t>
      </w:r>
      <w:r w:rsidRPr="002C142A">
        <w:rPr>
          <w:rFonts w:ascii="Book Antiqua" w:hAnsi="Book Antiqua"/>
          <w:color w:val="000000" w:themeColor="text1"/>
          <w:sz w:val="16"/>
          <w:szCs w:val="16"/>
        </w:rPr>
        <w:fldChar w:fldCharType="begin" w:fldLock="1"/>
      </w:r>
      <w:r w:rsidRPr="002C142A">
        <w:rPr>
          <w:rFonts w:ascii="Book Antiqua" w:hAnsi="Book Antiqua"/>
          <w:color w:val="000000" w:themeColor="text1"/>
          <w:sz w:val="16"/>
          <w:szCs w:val="16"/>
        </w:rPr>
        <w:instrText>ADDIN CSL_CITATION {"citationItems":[{"id":"ITEM-1","itemData":{"DOI":"10.52005/rechten.v4i2.100","ISSN":"2686-3626","abstract":"Penelitian ini dilakukan untuk mengetahui perlunya dibuat dasar hukum khusus mengenai kasus pelecehan secara verbal dan juga untuk mengetahui perlunya peran pendidikan dalam memini- malisir kejahatan tersebut. Penelitian ini dapat diketahui melalui pengisian survei yang dil-akukan selama 3 hari dari tanggal 6-9 febuari 2022 dan diisi oleh 102 responden kemudian disajikan dalam bentuk diagram lingkaran. Berdasarkan hasil penelitian, perlu di buatnya dasar hukum mengenaik kasus tersebut dan juga perlu peranan lembaga pendidikan untuk upaya meminimalisir kasus tersebut. Adapun pasal – pasal yang bisa digunakan dalam menangani kasus perbuatan catcalling adalah Pasal 281 ayat (1) dan (2), Pasal 315 Kitab Undang – Undang Hukum Pidana (KUHP) dan Pasal 8, Pasal 9, Pasal 34 serta Pasal 35 Undang – Undang No. 44 Tahun 2008 tentang Pornografi, walaupun penggunaan pasal –pasal tersebut dapat dijadikan dasar hukum dalam menangani kasus catcalling tetapi belum mampu menjamin kepastian hukumnya secara maksimal. 2. Perlindungan terhadap korban perbuatan catcalling diatur dalam Undang – Undang No. 31 Tahun 2014 tentang Perubahan Atas Undang – Undang No. 13 Tahun 2006 tentang Perlindungan Saksi dan Korban.","author":[{"dropping-particle":"","family":"Taufik Hidayatullah","given":"","non-dropping-particle":"","parse-names":false,"suffix":""},{"dropping-particle":"","family":"Gulo","given":"Yachlam Pudayana Fitriani","non-dropping-particle":"","parse-names":false,"suffix":""},{"dropping-particle":"","family":"Jnman","given":"Ujang Badru","non-dropping-particle":"","parse-names":false,"suffix":""}],"container-title":"Jurnal Rechten : Riset Hukum dan Hak Asasi Manusia","id":"ITEM-1","issue":"2","issued":{"date-parts":[["2022"]]},"page":"12-22","title":"Analisis Yuridis Perlindungan Hukum Terhadap Korban Pelecehan Seksual Verbal","type":"article-journal","volume":"4"},"uris":["http://www.mendeley.com/documents/?uuid=7080a7b1-03e1-43df-a4bb-d824adf142df"]}],"mendeley":{"formattedCitation":"Taufik Hidayatullah, Yachlam Pudayana Fitriani Gulo, and Ujang Badru Jnman, “Analisis Yuridis Perlindungan Hukum Terhadap Korban Pelecehan Seksual Verbal,” &lt;i&gt;Jurnal Rechten</w:instrText>
      </w:r>
      <w:r w:rsidRPr="002C142A">
        <w:rPr>
          <w:color w:val="000000" w:themeColor="text1"/>
          <w:sz w:val="16"/>
          <w:szCs w:val="16"/>
        </w:rPr>
        <w:instrText> </w:instrText>
      </w:r>
      <w:r w:rsidRPr="002C142A">
        <w:rPr>
          <w:rFonts w:ascii="Book Antiqua" w:hAnsi="Book Antiqua"/>
          <w:color w:val="000000" w:themeColor="text1"/>
          <w:sz w:val="16"/>
          <w:szCs w:val="16"/>
        </w:rPr>
        <w:instrText>: Riset Hukum Dan Hak Asasi Manusia&lt;/i&gt; 4, no. 2 (2022): 12</w:instrText>
      </w:r>
      <w:r w:rsidRPr="002C142A">
        <w:rPr>
          <w:rFonts w:ascii="Book Antiqua" w:hAnsi="Book Antiqua" w:cs="Book Antiqua"/>
          <w:color w:val="000000" w:themeColor="text1"/>
          <w:sz w:val="16"/>
          <w:szCs w:val="16"/>
        </w:rPr>
        <w:instrText>–</w:instrText>
      </w:r>
      <w:r w:rsidRPr="002C142A">
        <w:rPr>
          <w:rFonts w:ascii="Book Antiqua" w:hAnsi="Book Antiqua"/>
          <w:color w:val="000000" w:themeColor="text1"/>
          <w:sz w:val="16"/>
          <w:szCs w:val="16"/>
        </w:rPr>
        <w:instrText>22, https://doi.org/10.52005/rechten.v4i2.100.","plainTextFormattedCitation":"Taufik Hidayatullah, Yachlam Pudayana Fitriani Gulo, and Ujang Badru Jnman, “Analisis Yuridis Perlindungan Hukum Terhadap Korban Pelecehan Seksual Verbal,” Jurnal Rechten</w:instrText>
      </w:r>
      <w:r w:rsidRPr="002C142A">
        <w:rPr>
          <w:color w:val="000000" w:themeColor="text1"/>
          <w:sz w:val="16"/>
          <w:szCs w:val="16"/>
        </w:rPr>
        <w:instrText> </w:instrText>
      </w:r>
      <w:r w:rsidRPr="002C142A">
        <w:rPr>
          <w:rFonts w:ascii="Book Antiqua" w:hAnsi="Book Antiqua"/>
          <w:color w:val="000000" w:themeColor="text1"/>
          <w:sz w:val="16"/>
          <w:szCs w:val="16"/>
        </w:rPr>
        <w:instrText>: Riset Hukum Dan Hak Asasi Manusia 4, no. 2 (2022): 12</w:instrText>
      </w:r>
      <w:r w:rsidRPr="002C142A">
        <w:rPr>
          <w:rFonts w:ascii="Book Antiqua" w:hAnsi="Book Antiqua" w:cs="Book Antiqua"/>
          <w:color w:val="000000" w:themeColor="text1"/>
          <w:sz w:val="16"/>
          <w:szCs w:val="16"/>
        </w:rPr>
        <w:instrText>–</w:instrText>
      </w:r>
      <w:r w:rsidRPr="002C142A">
        <w:rPr>
          <w:rFonts w:ascii="Book Antiqua" w:hAnsi="Book Antiqua"/>
          <w:color w:val="000000" w:themeColor="text1"/>
          <w:sz w:val="16"/>
          <w:szCs w:val="16"/>
        </w:rPr>
        <w:instrText>22, https://doi.org/10.52005/rechten.v4i2.100.","previouslyFormattedCitation":"Taufik Hidayatullah, Yachlam Pudayana Fitriani Gulo, and Ujang Badru Jnman, “Analisis Yuridis Perlindungan Hukum Terhadap Korban Pelecehan Seksual Verbal,” &lt;i&gt;Jurnal Rechten</w:instrText>
      </w:r>
      <w:r w:rsidRPr="002C142A">
        <w:rPr>
          <w:color w:val="000000" w:themeColor="text1"/>
          <w:sz w:val="16"/>
          <w:szCs w:val="16"/>
        </w:rPr>
        <w:instrText> </w:instrText>
      </w:r>
      <w:r w:rsidRPr="002C142A">
        <w:rPr>
          <w:rFonts w:ascii="Book Antiqua" w:hAnsi="Book Antiqua"/>
          <w:color w:val="000000" w:themeColor="text1"/>
          <w:sz w:val="16"/>
          <w:szCs w:val="16"/>
        </w:rPr>
        <w:instrText>: Riset Hukum Dan Hak Asasi Manusia&lt;/i&gt; 4, no. 2 (2022): 12</w:instrText>
      </w:r>
      <w:r w:rsidRPr="002C142A">
        <w:rPr>
          <w:rFonts w:ascii="Book Antiqua" w:hAnsi="Book Antiqua" w:cs="Book Antiqua"/>
          <w:color w:val="000000" w:themeColor="text1"/>
          <w:sz w:val="16"/>
          <w:szCs w:val="16"/>
        </w:rPr>
        <w:instrText>–</w:instrText>
      </w:r>
      <w:r w:rsidRPr="002C142A">
        <w:rPr>
          <w:rFonts w:ascii="Book Antiqua" w:hAnsi="Book Antiqua"/>
          <w:color w:val="000000" w:themeColor="text1"/>
          <w:sz w:val="16"/>
          <w:szCs w:val="16"/>
        </w:rPr>
        <w:instrText>22, https://doi.org/10.52005/rechten.v4i2.100."},"properties":{"noteIndex":33},"schema":"https://github.com/citation-style-language/schema/raw/master/csl-citation.json"}</w:instrText>
      </w:r>
      <w:r w:rsidRPr="002C142A">
        <w:rPr>
          <w:rFonts w:ascii="Book Antiqua" w:hAnsi="Book Antiqua"/>
          <w:color w:val="000000" w:themeColor="text1"/>
          <w:sz w:val="16"/>
          <w:szCs w:val="16"/>
        </w:rPr>
        <w:fldChar w:fldCharType="separate"/>
      </w:r>
      <w:r w:rsidRPr="002C142A">
        <w:rPr>
          <w:rFonts w:ascii="Book Antiqua" w:hAnsi="Book Antiqua"/>
          <w:noProof/>
          <w:color w:val="000000" w:themeColor="text1"/>
          <w:sz w:val="16"/>
          <w:szCs w:val="16"/>
        </w:rPr>
        <w:t xml:space="preserve">Taufik Hidayatullah, Yachlam Pudayana Fitriani Gulo, and Ujang Badru Jnman, “Analisis Yuridis Perlindungan Hukum Terhadap Korban Pelecehan Seksual Verbal,” </w:t>
      </w:r>
      <w:r w:rsidRPr="002C142A">
        <w:rPr>
          <w:rFonts w:ascii="Book Antiqua" w:hAnsi="Book Antiqua"/>
          <w:i/>
          <w:noProof/>
          <w:color w:val="000000" w:themeColor="text1"/>
          <w:sz w:val="16"/>
          <w:szCs w:val="16"/>
        </w:rPr>
        <w:t>Jurnal Rechten</w:t>
      </w:r>
      <w:r w:rsidRPr="002C142A">
        <w:rPr>
          <w:i/>
          <w:noProof/>
          <w:color w:val="000000" w:themeColor="text1"/>
          <w:sz w:val="16"/>
          <w:szCs w:val="16"/>
        </w:rPr>
        <w:t> </w:t>
      </w:r>
      <w:r w:rsidRPr="002C142A">
        <w:rPr>
          <w:rFonts w:ascii="Book Antiqua" w:hAnsi="Book Antiqua"/>
          <w:i/>
          <w:noProof/>
          <w:color w:val="000000" w:themeColor="text1"/>
          <w:sz w:val="16"/>
          <w:szCs w:val="16"/>
        </w:rPr>
        <w:t>: Riset Hukum Dan Hak Asasi Manusia</w:t>
      </w:r>
      <w:r w:rsidRPr="002C142A">
        <w:rPr>
          <w:rFonts w:ascii="Book Antiqua" w:hAnsi="Book Antiqua"/>
          <w:noProof/>
          <w:color w:val="000000" w:themeColor="text1"/>
          <w:sz w:val="16"/>
          <w:szCs w:val="16"/>
        </w:rPr>
        <w:t xml:space="preserve"> 4, no. 2 (2022): 12–22, https://doi.org/10.52005/rechten.v4i2.100.</w:t>
      </w:r>
      <w:r w:rsidRPr="002C142A">
        <w:rPr>
          <w:rFonts w:ascii="Book Antiqua" w:hAnsi="Book Antiqua"/>
          <w:color w:val="000000" w:themeColor="text1"/>
          <w:sz w:val="16"/>
          <w:szCs w:val="16"/>
        </w:rPr>
        <w:fldChar w:fldCharType="end"/>
      </w:r>
    </w:p>
  </w:footnote>
  <w:footnote w:id="34">
    <w:p w14:paraId="1B0C443A" w14:textId="02D715F6" w:rsidR="00C04C78" w:rsidRPr="002C142A" w:rsidRDefault="00C04C78" w:rsidP="0033762A">
      <w:pPr>
        <w:pStyle w:val="FootnoteText"/>
        <w:jc w:val="both"/>
        <w:rPr>
          <w:rFonts w:ascii="Book Antiqua" w:hAnsi="Book Antiqua"/>
          <w:sz w:val="16"/>
          <w:szCs w:val="16"/>
        </w:rPr>
      </w:pPr>
      <w:r w:rsidRPr="002C142A">
        <w:rPr>
          <w:rStyle w:val="FootnoteReference"/>
          <w:rFonts w:ascii="Book Antiqua" w:hAnsi="Book Antiqua"/>
          <w:sz w:val="16"/>
          <w:szCs w:val="16"/>
        </w:rPr>
        <w:footnoteRef/>
      </w:r>
      <w:r w:rsidRPr="002C142A">
        <w:rPr>
          <w:rFonts w:ascii="Book Antiqua" w:hAnsi="Book Antiqua"/>
          <w:sz w:val="16"/>
          <w:szCs w:val="16"/>
        </w:rPr>
        <w:t xml:space="preserve"> </w:t>
      </w:r>
      <w:r w:rsidRPr="002C142A">
        <w:rPr>
          <w:rFonts w:ascii="Book Antiqua" w:hAnsi="Book Antiqua"/>
          <w:sz w:val="16"/>
          <w:szCs w:val="16"/>
        </w:rPr>
        <w:fldChar w:fldCharType="begin" w:fldLock="1"/>
      </w:r>
      <w:r w:rsidRPr="002C142A">
        <w:rPr>
          <w:rFonts w:ascii="Book Antiqua" w:hAnsi="Book Antiqua"/>
          <w:sz w:val="16"/>
          <w:szCs w:val="16"/>
        </w:rPr>
        <w:instrText>ADDIN CSL_CITATION {"citationItems":[{"id":"ITEM-1","itemData":{"DOI":"https://doi.org/10.23920/acta.v5i1.712","author":[{"dropping-particle":"","family":"Nurahmasari","given":"Revita","non-dropping-particle":"","parse-names":false,"suffix":""},{"dropping-particle":"","family":"Amirulloh","given":"Muhamad","non-dropping-particle":"","parse-names":false,"suffix":""},{"dropping-particle":"","family":"Afriana","given":"Anita","non-dropping-particle":"","parse-names":false,"suffix":""}],"id":"ITEM-1","issued":{"date-parts":[["2021"]]},"page":"123-138","title":"Mediasi Sebagai Kewajiban Penyelesaian Sengketa Perdata Pelanggaran Paten di Indonesia Demi Kepastian dan Kemanfaatan Hukum","type":"article-journal","volume":"5"},"uris":["http://www.mendeley.com/documents/?uuid=94e79f0d-f58c-4ddc-867f-de9f2f0fc0aa"]}],"mendeley":{"formattedCitation":"Nurahmasari, Amirulloh, and Afriana, “Mediasi Sebagai Kewajiban Penyelesaian Sengketa Perdata Pelanggaran Paten Di Indonesia Demi Kepastian Dan Kemanfaatan Hukum.”","plainTextFormattedCitation":"Nurahmasari, Amirulloh, and Afriana, “Mediasi Sebagai Kewajiban Penyelesaian Sengketa Perdata Pelanggaran Paten Di Indonesia Demi Kepastian Dan Kemanfaatan Hukum.”","previouslyFormattedCitation":"Nurahmasari, Amirulloh, and Afriana, “Mediasi Sebagai Kewajiban Penyelesaian Sengketa Perdata Pelanggaran Paten Di Indonesia Demi Kepastian Dan Kemanfaatan Hukum.”"},"properties":{"noteIndex":34},"schema":"https://github.com/citation-style-language/schema/raw/master/csl-citation.json"}</w:instrText>
      </w:r>
      <w:r w:rsidRPr="002C142A">
        <w:rPr>
          <w:rFonts w:ascii="Book Antiqua" w:hAnsi="Book Antiqua"/>
          <w:sz w:val="16"/>
          <w:szCs w:val="16"/>
        </w:rPr>
        <w:fldChar w:fldCharType="separate"/>
      </w:r>
      <w:r w:rsidRPr="002C142A">
        <w:rPr>
          <w:rFonts w:ascii="Book Antiqua" w:hAnsi="Book Antiqua"/>
          <w:noProof/>
          <w:sz w:val="16"/>
          <w:szCs w:val="16"/>
        </w:rPr>
        <w:t>Nurahmasari, Amirulloh, and Afriana, “Mediasi Sebagai Kewajiban Penyelesaian Sengketa Perdata Pelanggaran Paten Di Indonesia Demi Kepastian Dan Kemanfaatan Hukum.”</w:t>
      </w:r>
      <w:r w:rsidRPr="002C142A">
        <w:rPr>
          <w:rFonts w:ascii="Book Antiqua" w:hAnsi="Book Antiqua"/>
          <w:sz w:val="16"/>
          <w:szCs w:val="16"/>
        </w:rPr>
        <w:fldChar w:fldCharType="end"/>
      </w:r>
    </w:p>
  </w:footnote>
  <w:footnote w:id="35">
    <w:p w14:paraId="2A929E5B" w14:textId="324C3A2B" w:rsidR="00C04C78" w:rsidRPr="002C142A" w:rsidRDefault="00C04C78" w:rsidP="0033762A">
      <w:pPr>
        <w:pStyle w:val="FootnoteText"/>
        <w:jc w:val="both"/>
        <w:rPr>
          <w:rFonts w:ascii="Book Antiqua" w:hAnsi="Book Antiqua"/>
        </w:rPr>
      </w:pPr>
      <w:r w:rsidRPr="002C142A">
        <w:rPr>
          <w:rStyle w:val="FootnoteReference"/>
          <w:rFonts w:ascii="Book Antiqua" w:hAnsi="Book Antiqua"/>
          <w:sz w:val="16"/>
          <w:szCs w:val="16"/>
        </w:rPr>
        <w:footnoteRef/>
      </w:r>
      <w:r w:rsidRPr="002C142A">
        <w:rPr>
          <w:rFonts w:ascii="Book Antiqua" w:hAnsi="Book Antiqua"/>
          <w:sz w:val="16"/>
          <w:szCs w:val="16"/>
        </w:rPr>
        <w:t xml:space="preserve"> </w:t>
      </w:r>
      <w:r w:rsidRPr="002C142A">
        <w:rPr>
          <w:rFonts w:ascii="Book Antiqua" w:hAnsi="Book Antiqua"/>
          <w:sz w:val="16"/>
          <w:szCs w:val="16"/>
        </w:rPr>
        <w:fldChar w:fldCharType="begin" w:fldLock="1"/>
      </w:r>
      <w:r w:rsidRPr="002C142A">
        <w:rPr>
          <w:rFonts w:ascii="Book Antiqua" w:hAnsi="Book Antiqua"/>
          <w:sz w:val="16"/>
          <w:szCs w:val="16"/>
        </w:rPr>
        <w:instrText>ADDIN CSL_CITATION {"citationItems":[{"id":"ITEM-1","itemData":{"DOI":"https://doi.org/10.29303/","author":[{"dropping-particle":"","family":"Mulyono","given":"Aji","non-dropping-particle":"","parse-names":false,"suffix":""},{"dropping-particle":"","family":"Sutrisno","given":"Budi","non-dropping-particle":"","parse-names":false,"suffix":""},{"dropping-particle":"","family":"Martini","given":"Dwi","non-dropping-particle":"","parse-names":false,"suffix":""}],"id":"ITEM-1","issued":{"date-parts":[["2021"]]},"title":"Perlindungan Hukum terhadap Pemakai Terdahulu suatu Invensi yang Sama dalam Sistem Paten (Studi Putusan PN Niaga Surabaya Nomor 1/PDT.Sus-Paten/2019/PN.Niaga.SBY)","type":"article-journal","volume":"1"},"uris":["http://www.mendeley.com/documents/?uuid=82648a45-7622-4455-8aad-37171000dd14"]}],"mendeley":{"formattedCitation":"Aji Mulyono, Budi Sutrisno, and Dwi Martini, “Perlindungan Hukum Terhadap Pemakai Terdahulu Suatu Invensi Yang Sama Dalam Sistem Paten (Studi Putusan PN Niaga Surabaya Nomor 1/PDT.Sus-Paten/2019/PN.Niaga.SBY)” 1 (2021), https://doi.org/https://doi.org/10.29303/.","plainTextFormattedCitation":"Aji Mulyono, Budi Sutrisno, and Dwi Martini, “Perlindungan Hukum Terhadap Pemakai Terdahulu Suatu Invensi Yang Sama Dalam Sistem Paten (Studi Putusan PN Niaga Surabaya Nomor 1/PDT.Sus-Paten/2019/PN.Niaga.SBY)” 1 (2021), https://doi.org/https://doi.org/10.29303/.","previouslyFormattedCitation":"Aji Mulyono, Budi Sutrisno, and Dwi Martini, “Perlindungan Hukum Terhadap Pemakai Terdahulu Suatu Invensi Yang Sama Dalam Sistem Paten (Studi Putusan PN Niaga Surabaya Nomor 1/PDT.Sus-Paten/2019/PN.Niaga.SBY)” 1 (2021), https://doi.org/https://doi.org/10.29303/."},"properties":{"noteIndex":35},"schema":"https://github.com/citation-style-language/schema/raw/master/csl-citation.json"}</w:instrText>
      </w:r>
      <w:r w:rsidRPr="002C142A">
        <w:rPr>
          <w:rFonts w:ascii="Book Antiqua" w:hAnsi="Book Antiqua"/>
          <w:sz w:val="16"/>
          <w:szCs w:val="16"/>
        </w:rPr>
        <w:fldChar w:fldCharType="separate"/>
      </w:r>
      <w:r w:rsidRPr="002C142A">
        <w:rPr>
          <w:rFonts w:ascii="Book Antiqua" w:hAnsi="Book Antiqua"/>
          <w:noProof/>
          <w:sz w:val="16"/>
          <w:szCs w:val="16"/>
        </w:rPr>
        <w:t>Aji Mulyono, Budi Sutrisno, and Dwi Martini, “Perlindungan Hukum Terhadap Pemakai Terdahulu Suatu Invensi Yang Sama Dalam Sistem Paten (Studi Putusan PN Niaga Surabaya Nomor 1/PDT.Sus-Paten/2019/PN.Niaga.SBY)” 1 (2021), https://doi.org/https://doi.org/10.29303/.</w:t>
      </w:r>
      <w:r w:rsidRPr="002C142A">
        <w:rPr>
          <w:rFonts w:ascii="Book Antiqua" w:hAnsi="Book Antiqua"/>
          <w:sz w:val="16"/>
          <w:szCs w:val="16"/>
        </w:rPr>
        <w:fldChar w:fldCharType="end"/>
      </w:r>
    </w:p>
  </w:footnote>
  <w:footnote w:id="36">
    <w:p w14:paraId="6823FD2F" w14:textId="54369F70" w:rsidR="00C04C78" w:rsidRPr="002C142A" w:rsidRDefault="00C04C78" w:rsidP="0033762A">
      <w:pPr>
        <w:pStyle w:val="FootnoteText"/>
        <w:jc w:val="both"/>
        <w:rPr>
          <w:rFonts w:ascii="Book Antiqua" w:hAnsi="Book Antiqua"/>
          <w:sz w:val="16"/>
          <w:szCs w:val="16"/>
        </w:rPr>
      </w:pPr>
      <w:r w:rsidRPr="002C142A">
        <w:rPr>
          <w:rStyle w:val="FootnoteReference"/>
          <w:rFonts w:ascii="Book Antiqua" w:hAnsi="Book Antiqua"/>
          <w:sz w:val="16"/>
          <w:szCs w:val="16"/>
        </w:rPr>
        <w:footnoteRef/>
      </w:r>
      <w:r w:rsidRPr="002C142A">
        <w:rPr>
          <w:rFonts w:ascii="Book Antiqua" w:hAnsi="Book Antiqua"/>
          <w:sz w:val="16"/>
          <w:szCs w:val="16"/>
        </w:rPr>
        <w:t xml:space="preserve"> </w:t>
      </w:r>
      <w:r w:rsidRPr="002C142A">
        <w:rPr>
          <w:rFonts w:ascii="Book Antiqua" w:hAnsi="Book Antiqua"/>
          <w:sz w:val="16"/>
          <w:szCs w:val="16"/>
        </w:rPr>
        <w:fldChar w:fldCharType="begin" w:fldLock="1"/>
      </w:r>
      <w:r w:rsidRPr="002C142A">
        <w:rPr>
          <w:rFonts w:ascii="Book Antiqua" w:hAnsi="Book Antiqua"/>
          <w:sz w:val="16"/>
          <w:szCs w:val="16"/>
        </w:rPr>
        <w:instrText>ADDIN CSL_CITATION {"citationItems":[{"id":"ITEM-1","itemData":{"DOI":"10.36722/jmih.v3i2.755","ISSN":"2548-7884","abstract":"&lt;p&gt;Abstrak-Pengertian Hak Paten atau definisi hak paten adalah hak ekslusif yang diberikan oleh negara kepada inventor atas hasil invensinya di bidang teknologi, yg untuk selama waktu tertentu melaksanakan sendiri invensinya tersebut atau memberikan persetujuannya kepada pihak lain untuk melaksanakannya. Pengertian Hak Paten atau definisi hak paten merupakan bentuk perlindungan hak kekayaan intelektual yang sangat efektif karena dapat mencegah pelaksanaan invensi oleh pihak lain tanpa seizin pemegang hak paten, walaupun pihak lain tersebut memperoleh teknologinya secara mandiri (bukan meniru). Menurut UU hak paten No. 14 Tahun 2001 (UU hak paten 2001), hak paten diberikan untuk invensi yang memenuhi syarat kebaruan, mengandung langkah inventif &amp;amp; dapat diterapkan dalam industri selama 20 tahun.&lt;/p&gt;&lt;p&gt;Kata Kunci: Hak, Paten, Indonesia&lt;/p&gt;","author":[{"dropping-particle":"","family":"Sadino","given":"Sadino","non-dropping-particle":"","parse-names":false,"suffix":""},{"dropping-particle":"","family":"Astuti","given":"Julia","non-dropping-particle":"","parse-names":false,"suffix":""}],"container-title":"Jurnal Magister Ilmu Hukum","id":"ITEM-1","issue":"2","issued":{"date-parts":[["2021"]]},"page":"41","title":"Penerapan Hak Paten Di Indonesia","type":"article-journal","volume":"3"},"uris":["http://www.mendeley.com/documents/?uuid=32fbb2fb-7cc2-44d5-a612-9d283d0240ed"]}],"mendeley":{"formattedCitation":"Sadino Sadino and Julia Astuti, “Penerapan Hak Paten Di Indonesia,” &lt;i&gt;Jurnal Magister Ilmu Hukum&lt;/i&gt; 3, no. 2 (2021): 41, https://doi.org/10.36722/jmih.v3i2.755.","plainTextFormattedCitation":"Sadino Sadino and Julia Astuti, “Penerapan Hak Paten Di Indonesia,” Jurnal Magister Ilmu Hukum 3, no. 2 (2021): 41, https://doi.org/10.36722/jmih.v3i2.755.","previouslyFormattedCitation":"Sadino Sadino and Julia Astuti, “Penerapan Hak Paten Di Indonesia,” &lt;i&gt;Jurnal Magister Ilmu Hukum&lt;/i&gt; 3, no. 2 (2021): 41, https://doi.org/10.36722/jmih.v3i2.755."},"properties":{"noteIndex":36},"schema":"https://github.com/citation-style-language/schema/raw/master/csl-citation.json"}</w:instrText>
      </w:r>
      <w:r w:rsidRPr="002C142A">
        <w:rPr>
          <w:rFonts w:ascii="Book Antiqua" w:hAnsi="Book Antiqua"/>
          <w:sz w:val="16"/>
          <w:szCs w:val="16"/>
        </w:rPr>
        <w:fldChar w:fldCharType="separate"/>
      </w:r>
      <w:r w:rsidRPr="002C142A">
        <w:rPr>
          <w:rFonts w:ascii="Book Antiqua" w:hAnsi="Book Antiqua"/>
          <w:noProof/>
          <w:sz w:val="16"/>
          <w:szCs w:val="16"/>
        </w:rPr>
        <w:t xml:space="preserve">Sadino Sadino and Julia Astuti, “Penerapan Hak Paten Di Indonesia,” </w:t>
      </w:r>
      <w:r w:rsidRPr="002C142A">
        <w:rPr>
          <w:rFonts w:ascii="Book Antiqua" w:hAnsi="Book Antiqua"/>
          <w:i/>
          <w:noProof/>
          <w:sz w:val="16"/>
          <w:szCs w:val="16"/>
        </w:rPr>
        <w:t>Jurnal Magister Ilmu Hukum</w:t>
      </w:r>
      <w:r w:rsidRPr="002C142A">
        <w:rPr>
          <w:rFonts w:ascii="Book Antiqua" w:hAnsi="Book Antiqua"/>
          <w:noProof/>
          <w:sz w:val="16"/>
          <w:szCs w:val="16"/>
        </w:rPr>
        <w:t xml:space="preserve"> 3, no. 2 (2021): 41, https://doi.org/10.36722/jmih.v3i2.755.</w:t>
      </w:r>
      <w:r w:rsidRPr="002C142A">
        <w:rPr>
          <w:rFonts w:ascii="Book Antiqua" w:hAnsi="Book Antiqua"/>
          <w:sz w:val="16"/>
          <w:szCs w:val="16"/>
        </w:rPr>
        <w:fldChar w:fldCharType="end"/>
      </w:r>
    </w:p>
  </w:footnote>
  <w:footnote w:id="37">
    <w:p w14:paraId="4EEB58FD" w14:textId="0AE82C18" w:rsidR="00C04C78" w:rsidRPr="0033762A" w:rsidRDefault="00C04C78" w:rsidP="0033762A">
      <w:pPr>
        <w:pStyle w:val="FootnoteText"/>
        <w:jc w:val="both"/>
        <w:rPr>
          <w:rFonts w:ascii="Book Antiqua" w:hAnsi="Book Antiqua"/>
        </w:rPr>
      </w:pPr>
      <w:r w:rsidRPr="002C142A">
        <w:rPr>
          <w:rStyle w:val="FootnoteReference"/>
          <w:rFonts w:ascii="Book Antiqua" w:hAnsi="Book Antiqua"/>
          <w:color w:val="000000" w:themeColor="text1"/>
          <w:sz w:val="16"/>
          <w:szCs w:val="16"/>
        </w:rPr>
        <w:footnoteRef/>
      </w:r>
      <w:r w:rsidRPr="002C142A">
        <w:rPr>
          <w:rFonts w:ascii="Book Antiqua" w:hAnsi="Book Antiqua"/>
          <w:color w:val="000000" w:themeColor="text1"/>
          <w:sz w:val="16"/>
          <w:szCs w:val="16"/>
        </w:rPr>
        <w:t xml:space="preserve"> </w:t>
      </w:r>
      <w:r w:rsidRPr="002C142A">
        <w:rPr>
          <w:rFonts w:ascii="Book Antiqua" w:hAnsi="Book Antiqua"/>
          <w:color w:val="000000" w:themeColor="text1"/>
          <w:sz w:val="16"/>
          <w:szCs w:val="16"/>
        </w:rPr>
        <w:fldChar w:fldCharType="begin" w:fldLock="1"/>
      </w:r>
      <w:r w:rsidRPr="002C142A">
        <w:rPr>
          <w:rFonts w:ascii="Book Antiqua" w:hAnsi="Book Antiqua"/>
          <w:color w:val="000000" w:themeColor="text1"/>
          <w:sz w:val="16"/>
          <w:szCs w:val="16"/>
        </w:rPr>
        <w:instrText>ADDIN CSL_CITATION {"citationItems":[{"id":"ITEM-1","itemData":{"author":[{"dropping-particle":"","family":"Aruan","given":"Haposan Lambelouis Valentino","non-dropping-particle":"","parse-names":false,"suffix":""}],"id":"ITEM-1","issue":"46","issued":{"date-parts":[["2023"]]},"publisher":"Universitas Kristen Indonesia","title":"Perlindungan Hukum Pemegang Paten di Indonesia Studi Kasus No 46/Pdt.Sus-Paten/2021/PN.Niaga.Jkt.Pst","type":"thesis"},"uris":["http://www.mendeley.com/documents/?uuid=a10c3e1a-1647-4cc4-8162-6ba3d6323664"]}],"mendeley":{"formattedCitation":"Haposan Lambelouis Valentino Aruan, “Perlindungan Hukum Pemegang Paten Di Indonesia Studi Kasus No 46/Pdt.Sus-Paten/2021/PN.Niaga.Jkt.Pst” (Universitas Kristen Indonesia, 2023), http://repository.uki.ac.id/12453/.","plainTextFormattedCitation":"Haposan Lambelouis Valentino Aruan, “Perlindungan Hukum Pemegang Paten Di Indonesia Studi Kasus No 46/Pdt.Sus-Paten/2021/PN.Niaga.Jkt.Pst” (Universitas Kristen Indonesia, 2023), http://repository.uki.ac.id/12453/.","previouslyFormattedCitation":"Haposan Lambelouis Valentino Aruan, “Perlindungan Hukum Pemegang Paten Di Indonesia Studi Kasus No 46/Pdt.Sus-Paten/2021/PN.Niaga.Jkt.Pst” (Universitas Kristen Indonesia, 2023), http://repository.uki.ac.id/12453/."},"properties":{"noteIndex":37},"schema":"https://github.com/citation-style-language/schema/raw/master/csl-citation.json"}</w:instrText>
      </w:r>
      <w:r w:rsidRPr="002C142A">
        <w:rPr>
          <w:rFonts w:ascii="Book Antiqua" w:hAnsi="Book Antiqua"/>
          <w:color w:val="000000" w:themeColor="text1"/>
          <w:sz w:val="16"/>
          <w:szCs w:val="16"/>
        </w:rPr>
        <w:fldChar w:fldCharType="separate"/>
      </w:r>
      <w:r w:rsidRPr="002C142A">
        <w:rPr>
          <w:rFonts w:ascii="Book Antiqua" w:hAnsi="Book Antiqua"/>
          <w:noProof/>
          <w:color w:val="000000" w:themeColor="text1"/>
          <w:sz w:val="16"/>
          <w:szCs w:val="16"/>
        </w:rPr>
        <w:t>Haposan Lambelouis Valentino Aruan, “Perlindungan Hukum Pemegang Paten Di Indonesia Studi Kasus No 46/Pdt.Sus-Paten/2021/PN.Niaga.Jkt.Pst” (Universitas Kristen Indonesia, 2023), http://repository.uki.ac.id/12453/.</w:t>
      </w:r>
      <w:r w:rsidRPr="002C142A">
        <w:rPr>
          <w:rFonts w:ascii="Book Antiqua" w:hAnsi="Book Antiqua"/>
          <w:color w:val="000000" w:themeColor="text1"/>
          <w:sz w:val="16"/>
          <w:szCs w:val="16"/>
        </w:rPr>
        <w:fldChar w:fldCharType="end"/>
      </w:r>
    </w:p>
  </w:footnote>
  <w:footnote w:id="38">
    <w:p w14:paraId="0628B648" w14:textId="6920E917" w:rsidR="00C04C78" w:rsidRPr="006506F8" w:rsidRDefault="00C04C78" w:rsidP="006506F8">
      <w:pPr>
        <w:pStyle w:val="FootnoteText"/>
        <w:jc w:val="both"/>
        <w:rPr>
          <w:rFonts w:ascii="Book Antiqua" w:hAnsi="Book Antiqua"/>
          <w:color w:val="000000" w:themeColor="text1"/>
          <w:sz w:val="16"/>
          <w:szCs w:val="16"/>
        </w:rPr>
      </w:pPr>
      <w:r w:rsidRPr="006506F8">
        <w:rPr>
          <w:rStyle w:val="FootnoteReference"/>
          <w:rFonts w:ascii="Book Antiqua" w:hAnsi="Book Antiqua"/>
          <w:color w:val="000000" w:themeColor="text1"/>
          <w:sz w:val="16"/>
          <w:szCs w:val="16"/>
        </w:rPr>
        <w:footnoteRef/>
      </w:r>
      <w:r w:rsidRPr="006506F8">
        <w:rPr>
          <w:rFonts w:ascii="Book Antiqua" w:hAnsi="Book Antiqua"/>
          <w:color w:val="000000" w:themeColor="text1"/>
          <w:sz w:val="16"/>
          <w:szCs w:val="16"/>
        </w:rPr>
        <w:t xml:space="preserve"> </w:t>
      </w:r>
      <w:r w:rsidRPr="006506F8">
        <w:rPr>
          <w:rFonts w:ascii="Book Antiqua" w:hAnsi="Book Antiqua"/>
          <w:color w:val="000000" w:themeColor="text1"/>
          <w:sz w:val="16"/>
          <w:szCs w:val="16"/>
        </w:rPr>
        <w:fldChar w:fldCharType="begin" w:fldLock="1"/>
      </w:r>
      <w:r>
        <w:rPr>
          <w:rFonts w:ascii="Book Antiqua" w:hAnsi="Book Antiqua"/>
          <w:color w:val="000000" w:themeColor="text1"/>
          <w:sz w:val="16"/>
          <w:szCs w:val="16"/>
        </w:rPr>
        <w:instrText>ADDIN CSL_CITATION {"citationItems":[{"id":"ITEM-1","itemData":{"abstract":"Penelitian ini bertujuan : untuk mengetahui dan menganalisis dasar pertimbangan hakim dalam menjatuhkan putusan terhadap Kasus Putusan Mahkamah Agun Nomor 910 K/Pdt.Sus-HKI/2020).. Permasalahan dalam penelitian ini adalah: apa yang menjadi dasar pertimbangan hakim dalam menjatuhkan putusan terhadap tergugat dalam konteks hak cipta lagu (cover version) tipe pendekatan penelitian yang digunakan dalam penelitian ini adalah yuridis normatif dengan pendekatan penelitian yang digunakana adalah pendekatan perundang-undangan (statue approach), pendekatan konseptual (conceptual approach), dan pendekatan kasus (case approach) dan juga pengumpulan bahan-bahan yang dapat dijadikan sumber dalam penelitian skripsi ini. Berdasarkan metode penelitian yang digunakan hasil penelitian menunjukan. Pelanggaran hak cipta yang dilakukan oleh seseorang atau kelompok dalam hal perbuatan mengcover lagu ciptaan orang lain tanpa izin dari pemilik resmi pencipta lagu tersebut merupakan suatu pelanggaran hak eksklusif yang dimiliki oleh pencipta. Hak eksklusif ini terdiri dari hak moral dan hak ekonomi, kedua hak ini memiliki intensitas tersendiri yang mencakup dari sisi komersial dan moralitas pribadi si pencipta. Terutama lebih turtuju kepada aspek hak moral yang terdapat di dalam hak eksklusif pencipta, hak moral merupakan hak dari kepribadian si pencipta (dalam hal ini adalah hak cipta lagu), dimana hak moral tidak dapat beralih kepada siapapun yang artinya hak moral bersifat abadi dalam diri pencipta, untuk itu sangat penting dilakukannya perlindungan hukum atas hak eksklusif pencipta. Salah satu media platform yang menjadi sarana menunjukkan hasil dari cover version lagu adalah youtube, seringnya terjadi pelanggaran hak cipta di youtube karena youtube sangat mudah diakses oleh orang di penjuru dunia yang membuat pengcover menjadi sosok yang terkenal yang mendapatkan keuntungan dari sisi komersial dan moralitas dan mengkesampingkan dampak negatif yang ditimbulkan kepada pencipta resmi. Kata kunci : hak cipta, cover version lagu, hak moral, youtube","author":[{"dropping-particle":"","family":"Hutagalug","given":"Whendy Pratama","non-dropping-particle":"","parse-names":false,"suffix":""}],"id":"ITEM-1","issued":{"date-parts":[["2022"]]},"number-of-pages":"1-22","publisher":"Universitas Jambi","title":"Tinjauan Yuridis Aspek Hak Moral Terhadap Cover Version Lagu pada Platform Youtube (Studi Kasus Mahkamah Agung putusan Nomor 910 K/Pdt.Sus-HKI/2020)","type":"thesis"},"uris":["http://www.mendeley.com/documents/?uuid=8ac9105b-7f0d-4ac3-b96b-b8e29dd5c737"]}],"mendeley":{"formattedCitation":"Whendy Pratama Hutagalug, “Tinjauan Yuridis Aspek Hak Moral Terhadap Cover Version Lagu Pada Platform Youtube (Studi Kasus Mahkamah Agung Putusan Nomor 910 K/Pdt.Sus-HKI/2020)” (Universitas Jambi, 2022), https://repository.unja.ac.id/id/eprint/37729.","plainTextFormattedCitation":"Whendy Pratama Hutagalug, “Tinjauan Yuridis Aspek Hak Moral Terhadap Cover Version Lagu Pada Platform Youtube (Studi Kasus Mahkamah Agung Putusan Nomor 910 K/Pdt.Sus-HKI/2020)” (Universitas Jambi, 2022), https://repository.unja.ac.id/id/eprint/37729.","previouslyFormattedCitation":"Whendy Pratama Hutagalug, “Tinjauan Yuridis Aspek Hak Moral Terhadap Cover Version Lagu Pada Platform Youtube (Studi Kasus Mahkamah Agung Putusan Nomor 910 K/Pdt.Sus-HKI/2020)” (Universitas Jambi, 2022), https://repository.unja.ac.id/id/eprint/37729."},"properties":{"noteIndex":38},"schema":"https://github.com/citation-style-language/schema/raw/master/csl-citation.json"}</w:instrText>
      </w:r>
      <w:r w:rsidRPr="006506F8">
        <w:rPr>
          <w:rFonts w:ascii="Book Antiqua" w:hAnsi="Book Antiqua"/>
          <w:color w:val="000000" w:themeColor="text1"/>
          <w:sz w:val="16"/>
          <w:szCs w:val="16"/>
        </w:rPr>
        <w:fldChar w:fldCharType="separate"/>
      </w:r>
      <w:r w:rsidRPr="006506F8">
        <w:rPr>
          <w:rFonts w:ascii="Book Antiqua" w:hAnsi="Book Antiqua"/>
          <w:noProof/>
          <w:color w:val="000000" w:themeColor="text1"/>
          <w:sz w:val="16"/>
          <w:szCs w:val="16"/>
        </w:rPr>
        <w:t>Whendy Pratama Hutagalug, “Tinjauan Yuridis Aspek Hak Moral Terhadap Cover Version Lagu Pada Platform Youtube (Studi Kasus Mahkamah Agung Putusan Nomor 910 K/Pdt.Sus-HKI/2020)” (Universitas Jambi, 2022), https://repository.unja.ac.id/id/eprint/37729.</w:t>
      </w:r>
      <w:r w:rsidRPr="006506F8">
        <w:rPr>
          <w:rFonts w:ascii="Book Antiqua" w:hAnsi="Book Antiqua"/>
          <w:color w:val="000000" w:themeColor="text1"/>
          <w:sz w:val="16"/>
          <w:szCs w:val="16"/>
        </w:rPr>
        <w:fldChar w:fldCharType="end"/>
      </w:r>
    </w:p>
  </w:footnote>
  <w:footnote w:id="39">
    <w:p w14:paraId="3148F7A3" w14:textId="66CDE9BA" w:rsidR="00C04C78" w:rsidRPr="006506F8" w:rsidRDefault="00C04C78" w:rsidP="006506F8">
      <w:pPr>
        <w:pStyle w:val="FootnoteText"/>
        <w:jc w:val="both"/>
        <w:rPr>
          <w:rFonts w:ascii="Book Antiqua" w:hAnsi="Book Antiqua"/>
          <w:color w:val="000000" w:themeColor="text1"/>
          <w:sz w:val="16"/>
          <w:szCs w:val="16"/>
        </w:rPr>
      </w:pPr>
      <w:r w:rsidRPr="006506F8">
        <w:rPr>
          <w:rStyle w:val="FootnoteReference"/>
          <w:rFonts w:ascii="Book Antiqua" w:hAnsi="Book Antiqua"/>
          <w:color w:val="000000" w:themeColor="text1"/>
          <w:sz w:val="16"/>
          <w:szCs w:val="16"/>
        </w:rPr>
        <w:footnoteRef/>
      </w:r>
      <w:r w:rsidRPr="006506F8">
        <w:rPr>
          <w:rFonts w:ascii="Book Antiqua" w:hAnsi="Book Antiqua"/>
          <w:color w:val="000000" w:themeColor="text1"/>
          <w:sz w:val="16"/>
          <w:szCs w:val="16"/>
        </w:rPr>
        <w:t xml:space="preserve"> </w:t>
      </w:r>
      <w:r w:rsidRPr="006506F8">
        <w:rPr>
          <w:rFonts w:ascii="Book Antiqua" w:hAnsi="Book Antiqua"/>
          <w:color w:val="000000" w:themeColor="text1"/>
          <w:sz w:val="16"/>
          <w:szCs w:val="16"/>
        </w:rPr>
        <w:fldChar w:fldCharType="begin" w:fldLock="1"/>
      </w:r>
      <w:r>
        <w:rPr>
          <w:rFonts w:ascii="Book Antiqua" w:hAnsi="Book Antiqua"/>
          <w:color w:val="000000" w:themeColor="text1"/>
          <w:sz w:val="16"/>
          <w:szCs w:val="16"/>
        </w:rPr>
        <w:instrText>ADDIN CSL_CITATION {"citationItems":[{"id":"ITEM-1","itemData":{"DOI":"10.20961/yustisia.v5i1.8732","ISSN":"0852-0941","abstract":"Abstract Intellectual Property Rights as a part of property rights which belongs to human. The word property means ideas, creations, imaginations and thought. One of the intellectual property rights involves the field of industry (industrial property rights), especially related to technology which is called Invention, Based on legal perspective, it called as Patent. Patent is the exclusive rights which is given by the state to the inventor as the results of its invention in the field of technology, is given for a periode of time done by himself or appointed to other parties to do it. Then “Invention” is Inventor idea which is applicated in one activity of problem solving which specific in the field of technology, as a product, process, or improvement and development product or process. Then the Patent as one of the other Intellectual Property Rights (IPR) has the importance position to the respective holder and getting protection on national and international law. Keywords: Position, Protection, Patent Holder Abstrak Hak Kekayaan Intelektual merupakan bagian dari pada hak kekayaan yang dimiliki oleh manusia. Kekayaan tersebut lahir karena adanya ide, kreasi, imajinasi dan pikiran. Salah satu kekayaan intelektual tersebut dapat dilihat dibidang industri. Khususnya yang berkaitan dengan teknologi yang dalam hal ini disebut dengan paten. Paten merupakan hak ekslusif yang diberikan oleh negara kepada Inventor atas hasil invensinya di bidang teknologi, yang untuk selama waktu tertentu melaksanakan sendiri invensinya tersebut atau memberikan persetujuannya kepada pihak lain untuk melaksanakannya. Selanjutnya invensi adalah ide inventor yang dituangkan ke dalam suatu kegiatan pemecahan permasalahan yang spesifik di bidang teknologi, dapat berupa produk atau proses, atau penyempurnaan dan pengembangan produk atau proses. Sebagai salah satu dari Hak Kekayaan Intelektual (HKI), paten memeliki kedudukan yang sangat penting bagi pemiliknya serta mendapatkan perlindungan dalam kerangka nasional maupun internasional. Kata Kunci: Kedudukan, Perlindungan, Pemegang Hak Paten","author":[{"dropping-particle":"","family":"Darusman","given":"Yoyon M","non-dropping-particle":"","parse-names":false,"suffix":""}],"container-title":"Yustisia Jurnal Hukum","id":"ITEM-1","issue":"1","issued":{"date-parts":[["2016"]]},"page":"203-215","title":"Kedudukan Serta Perlindungan Hukum Bagi Pemegang Hak Paten Dalam Kerangka Hukum Nasional Indonesia Dan Hukum Internasional","type":"article-journal","volume":"5"},"uris":["http://www.mendeley.com/documents/?uuid=93efc27b-2904-475f-82b4-9a4cab227c2b"]}],"mendeley":{"formattedCitation":"Yoyon M Darusman, “Kedudukan Serta Perlindungan Hukum Bagi Pemegang Hak Paten Dalam Kerangka Hukum Nasional Indonesia Dan Hukum Internasional,” &lt;i&gt;Yustisia Jurnal Hukum&lt;/i&gt; 5, no. 1 (2016): 203–15, https://doi.org/10.20961/yustisia.v5i1.8732.","plainTextFormattedCitation":"Yoyon M Darusman, “Kedudukan Serta Perlindungan Hukum Bagi Pemegang Hak Paten Dalam Kerangka Hukum Nasional Indonesia Dan Hukum Internasional,” Yustisia Jurnal Hukum 5, no. 1 (2016): 203–15, https://doi.org/10.20961/yustisia.v5i1.8732.","previouslyFormattedCitation":"Yoyon M Darusman, “Kedudukan Serta Perlindungan Hukum Bagi Pemegang Hak Paten Dalam Kerangka Hukum Nasional Indonesia Dan Hukum Internasional,” &lt;i&gt;Yustisia Jurnal Hukum&lt;/i&gt; 5, no. 1 (2016): 203–15, https://doi.org/10.20961/yustisia.v5i1.8732."},"properties":{"noteIndex":39},"schema":"https://github.com/citation-style-language/schema/raw/master/csl-citation.json"}</w:instrText>
      </w:r>
      <w:r w:rsidRPr="006506F8">
        <w:rPr>
          <w:rFonts w:ascii="Book Antiqua" w:hAnsi="Book Antiqua"/>
          <w:color w:val="000000" w:themeColor="text1"/>
          <w:sz w:val="16"/>
          <w:szCs w:val="16"/>
        </w:rPr>
        <w:fldChar w:fldCharType="separate"/>
      </w:r>
      <w:r w:rsidRPr="006506F8">
        <w:rPr>
          <w:rFonts w:ascii="Book Antiqua" w:hAnsi="Book Antiqua"/>
          <w:noProof/>
          <w:color w:val="000000" w:themeColor="text1"/>
          <w:sz w:val="16"/>
          <w:szCs w:val="16"/>
        </w:rPr>
        <w:t xml:space="preserve">Yoyon M Darusman, “Kedudukan Serta Perlindungan Hukum Bagi Pemegang Hak Paten Dalam Kerangka Hukum Nasional Indonesia Dan Hukum Internasional,” </w:t>
      </w:r>
      <w:r w:rsidRPr="006506F8">
        <w:rPr>
          <w:rFonts w:ascii="Book Antiqua" w:hAnsi="Book Antiqua"/>
          <w:i/>
          <w:noProof/>
          <w:color w:val="000000" w:themeColor="text1"/>
          <w:sz w:val="16"/>
          <w:szCs w:val="16"/>
        </w:rPr>
        <w:t>Yustisia Jurnal Hukum</w:t>
      </w:r>
      <w:r w:rsidRPr="006506F8">
        <w:rPr>
          <w:rFonts w:ascii="Book Antiqua" w:hAnsi="Book Antiqua"/>
          <w:noProof/>
          <w:color w:val="000000" w:themeColor="text1"/>
          <w:sz w:val="16"/>
          <w:szCs w:val="16"/>
        </w:rPr>
        <w:t xml:space="preserve"> 5, no. 1 (2016): 203–15, https://doi.org/10.20961/yustisia.v5i1.8732.</w:t>
      </w:r>
      <w:r w:rsidRPr="006506F8">
        <w:rPr>
          <w:rFonts w:ascii="Book Antiqua" w:hAnsi="Book Antiqua"/>
          <w:color w:val="000000" w:themeColor="text1"/>
          <w:sz w:val="16"/>
          <w:szCs w:val="16"/>
        </w:rPr>
        <w:fldChar w:fldCharType="end"/>
      </w:r>
    </w:p>
  </w:footnote>
  <w:footnote w:id="40">
    <w:p w14:paraId="2BAB8A24" w14:textId="55D1342A" w:rsidR="00C04C78" w:rsidRPr="006506F8" w:rsidRDefault="00C04C78" w:rsidP="006506F8">
      <w:pPr>
        <w:pStyle w:val="FootnoteText"/>
        <w:jc w:val="both"/>
        <w:rPr>
          <w:rFonts w:ascii="Book Antiqua" w:hAnsi="Book Antiqua"/>
          <w:color w:val="000000" w:themeColor="text1"/>
          <w:sz w:val="16"/>
          <w:szCs w:val="16"/>
        </w:rPr>
      </w:pPr>
      <w:r w:rsidRPr="006506F8">
        <w:rPr>
          <w:rStyle w:val="FootnoteReference"/>
          <w:rFonts w:ascii="Book Antiqua" w:hAnsi="Book Antiqua"/>
          <w:color w:val="000000" w:themeColor="text1"/>
          <w:sz w:val="16"/>
          <w:szCs w:val="16"/>
        </w:rPr>
        <w:footnoteRef/>
      </w:r>
      <w:r w:rsidRPr="006506F8">
        <w:rPr>
          <w:rFonts w:ascii="Book Antiqua" w:hAnsi="Book Antiqua"/>
          <w:color w:val="000000" w:themeColor="text1"/>
          <w:sz w:val="16"/>
          <w:szCs w:val="16"/>
        </w:rPr>
        <w:t xml:space="preserve"> </w:t>
      </w:r>
      <w:r w:rsidRPr="006506F8">
        <w:rPr>
          <w:rFonts w:ascii="Book Antiqua" w:hAnsi="Book Antiqua"/>
          <w:color w:val="000000" w:themeColor="text1"/>
          <w:sz w:val="16"/>
          <w:szCs w:val="16"/>
        </w:rPr>
        <w:fldChar w:fldCharType="begin" w:fldLock="1"/>
      </w:r>
      <w:r>
        <w:rPr>
          <w:rFonts w:ascii="Book Antiqua" w:hAnsi="Book Antiqua"/>
          <w:color w:val="000000" w:themeColor="text1"/>
          <w:sz w:val="16"/>
          <w:szCs w:val="16"/>
        </w:rPr>
        <w:instrText>ADDIN CSL_CITATION {"citationItems":[{"id":"ITEM-1","itemData":{"DOI":"https://doi.org/10.31004/innovative.v3i2.456","abstract":"Hak cipta di Indonesia merupakan perwujudan dari teori perkembangan hukum yang mengikuti perkembangan zaman. Pengaturannya berubah ketika muncul penemuan-penemuan baru dalam menghasilkan suatu ciptaan. Setidaknya terdapat dua hal penting yang harus dipahami yaitu Hak Cipta dan Pencipta. Hak cipta merupakan hak khusus bagi pencipta atau pemegangnya untuk memperbanyak atau menggandakan hasil karya ciptaannya yang tumbuh bersamaan dengan lahirnya suatu ciptaan. Pencipta berhak pula atas manfaat ekonomi yang lahir dari ciptaannya tersebut, baik dibidang ilmu pengetahuan, seni, dan sastra. Objek pembahasan dalam hak kaekayaan intelektual pada dasarnya terbagi atas dua, yaitu Hak Kekayaan Industrian dan Hak Cipta. Kemudian Hak Kekayaan Industri terbagi menjadi Hak Paten, Rahasia Dagang, Merek, Desain Industri, Perlindungan Varietas Tanaman, Desain Tata Letak Sirkuit Terpadu, Indikasi Geografis dan Indikasi Asal Kompetensi Tersebulung(Muhammad Akham Subroto &amp; Suprapendi, 2008), Hak Cipta pengecualian dalam kategori ini. Penelitian ini menggunakan jenis penelitian normatif yuridis dengan mengaitkan pokok pembahasan terhadap topik utama di dalam penelitian ini. Hasil dari penelitian ini akan memperlihatkan bagaimana pengaturan hukum tentang hak Cipta di Indonesia dan realitas mengenai penegakan hak Cipta di Indonesia.","author":[{"dropping-particle":"","family":"Raihana","given":"","non-dropping-particle":"","parse-names":false,"suffix":""},{"dropping-particle":"","family":"Syafruddin","given":"","non-dropping-particle":"","parse-names":false,"suffix":""},{"dropping-particle":"","family":"Welli","given":"Dion","non-dropping-particle":"","parse-names":false,"suffix":""},{"dropping-particle":"","family":"Sugiharto","given":"","non-dropping-particle":"","parse-names":false,"suffix":""}],"container-title":"Iinnovative: Journal Of Social Science Research","id":"ITEM-1","issue":"2","issued":{"date-parts":[["2023"]]},"page":"1466-1477","title":"Analisis Yuridis Pengaturan Tentang Hak Cipta Di Indonesia","type":"article-journal","volume":"3"},"uris":["http://www.mendeley.com/documents/?uuid=6c327194-ada8-43f5-9ef1-bcbb3f69dee0"]}],"mendeley":{"formattedCitation":"Raihana et al., “Analisis Yuridis Pengaturan Tentang Hak Cipta Di Indonesia,” &lt;i&gt;Iinnovative: Journal Of Social Science Research&lt;/i&gt; 3, no. 2 (2023): 1466–77, https://doi.org/https://doi.org/10.31004/innovative.v3i2.456.","plainTextFormattedCitation":"Raihana et al., “Analisis Yuridis Pengaturan Tentang Hak Cipta Di Indonesia,” Iinnovative: Journal Of Social Science Research 3, no. 2 (2023): 1466–77, https://doi.org/https://doi.org/10.31004/innovative.v3i2.456.","previouslyFormattedCitation":"Raihana et al., “Analisis Yuridis Pengaturan Tentang Hak Cipta Di Indonesia,” &lt;i&gt;Iinnovative: Journal Of Social Science Research&lt;/i&gt; 3, no. 2 (2023): 1466–77, https://doi.org/https://doi.org/10.31004/innovative.v3i2.456."},"properties":{"noteIndex":40},"schema":"https://github.com/citation-style-language/schema/raw/master/csl-citation.json"}</w:instrText>
      </w:r>
      <w:r w:rsidRPr="006506F8">
        <w:rPr>
          <w:rFonts w:ascii="Book Antiqua" w:hAnsi="Book Antiqua"/>
          <w:color w:val="000000" w:themeColor="text1"/>
          <w:sz w:val="16"/>
          <w:szCs w:val="16"/>
        </w:rPr>
        <w:fldChar w:fldCharType="separate"/>
      </w:r>
      <w:r w:rsidRPr="006506F8">
        <w:rPr>
          <w:rFonts w:ascii="Book Antiqua" w:hAnsi="Book Antiqua"/>
          <w:noProof/>
          <w:color w:val="000000" w:themeColor="text1"/>
          <w:sz w:val="16"/>
          <w:szCs w:val="16"/>
        </w:rPr>
        <w:t xml:space="preserve">Raihana et al., “Analisis Yuridis Pengaturan Tentang Hak Cipta Di Indonesia,” </w:t>
      </w:r>
      <w:r w:rsidRPr="006506F8">
        <w:rPr>
          <w:rFonts w:ascii="Book Antiqua" w:hAnsi="Book Antiqua"/>
          <w:i/>
          <w:noProof/>
          <w:color w:val="000000" w:themeColor="text1"/>
          <w:sz w:val="16"/>
          <w:szCs w:val="16"/>
        </w:rPr>
        <w:t>Iinnovative: Journal Of Social Science Research</w:t>
      </w:r>
      <w:r w:rsidRPr="006506F8">
        <w:rPr>
          <w:rFonts w:ascii="Book Antiqua" w:hAnsi="Book Antiqua"/>
          <w:noProof/>
          <w:color w:val="000000" w:themeColor="text1"/>
          <w:sz w:val="16"/>
          <w:szCs w:val="16"/>
        </w:rPr>
        <w:t xml:space="preserve"> 3, no. 2 (2023): 1466–77, https://doi.org/https://doi.org/10.31004/innovative.v3i2.456.</w:t>
      </w:r>
      <w:r w:rsidRPr="006506F8">
        <w:rPr>
          <w:rFonts w:ascii="Book Antiqua" w:hAnsi="Book Antiqua"/>
          <w:color w:val="000000" w:themeColor="text1"/>
          <w:sz w:val="16"/>
          <w:szCs w:val="16"/>
        </w:rPr>
        <w:fldChar w:fldCharType="end"/>
      </w:r>
    </w:p>
  </w:footnote>
  <w:footnote w:id="41">
    <w:p w14:paraId="3157D3EF" w14:textId="08E02A70" w:rsidR="00C04C78" w:rsidRDefault="00C04C78" w:rsidP="006506F8">
      <w:pPr>
        <w:pStyle w:val="FootnoteText"/>
        <w:jc w:val="both"/>
      </w:pPr>
      <w:r w:rsidRPr="006506F8">
        <w:rPr>
          <w:rStyle w:val="FootnoteReference"/>
          <w:rFonts w:ascii="Book Antiqua" w:hAnsi="Book Antiqua"/>
          <w:color w:val="000000" w:themeColor="text1"/>
          <w:sz w:val="16"/>
          <w:szCs w:val="16"/>
        </w:rPr>
        <w:footnoteRef/>
      </w:r>
      <w:r w:rsidRPr="006506F8">
        <w:rPr>
          <w:rFonts w:ascii="Book Antiqua" w:hAnsi="Book Antiqua"/>
          <w:color w:val="000000" w:themeColor="text1"/>
          <w:sz w:val="16"/>
          <w:szCs w:val="16"/>
        </w:rPr>
        <w:t xml:space="preserve"> </w:t>
      </w:r>
      <w:r w:rsidRPr="006506F8">
        <w:rPr>
          <w:rFonts w:ascii="Book Antiqua" w:hAnsi="Book Antiqua"/>
          <w:color w:val="000000" w:themeColor="text1"/>
          <w:sz w:val="16"/>
          <w:szCs w:val="16"/>
        </w:rPr>
        <w:fldChar w:fldCharType="begin" w:fldLock="1"/>
      </w:r>
      <w:r>
        <w:rPr>
          <w:rFonts w:ascii="Book Antiqua" w:hAnsi="Book Antiqua"/>
          <w:color w:val="000000" w:themeColor="text1"/>
          <w:sz w:val="16"/>
          <w:szCs w:val="16"/>
        </w:rPr>
        <w:instrText>ADDIN CSL_CITATION {"citationItems":[{"id":"ITEM-1","itemData":{"DOI":"10.37893/jbh.v11i1.668","ISSN":"2656-856X","abstract":"Kekayaan intelektual merupakan bagian dari hukum kebendaan yang dimiliki oleh manusia. Kekayaan tersebut pada dasarnya terlahir melalui ide, kreasi, imajinasi dan pikiran. Salah satu kekayaan intelektual tersebut dapat ditemukan di bidang industri. Khususnya yang berhubungan dengan teknologi dalam hal ini disebut dengan paten. Paten merupakan hak eksklusif yang diberikan oleh negara kepada inventor atas hasil invensinya di bidang teknologi, di mana untuk selama waktu tertentu melaksanakan sendiri invensinya tersebut atau memberikan persetujuannya kepada pihak lain untuk melaksanakannya melalui suatu perjanjian lisensi. Di Indonesia Paten telah diatur melalui Undang-Undang Nomor 13 Tahun 2016 tentang Paten. Berikutnya perlindungan paten bagi invensi yakni ide inventor yang dituangkan ke dalam suatu kegiatan pemecahan permasalahan yang spesifik di bidang teknologi, dapat berupa produk atau proses, atau penyempurnaan dan pengembangan produk atau proses telah juga diatur baik diperaturan perundang-undangan organik maupun di dalam ratifikasi. Sebagai salah satu dari kekayaan intelektual (HKI), paten memiliki kedudukan yang sangat strategis dan bernilai ekonomis bagi pemiliknya serta mendapatkan perlindungan hukum di dalam hukum positif nasional.","author":[{"dropping-particle":"","family":"Nugraha","given":"Andi Muhammad Reza Pahlevi","non-dropping-particle":"","parse-names":false,"suffix":""}],"container-title":"Binamulia Hukum","id":"ITEM-1","issue":"1","issued":{"date-parts":[["2022","7","1"]]},"page":"1-14","title":"Tinjauan Yuridis Hak Paten di Dalam Kerangka Hukum Nasional di Indonesia","type":"article-journal","volume":"11"},"uris":["http://www.mendeley.com/documents/?uuid=2a8a9ea7-8404-4369-bfd0-27df4a70bcb7"]}],"mendeley":{"formattedCitation":"Andi Muhammad Reza Pahlevi Nugraha, “Tinjauan Yuridis Hak Paten Di Dalam Kerangka Hukum Nasional Di Indonesia,” &lt;i&gt;Binamulia Hukum&lt;/i&gt; 11, no. 1 (July 1, 2022): 1–14, https://doi.org/10.37893/jbh.v11i1.668.","plainTextFormattedCitation":"Andi Muhammad Reza Pahlevi Nugraha, “Tinjauan Yuridis Hak Paten Di Dalam Kerangka Hukum Nasional Di Indonesia,” Binamulia Hukum 11, no. 1 (July 1, 2022): 1–14, https://doi.org/10.37893/jbh.v11i1.668.","previouslyFormattedCitation":"Andi Muhammad Reza Pahlevi Nugraha, “Tinjauan Yuridis Hak Paten Di Dalam Kerangka Hukum Nasional Di Indonesia,” &lt;i&gt;Binamulia Hukum&lt;/i&gt; 11, no. 1 (July 1, 2022): 1–14, https://doi.org/10.37893/jbh.v11i1.668."},"properties":{"noteIndex":41},"schema":"https://github.com/citation-style-language/schema/raw/master/csl-citation.json"}</w:instrText>
      </w:r>
      <w:r w:rsidRPr="006506F8">
        <w:rPr>
          <w:rFonts w:ascii="Book Antiqua" w:hAnsi="Book Antiqua"/>
          <w:color w:val="000000" w:themeColor="text1"/>
          <w:sz w:val="16"/>
          <w:szCs w:val="16"/>
        </w:rPr>
        <w:fldChar w:fldCharType="separate"/>
      </w:r>
      <w:r w:rsidRPr="006506F8">
        <w:rPr>
          <w:rFonts w:ascii="Book Antiqua" w:hAnsi="Book Antiqua"/>
          <w:noProof/>
          <w:color w:val="000000" w:themeColor="text1"/>
          <w:sz w:val="16"/>
          <w:szCs w:val="16"/>
        </w:rPr>
        <w:t xml:space="preserve">Andi Muhammad Reza Pahlevi Nugraha, “Tinjauan Yuridis Hak Paten Di Dalam Kerangka Hukum Nasional Di Indonesia,” </w:t>
      </w:r>
      <w:r w:rsidRPr="006506F8">
        <w:rPr>
          <w:rFonts w:ascii="Book Antiqua" w:hAnsi="Book Antiqua"/>
          <w:i/>
          <w:noProof/>
          <w:color w:val="000000" w:themeColor="text1"/>
          <w:sz w:val="16"/>
          <w:szCs w:val="16"/>
        </w:rPr>
        <w:t>Binamulia Hukum</w:t>
      </w:r>
      <w:r w:rsidRPr="006506F8">
        <w:rPr>
          <w:rFonts w:ascii="Book Antiqua" w:hAnsi="Book Antiqua"/>
          <w:noProof/>
          <w:color w:val="000000" w:themeColor="text1"/>
          <w:sz w:val="16"/>
          <w:szCs w:val="16"/>
        </w:rPr>
        <w:t xml:space="preserve"> 11, no. 1 (July 1, 2022): 1–14, https://doi.org/10.37893/jbh.v11i1.668.</w:t>
      </w:r>
      <w:r w:rsidRPr="006506F8">
        <w:rPr>
          <w:rFonts w:ascii="Book Antiqua" w:hAnsi="Book Antiqua"/>
          <w:color w:val="000000" w:themeColor="text1"/>
          <w:sz w:val="16"/>
          <w:szCs w:val="16"/>
        </w:rPr>
        <w:fldChar w:fldCharType="end"/>
      </w:r>
    </w:p>
  </w:footnote>
  <w:footnote w:id="42">
    <w:p w14:paraId="126CB984" w14:textId="453C3D3E" w:rsidR="00C04C78" w:rsidRPr="002C142A" w:rsidRDefault="00C04C78" w:rsidP="002C142A">
      <w:pPr>
        <w:pStyle w:val="FootnoteText"/>
        <w:jc w:val="both"/>
        <w:rPr>
          <w:rFonts w:ascii="Book Antiqua" w:hAnsi="Book Antiqua"/>
          <w:color w:val="000000" w:themeColor="text1"/>
          <w:sz w:val="16"/>
          <w:szCs w:val="16"/>
        </w:rPr>
      </w:pPr>
      <w:r w:rsidRPr="002C142A">
        <w:rPr>
          <w:rStyle w:val="FootnoteReference"/>
          <w:rFonts w:ascii="Book Antiqua" w:hAnsi="Book Antiqua"/>
          <w:color w:val="000000" w:themeColor="text1"/>
          <w:sz w:val="16"/>
          <w:szCs w:val="16"/>
        </w:rPr>
        <w:footnoteRef/>
      </w:r>
      <w:r w:rsidRPr="002C142A">
        <w:rPr>
          <w:rFonts w:ascii="Book Antiqua" w:hAnsi="Book Antiqua"/>
          <w:color w:val="000000" w:themeColor="text1"/>
          <w:sz w:val="16"/>
          <w:szCs w:val="16"/>
        </w:rPr>
        <w:t xml:space="preserve"> </w:t>
      </w:r>
      <w:r w:rsidRPr="002C142A">
        <w:rPr>
          <w:rFonts w:ascii="Book Antiqua" w:hAnsi="Book Antiqua"/>
          <w:color w:val="000000" w:themeColor="text1"/>
          <w:sz w:val="16"/>
          <w:szCs w:val="16"/>
        </w:rPr>
        <w:fldChar w:fldCharType="begin" w:fldLock="1"/>
      </w:r>
      <w:r w:rsidRPr="002C142A">
        <w:rPr>
          <w:rFonts w:ascii="Book Antiqua" w:hAnsi="Book Antiqua"/>
          <w:color w:val="000000" w:themeColor="text1"/>
          <w:sz w:val="16"/>
          <w:szCs w:val="16"/>
        </w:rPr>
        <w:instrText>ADDIN CSL_CITATION {"citationItems":[{"id":"ITEM-1","itemData":{"DOI":"10.59240/kjsk.v3i1.34","ISSN":"2810-0573","abstract":"Indonesia merupakan negara yang memiliki kekayaan sumber daya genetik dan pengetahuan tradisional yang sering dimanfaatkan oleh Inventor dalam dan luar negeri untuk menghasilkan Invensi yang baru, oleh karena itu, dalam undang-undang ini terdapat pengaturan mengenai penyebutan secara jelas dan jujur bahan yang digunakan dalam Invensi jika berkaitan dan/atau berasal dari sumber daya genetik dan/atau pengetahlan tradisional tersebut dalam deskripsi. Indonesia sebagai negara hukum telah berupaya untuk melindungi inventor atas invensinya dengan berbagai formula regulasi hukum positif berupa perundang-undangan dan beberapa peraturan, namun demikian masih terdapat beberapa problematika yang perlu diselesaikan, diantaranya masih rendahnya literasi masyarkat terhadap hukum Paten, terdapatnya klausa hukum yang kontradiktif dan mulitafsir.","author":[{"dropping-particle":"","family":"Mufidah","given":"Luluk Indarinul","non-dropping-particle":"","parse-names":false,"suffix":""},{"dropping-particle":"","family":"Saini","given":"Mukhamat","non-dropping-particle":"","parse-names":false,"suffix":""}],"container-title":"Kartika: Jurnal Studi Keislaman","id":"ITEM-1","issue":"1","issued":{"date-parts":[["2023","5","24"]]},"page":"61-71","title":"Perlindungan dan Permasalahan Hukum Bagi Pemegang Hak Paten di Indonesia","type":"article-journal","volume":"3"},"uris":["http://www.mendeley.com/documents/?uuid=047a906c-3c3b-49d9-8b13-63de5b3a0b2a"]}],"mendeley":{"formattedCitation":"Luluk Indarinul Mufidah and Mukhamat Saini, “Perlindungan Dan Permasalahan Hukum Bagi Pemegang Hak Paten Di Indonesia,” &lt;i&gt;Kartika: Jurnal Studi Keislaman&lt;/i&gt; 3, no. 1 (May 24, 2023): 61–71, https://doi.org/10.59240/kjsk.v3i1.34.","plainTextFormattedCitation":"Luluk Indarinul Mufidah and Mukhamat Saini, “Perlindungan Dan Permasalahan Hukum Bagi Pemegang Hak Paten Di Indonesia,” Kartika: Jurnal Studi Keislaman 3, no. 1 (May 24, 2023): 61–71, https://doi.org/10.59240/kjsk.v3i1.34.","previouslyFormattedCitation":"Luluk Indarinul Mufidah and Mukhamat Saini, “Perlindungan Dan Permasalahan Hukum Bagi Pemegang Hak Paten Di Indonesia,” &lt;i&gt;Kartika: Jurnal Studi Keislaman&lt;/i&gt; 3, no. 1 (May 24, 2023): 61–71, https://doi.org/10.59240/kjsk.v3i1.34."},"properties":{"noteIndex":42},"schema":"https://github.com/citation-style-language/schema/raw/master/csl-citation.json"}</w:instrText>
      </w:r>
      <w:r w:rsidRPr="002C142A">
        <w:rPr>
          <w:rFonts w:ascii="Book Antiqua" w:hAnsi="Book Antiqua"/>
          <w:color w:val="000000" w:themeColor="text1"/>
          <w:sz w:val="16"/>
          <w:szCs w:val="16"/>
        </w:rPr>
        <w:fldChar w:fldCharType="separate"/>
      </w:r>
      <w:r w:rsidRPr="002C142A">
        <w:rPr>
          <w:rFonts w:ascii="Book Antiqua" w:hAnsi="Book Antiqua"/>
          <w:noProof/>
          <w:color w:val="000000" w:themeColor="text1"/>
          <w:sz w:val="16"/>
          <w:szCs w:val="16"/>
        </w:rPr>
        <w:t xml:space="preserve">Luluk Indarinul Mufidah and Mukhamat Saini, “Perlindungan Dan Permasalahan Hukum Bagi Pemegang Hak Paten Di Indonesia,” </w:t>
      </w:r>
      <w:r w:rsidRPr="002C142A">
        <w:rPr>
          <w:rFonts w:ascii="Book Antiqua" w:hAnsi="Book Antiqua"/>
          <w:i/>
          <w:noProof/>
          <w:color w:val="000000" w:themeColor="text1"/>
          <w:sz w:val="16"/>
          <w:szCs w:val="16"/>
        </w:rPr>
        <w:t>Kartika: Jurnal Studi Keislaman</w:t>
      </w:r>
      <w:r w:rsidRPr="002C142A">
        <w:rPr>
          <w:rFonts w:ascii="Book Antiqua" w:hAnsi="Book Antiqua"/>
          <w:noProof/>
          <w:color w:val="000000" w:themeColor="text1"/>
          <w:sz w:val="16"/>
          <w:szCs w:val="16"/>
        </w:rPr>
        <w:t xml:space="preserve"> 3, no. 1 (May 24, 2023): 61–71, https://doi.org/10.59240/kjsk.v3i1.34.</w:t>
      </w:r>
      <w:r w:rsidRPr="002C142A">
        <w:rPr>
          <w:rFonts w:ascii="Book Antiqua" w:hAnsi="Book Antiqua"/>
          <w:color w:val="000000" w:themeColor="text1"/>
          <w:sz w:val="16"/>
          <w:szCs w:val="16"/>
        </w:rPr>
        <w:fldChar w:fldCharType="end"/>
      </w:r>
    </w:p>
  </w:footnote>
  <w:footnote w:id="43">
    <w:p w14:paraId="3D70F471" w14:textId="2949E644" w:rsidR="00C04C78" w:rsidRPr="002C142A" w:rsidRDefault="00C04C78" w:rsidP="002C142A">
      <w:pPr>
        <w:pStyle w:val="FootnoteText"/>
        <w:jc w:val="both"/>
        <w:rPr>
          <w:rFonts w:ascii="Book Antiqua" w:hAnsi="Book Antiqua"/>
          <w:color w:val="000000" w:themeColor="text1"/>
          <w:sz w:val="16"/>
          <w:szCs w:val="16"/>
        </w:rPr>
      </w:pPr>
      <w:r w:rsidRPr="002C142A">
        <w:rPr>
          <w:rStyle w:val="FootnoteReference"/>
          <w:rFonts w:ascii="Book Antiqua" w:hAnsi="Book Antiqua"/>
          <w:color w:val="000000" w:themeColor="text1"/>
          <w:sz w:val="16"/>
          <w:szCs w:val="16"/>
        </w:rPr>
        <w:footnoteRef/>
      </w:r>
      <w:r w:rsidRPr="002C142A">
        <w:rPr>
          <w:rFonts w:ascii="Book Antiqua" w:hAnsi="Book Antiqua"/>
          <w:color w:val="000000" w:themeColor="text1"/>
          <w:sz w:val="16"/>
          <w:szCs w:val="16"/>
        </w:rPr>
        <w:t xml:space="preserve"> </w:t>
      </w:r>
      <w:r w:rsidRPr="002C142A">
        <w:rPr>
          <w:rFonts w:ascii="Book Antiqua" w:hAnsi="Book Antiqua"/>
          <w:color w:val="000000" w:themeColor="text1"/>
          <w:sz w:val="16"/>
          <w:szCs w:val="16"/>
        </w:rPr>
        <w:fldChar w:fldCharType="begin" w:fldLock="1"/>
      </w:r>
      <w:r w:rsidRPr="002C142A">
        <w:rPr>
          <w:rFonts w:ascii="Book Antiqua" w:hAnsi="Book Antiqua"/>
          <w:color w:val="000000" w:themeColor="text1"/>
          <w:sz w:val="16"/>
          <w:szCs w:val="16"/>
        </w:rPr>
        <w:instrText>ADDIN CSL_CITATION {"citationItems":[{"id":"ITEM-1","itemData":{"author":[{"dropping-particle":"","family":"Akbar","given":"Indra Padillah","non-dropping-particle":"","parse-names":false,"suffix":""},{"dropping-particle":"","family":"Sarifudin","given":"Asep","non-dropping-particle":"","parse-names":false,"suffix":""}],"container-title":"NUSANTARA: Jurnal Ilmu Pengetahuan Sosial","id":"ITEM-1","issue":"2","issued":{"date-parts":[["2024"]]},"page":"779-788","title":"Legalitas Kecerdasan Buatan (Artificial Intelligence) sebagai Subjek Hukum Pemegang Hak Paten","type":"article-journal","volume":"11"},"uris":["http://www.mendeley.com/documents/?uuid=89695ba1-7a6b-44e5-aa36-43425906091c"]}],"mendeley":{"formattedCitation":"Akbar and Sarifudin, “Legalitas Kecerdasan Buatan (Artificial Intelligence) Sebagai Subjek Hukum Pemegang Hak Paten.”","plainTextFormattedCitation":"Akbar and Sarifudin, “Legalitas Kecerdasan Buatan (Artificial Intelligence) Sebagai Subjek Hukum Pemegang Hak Paten.”","previouslyFormattedCitation":"Akbar and Sarifudin, “Legalitas Kecerdasan Buatan (Artificial Intelligence) Sebagai Subjek Hukum Pemegang Hak Paten.”"},"properties":{"noteIndex":43},"schema":"https://github.com/citation-style-language/schema/raw/master/csl-citation.json"}</w:instrText>
      </w:r>
      <w:r w:rsidRPr="002C142A">
        <w:rPr>
          <w:rFonts w:ascii="Book Antiqua" w:hAnsi="Book Antiqua"/>
          <w:color w:val="000000" w:themeColor="text1"/>
          <w:sz w:val="16"/>
          <w:szCs w:val="16"/>
        </w:rPr>
        <w:fldChar w:fldCharType="separate"/>
      </w:r>
      <w:r w:rsidRPr="002C142A">
        <w:rPr>
          <w:rFonts w:ascii="Book Antiqua" w:hAnsi="Book Antiqua"/>
          <w:noProof/>
          <w:color w:val="000000" w:themeColor="text1"/>
          <w:sz w:val="16"/>
          <w:szCs w:val="16"/>
        </w:rPr>
        <w:t>Akbar and Sarifudin, “Legalitas Kecerdasan Buatan (Artificial Intelligence) Sebagai Subjek Hukum Pemegang Hak Paten.”</w:t>
      </w:r>
      <w:r w:rsidRPr="002C142A">
        <w:rPr>
          <w:rFonts w:ascii="Book Antiqua" w:hAnsi="Book Antiqua"/>
          <w:color w:val="000000" w:themeColor="text1"/>
          <w:sz w:val="16"/>
          <w:szCs w:val="16"/>
        </w:rPr>
        <w:fldChar w:fldCharType="end"/>
      </w:r>
    </w:p>
  </w:footnote>
  <w:footnote w:id="44">
    <w:p w14:paraId="191A49E0" w14:textId="1D50D7BC" w:rsidR="00C04C78" w:rsidRPr="002C142A" w:rsidRDefault="00C04C78" w:rsidP="002C142A">
      <w:pPr>
        <w:pStyle w:val="FootnoteText"/>
        <w:jc w:val="both"/>
        <w:rPr>
          <w:rFonts w:ascii="Book Antiqua" w:hAnsi="Book Antiqua"/>
          <w:color w:val="000000" w:themeColor="text1"/>
          <w:sz w:val="16"/>
          <w:szCs w:val="16"/>
        </w:rPr>
      </w:pPr>
      <w:r w:rsidRPr="002C142A">
        <w:rPr>
          <w:rStyle w:val="FootnoteReference"/>
          <w:rFonts w:ascii="Book Antiqua" w:hAnsi="Book Antiqua"/>
          <w:color w:val="000000" w:themeColor="text1"/>
          <w:sz w:val="16"/>
          <w:szCs w:val="16"/>
        </w:rPr>
        <w:footnoteRef/>
      </w:r>
      <w:r w:rsidRPr="002C142A">
        <w:rPr>
          <w:rFonts w:ascii="Book Antiqua" w:hAnsi="Book Antiqua"/>
          <w:color w:val="000000" w:themeColor="text1"/>
          <w:sz w:val="16"/>
          <w:szCs w:val="16"/>
        </w:rPr>
        <w:t xml:space="preserve"> </w:t>
      </w:r>
      <w:r w:rsidRPr="002C142A">
        <w:rPr>
          <w:rFonts w:ascii="Book Antiqua" w:hAnsi="Book Antiqua"/>
          <w:color w:val="000000" w:themeColor="text1"/>
          <w:sz w:val="16"/>
          <w:szCs w:val="16"/>
        </w:rPr>
        <w:fldChar w:fldCharType="begin" w:fldLock="1"/>
      </w:r>
      <w:r w:rsidRPr="002C142A">
        <w:rPr>
          <w:rFonts w:ascii="Book Antiqua" w:hAnsi="Book Antiqua"/>
          <w:color w:val="000000" w:themeColor="text1"/>
          <w:sz w:val="16"/>
          <w:szCs w:val="16"/>
        </w:rPr>
        <w:instrText>ADDIN CSL_CITATION {"citationItems":[{"id":"ITEM-1","itemData":{"DOI":"https://dx.doi.org.10.46930/ojsuda.v32i1.4067","author":[{"dropping-particle":"","family":"Putra","given":"Julius Ariel","non-dropping-particle":"","parse-names":false,"suffix":""}],"container-title":"Jurnal Darma Agung","id":"ITEM-1","issue":"1","issued":{"date-parts":[["2024"]]},"page":"494-507","title":"Mekanisme Pembatalan Paten Sederhana (Studi Putusan Pengadilan Negeri Jakarta Pusat Nomor : 61/PDT.Sus-Paten/2018/ PN.Niaga.JKT.PST JO. Putusan Kasasi Nomor : 802 K/PDT.Sus-HKI/2019)","type":"article-journal","volume":"32"},"uris":["http://www.mendeley.com/documents/?uuid=6beae866-5d0c-46c4-b1a6-52ceff0e8bab"]}],"mendeley":{"formattedCitation":"Julius Ariel Putra, “Mekanisme Pembatalan Paten Sederhana (Studi Putusan Pengadilan Negeri Jakarta Pusat Nomor</w:instrText>
      </w:r>
      <w:r w:rsidRPr="002C142A">
        <w:rPr>
          <w:color w:val="000000" w:themeColor="text1"/>
          <w:sz w:val="16"/>
          <w:szCs w:val="16"/>
        </w:rPr>
        <w:instrText> </w:instrText>
      </w:r>
      <w:r w:rsidRPr="002C142A">
        <w:rPr>
          <w:rFonts w:ascii="Book Antiqua" w:hAnsi="Book Antiqua"/>
          <w:color w:val="000000" w:themeColor="text1"/>
          <w:sz w:val="16"/>
          <w:szCs w:val="16"/>
        </w:rPr>
        <w:instrText>: 61/PDT.Sus-Paten/2018/ PN.Niaga.JKT.PST JO. Putusan Kasasi Nomor</w:instrText>
      </w:r>
      <w:r w:rsidRPr="002C142A">
        <w:rPr>
          <w:color w:val="000000" w:themeColor="text1"/>
          <w:sz w:val="16"/>
          <w:szCs w:val="16"/>
        </w:rPr>
        <w:instrText> </w:instrText>
      </w:r>
      <w:r w:rsidRPr="002C142A">
        <w:rPr>
          <w:rFonts w:ascii="Book Antiqua" w:hAnsi="Book Antiqua"/>
          <w:color w:val="000000" w:themeColor="text1"/>
          <w:sz w:val="16"/>
          <w:szCs w:val="16"/>
        </w:rPr>
        <w:instrText>: 802 K/PDT.Sus-HKI/2019),</w:instrText>
      </w:r>
      <w:r w:rsidRPr="002C142A">
        <w:rPr>
          <w:rFonts w:ascii="Book Antiqua" w:hAnsi="Book Antiqua" w:cs="Book Antiqua"/>
          <w:color w:val="000000" w:themeColor="text1"/>
          <w:sz w:val="16"/>
          <w:szCs w:val="16"/>
        </w:rPr>
        <w:instrText>”</w:instrText>
      </w:r>
      <w:r w:rsidRPr="002C142A">
        <w:rPr>
          <w:rFonts w:ascii="Book Antiqua" w:hAnsi="Book Antiqua"/>
          <w:color w:val="000000" w:themeColor="text1"/>
          <w:sz w:val="16"/>
          <w:szCs w:val="16"/>
        </w:rPr>
        <w:instrText xml:space="preserve"> &lt;i&gt;Jurnal Darma Agung&lt;/i&gt; 32, no. 1 (2024): 494</w:instrText>
      </w:r>
      <w:r w:rsidRPr="002C142A">
        <w:rPr>
          <w:rFonts w:ascii="Book Antiqua" w:hAnsi="Book Antiqua" w:cs="Book Antiqua"/>
          <w:color w:val="000000" w:themeColor="text1"/>
          <w:sz w:val="16"/>
          <w:szCs w:val="16"/>
        </w:rPr>
        <w:instrText>–</w:instrText>
      </w:r>
      <w:r w:rsidRPr="002C142A">
        <w:rPr>
          <w:rFonts w:ascii="Book Antiqua" w:hAnsi="Book Antiqua"/>
          <w:color w:val="000000" w:themeColor="text1"/>
          <w:sz w:val="16"/>
          <w:szCs w:val="16"/>
        </w:rPr>
        <w:instrText>507, https://doi.org/https://dx.doi.org.10.46930/ojsuda.v32i1.4067.","plainTextFormattedCitation":"Julius Ariel Putra, “Mekanisme Pembatalan Paten Sederhana (Studi Putusan Pengadilan Negeri Jakarta Pusat Nomor</w:instrText>
      </w:r>
      <w:r w:rsidRPr="002C142A">
        <w:rPr>
          <w:color w:val="000000" w:themeColor="text1"/>
          <w:sz w:val="16"/>
          <w:szCs w:val="16"/>
        </w:rPr>
        <w:instrText> </w:instrText>
      </w:r>
      <w:r w:rsidRPr="002C142A">
        <w:rPr>
          <w:rFonts w:ascii="Book Antiqua" w:hAnsi="Book Antiqua"/>
          <w:color w:val="000000" w:themeColor="text1"/>
          <w:sz w:val="16"/>
          <w:szCs w:val="16"/>
        </w:rPr>
        <w:instrText>: 61/PDT.Sus-Paten/2018/ PN.Niaga.JKT.PST JO. Putusan Kasasi Nomor</w:instrText>
      </w:r>
      <w:r w:rsidRPr="002C142A">
        <w:rPr>
          <w:color w:val="000000" w:themeColor="text1"/>
          <w:sz w:val="16"/>
          <w:szCs w:val="16"/>
        </w:rPr>
        <w:instrText> </w:instrText>
      </w:r>
      <w:r w:rsidRPr="002C142A">
        <w:rPr>
          <w:rFonts w:ascii="Book Antiqua" w:hAnsi="Book Antiqua"/>
          <w:color w:val="000000" w:themeColor="text1"/>
          <w:sz w:val="16"/>
          <w:szCs w:val="16"/>
        </w:rPr>
        <w:instrText>: 802 K/PDT.Sus-HKI/2019),</w:instrText>
      </w:r>
      <w:r w:rsidRPr="002C142A">
        <w:rPr>
          <w:rFonts w:ascii="Book Antiqua" w:hAnsi="Book Antiqua" w:cs="Book Antiqua"/>
          <w:color w:val="000000" w:themeColor="text1"/>
          <w:sz w:val="16"/>
          <w:szCs w:val="16"/>
        </w:rPr>
        <w:instrText>”</w:instrText>
      </w:r>
      <w:r w:rsidRPr="002C142A">
        <w:rPr>
          <w:rFonts w:ascii="Book Antiqua" w:hAnsi="Book Antiqua"/>
          <w:color w:val="000000" w:themeColor="text1"/>
          <w:sz w:val="16"/>
          <w:szCs w:val="16"/>
        </w:rPr>
        <w:instrText xml:space="preserve"> Jurnal Darma Agung 32, no. 1 (2024): 494</w:instrText>
      </w:r>
      <w:r w:rsidRPr="002C142A">
        <w:rPr>
          <w:rFonts w:ascii="Book Antiqua" w:hAnsi="Book Antiqua" w:cs="Book Antiqua"/>
          <w:color w:val="000000" w:themeColor="text1"/>
          <w:sz w:val="16"/>
          <w:szCs w:val="16"/>
        </w:rPr>
        <w:instrText>–</w:instrText>
      </w:r>
      <w:r w:rsidRPr="002C142A">
        <w:rPr>
          <w:rFonts w:ascii="Book Antiqua" w:hAnsi="Book Antiqua"/>
          <w:color w:val="000000" w:themeColor="text1"/>
          <w:sz w:val="16"/>
          <w:szCs w:val="16"/>
        </w:rPr>
        <w:instrText>507, https://doi.org/https://dx.doi.org.10.46930/ojsuda.v32i1.4067.","previouslyFormattedCitation":"Julius Ariel Putra, “Mekanisme Pembatalan Paten Sederhana (Studi Putusan Pengadilan Negeri Jakarta Pusat Nomor</w:instrText>
      </w:r>
      <w:r w:rsidRPr="002C142A">
        <w:rPr>
          <w:color w:val="000000" w:themeColor="text1"/>
          <w:sz w:val="16"/>
          <w:szCs w:val="16"/>
        </w:rPr>
        <w:instrText> </w:instrText>
      </w:r>
      <w:r w:rsidRPr="002C142A">
        <w:rPr>
          <w:rFonts w:ascii="Book Antiqua" w:hAnsi="Book Antiqua"/>
          <w:color w:val="000000" w:themeColor="text1"/>
          <w:sz w:val="16"/>
          <w:szCs w:val="16"/>
        </w:rPr>
        <w:instrText>: 61/PDT.Sus-Paten/2018/ PN.Niaga.JKT.PST JO. Putusan Kasasi Nomor</w:instrText>
      </w:r>
      <w:r w:rsidRPr="002C142A">
        <w:rPr>
          <w:color w:val="000000" w:themeColor="text1"/>
          <w:sz w:val="16"/>
          <w:szCs w:val="16"/>
        </w:rPr>
        <w:instrText> </w:instrText>
      </w:r>
      <w:r w:rsidRPr="002C142A">
        <w:rPr>
          <w:rFonts w:ascii="Book Antiqua" w:hAnsi="Book Antiqua"/>
          <w:color w:val="000000" w:themeColor="text1"/>
          <w:sz w:val="16"/>
          <w:szCs w:val="16"/>
        </w:rPr>
        <w:instrText>: 802 K/PDT.Sus-HKI/2019),” &lt;i&gt;Jurnal Darma Agung&lt;/i&gt; 32, no. 1 (2024): 494–507, https://doi.org/https://dx.doi.org.10.46930/ojsuda.v32i1.4067."},"properties":{"noteIndex":44},"schema":"https://github.com/citation-style-language/schema/raw/master/csl-citation.json"}</w:instrText>
      </w:r>
      <w:r w:rsidRPr="002C142A">
        <w:rPr>
          <w:rFonts w:ascii="Book Antiqua" w:hAnsi="Book Antiqua"/>
          <w:color w:val="000000" w:themeColor="text1"/>
          <w:sz w:val="16"/>
          <w:szCs w:val="16"/>
        </w:rPr>
        <w:fldChar w:fldCharType="separate"/>
      </w:r>
      <w:r w:rsidRPr="002C142A">
        <w:rPr>
          <w:rFonts w:ascii="Book Antiqua" w:hAnsi="Book Antiqua"/>
          <w:noProof/>
          <w:color w:val="000000" w:themeColor="text1"/>
          <w:sz w:val="16"/>
          <w:szCs w:val="16"/>
        </w:rPr>
        <w:t>Julius Ariel Putra, “Mekanisme Pembatalan Paten Sederhana (Studi Putusan Pengadilan Negeri Jakarta Pusat Nomor</w:t>
      </w:r>
      <w:r w:rsidRPr="002C142A">
        <w:rPr>
          <w:noProof/>
          <w:color w:val="000000" w:themeColor="text1"/>
          <w:sz w:val="16"/>
          <w:szCs w:val="16"/>
        </w:rPr>
        <w:t> </w:t>
      </w:r>
      <w:r w:rsidRPr="002C142A">
        <w:rPr>
          <w:rFonts w:ascii="Book Antiqua" w:hAnsi="Book Antiqua"/>
          <w:noProof/>
          <w:color w:val="000000" w:themeColor="text1"/>
          <w:sz w:val="16"/>
          <w:szCs w:val="16"/>
        </w:rPr>
        <w:t>: 61/PDT.Sus-Paten/2018/ PN.Niaga.JKT.PST JO. Putusan Kasasi Nomor</w:t>
      </w:r>
      <w:r w:rsidRPr="002C142A">
        <w:rPr>
          <w:noProof/>
          <w:color w:val="000000" w:themeColor="text1"/>
          <w:sz w:val="16"/>
          <w:szCs w:val="16"/>
        </w:rPr>
        <w:t> </w:t>
      </w:r>
      <w:r w:rsidRPr="002C142A">
        <w:rPr>
          <w:rFonts w:ascii="Book Antiqua" w:hAnsi="Book Antiqua"/>
          <w:noProof/>
          <w:color w:val="000000" w:themeColor="text1"/>
          <w:sz w:val="16"/>
          <w:szCs w:val="16"/>
        </w:rPr>
        <w:t>: 802 K/PDT.Sus-HKI/2019),</w:t>
      </w:r>
      <w:r w:rsidRPr="002C142A">
        <w:rPr>
          <w:rFonts w:ascii="Book Antiqua" w:hAnsi="Book Antiqua" w:cs="Book Antiqua"/>
          <w:noProof/>
          <w:color w:val="000000" w:themeColor="text1"/>
          <w:sz w:val="16"/>
          <w:szCs w:val="16"/>
        </w:rPr>
        <w:t>”</w:t>
      </w:r>
      <w:r w:rsidRPr="002C142A">
        <w:rPr>
          <w:rFonts w:ascii="Book Antiqua" w:hAnsi="Book Antiqua"/>
          <w:noProof/>
          <w:color w:val="000000" w:themeColor="text1"/>
          <w:sz w:val="16"/>
          <w:szCs w:val="16"/>
        </w:rPr>
        <w:t xml:space="preserve"> </w:t>
      </w:r>
      <w:r w:rsidRPr="002C142A">
        <w:rPr>
          <w:rFonts w:ascii="Book Antiqua" w:hAnsi="Book Antiqua"/>
          <w:i/>
          <w:noProof/>
          <w:color w:val="000000" w:themeColor="text1"/>
          <w:sz w:val="16"/>
          <w:szCs w:val="16"/>
        </w:rPr>
        <w:t>Jurnal Darma Agung</w:t>
      </w:r>
      <w:r w:rsidRPr="002C142A">
        <w:rPr>
          <w:rFonts w:ascii="Book Antiqua" w:hAnsi="Book Antiqua"/>
          <w:noProof/>
          <w:color w:val="000000" w:themeColor="text1"/>
          <w:sz w:val="16"/>
          <w:szCs w:val="16"/>
        </w:rPr>
        <w:t xml:space="preserve"> 32, no. 1 (2024): 494–507, https://doi.org/https://dx.doi.org.10.46930/ojsuda.v32i1.4067.</w:t>
      </w:r>
      <w:r w:rsidRPr="002C142A">
        <w:rPr>
          <w:rFonts w:ascii="Book Antiqua" w:hAnsi="Book Antiqua"/>
          <w:color w:val="000000" w:themeColor="text1"/>
          <w:sz w:val="16"/>
          <w:szCs w:val="16"/>
        </w:rPr>
        <w:fldChar w:fldCharType="end"/>
      </w:r>
    </w:p>
  </w:footnote>
  <w:footnote w:id="45">
    <w:p w14:paraId="6BA01AFB" w14:textId="7CDAB9A7" w:rsidR="00C04C78" w:rsidRPr="002C142A" w:rsidRDefault="00C04C78" w:rsidP="002C142A">
      <w:pPr>
        <w:pStyle w:val="FootnoteText"/>
        <w:jc w:val="both"/>
        <w:rPr>
          <w:rFonts w:ascii="Book Antiqua" w:hAnsi="Book Antiqua"/>
          <w:color w:val="000000" w:themeColor="text1"/>
          <w:sz w:val="16"/>
          <w:szCs w:val="16"/>
        </w:rPr>
      </w:pPr>
      <w:r w:rsidRPr="002C142A">
        <w:rPr>
          <w:rStyle w:val="FootnoteReference"/>
          <w:rFonts w:ascii="Book Antiqua" w:hAnsi="Book Antiqua"/>
          <w:color w:val="000000" w:themeColor="text1"/>
          <w:sz w:val="16"/>
          <w:szCs w:val="16"/>
        </w:rPr>
        <w:footnoteRef/>
      </w:r>
      <w:r w:rsidRPr="002C142A">
        <w:rPr>
          <w:rFonts w:ascii="Book Antiqua" w:hAnsi="Book Antiqua"/>
          <w:color w:val="000000" w:themeColor="text1"/>
          <w:sz w:val="16"/>
          <w:szCs w:val="16"/>
        </w:rPr>
        <w:t xml:space="preserve"> </w:t>
      </w:r>
      <w:r w:rsidRPr="002C142A">
        <w:rPr>
          <w:rFonts w:ascii="Book Antiqua" w:hAnsi="Book Antiqua"/>
          <w:color w:val="000000" w:themeColor="text1"/>
          <w:sz w:val="16"/>
          <w:szCs w:val="16"/>
        </w:rPr>
        <w:fldChar w:fldCharType="begin" w:fldLock="1"/>
      </w:r>
      <w:r w:rsidRPr="002C142A">
        <w:rPr>
          <w:rFonts w:ascii="Book Antiqua" w:hAnsi="Book Antiqua"/>
          <w:color w:val="000000" w:themeColor="text1"/>
          <w:sz w:val="16"/>
          <w:szCs w:val="16"/>
        </w:rPr>
        <w:instrText>ADDIN CSL_CITATION {"citationItems":[{"id":"ITEM-1","itemData":{"DOI":"https://doi.org/10.58812/jhhws.v3i01.967","abstract":"Penelitian ini bertujuan untuk memahami proses pembuktian kebaruan dalam konteks hukum paten sederhana. Penelitian ini menggunakan metode studi dokumen, termasuk peraturan perundang-undangan dan putusan pengadilan terkait. Selain itu, literatur dan penelitian terkait juga menjadi sumber data yang penting. Wawancara dengan ahli hukum dan praktisi hukum yang berpengalaman dalam bidang paten juga dilakukan untuk memperoleh wawasan yang lebih luas terkait dengan pembuktian kebaruan dalam gugatan pembatalan paten sederhana. Dalam gugatan pembatalan paten sederhana, salah satu aspek yang harus dibuktikan adalah kebaruan suatu invensi. Kebaruan merupakan salah satu syarat utama yang harus dipenuhi agar suatu invensi dapat diberikan hak paten. Proses pembuktian kebaruan ini harus dilakukan dengan cermat dan sistematis. Invensi yang diajukan harus dianggap baru dan tidak tercakup dalam pengetahuan yang sudah ada sebelumnya. Proses persidangan akan menilai bukti-bukti yang diajukan dalam pembuktian kebaruan ini. Persidangan akan memutuskan apakah paten tersebut dapat dipertahankan atau dibatalkan berdasarkan ketentuan kebaruan dalam undang-undang paten yang berlaku. ABSTRACT","author":[{"dropping-particle":"","family":"Rahman","given":"","non-dropping-particle":"","parse-names":false,"suffix":""},{"dropping-particle":"","family":"Putra","given":"Niko Satria Dwi","non-dropping-particle":"","parse-names":false,"suffix":""},{"dropping-particle":"","family":"Rifaldi","given":"Luki Artur","non-dropping-particle":"","parse-names":false,"suffix":""},{"dropping-particle":"","family":"Solih","given":"Muhammad Zaky Jamaludin","non-dropping-particle":"","parse-names":false,"suffix":""}],"container-title":"Jurnal Hukum dan HAM Wara Sains","id":"ITEM-1","issue":"01","issued":{"date-parts":[["2024"]]},"page":"42-50","title":"Pembuktian Kebaruan Suatu Invensi Dalam Gugatan Pembatalan Paten Sederhana","type":"article-journal","volume":"03"},"uris":["http://www.mendeley.com/documents/?uuid=bbc8d3c1-0661-4eb4-aaa1-dd9d706df5f9"]}],"mendeley":{"formattedCitation":"Rahman et al., “Pembuktian Kebaruan Suatu Invensi Dalam Gugatan Pembatalan Paten Sederhana,” &lt;i&gt;Jurnal Hukum Dan HAM Wara Sains&lt;/i&gt; 03, no. 01 (2024): 42–50, https://doi.org/https://doi.org/10.58812/jhhws.v3i01.967.","plainTextFormattedCitation":"Rahman et al., “Pembuktian Kebaruan Suatu Invensi Dalam Gugatan Pembatalan Paten Sederhana,” Jurnal Hukum Dan HAM Wara Sains 03, no. 01 (2024): 42–50, https://doi.org/https://doi.org/10.58812/jhhws.v3i01.967.","previouslyFormattedCitation":"Rahman et al., “Pembuktian Kebaruan Suatu Invensi Dalam Gugatan Pembatalan Paten Sederhana,” &lt;i&gt;Jurnal Hukum Dan HAM Wara Sains&lt;/i&gt; 03, no. 01 (2024): 42–50, https://doi.org/https://doi.org/10.58812/jhhws.v3i01.967."},"properties":{"noteIndex":45},"schema":"https://github.com/citation-style-language/schema/raw/master/csl-citation.json"}</w:instrText>
      </w:r>
      <w:r w:rsidRPr="002C142A">
        <w:rPr>
          <w:rFonts w:ascii="Book Antiqua" w:hAnsi="Book Antiqua"/>
          <w:color w:val="000000" w:themeColor="text1"/>
          <w:sz w:val="16"/>
          <w:szCs w:val="16"/>
        </w:rPr>
        <w:fldChar w:fldCharType="separate"/>
      </w:r>
      <w:r w:rsidRPr="002C142A">
        <w:rPr>
          <w:rFonts w:ascii="Book Antiqua" w:hAnsi="Book Antiqua"/>
          <w:noProof/>
          <w:color w:val="000000" w:themeColor="text1"/>
          <w:sz w:val="16"/>
          <w:szCs w:val="16"/>
        </w:rPr>
        <w:t xml:space="preserve">Rahman et al., “Pembuktian Kebaruan Suatu Invensi Dalam Gugatan Pembatalan Paten Sederhana,” </w:t>
      </w:r>
      <w:r w:rsidRPr="002C142A">
        <w:rPr>
          <w:rFonts w:ascii="Book Antiqua" w:hAnsi="Book Antiqua"/>
          <w:i/>
          <w:noProof/>
          <w:color w:val="000000" w:themeColor="text1"/>
          <w:sz w:val="16"/>
          <w:szCs w:val="16"/>
        </w:rPr>
        <w:t>Jurnal Hukum Dan HAM Wara Sains</w:t>
      </w:r>
      <w:r w:rsidRPr="002C142A">
        <w:rPr>
          <w:rFonts w:ascii="Book Antiqua" w:hAnsi="Book Antiqua"/>
          <w:noProof/>
          <w:color w:val="000000" w:themeColor="text1"/>
          <w:sz w:val="16"/>
          <w:szCs w:val="16"/>
        </w:rPr>
        <w:t xml:space="preserve"> 03, no. 01 (2024): 42–50, https://doi.org/https://doi.org/10.58812/jhhws.v3i01.967.</w:t>
      </w:r>
      <w:r w:rsidRPr="002C142A">
        <w:rPr>
          <w:rFonts w:ascii="Book Antiqua" w:hAnsi="Book Antiqua"/>
          <w:color w:val="000000" w:themeColor="text1"/>
          <w:sz w:val="16"/>
          <w:szCs w:val="16"/>
        </w:rPr>
        <w:fldChar w:fldCharType="end"/>
      </w:r>
    </w:p>
  </w:footnote>
  <w:footnote w:id="46">
    <w:p w14:paraId="6878DD44" w14:textId="298A4DEF" w:rsidR="00C04C78" w:rsidRPr="002C142A" w:rsidRDefault="00C04C78" w:rsidP="002C142A">
      <w:pPr>
        <w:pStyle w:val="FootnoteText"/>
        <w:jc w:val="both"/>
        <w:rPr>
          <w:rFonts w:ascii="Book Antiqua" w:hAnsi="Book Antiqua"/>
          <w:color w:val="000000" w:themeColor="text1"/>
          <w:sz w:val="16"/>
          <w:szCs w:val="16"/>
        </w:rPr>
      </w:pPr>
      <w:r w:rsidRPr="002C142A">
        <w:rPr>
          <w:rStyle w:val="FootnoteReference"/>
          <w:rFonts w:ascii="Book Antiqua" w:hAnsi="Book Antiqua"/>
          <w:color w:val="000000" w:themeColor="text1"/>
          <w:sz w:val="16"/>
          <w:szCs w:val="16"/>
        </w:rPr>
        <w:footnoteRef/>
      </w:r>
      <w:r w:rsidRPr="002C142A">
        <w:rPr>
          <w:rFonts w:ascii="Book Antiqua" w:hAnsi="Book Antiqua"/>
          <w:color w:val="000000" w:themeColor="text1"/>
          <w:sz w:val="16"/>
          <w:szCs w:val="16"/>
        </w:rPr>
        <w:t xml:space="preserve"> </w:t>
      </w:r>
      <w:r w:rsidRPr="002C142A">
        <w:rPr>
          <w:rFonts w:ascii="Book Antiqua" w:hAnsi="Book Antiqua"/>
          <w:color w:val="000000" w:themeColor="text1"/>
          <w:sz w:val="16"/>
          <w:szCs w:val="16"/>
        </w:rPr>
        <w:fldChar w:fldCharType="begin" w:fldLock="1"/>
      </w:r>
      <w:r w:rsidRPr="002C142A">
        <w:rPr>
          <w:rFonts w:ascii="Book Antiqua" w:hAnsi="Book Antiqua"/>
          <w:color w:val="000000" w:themeColor="text1"/>
          <w:sz w:val="16"/>
          <w:szCs w:val="16"/>
        </w:rPr>
        <w:instrText>ADDIN CSL_CITATION {"citationItems":[{"id":"ITEM-1","itemData":{"author":[{"dropping-particle":"","family":"Saputra","given":"Yogi","non-dropping-particle":"","parse-names":false,"suffix":""},{"dropping-particle":"","family":"Aizani","given":"Pasha","non-dropping-particle":"","parse-names":false,"suffix":""}],"id":"ITEM-1","issue":"2","issued":{"date-parts":[["2024"]]},"page":"161-169","title":"Aspek Hak Kekayaan Intelektual Dalam Hukum Perdata: Perlindungan Terhadap Karya-Karya Seni Dan Inovasi Teknologi","type":"article-journal","volume":"2"},"uris":["http://www.mendeley.com/documents/?uuid=beb7a884-a9a0-4385-93ad-c76ba83eba63"]}],"mendeley":{"formattedCitation":"Yogi Saputra and Pasha Aizani, “Aspek Hak Kekayaan Intelektual Dalam Hukum Perdata: Perlindungan Terhadap Karya-Karya Seni Dan Inovasi Teknologi” 2, no. 2 (2024): 161–69.","plainTextFormattedCitation":"Yogi Saputra and Pasha Aizani, “Aspek Hak Kekayaan Intelektual Dalam Hukum Perdata: Perlindungan Terhadap Karya-Karya Seni Dan Inovasi Teknologi” 2, no. 2 (2024): 161–69.","previouslyFormattedCitation":"Yogi Saputra and Pasha Aizani, “Aspek Hak Kekayaan Intelektual Dalam Hukum Perdata: Perlindungan Terhadap Karya-Karya Seni Dan Inovasi Teknologi” 2, no. 2 (2024): 161–69."},"properties":{"noteIndex":46},"schema":"https://github.com/citation-style-language/schema/raw/master/csl-citation.json"}</w:instrText>
      </w:r>
      <w:r w:rsidRPr="002C142A">
        <w:rPr>
          <w:rFonts w:ascii="Book Antiqua" w:hAnsi="Book Antiqua"/>
          <w:color w:val="000000" w:themeColor="text1"/>
          <w:sz w:val="16"/>
          <w:szCs w:val="16"/>
        </w:rPr>
        <w:fldChar w:fldCharType="separate"/>
      </w:r>
      <w:r w:rsidRPr="002C142A">
        <w:rPr>
          <w:rFonts w:ascii="Book Antiqua" w:hAnsi="Book Antiqua"/>
          <w:noProof/>
          <w:color w:val="000000" w:themeColor="text1"/>
          <w:sz w:val="16"/>
          <w:szCs w:val="16"/>
        </w:rPr>
        <w:t>Yogi Saputra and Pasha Aizani, “Aspek Hak Kekayaan Intelektual Dalam Hukum Perdata: Perlindungan Terhadap Karya-Karya Seni Dan Inovasi Teknologi” 2, no. 2 (2024): 161–69.</w:t>
      </w:r>
      <w:r w:rsidRPr="002C142A">
        <w:rPr>
          <w:rFonts w:ascii="Book Antiqua" w:hAnsi="Book Antiqua"/>
          <w:color w:val="000000" w:themeColor="text1"/>
          <w:sz w:val="16"/>
          <w:szCs w:val="16"/>
        </w:rPr>
        <w:fldChar w:fldCharType="end"/>
      </w:r>
    </w:p>
  </w:footnote>
  <w:footnote w:id="47">
    <w:p w14:paraId="6C4767A3" w14:textId="65C676F9" w:rsidR="00C04C78" w:rsidRPr="002C142A" w:rsidRDefault="00C04C78" w:rsidP="002C142A">
      <w:pPr>
        <w:pStyle w:val="FootnoteText"/>
        <w:jc w:val="both"/>
        <w:rPr>
          <w:rFonts w:ascii="Book Antiqua" w:hAnsi="Book Antiqua"/>
          <w:sz w:val="16"/>
          <w:szCs w:val="16"/>
        </w:rPr>
      </w:pPr>
      <w:r w:rsidRPr="002C142A">
        <w:rPr>
          <w:rStyle w:val="FootnoteReference"/>
          <w:rFonts w:ascii="Book Antiqua" w:hAnsi="Book Antiqua"/>
          <w:sz w:val="16"/>
          <w:szCs w:val="16"/>
        </w:rPr>
        <w:footnoteRef/>
      </w:r>
      <w:r w:rsidRPr="002C142A">
        <w:rPr>
          <w:rFonts w:ascii="Book Antiqua" w:hAnsi="Book Antiqua"/>
          <w:sz w:val="16"/>
          <w:szCs w:val="16"/>
        </w:rPr>
        <w:t xml:space="preserve"> </w:t>
      </w:r>
      <w:r w:rsidRPr="002C142A">
        <w:rPr>
          <w:rFonts w:ascii="Book Antiqua" w:hAnsi="Book Antiqua"/>
          <w:sz w:val="16"/>
          <w:szCs w:val="16"/>
        </w:rPr>
        <w:fldChar w:fldCharType="begin" w:fldLock="1"/>
      </w:r>
      <w:r w:rsidR="002C142A" w:rsidRPr="002C142A">
        <w:rPr>
          <w:rFonts w:ascii="Book Antiqua" w:hAnsi="Book Antiqua"/>
          <w:sz w:val="16"/>
          <w:szCs w:val="16"/>
        </w:rPr>
        <w:instrText>ADDIN CSL_CITATION {"citationItems":[{"id":"ITEM-1","itemData":{"DOI":"10.22219/ljih.v29i2.15680","ISSN":"2549-4600","abstract":"The discovery of technology has a huge impact on the economy of a country, so many countries focus on developing technology and apply this technology in their respective countries. Technological inventions must register patent rights to obtain legal protection to avoid losses that will harm inventors, stimulate creativity in creating new technologies and create fair business competition among companies engaged in technology. This normative research aims to compare patent protection in Indonesia, Singapore, and Hong Kong. The benefit of this research is that it can contribute to scientific literature in the field of patent rights, can provide an overview of the form of patent rights arrangements in several countries outside Indonesia, so as to avoid disputes and/or misunderstandings with other countries. The participation of Indonesia, Singapore, and Hong Kong in ratifying the Convention on the World Trade Organization and the agreement on the Trade Aspects of Intellectual Property Rights (TRIPs) obliges these countries to establish regulations on patents in their respective countries. Although the application of patent law in Indonesia, Singapore, and Hong Kong is based on the terms of the TRIPs agreement, the implementation and regulations must have differences. Patent registration in Indonesia, Singapore, and Hong Kong have the same procedure, namely fulfilling the formal requirements, substantive examination, then the announcement stage. The term of patent protection in Indonesia and Singapore is similar, which is 20 years from the date of filing. However, it is different from Hong Kong, namely from the date of filing. In patent disputes, there are two ways of settlement, namely litigation and non-litigation. Patents in Indonesia, Singapore, and Hong Kong have another similarity, namely that they are transferable and can be licensed. The focus of this research is only to compare the application of patent law and not to examine its strengths and weaknesses, so it is considered important to do further research on this matter.","author":[{"dropping-particle":"","family":"Sudirman","given":"Lu","non-dropping-particle":"","parse-names":false,"suffix":""},{"dropping-particle":"","family":"Disemadi","given":"Hari Sutra","non-dropping-particle":"","parse-names":false,"suffix":""}],"container-title":"Legality : Jurnal Ilmiah Hukum","id":"ITEM-1","issue":"2","issued":{"date-parts":[["2021","6","18"]]},"page":"200-222","title":"Comparing patent protection in Indonesia with that in Singapore and Hong Kong","type":"article-journal","volume":"29"},"uris":["http://www.mendeley.com/documents/?uuid=7beb30ef-c287-41aa-a246-2fd0cd4930ce"]}],"mendeley":{"formattedCitation":"Lu Sudirman and Hari Sutra Disemadi, “Comparing Patent Protection in Indonesia with That in Singapore and Hong Kong,” &lt;i&gt;Legality</w:instrText>
      </w:r>
      <w:r w:rsidR="002C142A" w:rsidRPr="002C142A">
        <w:rPr>
          <w:sz w:val="16"/>
          <w:szCs w:val="16"/>
        </w:rPr>
        <w:instrText> </w:instrText>
      </w:r>
      <w:r w:rsidR="002C142A" w:rsidRPr="002C142A">
        <w:rPr>
          <w:rFonts w:ascii="Book Antiqua" w:hAnsi="Book Antiqua"/>
          <w:sz w:val="16"/>
          <w:szCs w:val="16"/>
        </w:rPr>
        <w:instrText>: Jurnal Ilmiah Hukum&lt;/i&gt; 29, no. 2 (June 18, 2021): 200–222, https://doi.org/10.22219/ljih.v29i2.15680.","plainTextFormattedCitation":"Lu Sudirman and Hari Sutra Disemadi, “Comparing Patent Protection in Indonesia with That in Singapore and Hong Kong,” Legality</w:instrText>
      </w:r>
      <w:r w:rsidR="002C142A" w:rsidRPr="002C142A">
        <w:rPr>
          <w:sz w:val="16"/>
          <w:szCs w:val="16"/>
        </w:rPr>
        <w:instrText> </w:instrText>
      </w:r>
      <w:r w:rsidR="002C142A" w:rsidRPr="002C142A">
        <w:rPr>
          <w:rFonts w:ascii="Book Antiqua" w:hAnsi="Book Antiqua"/>
          <w:sz w:val="16"/>
          <w:szCs w:val="16"/>
        </w:rPr>
        <w:instrText>: Jurnal Ilmiah Hukum 29, no. 2 (June 18, 2021): 200–222, https://doi.org/10.22219/ljih.v29i2.15680.","previouslyFormattedCitation":"Lu Sudirman and Hari Sutra Disemadi, “Comparing Patent Protection in Indonesia with That in Singapore and Hong Kong,” &lt;i&gt;Legality</w:instrText>
      </w:r>
      <w:r w:rsidR="002C142A" w:rsidRPr="002C142A">
        <w:rPr>
          <w:sz w:val="16"/>
          <w:szCs w:val="16"/>
        </w:rPr>
        <w:instrText> </w:instrText>
      </w:r>
      <w:r w:rsidR="002C142A" w:rsidRPr="002C142A">
        <w:rPr>
          <w:rFonts w:ascii="Book Antiqua" w:hAnsi="Book Antiqua"/>
          <w:sz w:val="16"/>
          <w:szCs w:val="16"/>
        </w:rPr>
        <w:instrText>: Jurnal Ilmiah Hukum&lt;/i&gt; 29, no. 2 (June 18, 2021): 200</w:instrText>
      </w:r>
      <w:r w:rsidR="002C142A" w:rsidRPr="002C142A">
        <w:rPr>
          <w:rFonts w:ascii="Book Antiqua" w:hAnsi="Book Antiqua" w:cs="Book Antiqua"/>
          <w:sz w:val="16"/>
          <w:szCs w:val="16"/>
        </w:rPr>
        <w:instrText>–</w:instrText>
      </w:r>
      <w:r w:rsidR="002C142A" w:rsidRPr="002C142A">
        <w:rPr>
          <w:rFonts w:ascii="Book Antiqua" w:hAnsi="Book Antiqua"/>
          <w:sz w:val="16"/>
          <w:szCs w:val="16"/>
        </w:rPr>
        <w:instrText>222, https://doi.org/10.22219/ljih.v29i2.15680."},"properties":{"noteIndex":47},"schema":"https://github.com/citation-style-language/schema/raw/master/csl-citation.json"}</w:instrText>
      </w:r>
      <w:r w:rsidRPr="002C142A">
        <w:rPr>
          <w:rFonts w:ascii="Book Antiqua" w:hAnsi="Book Antiqua"/>
          <w:sz w:val="16"/>
          <w:szCs w:val="16"/>
        </w:rPr>
        <w:fldChar w:fldCharType="separate"/>
      </w:r>
      <w:r w:rsidRPr="002C142A">
        <w:rPr>
          <w:rFonts w:ascii="Book Antiqua" w:hAnsi="Book Antiqua"/>
          <w:noProof/>
          <w:sz w:val="16"/>
          <w:szCs w:val="16"/>
        </w:rPr>
        <w:t xml:space="preserve">Lu Sudirman and Hari Sutra Disemadi, “Comparing Patent Protection in Indonesia with That in Singapore and Hong Kong,” </w:t>
      </w:r>
      <w:r w:rsidRPr="002C142A">
        <w:rPr>
          <w:rFonts w:ascii="Book Antiqua" w:hAnsi="Book Antiqua"/>
          <w:i/>
          <w:noProof/>
          <w:sz w:val="16"/>
          <w:szCs w:val="16"/>
        </w:rPr>
        <w:t>Legality</w:t>
      </w:r>
      <w:r w:rsidRPr="002C142A">
        <w:rPr>
          <w:i/>
          <w:noProof/>
          <w:sz w:val="16"/>
          <w:szCs w:val="16"/>
        </w:rPr>
        <w:t> </w:t>
      </w:r>
      <w:r w:rsidRPr="002C142A">
        <w:rPr>
          <w:rFonts w:ascii="Book Antiqua" w:hAnsi="Book Antiqua"/>
          <w:i/>
          <w:noProof/>
          <w:sz w:val="16"/>
          <w:szCs w:val="16"/>
        </w:rPr>
        <w:t>: Jurnal Ilmiah Hukum</w:t>
      </w:r>
      <w:r w:rsidRPr="002C142A">
        <w:rPr>
          <w:rFonts w:ascii="Book Antiqua" w:hAnsi="Book Antiqua"/>
          <w:noProof/>
          <w:sz w:val="16"/>
          <w:szCs w:val="16"/>
        </w:rPr>
        <w:t xml:space="preserve"> 29, no. 2 (June 18, 2021): 200–222, https://doi.org/10.22219/ljih.v29i2.15680.</w:t>
      </w:r>
      <w:r w:rsidRPr="002C142A">
        <w:rPr>
          <w:rFonts w:ascii="Book Antiqua" w:hAnsi="Book Antiqua"/>
          <w:sz w:val="16"/>
          <w:szCs w:val="16"/>
        </w:rPr>
        <w:fldChar w:fldCharType="end"/>
      </w:r>
    </w:p>
  </w:footnote>
  <w:footnote w:id="48">
    <w:p w14:paraId="18E3FA9D" w14:textId="3924393F" w:rsidR="00C04C78" w:rsidRPr="002C142A" w:rsidRDefault="00C04C78" w:rsidP="002C142A">
      <w:pPr>
        <w:pStyle w:val="FootnoteText"/>
        <w:jc w:val="both"/>
        <w:rPr>
          <w:rFonts w:ascii="Book Antiqua" w:hAnsi="Book Antiqua"/>
          <w:color w:val="000000" w:themeColor="text1"/>
          <w:sz w:val="16"/>
          <w:szCs w:val="16"/>
        </w:rPr>
      </w:pPr>
      <w:r w:rsidRPr="002C142A">
        <w:rPr>
          <w:rStyle w:val="FootnoteReference"/>
          <w:rFonts w:ascii="Book Antiqua" w:hAnsi="Book Antiqua"/>
          <w:color w:val="000000" w:themeColor="text1"/>
          <w:sz w:val="16"/>
          <w:szCs w:val="16"/>
        </w:rPr>
        <w:footnoteRef/>
      </w:r>
      <w:r w:rsidRPr="002C142A">
        <w:rPr>
          <w:rFonts w:ascii="Book Antiqua" w:hAnsi="Book Antiqua"/>
          <w:color w:val="000000" w:themeColor="text1"/>
          <w:sz w:val="16"/>
          <w:szCs w:val="16"/>
        </w:rPr>
        <w:t xml:space="preserve"> </w:t>
      </w:r>
      <w:r w:rsidRPr="002C142A">
        <w:rPr>
          <w:rFonts w:ascii="Book Antiqua" w:hAnsi="Book Antiqua"/>
          <w:color w:val="000000" w:themeColor="text1"/>
          <w:sz w:val="16"/>
          <w:szCs w:val="16"/>
        </w:rPr>
        <w:fldChar w:fldCharType="begin" w:fldLock="1"/>
      </w:r>
      <w:r w:rsidRPr="002C142A">
        <w:rPr>
          <w:rFonts w:ascii="Book Antiqua" w:hAnsi="Book Antiqua"/>
          <w:color w:val="000000" w:themeColor="text1"/>
          <w:sz w:val="16"/>
          <w:szCs w:val="16"/>
        </w:rPr>
        <w:instrText>ADDIN CSL_CITATION {"citationItems":[{"id":"ITEM-1","itemData":{"DOI":"https://doi.org/10.35968/jti.v4i0.676","abstract":"Paten adalah hak eksklusif yang diberikan oleh negara kepada inventor atas hasil invensinya di bidang teknologi, yang untuk selama waktu tertentu melaksanakan sendiri invensinya tersebut atau memberikan persetujuannya kepada pihak lain untuk melaksanakannya. Hampir semua bidang kehidupan telah menggunakan teknologi yang maju, baik teknologi yang berasal dari dalam negeri maupun teknologi yang berasal dari luar negeri. Untuk itu diperlukan adanya peraturan di bidang paten yang didalamnya mengatur tentang: Istilah dan definisi yang berhubungan dengan paten, syarat-syarat, prosedur, jangka waktu, bentuk-bentuk perlindungan, hak dan kewajiban pemegang paten, lisensi, berakhirnya lisensi, ketentuan tentang royalty, dan lain-lain. Hal ini dijadikan sebagai acuan dalam menjalankan kegiatan yang berhubungan dengan paten di Indonesia sehingga dapat memberi perlindungan hukum terhadap inventor. Perlindungan dibutuhkan sebagai: Wujud penghargaan, pengakuan, jaminan berdasarkan rasa keadilan dan kelayakan atas segala kemampuan serta usahanya, sehingga termotivasi untuk terus berkarya demi masa depan bangsa dan negara yang lebih baik. Meskipun Indonesia sudah memiliki peraturan perundang-undangan di bidang paten dan telah meratifikasi perjanjian-perjanjian internasional menyangkut paten, namun masih tetap terjadi permasalahan-permasalahan. Terjadinya permasalahan tersebut dipengaruhi berbagai faktor, antara lain: yang berkaitan dengan struktur hukum, substansi hokum dan budaya hukum.","author":[{"dropping-particle":"","family":"Sinaga","given":"Niru Anita","non-dropping-particle":"","parse-names":false,"suffix":""},{"dropping-particle":"","family":"Zaluchu","given":"Tiberius","non-dropping-particle":"","parse-names":false,"suffix":""}],"id":"ITEM-1","issued":{"date-parts":[["2021"]]},"number-of-pages":"1-17","title":"Tinjauan Yuridis Tentang Perlindungan Hak Kekayaan Intelektual di Bidang Paten","type":"report"},"uris":["http://www.mendeley.com/documents/?uuid=6f321a94-dd6e-3f52-b24a-bfd9214c460f"]}],"mendeley":{"formattedCitation":"Niru Anita Sinaga and Tiberius Zaluchu, “Tinjauan Yuridis Tentang Perlindungan Hak Kekayaan Intelektual Di Bidang Paten,” 2021, https://doi.org/https://doi.org/10.35968/jti.v4i0.676.","plainTextFormattedCitation":"Niru Anita Sinaga and Tiberius Zaluchu, “Tinjauan Yuridis Tentang Perlindungan Hak Kekayaan Intelektual Di Bidang Paten,” 2021, https://doi.org/https://doi.org/10.35968/jti.v4i0.676.","previouslyFormattedCitation":"Niru Anita Sinaga and Tiberius Zaluchu, “Tinjauan Yuridis Tentang Perlindungan Hak Kekayaan Intelektual Di Bidang Paten,” 2021, https://doi.org/https://doi.org/10.35968/jti.v4i0.676."},"properties":{"noteIndex":48},"schema":"https://github.com/citation-style-language/schema/raw/master/csl-citation.json"}</w:instrText>
      </w:r>
      <w:r w:rsidRPr="002C142A">
        <w:rPr>
          <w:rFonts w:ascii="Book Antiqua" w:hAnsi="Book Antiqua"/>
          <w:color w:val="000000" w:themeColor="text1"/>
          <w:sz w:val="16"/>
          <w:szCs w:val="16"/>
        </w:rPr>
        <w:fldChar w:fldCharType="separate"/>
      </w:r>
      <w:r w:rsidRPr="002C142A">
        <w:rPr>
          <w:rFonts w:ascii="Book Antiqua" w:hAnsi="Book Antiqua"/>
          <w:noProof/>
          <w:color w:val="000000" w:themeColor="text1"/>
          <w:sz w:val="16"/>
          <w:szCs w:val="16"/>
        </w:rPr>
        <w:t>Niru Anita Sinaga and Tiberius Zaluchu, “Tinjauan Yuridis Tentang Perlindungan Hak Kekayaan Intelektual Di Bidang Paten,” 2021, https://doi.org/https://doi.org/10.35968/jti.v4i0.676.</w:t>
      </w:r>
      <w:r w:rsidRPr="002C142A">
        <w:rPr>
          <w:rFonts w:ascii="Book Antiqua" w:hAnsi="Book Antiqua"/>
          <w:color w:val="000000" w:themeColor="text1"/>
          <w:sz w:val="16"/>
          <w:szCs w:val="16"/>
        </w:rPr>
        <w:fldChar w:fldCharType="end"/>
      </w:r>
    </w:p>
  </w:footnote>
  <w:footnote w:id="49">
    <w:p w14:paraId="6FE05BB1" w14:textId="5FAAF755" w:rsidR="00C04C78" w:rsidRDefault="00C04C78" w:rsidP="002C142A">
      <w:pPr>
        <w:pStyle w:val="FootnoteText"/>
        <w:jc w:val="both"/>
      </w:pPr>
      <w:r w:rsidRPr="002C142A">
        <w:rPr>
          <w:rStyle w:val="FootnoteReference"/>
          <w:rFonts w:ascii="Book Antiqua" w:hAnsi="Book Antiqua"/>
          <w:color w:val="000000" w:themeColor="text1"/>
          <w:sz w:val="16"/>
          <w:szCs w:val="16"/>
        </w:rPr>
        <w:footnoteRef/>
      </w:r>
      <w:r w:rsidRPr="002C142A">
        <w:rPr>
          <w:rFonts w:ascii="Book Antiqua" w:hAnsi="Book Antiqua"/>
          <w:color w:val="000000" w:themeColor="text1"/>
          <w:sz w:val="16"/>
          <w:szCs w:val="16"/>
        </w:rPr>
        <w:t xml:space="preserve"> </w:t>
      </w:r>
      <w:r w:rsidRPr="002C142A">
        <w:rPr>
          <w:rFonts w:ascii="Book Antiqua" w:hAnsi="Book Antiqua"/>
          <w:color w:val="000000" w:themeColor="text1"/>
          <w:sz w:val="16"/>
          <w:szCs w:val="16"/>
        </w:rPr>
        <w:fldChar w:fldCharType="begin" w:fldLock="1"/>
      </w:r>
      <w:r w:rsidRPr="002C142A">
        <w:rPr>
          <w:rFonts w:ascii="Book Antiqua" w:hAnsi="Book Antiqua"/>
          <w:color w:val="000000" w:themeColor="text1"/>
          <w:sz w:val="16"/>
          <w:szCs w:val="16"/>
        </w:rPr>
        <w:instrText>ADDIN CSL_CITATION {"citationItems":[{"id":"ITEM-1","itemData":{"abstract":"Penelitian ini bertujuan : untuk mengetahui dan menganalisis dasar pertimbangan hakim dalam menjatuhkan putusan terhadap Kasus Putusan Mahkamah Agun Nomor 910 K/Pdt.Sus-HKI/2020).. Permasalahan dalam penelitian ini adalah: apa yang menjadi dasar pertimbangan hakim dalam menjatuhkan putusan terhadap tergugat dalam konteks hak cipta lagu (cover version) tipe pendekatan penelitian yang digunakan dalam penelitian ini adalah yuridis normatif dengan pendekatan penelitian yang digunakana adalah pendekatan perundang-undangan (statue approach), pendekatan konseptual (conceptual approach), dan pendekatan kasus (case approach) dan juga pengumpulan bahan-bahan yang dapat dijadikan sumber dalam penelitian skripsi ini. Berdasarkan metode penelitian yang digunakan hasil penelitian menunjukan. Pelanggaran hak cipta yang dilakukan oleh seseorang atau kelompok dalam hal perbuatan mengcover lagu ciptaan orang lain tanpa izin dari pemilik resmi pencipta lagu tersebut merupakan suatu pelanggaran hak eksklusif yang dimiliki oleh pencipta. Hak eksklusif ini terdiri dari hak moral dan hak ekonomi, kedua hak ini memiliki intensitas tersendiri yang mencakup dari sisi komersial dan moralitas pribadi si pencipta. Terutama lebih turtuju kepada aspek hak moral yang terdapat di dalam hak eksklusif pencipta, hak moral merupakan hak dari kepribadian si pencipta (dalam hal ini adalah hak cipta lagu), dimana hak moral tidak dapat beralih kepada siapapun yang artinya hak moral bersifat abadi dalam diri pencipta, untuk itu sangat penting dilakukannya perlindungan hukum atas hak eksklusif pencipta. Salah satu media platform yang menjadi sarana menunjukkan hasil dari cover version lagu adalah youtube, seringnya terjadi pelanggaran hak cipta di youtube karena youtube sangat mudah diakses oleh orang di penjuru dunia yang membuat pengcover menjadi sosok yang terkenal yang mendapatkan keuntungan dari sisi komersial dan moralitas dan mengkesampingkan dampak negatif yang ditimbulkan kepada pencipta resmi. Kata kunci : hak cipta, cover version lagu, hak moral, youtube","author":[{"dropping-particle":"","family":"Hutagalug","given":"Whendy Pratama","non-dropping-particle":"","parse-names":false,"suffix":""}],"id":"ITEM-1","issued":{"date-parts":[["2022"]]},"number-of-pages":"1-22","publisher":"Universitas Jambi","title":"Tinjauan Yuridis Aspek Hak Moral Terhadap Cover Version Lagu pada Platform Youtube (Studi Kasus Mahkamah Agung putusan Nomor 910 K/Pdt.Sus-HKI/2020)","type":"thesis"},"uris":["http://www.mendeley.com/documents/?uuid=8ac9105b-7f0d-4ac3-b96b-b8e29dd5c737"]}],"mendeley":{"formattedCitation":"Hutagalug, “Tinjauan Yuridis Aspek Hak Moral Terhadap Cover Version Lagu Pada Platform Youtube (Studi Kasus Mahkamah Agung Putusan Nomor 910 K/Pdt.Sus-HKI/2020).”","plainTextFormattedCitation":"Hutagalug, “Tinjauan Yuridis Aspek Hak Moral Terhadap Cover Version Lagu Pada Platform Youtube (Studi Kasus Mahkamah Agung Putusan Nomor 910 K/Pdt.Sus-HKI/2020).”","previouslyFormattedCitation":"Hutagalug, “Tinjauan Yuridis Aspek Hak Moral Terhadap Cover Version Lagu Pada Platform Youtube (Studi Kasus Mahkamah Agung Putusan Nomor 910 K/Pdt.Sus-HKI/2020).”"},"properties":{"noteIndex":49},"schema":"https://github.com/citation-style-language/schema/raw/master/csl-citation.json"}</w:instrText>
      </w:r>
      <w:r w:rsidRPr="002C142A">
        <w:rPr>
          <w:rFonts w:ascii="Book Antiqua" w:hAnsi="Book Antiqua"/>
          <w:color w:val="000000" w:themeColor="text1"/>
          <w:sz w:val="16"/>
          <w:szCs w:val="16"/>
        </w:rPr>
        <w:fldChar w:fldCharType="separate"/>
      </w:r>
      <w:r w:rsidRPr="002C142A">
        <w:rPr>
          <w:rFonts w:ascii="Book Antiqua" w:hAnsi="Book Antiqua"/>
          <w:noProof/>
          <w:color w:val="000000" w:themeColor="text1"/>
          <w:sz w:val="16"/>
          <w:szCs w:val="16"/>
        </w:rPr>
        <w:t>Hutagalug, “Tinjauan Yuridis Aspek Hak Moral Terhadap Cover Version Lagu Pada Platform Youtube (Studi Kasus Mahkamah Agung Putusan Nomor 910 K/Pdt.Sus-HKI/2020).”</w:t>
      </w:r>
      <w:r w:rsidRPr="002C142A">
        <w:rPr>
          <w:rFonts w:ascii="Book Antiqua" w:hAnsi="Book Antiqua"/>
          <w:color w:val="000000" w:themeColor="text1"/>
          <w:sz w:val="16"/>
          <w:szCs w:val="16"/>
        </w:rPr>
        <w:fldChar w:fldCharType="end"/>
      </w:r>
    </w:p>
  </w:footnote>
  <w:footnote w:id="50">
    <w:p w14:paraId="724347D2" w14:textId="13640DC5" w:rsidR="00C04C78" w:rsidRPr="00962DC6" w:rsidRDefault="00C04C78" w:rsidP="002C142A">
      <w:pPr>
        <w:pStyle w:val="FootnoteText"/>
        <w:jc w:val="both"/>
        <w:rPr>
          <w:rFonts w:ascii="Book Antiqua" w:hAnsi="Book Antiqua"/>
          <w:sz w:val="16"/>
          <w:szCs w:val="16"/>
        </w:rPr>
      </w:pPr>
      <w:r w:rsidRPr="00962DC6">
        <w:rPr>
          <w:rStyle w:val="FootnoteReference"/>
          <w:rFonts w:ascii="Book Antiqua" w:hAnsi="Book Antiqua"/>
          <w:sz w:val="16"/>
          <w:szCs w:val="16"/>
        </w:rPr>
        <w:footnoteRef/>
      </w:r>
      <w:r w:rsidRPr="00962DC6">
        <w:rPr>
          <w:rFonts w:ascii="Book Antiqua" w:hAnsi="Book Antiqua"/>
          <w:sz w:val="16"/>
          <w:szCs w:val="16"/>
        </w:rPr>
        <w:t xml:space="preserve"> </w:t>
      </w:r>
      <w:r w:rsidRPr="00962DC6">
        <w:rPr>
          <w:rFonts w:ascii="Book Antiqua" w:hAnsi="Book Antiqua"/>
          <w:sz w:val="16"/>
          <w:szCs w:val="16"/>
        </w:rPr>
        <w:fldChar w:fldCharType="begin" w:fldLock="1"/>
      </w:r>
      <w:r>
        <w:rPr>
          <w:rFonts w:ascii="Book Antiqua" w:hAnsi="Book Antiqua"/>
          <w:sz w:val="16"/>
          <w:szCs w:val="16"/>
        </w:rPr>
        <w:instrText>ADDIN CSL_CITATION {"citationItems":[{"id":"ITEM-1","itemData":{"DOI":"10.35973/jrs.v1i01.1486","ISSN":"2721-6098","abstract":"2016 Tentang Paten pasal 134 ayat 2 yang menyatakan :Menteri wajib memberitahukan kepada pemegang paten dalam jangka waktu 30 hari sebelum Paten dimaksud dinyatakan hapus berdasarkan alasan sebagaimana ayat(1), Pasal 135 ayat (1) dan (2) dalam hal paten dihapus sebagaimana pasal 130, menteri memberitahukan secara tertulis dalam bentuk elektronik atau non elektronik kepada pemegang paten. Pasal 2 paten yang dinyatakan dihapus dicatat dan diumumkan. Permasalahan yang akan dibahas apakah pemegang hak paten tanpa suatu sebab bisa dihapus dari daftar umum paten? dan bagaimana perlindungan hukum terhadap pemegang hak paten? Metode pendekatan yaitu yuridis normatif. Spesifikasi penelitian bersifat deskriptif analitis, sumber data adalah data sekunder, metode pengumpulan data dengan studi pustaka,Analisa data dengan analisa kualitatif. Hasil penelitian dan pembahasan sebagai berikut: 1.Pemegang Hak Paten tanpa suatu sebab tidak bisa di hapus dari daftar umum paten karena berdasarkan Pasal 130 Undang-Undang Nomor 13 Tahun 2016 terdapat 4 penyebab paten dihapuskan sebagian atau seluruhnya.tetapi dalam kenyataanya ada kasus paten yang dihapus secara tiba-tiba dari daftar umum paten 2.Perlindungan hukum terhadap pemegang hak paten berdasarkan UU No 13 Tahun 2016 pasal 134 ayat 2 dan Pasal 135 ayat (1) dan (2) dimana .paten tidak bisa langsung dihapus tanpa pemberitahuan secara tertulis disertai dengan alasan Seperti Contoh kasus PT.Starmas Inti Aluminium Industri dia dikabulkan permohonannya untuk menghidupkan kembali sertifikat paten.","author":[{"dropping-particle":"","family":"Zuami","given":"Mutia Denti Armala","non-dropping-particle":"","parse-names":false,"suffix":""},{"dropping-particle":"","family":"Tresnawati","given":"Bakti","non-dropping-particle":"","parse-names":false,"suffix":""}],"container-title":"Jurnal JURISTIC","id":"ITEM-1","issue":"01","issued":{"date-parts":[["2020","4","4"]]},"page":"95","title":"Perlindungan Hukum Terhadap Pemegang Hak Paten Akibat Dihapusnya Kepemilikan Hak Paten Dari Daftar Umum Paten","type":"article-journal","volume":"1"},"uris":["http://www.mendeley.com/documents/?uuid=19251d0a-4669-499c-bb4b-8e326cceaaf2"]}],"mendeley":{"formattedCitation":"Zuami and Tresnawati, “Perlindungan Hukum Terhadap Pemegang Hak Paten Akibat Dihapusnya Kepemilikan Hak Paten Dari Daftar Umum Paten.”","plainTextFormattedCitation":"Zuami and Tresnawati, “Perlindungan Hukum Terhadap Pemegang Hak Paten Akibat Dihapusnya Kepemilikan Hak Paten Dari Daftar Umum Paten.”","previouslyFormattedCitation":"Zuami and Tresnawati, “Perlindungan Hukum Terhadap Pemegang Hak Paten Akibat Dihapusnya Kepemilikan Hak Paten Dari Daftar Umum Paten.”"},"properties":{"noteIndex":50},"schema":"https://github.com/citation-style-language/schema/raw/master/csl-citation.json"}</w:instrText>
      </w:r>
      <w:r w:rsidRPr="00962DC6">
        <w:rPr>
          <w:rFonts w:ascii="Book Antiqua" w:hAnsi="Book Antiqua"/>
          <w:sz w:val="16"/>
          <w:szCs w:val="16"/>
        </w:rPr>
        <w:fldChar w:fldCharType="separate"/>
      </w:r>
      <w:r w:rsidRPr="00962DC6">
        <w:rPr>
          <w:rFonts w:ascii="Book Antiqua" w:hAnsi="Book Antiqua"/>
          <w:noProof/>
          <w:sz w:val="16"/>
          <w:szCs w:val="16"/>
        </w:rPr>
        <w:t>Zuami and Tresnawati, “Perlindungan Hukum Terhadap Pemegang Hak Paten Akibat Dihapusnya Kepemilikan Hak Paten Dari Daftar Umum Paten.”</w:t>
      </w:r>
      <w:r w:rsidRPr="00962DC6">
        <w:rPr>
          <w:rFonts w:ascii="Book Antiqua" w:hAnsi="Book Antiqua"/>
          <w:sz w:val="16"/>
          <w:szCs w:val="16"/>
        </w:rPr>
        <w:fldChar w:fldCharType="end"/>
      </w:r>
    </w:p>
  </w:footnote>
  <w:footnote w:id="51">
    <w:p w14:paraId="6EDD8863" w14:textId="25C6440E" w:rsidR="00C04C78" w:rsidRPr="00337296" w:rsidRDefault="00C04C78" w:rsidP="002C142A">
      <w:pPr>
        <w:pStyle w:val="FootnoteText"/>
        <w:jc w:val="both"/>
        <w:rPr>
          <w:rFonts w:ascii="Book Antiqua" w:hAnsi="Book Antiqua"/>
          <w:sz w:val="16"/>
          <w:szCs w:val="16"/>
        </w:rPr>
      </w:pPr>
      <w:r w:rsidRPr="00962DC6">
        <w:rPr>
          <w:rStyle w:val="FootnoteReference"/>
          <w:rFonts w:ascii="Book Antiqua" w:hAnsi="Book Antiqua"/>
          <w:sz w:val="16"/>
          <w:szCs w:val="16"/>
        </w:rPr>
        <w:footnoteRef/>
      </w:r>
      <w:r w:rsidRPr="00962DC6">
        <w:rPr>
          <w:rFonts w:ascii="Book Antiqua" w:hAnsi="Book Antiqua"/>
          <w:sz w:val="16"/>
          <w:szCs w:val="16"/>
        </w:rPr>
        <w:t xml:space="preserve"> </w:t>
      </w:r>
      <w:r w:rsidRPr="00337296">
        <w:rPr>
          <w:rFonts w:ascii="Book Antiqua" w:hAnsi="Book Antiqua"/>
          <w:sz w:val="16"/>
          <w:szCs w:val="16"/>
        </w:rPr>
        <w:fldChar w:fldCharType="begin" w:fldLock="1"/>
      </w:r>
      <w:r>
        <w:rPr>
          <w:rFonts w:ascii="Book Antiqua" w:hAnsi="Book Antiqua"/>
          <w:sz w:val="16"/>
          <w:szCs w:val="16"/>
        </w:rPr>
        <w:instrText>ADDIN CSL_CITATION {"citationItems":[{"id":"ITEM-1","itemData":{"DOI":"https://doi.org/10.58812/jhhws.v3i01.967","abstract":"Penelitian ini bertujuan untuk memahami proses pembuktian kebaruan dalam konteks hukum paten sederhana. Penelitian ini menggunakan metode studi dokumen, termasuk peraturan perundang-undangan dan putusan pengadilan terkait. Selain itu, literatur dan penelitian terkait juga menjadi sumber data yang penting. Wawancara dengan ahli hukum dan praktisi hukum yang berpengalaman dalam bidang paten juga dilakukan untuk memperoleh wawasan yang lebih luas terkait dengan pembuktian kebaruan dalam gugatan pembatalan paten sederhana. Dalam gugatan pembatalan paten sederhana, salah satu aspek yang harus dibuktikan adalah kebaruan suatu invensi. Kebaruan merupakan salah satu syarat utama yang harus dipenuhi agar suatu invensi dapat diberikan hak paten. Proses pembuktian kebaruan ini harus dilakukan dengan cermat dan sistematis. Invensi yang diajukan harus dianggap baru dan tidak tercakup dalam pengetahuan yang sudah ada sebelumnya. Proses persidangan akan menilai bukti-bukti yang diajukan dalam pembuktian kebaruan ini. Persidangan akan memutuskan apakah paten tersebut dapat dipertahankan atau dibatalkan berdasarkan ketentuan kebaruan dalam undang-undang paten yang berlaku. ABSTRACT","author":[{"dropping-particle":"","family":"Rahman","given":"","non-dropping-particle":"","parse-names":false,"suffix":""},{"dropping-particle":"","family":"Putra","given":"Niko Satria Dwi","non-dropping-particle":"","parse-names":false,"suffix":""},{"dropping-particle":"","family":"Rifaldi","given":"Luki Artur","non-dropping-particle":"","parse-names":false,"suffix":""},{"dropping-particle":"","family":"Solih","given":"Muhammad Zaky Jamaludin","non-dropping-particle":"","parse-names":false,"suffix":""}],"container-title":"Jurnal Hukum dan HAM Wara Sains","id":"ITEM-1","issue":"01","issued":{"date-parts":[["2024"]]},"page":"42-50","title":"Pembuktian Kebaruan Suatu Invensi Dalam Gugatan Pembatalan Paten Sederhana","type":"article-journal","volume":"03"},"uris":["http://www.mendeley.com/documents/?uuid=bbc8d3c1-0661-4eb4-aaa1-dd9d706df5f9"]}],"mendeley":{"formattedCitation":"Rahman et al., “Pembuktian Kebaruan Suatu Invensi Dalam Gugatan Pembatalan Paten Sederhana.”","plainTextFormattedCitation":"Rahman et al., “Pembuktian Kebaruan Suatu Invensi Dalam Gugatan Pembatalan Paten Sederhana.”","previouslyFormattedCitation":"Rahman et al., “Pembuktian Kebaruan Suatu Invensi Dalam Gugatan Pembatalan Paten Sederhana.”"},"properties":{"noteIndex":51},"schema":"https://github.com/citation-style-language/schema/raw/master/csl-citation.json"}</w:instrText>
      </w:r>
      <w:r w:rsidRPr="00337296">
        <w:rPr>
          <w:rFonts w:ascii="Book Antiqua" w:hAnsi="Book Antiqua"/>
          <w:sz w:val="16"/>
          <w:szCs w:val="16"/>
        </w:rPr>
        <w:fldChar w:fldCharType="separate"/>
      </w:r>
      <w:r w:rsidRPr="00337296">
        <w:rPr>
          <w:rFonts w:ascii="Book Antiqua" w:hAnsi="Book Antiqua"/>
          <w:noProof/>
          <w:sz w:val="16"/>
          <w:szCs w:val="16"/>
        </w:rPr>
        <w:t>Rahman et al., “Pembuktian Kebaruan Suatu Invensi Dalam Gugatan Pembatalan Paten Sederhana.”</w:t>
      </w:r>
      <w:r w:rsidRPr="00337296">
        <w:rPr>
          <w:rFonts w:ascii="Book Antiqua" w:hAnsi="Book Antiqua"/>
          <w:sz w:val="16"/>
          <w:szCs w:val="16"/>
        </w:rPr>
        <w:fldChar w:fldCharType="end"/>
      </w:r>
    </w:p>
  </w:footnote>
  <w:footnote w:id="52">
    <w:p w14:paraId="21088F16" w14:textId="78153DD3" w:rsidR="00C04C78" w:rsidRDefault="00C04C78" w:rsidP="002C142A">
      <w:pPr>
        <w:pStyle w:val="FootnoteText"/>
        <w:jc w:val="both"/>
      </w:pPr>
      <w:r w:rsidRPr="00337296">
        <w:rPr>
          <w:rStyle w:val="FootnoteReference"/>
          <w:rFonts w:ascii="Book Antiqua" w:hAnsi="Book Antiqua"/>
          <w:sz w:val="16"/>
          <w:szCs w:val="16"/>
        </w:rPr>
        <w:footnoteRef/>
      </w:r>
      <w:r w:rsidRPr="00337296">
        <w:rPr>
          <w:rFonts w:ascii="Book Antiqua" w:hAnsi="Book Antiqua"/>
          <w:sz w:val="16"/>
          <w:szCs w:val="16"/>
        </w:rPr>
        <w:t xml:space="preserve"> </w:t>
      </w:r>
      <w:r w:rsidRPr="00337296">
        <w:rPr>
          <w:rFonts w:ascii="Book Antiqua" w:hAnsi="Book Antiqua"/>
          <w:sz w:val="16"/>
          <w:szCs w:val="16"/>
        </w:rPr>
        <w:fldChar w:fldCharType="begin" w:fldLock="1"/>
      </w:r>
      <w:r w:rsidR="002C142A">
        <w:rPr>
          <w:rFonts w:ascii="Book Antiqua" w:hAnsi="Book Antiqua"/>
          <w:sz w:val="16"/>
          <w:szCs w:val="16"/>
        </w:rPr>
        <w:instrText>ADDIN CSL_CITATION {"citationItems":[{"id":"ITEM-1","itemData":{"DOI":"10.37893/jbh.v11i1.668","ISSN":"2656-856X","abstract":"Kekayaan intelektual merupakan bagian dari hukum kebendaan yang dimiliki oleh manusia. Kekayaan tersebut pada dasarnya terlahir melalui ide, kreasi, imajinasi dan pikiran. Salah satu kekayaan intelektual tersebut dapat ditemukan di bidang industri. Khususnya yang berhubungan dengan teknologi dalam hal ini disebut dengan paten. Paten merupakan hak eksklusif yang diberikan oleh negara kepada inventor atas hasil invensinya di bidang teknologi, di mana untuk selama waktu tertentu melaksanakan sendiri invensinya tersebut atau memberikan persetujuannya kepada pihak lain untuk melaksanakannya melalui suatu perjanjian lisensi. Di Indonesia Paten telah diatur melalui Undang-Undang Nomor 13 Tahun 2016 tentang Paten. Berikutnya perlindungan paten bagi invensi yakni ide inventor yang dituangkan ke dalam suatu kegiatan pemecahan permasalahan yang spesifik di bidang teknologi, dapat berupa produk atau proses, atau penyempurnaan dan pengembangan produk atau proses telah juga diatur baik diperaturan perundang-undangan organik maupun di dalam ratifikasi. Sebagai salah satu dari kekayaan intelektual (HKI), paten memiliki kedudukan yang sangat strategis dan bernilai ekonomis bagi pemiliknya serta mendapatkan perlindungan hukum di dalam hukum positif nasional.","author":[{"dropping-particle":"","family":"Nugraha","given":"Andi Muhammad Reza Pahlevi","non-dropping-particle":"","parse-names":false,"suffix":""}],"container-title":"Binamulia Hukum","id":"ITEM-1","issue":"1","issued":{"date-parts":[["2022","7","1"]]},"page":"1-14","title":"Tinjauan Yuridis Hak Paten di Dalam Kerangka Hukum Nasional di Indonesia","type":"article-journal","volume":"11"},"uris":["http://www.mendeley.com/documents/?uuid=2a8a9ea7-8404-4369-bfd0-27df4a70bcb7"]}],"mendeley":{"formattedCitation":"Nugraha, “Tinjauan Yuridis Hak Paten Di Dalam Kerangka Hukum Nasional Di Indonesia.”","plainTextFormattedCitation":"Nugraha, “Tinjauan Yuridis Hak Paten Di Dalam Kerangka Hukum Nasional Di Indonesia.”","previouslyFormattedCitation":"Nugraha, “Tinjauan Yuridis Hak Paten Di Dalam Kerangka Hukum Nasional Di Indonesia.”"},"properties":{"noteIndex":52},"schema":"https://github.com/citation-style-language/schema/raw/master/csl-citation.json"}</w:instrText>
      </w:r>
      <w:r w:rsidRPr="00337296">
        <w:rPr>
          <w:rFonts w:ascii="Book Antiqua" w:hAnsi="Book Antiqua"/>
          <w:sz w:val="16"/>
          <w:szCs w:val="16"/>
        </w:rPr>
        <w:fldChar w:fldCharType="separate"/>
      </w:r>
      <w:r w:rsidRPr="00337296">
        <w:rPr>
          <w:rFonts w:ascii="Book Antiqua" w:hAnsi="Book Antiqua"/>
          <w:noProof/>
          <w:sz w:val="16"/>
          <w:szCs w:val="16"/>
        </w:rPr>
        <w:t>Nugraha, “Tinjauan Yuridis Hak Paten Di Dalam Kerangka Hukum Nasional Di Indonesia.”</w:t>
      </w:r>
      <w:r w:rsidRPr="00337296">
        <w:rPr>
          <w:rFonts w:ascii="Book Antiqua" w:hAnsi="Book Antiqua"/>
          <w:sz w:val="16"/>
          <w:szCs w:val="16"/>
        </w:rPr>
        <w:fldChar w:fldCharType="end"/>
      </w:r>
    </w:p>
  </w:footnote>
  <w:footnote w:id="53">
    <w:p w14:paraId="2252C60C" w14:textId="5058D4D4" w:rsidR="00C04C78" w:rsidRPr="00962DC6" w:rsidRDefault="00C04C78" w:rsidP="002C142A">
      <w:pPr>
        <w:pStyle w:val="FootnoteText"/>
        <w:jc w:val="both"/>
        <w:rPr>
          <w:rFonts w:ascii="Book Antiqua" w:hAnsi="Book Antiqua"/>
          <w:sz w:val="16"/>
          <w:szCs w:val="16"/>
        </w:rPr>
      </w:pPr>
      <w:r w:rsidRPr="00962DC6">
        <w:rPr>
          <w:rStyle w:val="FootnoteReference"/>
          <w:rFonts w:ascii="Book Antiqua" w:hAnsi="Book Antiqua"/>
          <w:sz w:val="16"/>
          <w:szCs w:val="16"/>
        </w:rPr>
        <w:footnoteRef/>
      </w:r>
      <w:r w:rsidRPr="00962DC6">
        <w:rPr>
          <w:rFonts w:ascii="Book Antiqua" w:hAnsi="Book Antiqua"/>
          <w:sz w:val="16"/>
          <w:szCs w:val="16"/>
        </w:rPr>
        <w:t xml:space="preserve"> </w:t>
      </w:r>
      <w:r w:rsidRPr="00962DC6">
        <w:rPr>
          <w:rFonts w:ascii="Book Antiqua" w:hAnsi="Book Antiqua"/>
          <w:sz w:val="16"/>
          <w:szCs w:val="16"/>
        </w:rPr>
        <w:fldChar w:fldCharType="begin" w:fldLock="1"/>
      </w:r>
      <w:r w:rsidR="002C142A">
        <w:rPr>
          <w:rFonts w:ascii="Book Antiqua" w:hAnsi="Book Antiqua"/>
          <w:sz w:val="16"/>
          <w:szCs w:val="16"/>
        </w:rPr>
        <w:instrText>ADDIN CSL_CITATION {"citationItems":[{"id":"ITEM-1","itemData":{"DOI":"https://doi.org/10.35968/jti.v4i0.676","abstract":"Paten adalah hak eksklusif yang diberikan oleh negara kepada inventor atas hasil invensinya di bidang teknologi, yang untuk selama waktu tertentu melaksanakan sendiri invensinya tersebut atau memberikan persetujuannya kepada pihak lain untuk melaksanakannya. Hampir semua bidang kehidupan telah menggunakan teknologi yang maju, baik teknologi yang berasal dari dalam negeri maupun teknologi yang berasal dari luar negeri. Untuk itu diperlukan adanya peraturan di bidang paten yang didalamnya mengatur tentang: Istilah dan definisi yang berhubungan dengan paten, syarat-syarat, prosedur, jangka waktu, bentuk-bentuk perlindungan, hak dan kewajiban pemegang paten, lisensi, berakhirnya lisensi, ketentuan tentang royalty, dan lain-lain. Hal ini dijadikan sebagai acuan dalam menjalankan kegiatan yang berhubungan dengan paten di Indonesia sehingga dapat memberi perlindungan hukum terhadap inventor. Perlindungan dibutuhkan sebagai: Wujud penghargaan, pengakuan, jaminan berdasarkan rasa keadilan dan kelayakan atas segala kemampuan serta usahanya, sehingga termotivasi untuk terus berkarya demi masa depan bangsa dan negara yang lebih baik. Meskipun Indonesia sudah memiliki peraturan perundang-undangan di bidang paten dan telah meratifikasi perjanjian-perjanjian internasional menyangkut paten, namun masih tetap terjadi permasalahan-permasalahan. Terjadinya permasalahan tersebut dipengaruhi berbagai faktor, antara lain: yang berkaitan dengan struktur hukum, substansi hokum dan budaya hukum.","author":[{"dropping-particle":"","family":"Sinaga","given":"Niru Anita","non-dropping-particle":"","parse-names":false,"suffix":""},{"dropping-particle":"","family":"Zaluchu","given":"Tiberius","non-dropping-particle":"","parse-names":false,"suffix":""}],"id":"ITEM-1","issued":{"date-parts":[["2021"]]},"number-of-pages":"1-17","title":"Tinjauan Yuridis Tentang Perlindungan Hak Kekayaan Intelektual di Bidang Paten","type":"report"},"uris":["http://www.mendeley.com/documents/?uuid=6f321a94-dd6e-3f52-b24a-bfd9214c460f"]}],"mendeley":{"formattedCitation":"Sinaga and Zaluchu, “Tinjauan Yuridis Tentang Perlindungan Hak Kekayaan Intelektual Di Bidang Paten.”","plainTextFormattedCitation":"Sinaga and Zaluchu, “Tinjauan Yuridis Tentang Perlindungan Hak Kekayaan Intelektual Di Bidang Paten.”","previouslyFormattedCitation":"Sinaga and Zaluchu, “Tinjauan Yuridis Tentang Perlindungan Hak Kekayaan Intelektual Di Bidang Paten.”"},"properties":{"noteIndex":53},"schema":"https://github.com/citation-style-language/schema/raw/master/csl-citation.json"}</w:instrText>
      </w:r>
      <w:r w:rsidRPr="00962DC6">
        <w:rPr>
          <w:rFonts w:ascii="Book Antiqua" w:hAnsi="Book Antiqua"/>
          <w:sz w:val="16"/>
          <w:szCs w:val="16"/>
        </w:rPr>
        <w:fldChar w:fldCharType="separate"/>
      </w:r>
      <w:r w:rsidRPr="00962DC6">
        <w:rPr>
          <w:rFonts w:ascii="Book Antiqua" w:hAnsi="Book Antiqua"/>
          <w:noProof/>
          <w:sz w:val="16"/>
          <w:szCs w:val="16"/>
        </w:rPr>
        <w:t>Sinaga and Zaluchu, “Tinjauan Yuridis Tentang Perlindungan Hak Kekayaan Intelektual Di Bidang Paten.”</w:t>
      </w:r>
      <w:r w:rsidRPr="00962DC6">
        <w:rPr>
          <w:rFonts w:ascii="Book Antiqua" w:hAnsi="Book Antiqua"/>
          <w:sz w:val="16"/>
          <w:szCs w:val="16"/>
        </w:rPr>
        <w:fldChar w:fldCharType="end"/>
      </w:r>
    </w:p>
  </w:footnote>
  <w:footnote w:id="54">
    <w:p w14:paraId="71777241" w14:textId="4B7F6560" w:rsidR="00C04C78" w:rsidRDefault="00C04C78" w:rsidP="002C142A">
      <w:pPr>
        <w:pStyle w:val="FootnoteText"/>
        <w:jc w:val="both"/>
      </w:pPr>
      <w:r w:rsidRPr="00962DC6">
        <w:rPr>
          <w:rStyle w:val="FootnoteReference"/>
          <w:rFonts w:ascii="Book Antiqua" w:hAnsi="Book Antiqua"/>
          <w:sz w:val="16"/>
          <w:szCs w:val="16"/>
        </w:rPr>
        <w:footnoteRef/>
      </w:r>
      <w:r w:rsidRPr="00962DC6">
        <w:rPr>
          <w:rFonts w:ascii="Book Antiqua" w:hAnsi="Book Antiqua"/>
          <w:sz w:val="16"/>
          <w:szCs w:val="16"/>
        </w:rPr>
        <w:t xml:space="preserve"> </w:t>
      </w:r>
      <w:r w:rsidRPr="00962DC6">
        <w:rPr>
          <w:rFonts w:ascii="Book Antiqua" w:hAnsi="Book Antiqua"/>
          <w:sz w:val="16"/>
          <w:szCs w:val="16"/>
        </w:rPr>
        <w:fldChar w:fldCharType="begin" w:fldLock="1"/>
      </w:r>
      <w:r w:rsidR="002C142A">
        <w:rPr>
          <w:rFonts w:ascii="Book Antiqua" w:hAnsi="Book Antiqua"/>
          <w:sz w:val="16"/>
          <w:szCs w:val="16"/>
        </w:rPr>
        <w:instrText>ADDIN CSL_CITATION {"citationItems":[{"id":"ITEM-1","itemData":{"DOI":"https://doi.org10.10.30656/j hak.v1i2.8066","abstract":"Batik is a culture that takes the form of a painting craft. The existence of batik with its beautiful motifs, designs and patterns has made batik art a preserved cultural heritage. This research aims to determine product development for Micro, Small and Medium Enterprises and forms of legal protection for batik in the Krakatoa Batik Studio, Cilegon City. This research uses a qualitative method with an empirical juridical approach. The primary data source comes from the Krakatoa Batik Studio, Cilegon City, while the secondary data comes from books, journals, encyclopedias, dictionaries and virtual sources. while the data processing technique is through interviews. The results of this research show that product development for micro, small and medium enterprises and intellectual property for batik at the Krakatoa Batik Studio in Cilegon City can be carried out by developing models, patterns, colors, batik patterns, variations and development of typical batik. in the Krakatoa studio which has the philosophy of the city of Cilegon, apart from that, it is no less important to collaborate with other batik craftsmen in making goods that have batik motifs, as well as development in terms of marketing, the Krakatoa batik studio has expanded into the online market by having a shop on Bukalapak, and Legal protection for Micro, Small and Medium Enterprises products and Intellectual Property for Batik at the Krakatoa Batik Studio in Cilegon City can be done by registering the intellectual works owned including copyrights, brands and patents to the directorate general of intellectual property to obtain legal rights and protection from the state. Keywords:","author":[{"dropping-particle":"","family":"Sulasno","given":"","non-dropping-particle":"","parse-names":false,"suffix":""},{"dropping-particle":"","family":"Lolitawati","given":"","non-dropping-particle":"","parse-names":false,"suffix":""},{"dropping-particle":"","family":"Ningsih","given":"Putri Pratama Ayu","non-dropping-particle":"","parse-names":false,"suffix":""}],"id":"ITEM-1","issue":"2","issued":{"date-parts":[["2024"]]},"page":"121-144","title":"Pengembangan Produk Usaha Mikro Kecil Menengah Dan Kekayaan Intelektual Atas Batik di Sanggar Batik Krakatoa Kota Cilegon","type":"article-journal","volume":"1"},"uris":["http://www.mendeley.com/documents/?uuid=065a89af-a4cb-4437-aa0e-af94ae8a92d7"]}],"mendeley":{"formattedCitation":"Sulasno, Lolitawati, and Putri Pratama Ayu Ningsih, “Pengembangan Produk Usaha Mikro Kecil Menengah Dan Kekayaan Intelektual Atas Batik Di Sanggar Batik Krakatoa Kota Cilegon” 1, no. 2 (2024): 121–44, https://doi.org/https://doi.org10.10.30656/j hak.v1i2.8066.","plainTextFormattedCitation":"Sulasno, Lolitawati, and Putri Pratama Ayu Ningsih, “Pengembangan Produk Usaha Mikro Kecil Menengah Dan Kekayaan Intelektual Atas Batik Di Sanggar Batik Krakatoa Kota Cilegon” 1, no. 2 (2024): 121–44, https://doi.org/https://doi.org10.10.30656/j hak.v1i2.8066.","previouslyFormattedCitation":"Sulasno, Lolitawati, and Putri Pratama Ayu Ningsih, “Pengembangan Produk Usaha Mikro Kecil Menengah Dan Kekayaan Intelektual Atas Batik Di Sanggar Batik Krakatoa Kota Cilegon” 1, no. 2 (2024): 121–44, https://doi.org/https://doi.org10.10.30656/j hak.v1i2.8066."},"properties":{"noteIndex":54},"schema":"https://github.com/citation-style-language/schema/raw/master/csl-citation.json"}</w:instrText>
      </w:r>
      <w:r w:rsidRPr="00962DC6">
        <w:rPr>
          <w:rFonts w:ascii="Book Antiqua" w:hAnsi="Book Antiqua"/>
          <w:sz w:val="16"/>
          <w:szCs w:val="16"/>
        </w:rPr>
        <w:fldChar w:fldCharType="separate"/>
      </w:r>
      <w:r w:rsidRPr="00962DC6">
        <w:rPr>
          <w:rFonts w:ascii="Book Antiqua" w:hAnsi="Book Antiqua"/>
          <w:noProof/>
          <w:sz w:val="16"/>
          <w:szCs w:val="16"/>
        </w:rPr>
        <w:t>Sulasno, Lolitawati, and Putri Pratama Ayu Ningsih, “Pengembangan Produk Usaha Mikro Kecil Menengah Dan Kekayaan Intelektual Atas Batik Di Sanggar Batik Krakatoa Kota Cilegon” 1, no. 2 (2024): 121–44, https://doi.org/https://doi.org10.10.30656/j hak.v1i2.8066.</w:t>
      </w:r>
      <w:r w:rsidRPr="00962DC6">
        <w:rPr>
          <w:rFonts w:ascii="Book Antiqua" w:hAnsi="Book Antiqua"/>
          <w:sz w:val="16"/>
          <w:szCs w:val="16"/>
        </w:rPr>
        <w:fldChar w:fldCharType="end"/>
      </w:r>
    </w:p>
  </w:footnote>
  <w:footnote w:id="55">
    <w:p w14:paraId="7F546CE8" w14:textId="4A1F1772" w:rsidR="002C142A" w:rsidRPr="002C142A" w:rsidRDefault="002C142A" w:rsidP="002C142A">
      <w:pPr>
        <w:pStyle w:val="FootnoteText"/>
        <w:jc w:val="both"/>
        <w:rPr>
          <w:rFonts w:ascii="Book Antiqua" w:hAnsi="Book Antiqua"/>
        </w:rPr>
      </w:pPr>
      <w:r w:rsidRPr="002C142A">
        <w:rPr>
          <w:rStyle w:val="FootnoteReference"/>
          <w:rFonts w:ascii="Book Antiqua" w:hAnsi="Book Antiqua"/>
          <w:sz w:val="16"/>
          <w:szCs w:val="16"/>
        </w:rPr>
        <w:footnoteRef/>
      </w:r>
      <w:r w:rsidRPr="002C142A">
        <w:rPr>
          <w:rFonts w:ascii="Book Antiqua" w:hAnsi="Book Antiqua"/>
          <w:sz w:val="16"/>
          <w:szCs w:val="16"/>
        </w:rPr>
        <w:t xml:space="preserve"> </w:t>
      </w:r>
      <w:r w:rsidRPr="002C142A">
        <w:rPr>
          <w:rFonts w:ascii="Book Antiqua" w:hAnsi="Book Antiqua"/>
          <w:sz w:val="16"/>
          <w:szCs w:val="16"/>
        </w:rPr>
        <w:fldChar w:fldCharType="begin" w:fldLock="1"/>
      </w:r>
      <w:r w:rsidRPr="002C142A">
        <w:rPr>
          <w:rFonts w:ascii="Book Antiqua" w:hAnsi="Book Antiqua"/>
          <w:sz w:val="16"/>
          <w:szCs w:val="16"/>
        </w:rPr>
        <w:instrText>ADDIN CSL_CITATION {"citationItems":[{"id":"ITEM-1","itemData":{"DOI":"http://dx.doi.org/10.30659/akta.v11i1.35694","abstract":"Abstract. This research is done to analyze the nature of virtual workspace, which is increasingly becoming an important part of tech development around the world. Analysis is done to uncover the IPR elements of virtual workspaces and how these elements affect the patentability of virtual workspaces. Through the normative legal research method, analysis of this research finds that the Indonesian Patent Law grossly undermines the capability and the importance of computer programming, which is reflected in various normative restrictions, mainly governed within Law No. 13 of 2016 on Patents. Instead, the Indonesian legal framework presents the copyright law as the viable option, which, in essence, was made to protect creations that don’t necessarily involve problem-solving, unlike the Patent Law. This finding is important as it fills the research gap in the analysis of virtual workspace not just as a cybersecurity topic but also as a possible patent, particularly in Indonesia’s intellectual property rights (IPR) legal framework. Keywords:","author":[{"dropping-particle":"","family":"Sudirman","given":"Lu","non-dropping-particle":"","parse-names":false,"suffix":""},{"dropping-particle":"","family":"Disemadi","given":"Hari Sutra","non-dropping-particle":"","parse-names":false,"suffix":""}],"container-title":"Jurnal Akta","id":"ITEM-1","issue":"1","issued":{"date-parts":[["2024"]]},"page":"1-18","title":"Reconciling Conflicting Norms : Addressing Patentability Challenges in Indonesia’s Virtual Workspaces","type":"article-journal","volume":"11"},"uris":["http://www.mendeley.com/documents/?uuid=028fa90a-f1d7-48bc-aa70-eeb8b517f66c"]}],"mendeley":{"formattedCitation":"Lu Sudirman and Hari Sutra Disemadi, “Reconciling Conflicting Norms</w:instrText>
      </w:r>
      <w:r w:rsidRPr="002C142A">
        <w:rPr>
          <w:sz w:val="16"/>
          <w:szCs w:val="16"/>
        </w:rPr>
        <w:instrText> </w:instrText>
      </w:r>
      <w:r w:rsidRPr="002C142A">
        <w:rPr>
          <w:rFonts w:ascii="Book Antiqua" w:hAnsi="Book Antiqua"/>
          <w:sz w:val="16"/>
          <w:szCs w:val="16"/>
        </w:rPr>
        <w:instrText>: Addressing Patentability Challenges in Indonesia</w:instrText>
      </w:r>
      <w:r w:rsidRPr="002C142A">
        <w:rPr>
          <w:rFonts w:ascii="Book Antiqua" w:hAnsi="Book Antiqua" w:cs="Book Antiqua"/>
          <w:sz w:val="16"/>
          <w:szCs w:val="16"/>
        </w:rPr>
        <w:instrText>’</w:instrText>
      </w:r>
      <w:r w:rsidRPr="002C142A">
        <w:rPr>
          <w:rFonts w:ascii="Book Antiqua" w:hAnsi="Book Antiqua"/>
          <w:sz w:val="16"/>
          <w:szCs w:val="16"/>
        </w:rPr>
        <w:instrText>s Virtual Workspaces,</w:instrText>
      </w:r>
      <w:r w:rsidRPr="002C142A">
        <w:rPr>
          <w:rFonts w:ascii="Book Antiqua" w:hAnsi="Book Antiqua" w:cs="Book Antiqua"/>
          <w:sz w:val="16"/>
          <w:szCs w:val="16"/>
        </w:rPr>
        <w:instrText>”</w:instrText>
      </w:r>
      <w:r w:rsidRPr="002C142A">
        <w:rPr>
          <w:rFonts w:ascii="Book Antiqua" w:hAnsi="Book Antiqua"/>
          <w:sz w:val="16"/>
          <w:szCs w:val="16"/>
        </w:rPr>
        <w:instrText xml:space="preserve"> &lt;i&gt;Jurnal Akta&lt;/i&gt; 11, no. 1 (2024): 1</w:instrText>
      </w:r>
      <w:r w:rsidRPr="002C142A">
        <w:rPr>
          <w:rFonts w:ascii="Book Antiqua" w:hAnsi="Book Antiqua" w:cs="Book Antiqua"/>
          <w:sz w:val="16"/>
          <w:szCs w:val="16"/>
        </w:rPr>
        <w:instrText>–</w:instrText>
      </w:r>
      <w:r w:rsidRPr="002C142A">
        <w:rPr>
          <w:rFonts w:ascii="Book Antiqua" w:hAnsi="Book Antiqua"/>
          <w:sz w:val="16"/>
          <w:szCs w:val="16"/>
        </w:rPr>
        <w:instrText>18, https://doi.org/http://dx.doi.org/10.30659/akta.v11i1.35694.","plainTextFormattedCitation":"Lu Sudirman and Hari Sutra Disemadi, “Reconciling Conflicting Norms</w:instrText>
      </w:r>
      <w:r w:rsidRPr="002C142A">
        <w:rPr>
          <w:sz w:val="16"/>
          <w:szCs w:val="16"/>
        </w:rPr>
        <w:instrText> </w:instrText>
      </w:r>
      <w:r w:rsidRPr="002C142A">
        <w:rPr>
          <w:rFonts w:ascii="Book Antiqua" w:hAnsi="Book Antiqua"/>
          <w:sz w:val="16"/>
          <w:szCs w:val="16"/>
        </w:rPr>
        <w:instrText>: Addressing Patentability Challenges in Indonesia</w:instrText>
      </w:r>
      <w:r w:rsidRPr="002C142A">
        <w:rPr>
          <w:rFonts w:ascii="Book Antiqua" w:hAnsi="Book Antiqua" w:cs="Book Antiqua"/>
          <w:sz w:val="16"/>
          <w:szCs w:val="16"/>
        </w:rPr>
        <w:instrText>’</w:instrText>
      </w:r>
      <w:r w:rsidRPr="002C142A">
        <w:rPr>
          <w:rFonts w:ascii="Book Antiqua" w:hAnsi="Book Antiqua"/>
          <w:sz w:val="16"/>
          <w:szCs w:val="16"/>
        </w:rPr>
        <w:instrText>s Virtual Workspaces,</w:instrText>
      </w:r>
      <w:r w:rsidRPr="002C142A">
        <w:rPr>
          <w:rFonts w:ascii="Book Antiqua" w:hAnsi="Book Antiqua" w:cs="Book Antiqua"/>
          <w:sz w:val="16"/>
          <w:szCs w:val="16"/>
        </w:rPr>
        <w:instrText>”</w:instrText>
      </w:r>
      <w:r w:rsidRPr="002C142A">
        <w:rPr>
          <w:rFonts w:ascii="Book Antiqua" w:hAnsi="Book Antiqua"/>
          <w:sz w:val="16"/>
          <w:szCs w:val="16"/>
        </w:rPr>
        <w:instrText xml:space="preserve"> Jurnal Akta 11, no. 1 (2024): 1</w:instrText>
      </w:r>
      <w:r w:rsidRPr="002C142A">
        <w:rPr>
          <w:rFonts w:ascii="Book Antiqua" w:hAnsi="Book Antiqua" w:cs="Book Antiqua"/>
          <w:sz w:val="16"/>
          <w:szCs w:val="16"/>
        </w:rPr>
        <w:instrText>–</w:instrText>
      </w:r>
      <w:r w:rsidRPr="002C142A">
        <w:rPr>
          <w:rFonts w:ascii="Book Antiqua" w:hAnsi="Book Antiqua"/>
          <w:sz w:val="16"/>
          <w:szCs w:val="16"/>
        </w:rPr>
        <w:instrText>18, https://doi.org/http://dx.doi.org/10.30659/akta.v11i1.35694."},"properties":{"noteIndex":55},"schema":"https://github.com/citation-style-language/schema/raw/master/csl-citation.json"}</w:instrText>
      </w:r>
      <w:r w:rsidRPr="002C142A">
        <w:rPr>
          <w:rFonts w:ascii="Book Antiqua" w:hAnsi="Book Antiqua"/>
          <w:sz w:val="16"/>
          <w:szCs w:val="16"/>
        </w:rPr>
        <w:fldChar w:fldCharType="separate"/>
      </w:r>
      <w:r w:rsidRPr="002C142A">
        <w:rPr>
          <w:rFonts w:ascii="Book Antiqua" w:hAnsi="Book Antiqua"/>
          <w:noProof/>
          <w:sz w:val="16"/>
          <w:szCs w:val="16"/>
        </w:rPr>
        <w:t>Lu Sudirman and Hari Sutra Disemadi, “Reconciling Conflicting Norms</w:t>
      </w:r>
      <w:r w:rsidRPr="002C142A">
        <w:rPr>
          <w:noProof/>
          <w:sz w:val="16"/>
          <w:szCs w:val="16"/>
        </w:rPr>
        <w:t> </w:t>
      </w:r>
      <w:r w:rsidRPr="002C142A">
        <w:rPr>
          <w:rFonts w:ascii="Book Antiqua" w:hAnsi="Book Antiqua"/>
          <w:noProof/>
          <w:sz w:val="16"/>
          <w:szCs w:val="16"/>
        </w:rPr>
        <w:t xml:space="preserve">: Addressing Patentability Challenges in Indonesia’s Virtual Workspaces,” </w:t>
      </w:r>
      <w:r w:rsidRPr="002C142A">
        <w:rPr>
          <w:rFonts w:ascii="Book Antiqua" w:hAnsi="Book Antiqua"/>
          <w:i/>
          <w:noProof/>
          <w:sz w:val="16"/>
          <w:szCs w:val="16"/>
        </w:rPr>
        <w:t>Jurnal Akta</w:t>
      </w:r>
      <w:r w:rsidRPr="002C142A">
        <w:rPr>
          <w:rFonts w:ascii="Book Antiqua" w:hAnsi="Book Antiqua"/>
          <w:noProof/>
          <w:sz w:val="16"/>
          <w:szCs w:val="16"/>
        </w:rPr>
        <w:t xml:space="preserve"> 11, no. 1 (2024): 1–18, https://doi.org/http://dx.doi.org/10.30659/akta.v11i1.35694.</w:t>
      </w:r>
      <w:r w:rsidRPr="002C142A">
        <w:rPr>
          <w:rFonts w:ascii="Book Antiqua" w:hAnsi="Book Antiqua"/>
          <w:sz w:val="16"/>
          <w:szCs w:val="16"/>
        </w:rPr>
        <w:fldChar w:fldCharType="end"/>
      </w:r>
      <w:bookmarkStart w:id="3" w:name="Mendeley_Cursor_Bookmark"/>
      <w:bookmarkEnd w:id="3"/>
    </w:p>
  </w:footnote>
  <w:footnote w:id="56">
    <w:p w14:paraId="00167F74" w14:textId="402FBD78" w:rsidR="00C04C78" w:rsidRPr="0083043E" w:rsidRDefault="00C04C78" w:rsidP="002C142A">
      <w:pPr>
        <w:pStyle w:val="FootnoteText"/>
        <w:jc w:val="both"/>
        <w:rPr>
          <w:rFonts w:ascii="Book Antiqua" w:hAnsi="Book Antiqua"/>
          <w:color w:val="000000" w:themeColor="text1"/>
          <w:sz w:val="16"/>
          <w:szCs w:val="16"/>
        </w:rPr>
      </w:pPr>
      <w:r w:rsidRPr="0083043E">
        <w:rPr>
          <w:rStyle w:val="FootnoteReference"/>
          <w:rFonts w:ascii="Book Antiqua" w:hAnsi="Book Antiqua"/>
          <w:color w:val="000000" w:themeColor="text1"/>
          <w:sz w:val="16"/>
          <w:szCs w:val="16"/>
        </w:rPr>
        <w:footnoteRef/>
      </w:r>
      <w:r w:rsidRPr="0083043E">
        <w:rPr>
          <w:rFonts w:ascii="Book Antiqua" w:hAnsi="Book Antiqua"/>
          <w:color w:val="000000" w:themeColor="text1"/>
          <w:sz w:val="16"/>
          <w:szCs w:val="16"/>
        </w:rPr>
        <w:t xml:space="preserve"> </w:t>
      </w:r>
      <w:r w:rsidRPr="0083043E">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{"citationItems":[{"id":"ITEM-1","itemData":{"author":[{"dropping-particle":"","family":"Tamara","given":"Dwi Intan Permatasari","non-dropping-particle":"","parse-names":false,"suffix":""},{"dropping-particle":"","family":"Rumimpunu","given":"Dientje","non-dropping-particle":"","parse-names":false,"suffix":""},{"dropping-particle":"","family":"Umboh","given":"Karel Yossi","non-dropping-particle":"","parse-names":false,"suffix":""}],"id":"ITEM-1","issue":"13","issued":{"date-parts":[["2020"]]},"title":"Aspek Hukum Eksistensi Perjanjian Lisensi dalam pelaksanaan Alih Teknologi Berdasarkan Undang-Undang No 13 Tahun 2016 Tentang Paten","type":"article-journal"},"uris":["http://www.mendeley.com/documents/?uuid=d020563d-d833-4757-9334-58b2a04f470f"]}],"mendeley":{"formattedCitation":"Dwi Intan Permatasari Tamara, Dientje Rumimpunu, and Karel Yossi Umboh, “Aspek Hukum Eksistensi Perjanjian Lisensi Dalam Pelaksanaan Alih Teknologi Berdasarkan Undang-Undang No 13 Tahun 2016 Tentang Paten,” no. 13 (2020).","plainTextFormattedCitation":"Dwi Intan Permatasari Tamara, Dientje Rumimpunu, and Karel Yossi Umboh, “Aspek Hukum Eksistensi Perjanjian Lisensi Dalam Pelaksanaan Alih Teknologi Berdasarkan Undang-Undang No 13 Tahun 2016 Tentang Paten,” no. 13 (2020).","previouslyFormattedCitation":"Dwi Intan Permatasari Tamara, Dientje Rumimpunu, and Karel Yossi Umboh, “Aspek Hukum Eksistensi Perjanjian Lisensi Dalam Pelaksanaan Alih Teknologi Berdasarkan Undang-Undang No 13 Tahun 2016 Tentang Paten,” no. 13 (2020)."},"properties":{"noteIndex":56},"schema":"https://github.com/citation-style-language/schema/raw/master/csl-citation.json"}</w:instrText>
      </w:r>
      <w:r w:rsidRPr="0083043E">
        <w:rPr>
          <w:rFonts w:ascii="Book Antiqua" w:hAnsi="Book Antiqua"/>
          <w:color w:val="000000" w:themeColor="text1"/>
          <w:sz w:val="16"/>
          <w:szCs w:val="16"/>
        </w:rPr>
        <w:fldChar w:fldCharType="separate"/>
      </w:r>
      <w:r w:rsidRPr="0083043E">
        <w:rPr>
          <w:rFonts w:ascii="Book Antiqua" w:hAnsi="Book Antiqua"/>
          <w:noProof/>
          <w:color w:val="000000" w:themeColor="text1"/>
          <w:sz w:val="16"/>
          <w:szCs w:val="16"/>
        </w:rPr>
        <w:t>Dwi Intan Permatasari Tamara, Dientje Rumimpunu, and Karel Yossi Umboh, “Aspek Hukum Eksistensi Perjanjian Lisensi Dalam Pelaksanaan Alih Teknologi Berdasarkan Undang-Undang No 13 Tahun 2016 Tentang Paten,” no. 13 (2020).</w:t>
      </w:r>
      <w:r w:rsidRPr="0083043E">
        <w:rPr>
          <w:rFonts w:ascii="Book Antiqua" w:hAnsi="Book Antiqua"/>
          <w:color w:val="000000" w:themeColor="text1"/>
          <w:sz w:val="16"/>
          <w:szCs w:val="16"/>
        </w:rPr>
        <w:fldChar w:fldCharType="end"/>
      </w:r>
    </w:p>
  </w:footnote>
  <w:footnote w:id="57">
    <w:p w14:paraId="7E335A0B" w14:textId="23D0CEFF" w:rsidR="00C04C78" w:rsidRPr="0083043E" w:rsidRDefault="00C04C78" w:rsidP="002C142A">
      <w:pPr>
        <w:pStyle w:val="FootnoteText"/>
        <w:jc w:val="both"/>
        <w:rPr>
          <w:rFonts w:ascii="Book Antiqua" w:hAnsi="Book Antiqua"/>
          <w:color w:val="000000" w:themeColor="text1"/>
          <w:sz w:val="16"/>
          <w:szCs w:val="16"/>
        </w:rPr>
      </w:pPr>
      <w:r w:rsidRPr="0083043E">
        <w:rPr>
          <w:rStyle w:val="FootnoteReference"/>
          <w:rFonts w:ascii="Book Antiqua" w:hAnsi="Book Antiqua"/>
          <w:color w:val="000000" w:themeColor="text1"/>
          <w:sz w:val="16"/>
          <w:szCs w:val="16"/>
        </w:rPr>
        <w:footnoteRef/>
      </w:r>
      <w:r w:rsidRPr="0083043E">
        <w:rPr>
          <w:rFonts w:ascii="Book Antiqua" w:hAnsi="Book Antiqua"/>
          <w:color w:val="000000" w:themeColor="text1"/>
          <w:sz w:val="16"/>
          <w:szCs w:val="16"/>
        </w:rPr>
        <w:t xml:space="preserve"> </w:t>
      </w:r>
      <w:r w:rsidRPr="0083043E">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Kata","author":[{"dropping-particle":"","family":"Ribowo","given":"Mochammad Bambang","non-dropping-particle":"","parse-names":false,"suffix":""},{"dropping-particle":"","family":"Roisah","given":"Kholis","non-dropping-particle":"","parse-names":false,"suffix":""}],"id":"ITEM-1","issue":"July","issued":{"date-parts":[["2020"]]},"page":"1-23","title":"Perlindungan Hukum terhadap Paten Sederhana dalam Sistem Hukum Paten di Indonesia (Studi Komparasi dengan Sistem Hukum Paten di Negara China)","type":"article-journal"},"uris":["http://www.mendeley.com/documents/?uuid=8c06922f-9aa5-43de-bc09-da96840ed32f"]}],"mendeley":{"formattedCitation":"Ribowo and Roisah, “Perlindungan Hukum Terhadap Paten Sederhana Dalam Sistem Hukum Paten Di Indonesia (Studi Komparasi Dengan Sistem Hukum Paten Di Negara China).”","plainTextFormattedCitation":"Ribowo and Roisah, “Perlindungan Hukum Terhadap Paten Sederhana Dalam Sistem Hukum Paten Di Indonesia (Studi Komparasi Dengan Sistem Hukum Paten Di Negara China).”","previouslyFormattedCitation":"Ribowo and Roisah, “Perlindungan Hukum Terhadap Paten Sederhana Dalam Sistem Hukum Paten Di Indonesia (Studi Komparasi Dengan Sistem Hukum Paten Di Negara China).”"},"properties":{"noteIndex":57},"schema":"https://github.com/citation-style-language/schema/raw/master/csl-citation.json"}</w:instrText>
      </w:r>
      <w:r w:rsidRPr="0083043E">
        <w:rPr>
          <w:rFonts w:ascii="Book Antiqua" w:hAnsi="Book Antiqua"/>
          <w:color w:val="000000" w:themeColor="text1"/>
          <w:sz w:val="16"/>
          <w:szCs w:val="16"/>
        </w:rPr>
        <w:fldChar w:fldCharType="separate"/>
      </w:r>
      <w:r w:rsidRPr="0083043E">
        <w:rPr>
          <w:rFonts w:ascii="Book Antiqua" w:hAnsi="Book Antiqua"/>
          <w:noProof/>
          <w:color w:val="000000" w:themeColor="text1"/>
          <w:sz w:val="16"/>
          <w:szCs w:val="16"/>
        </w:rPr>
        <w:t>Ribowo and Roisah, “Perlindungan Hukum Terhadap Paten Sederhana Dalam Sistem Hukum Paten Di Indonesia (Studi Komparasi Dengan Sistem Hukum Paten Di Negara China).”</w:t>
      </w:r>
      <w:r w:rsidRPr="0083043E">
        <w:rPr>
          <w:rFonts w:ascii="Book Antiqua" w:hAnsi="Book Antiqua"/>
          <w:color w:val="000000" w:themeColor="text1"/>
          <w:sz w:val="16"/>
          <w:szCs w:val="16"/>
        </w:rPr>
        <w:fldChar w:fldCharType="end"/>
      </w:r>
    </w:p>
  </w:footnote>
  <w:footnote w:id="58">
    <w:p w14:paraId="50D1B3F1" w14:textId="113838D3" w:rsidR="00C04C78" w:rsidRPr="0083043E" w:rsidRDefault="00C04C78" w:rsidP="002C142A">
      <w:pPr>
        <w:pStyle w:val="FootnoteText"/>
        <w:jc w:val="both"/>
        <w:rPr>
          <w:rFonts w:ascii="Book Antiqua" w:hAnsi="Book Antiqua"/>
          <w:color w:val="000000" w:themeColor="text1"/>
          <w:sz w:val="16"/>
          <w:szCs w:val="16"/>
        </w:rPr>
      </w:pPr>
      <w:r w:rsidRPr="0083043E">
        <w:rPr>
          <w:rStyle w:val="FootnoteReference"/>
          <w:rFonts w:ascii="Book Antiqua" w:hAnsi="Book Antiqua"/>
          <w:color w:val="000000" w:themeColor="text1"/>
          <w:sz w:val="16"/>
          <w:szCs w:val="16"/>
        </w:rPr>
        <w:footnoteRef/>
      </w:r>
      <w:r w:rsidRPr="0083043E">
        <w:rPr>
          <w:rFonts w:ascii="Book Antiqua" w:hAnsi="Book Antiqua"/>
          <w:color w:val="000000" w:themeColor="text1"/>
          <w:sz w:val="16"/>
          <w:szCs w:val="16"/>
        </w:rPr>
        <w:t xml:space="preserve"> </w:t>
      </w:r>
      <w:r w:rsidRPr="0083043E">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{"citationItems":[{"id":"ITEM-1","itemData":{"ISSN":"2654-3605","abstract":"The TRIP'S Agreement confirms that Member States may exclude certain types of inventions from patentability and may refuse to grant patents on methodological inventions used on humans, including the granting of patents on inventions in the field of biotechnology applied to humans. Indonesia regulates patent protection for biotechnology in the Patent Law, which emphasizes that patents cannot be granted for inventions of biotechnological processes applied to humans. However, with the development of technology, the use of inventions in the field of biotechnology applied to human genes is considered to have great benefits for mankind. Therefore, this research that uses doctrinal-normative methodology through a statute approach will discuss how the TRIP's Agreement and the Patent Law in Indonesia regulate patents on biotechnology products applied to human genes and the urgency of granting patent protection to biotechnology inventions applied to humans so that it can be known that granting patents to biotechnology inventions applied to humans is prohibited by Indonesian law but given freedom under international law and further research and comprehensive studies need to be done to deal with future trade liberalization flows.","author":[{"dropping-particle":"","family":"Azizah","given":"Ida Nur","non-dropping-particle":"","parse-names":false,"suffix":""}],"container-title":"Unes Law Review","id":"ITEM-1","issue":"4","issued":{"date-parts":[["2023"]]},"page":"3001-3014","title":"Pertentangan Pemberian Perlindungan Hak Paten terhadap Invensi Penggunaan Teknologi CRISPR-Cas9 pada Gen Manusia","type":"article-journal","volume":"5"},"uris":["http://www.mendeley.com/documents/?uuid=f0254431-3d68-4464-af54-eb4d94e61a63"]}],"mendeley":{"formattedCitation":"Ida Nur Azizah, “Pertentangan Pemberian Perlindungan Hak Paten Terhadap Invensi Penggunaan Teknologi CRISPR-Cas9 Pada Gen Manusia,” &lt;i&gt;Unes Law Review&lt;/i&gt; 5, no. 4 (2023): 3001–14, https://doi.org/10.31933/unesrev.v5i4.","plainTextFormattedCitation":"Ida Nur Azizah, “Pertentangan Pemberian Perlindungan Hak Paten Terhadap Invensi Penggunaan Teknologi CRISPR-Cas9 Pada Gen Manusia,” Unes Law Review 5, no. 4 (2023): 3001–14, https://doi.org/10.31933/unesrev.v5i4.","previouslyFormattedCitation":"Ida Nur Azizah, “Pertentangan Pemberian Perlindungan Hak Paten Terhadap Invensi Penggunaan Teknologi CRISPR-Cas9 Pada Gen Manusia,” &lt;i&gt;Unes Law Review&lt;/i&gt; 5, no. 4 (2023): 3001–14, https://doi.org/10.31933/unesrev.v5i4."},"properties":{"noteIndex":58},"schema":"https://github.com/citation-style-language/schema/raw/master/csl-citation.json"}</w:instrText>
      </w:r>
      <w:r w:rsidRPr="0083043E">
        <w:rPr>
          <w:rFonts w:ascii="Book Antiqua" w:hAnsi="Book Antiqua"/>
          <w:color w:val="000000" w:themeColor="text1"/>
          <w:sz w:val="16"/>
          <w:szCs w:val="16"/>
        </w:rPr>
        <w:fldChar w:fldCharType="separate"/>
      </w:r>
      <w:r w:rsidRPr="0083043E">
        <w:rPr>
          <w:rFonts w:ascii="Book Antiqua" w:hAnsi="Book Antiqua"/>
          <w:noProof/>
          <w:color w:val="000000" w:themeColor="text1"/>
          <w:sz w:val="16"/>
          <w:szCs w:val="16"/>
        </w:rPr>
        <w:t xml:space="preserve">Ida Nur Azizah, “Pertentangan Pemberian Perlindungan Hak Paten Terhadap Invensi Penggunaan Teknologi CRISPR-Cas9 Pada Gen Manusia,” </w:t>
      </w:r>
      <w:r w:rsidRPr="0083043E">
        <w:rPr>
          <w:rFonts w:ascii="Book Antiqua" w:hAnsi="Book Antiqua"/>
          <w:i/>
          <w:noProof/>
          <w:color w:val="000000" w:themeColor="text1"/>
          <w:sz w:val="16"/>
          <w:szCs w:val="16"/>
        </w:rPr>
        <w:t>Unes Law Review</w:t>
      </w:r>
      <w:r w:rsidRPr="0083043E">
        <w:rPr>
          <w:rFonts w:ascii="Book Antiqua" w:hAnsi="Book Antiqua"/>
          <w:noProof/>
          <w:color w:val="000000" w:themeColor="text1"/>
          <w:sz w:val="16"/>
          <w:szCs w:val="16"/>
        </w:rPr>
        <w:t xml:space="preserve"> 5, no. 4 (2023): 3001–14, https://doi.org/10.31933/unesrev.v5i4.</w:t>
      </w:r>
      <w:r w:rsidRPr="0083043E">
        <w:rPr>
          <w:rFonts w:ascii="Book Antiqua" w:hAnsi="Book Antiqua"/>
          <w:color w:val="000000" w:themeColor="text1"/>
          <w:sz w:val="16"/>
          <w:szCs w:val="16"/>
        </w:rPr>
        <w:fldChar w:fldCharType="end"/>
      </w:r>
    </w:p>
  </w:footnote>
  <w:footnote w:id="59">
    <w:p w14:paraId="3B795067" w14:textId="59534F14" w:rsidR="00C04C78" w:rsidRPr="0083043E" w:rsidRDefault="00C04C78" w:rsidP="0083043E">
      <w:pPr>
        <w:pStyle w:val="FootnoteText"/>
        <w:jc w:val="both"/>
        <w:rPr>
          <w:rFonts w:ascii="Book Antiqua" w:hAnsi="Book Antiqua"/>
          <w:color w:val="000000" w:themeColor="text1"/>
          <w:sz w:val="16"/>
          <w:szCs w:val="16"/>
        </w:rPr>
      </w:pPr>
      <w:r w:rsidRPr="0083043E">
        <w:rPr>
          <w:rStyle w:val="FootnoteReference"/>
          <w:rFonts w:ascii="Book Antiqua" w:hAnsi="Book Antiqua"/>
          <w:color w:val="000000" w:themeColor="text1"/>
          <w:sz w:val="16"/>
          <w:szCs w:val="16"/>
        </w:rPr>
        <w:footnoteRef/>
      </w:r>
      <w:r w:rsidRPr="0083043E">
        <w:rPr>
          <w:rFonts w:ascii="Book Antiqua" w:hAnsi="Book Antiqua"/>
          <w:color w:val="000000" w:themeColor="text1"/>
          <w:sz w:val="16"/>
          <w:szCs w:val="16"/>
        </w:rPr>
        <w:t xml:space="preserve"> </w:t>
      </w:r>
      <w:r w:rsidRPr="0083043E">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{"citationItems":[{"id":"ITEM-1","itemData":{"DOI":"10.31942/jqi.v12i2.3135","ISSN":"1979-0678","abstract":"Penyelesaian sengketa kekayaan intelektual di Indonesia umumnya dapat dilakukan melalui pengadilan dan dapat dilakukan melalui arbitrase dan Alternatif Penyelesaian Sengketa. Pilihan tersebut ada para para pihak yang bersengketa. Ada kelebihan dan kekurangan dalam melakukan penyelesaian sengketa kekayaan intelektual melalui pengadilan dan di luar pengadilan. Pada umumnya penyelesaian sengketa hak kekayaan intelektual di pengadilan dilakukan di Pengadilan Niaga untuk sengketa hak cipta, hak merek, hak desain industri, hak paten, Khusus untuk sengketa rahasia dagang didaftarkan di pengadilan negeri. Penyelesaian sengketa di luar pengadilan dapat dilakukan melalui lembaga arbitrase dan alternatif penyelesaian sengketa. Lembaga di Indonesia yang memiliki kompetensi untuk menyelesaikan sengketa hak kekayaan intelektual melalui jalur di luar pengadilan yaitu Badan Arbitrase Nasional Indonesia (BANI) dan Badan Arbitrase dan Mediasi Hak Kekayaan Intelektual (BAM HKI).\r Artikel ini merupakan hasil dari penelitian yang dilakukan dengan menggunakan metode socio legal dengan pendekatan kualitatif. Artikel ini bertujuan untuk menganalisis karakteristik dan problematic penyelesiaan sengketa hak keyaan intelektual yang diselesaikan di Badan Arbitrase Nasional Indonesia (BANI). BANI menyelesaiakan sepulub kasus sengketa hak kekayaan intelektual dan tidak semua kasus sengketa hak kekayaan intelektual dapat diselesaikan oleh BANI. Syarat sengketa hak kekayaan intelektual dapat diselesaikan oleh BANI yaitu adanya kewenangan BANi yang tertera dalam akta de kompromitendo atau akta kompromis.\r Kata Kunci: Penyelesaian Sengketa, Kekayaan Intelektual, Badan Arbitrase","author":[{"dropping-particle":"","family":"Sulistianingsih","given":"Dewi","non-dropping-particle":"","parse-names":false,"suffix":""},{"dropping-particle":"","family":"Prabowo","given":"Mumammad Shidqon","non-dropping-particle":"","parse-names":false,"suffix":""}],"container-title":"Qistie","id":"ITEM-1","issue":"2","issued":{"date-parts":[["2019"]]},"page":"166","title":"Problematik Dan Karakteristik Penyelesaian Sengketa Kekayaan Intelektual Melalui Badan Arbitrase Nasional Indonesia","type":"article-journal","volume":"12"},"uris":["http://www.mendeley.com/documents/?uuid=bc7b4c11-4aca-4914-b5f4-ed7436b5cdaa"]}],"mendeley":{"formattedCitation":"Dewi Sulistianingsih and Mumammad Shidqon Prabowo, “Problematik Dan Karakteristik Penyelesaian Sengketa Kekayaan Intelektual Melalui Badan Arbitrase Nasional Indonesia,” &lt;i&gt;Qistie&lt;/i&gt; 12, no. 2 (2019): 166, https://doi.org/10.31942/jqi.v12i2.3135.","plainTextFormattedCitation":"Dewi Sulistianingsih and Mumammad Shidqon Prabowo, “Problematik Dan Karakteristik Penyelesaian Sengketa Kekayaan Intelektual Melalui Badan Arbitrase Nasional Indonesia,” Qistie 12, no. 2 (2019): 166, https://doi.org/10.31942/jqi.v12i2.3135.","previouslyFormattedCitation":"Dewi Sulistianingsih and Mumammad Shidqon Prabowo, “Problematik Dan Karakteristik Penyelesaian Sengketa Kekayaan Intelektual Melalui Badan Arbitrase Nasional Indonesia,” &lt;i&gt;Qistie&lt;/i&gt; 12, no. 2 (2019): 166, https://doi.org/10.31942/jqi.v12i2.3135."},"properties":{"noteIndex":59},"schema":"https://github.com/citation-style-language/schema/raw/master/csl-citation.json"}</w:instrText>
      </w:r>
      <w:r w:rsidRPr="0083043E">
        <w:rPr>
          <w:rFonts w:ascii="Book Antiqua" w:hAnsi="Book Antiqua"/>
          <w:color w:val="000000" w:themeColor="text1"/>
          <w:sz w:val="16"/>
          <w:szCs w:val="16"/>
        </w:rPr>
        <w:fldChar w:fldCharType="separate"/>
      </w:r>
      <w:r w:rsidRPr="0083043E">
        <w:rPr>
          <w:rFonts w:ascii="Book Antiqua" w:hAnsi="Book Antiqua"/>
          <w:noProof/>
          <w:color w:val="000000" w:themeColor="text1"/>
          <w:sz w:val="16"/>
          <w:szCs w:val="16"/>
        </w:rPr>
        <w:t xml:space="preserve">Dewi Sulistianingsih and Mumammad Shidqon Prabowo, “Problematik Dan Karakteristik Penyelesaian Sengketa Kekayaan Intelektual Melalui Badan Arbitrase Nasional Indonesia,” </w:t>
      </w:r>
      <w:r w:rsidRPr="0083043E">
        <w:rPr>
          <w:rFonts w:ascii="Book Antiqua" w:hAnsi="Book Antiqua"/>
          <w:i/>
          <w:noProof/>
          <w:color w:val="000000" w:themeColor="text1"/>
          <w:sz w:val="16"/>
          <w:szCs w:val="16"/>
        </w:rPr>
        <w:t>Qistie</w:t>
      </w:r>
      <w:r w:rsidRPr="0083043E">
        <w:rPr>
          <w:rFonts w:ascii="Book Antiqua" w:hAnsi="Book Antiqua"/>
          <w:noProof/>
          <w:color w:val="000000" w:themeColor="text1"/>
          <w:sz w:val="16"/>
          <w:szCs w:val="16"/>
        </w:rPr>
        <w:t xml:space="preserve"> 12, no. 2 (2019): 166, https://doi.org/10.31942/jqi.v12i2.3135.</w:t>
      </w:r>
      <w:r w:rsidRPr="0083043E">
        <w:rPr>
          <w:rFonts w:ascii="Book Antiqua" w:hAnsi="Book Antiqua"/>
          <w:color w:val="000000" w:themeColor="text1"/>
          <w:sz w:val="16"/>
          <w:szCs w:val="16"/>
        </w:rPr>
        <w:fldChar w:fldCharType="end"/>
      </w:r>
    </w:p>
  </w:footnote>
  <w:footnote w:id="60">
    <w:p w14:paraId="12A20277" w14:textId="23A5F7B9" w:rsidR="00C04C78" w:rsidRPr="0083043E" w:rsidRDefault="00C04C78" w:rsidP="0083043E">
      <w:pPr>
        <w:pStyle w:val="FootnoteText"/>
        <w:jc w:val="both"/>
        <w:rPr>
          <w:rFonts w:ascii="Book Antiqua" w:hAnsi="Book Antiqua"/>
          <w:color w:val="000000" w:themeColor="text1"/>
          <w:sz w:val="16"/>
          <w:szCs w:val="16"/>
        </w:rPr>
      </w:pPr>
      <w:r w:rsidRPr="0083043E">
        <w:rPr>
          <w:rStyle w:val="FootnoteReference"/>
          <w:rFonts w:ascii="Book Antiqua" w:hAnsi="Book Antiqua"/>
          <w:color w:val="000000" w:themeColor="text1"/>
          <w:sz w:val="16"/>
          <w:szCs w:val="16"/>
        </w:rPr>
        <w:footnoteRef/>
      </w:r>
      <w:r w:rsidRPr="0083043E">
        <w:rPr>
          <w:rFonts w:ascii="Book Antiqua" w:hAnsi="Book Antiqua"/>
          <w:color w:val="000000" w:themeColor="text1"/>
          <w:sz w:val="16"/>
          <w:szCs w:val="16"/>
        </w:rPr>
        <w:t xml:space="preserve"> </w:t>
      </w:r>
      <w:r w:rsidRPr="0083043E">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{"citationItems":[{"id":"ITEM-1","itemData":{"author":[{"dropping-particle":"","family":"Erfamiati","given":"Alifia Devi","non-dropping-particle":"","parse-names":false,"suffix":""}],"id":"ITEM-1","issue":"2","issued":{"date-parts":[["2019"]]},"page":"106-175","title":"Perlindungan Hukum Terhadap Pemegang Hak Paten Ditinjau dari UU No 14 Tahun 2001 Tentang Hak Paten","type":"article-journal","volume":"1"},"uris":["http://www.mendeley.com/documents/?uuid=b85e326a-dc67-4489-9401-abc377759271"]}],"mendeley":{"formattedCitation":"Alifia Devi Erfamiati, “Perlindungan Hukum Terhadap Pemegang Hak Paten Ditinjau Dari UU No 14 Tahun 2001 Tentang Hak Paten” 1, no. 2 (2019): 106–75.","plainTextFormattedCitation":"Alifia Devi Erfamiati, “Perlindungan Hukum Terhadap Pemegang Hak Paten Ditinjau Dari UU No 14 Tahun 2001 Tentang Hak Paten” 1, no. 2 (2019): 106–75.","previouslyFormattedCitation":"Alifia Devi Erfamiati, “Perlindungan Hukum Terhadap Pemegang Hak Paten Ditinjau Dari UU No 14 Tahun 2001 Tentang Hak Paten” 1, no. 2 (2019): 106–75."},"properties":{"noteIndex":60},"schema":"https://github.com/citation-style-language/schema/raw/master/csl-citation.json"}</w:instrText>
      </w:r>
      <w:r w:rsidRPr="0083043E">
        <w:rPr>
          <w:rFonts w:ascii="Book Antiqua" w:hAnsi="Book Antiqua"/>
          <w:color w:val="000000" w:themeColor="text1"/>
          <w:sz w:val="16"/>
          <w:szCs w:val="16"/>
        </w:rPr>
        <w:fldChar w:fldCharType="separate"/>
      </w:r>
      <w:r w:rsidRPr="0083043E">
        <w:rPr>
          <w:rFonts w:ascii="Book Antiqua" w:hAnsi="Book Antiqua"/>
          <w:noProof/>
          <w:color w:val="000000" w:themeColor="text1"/>
          <w:sz w:val="16"/>
          <w:szCs w:val="16"/>
        </w:rPr>
        <w:t>Alifia Devi Erfamiati, “Perlindungan Hukum Terhadap Pemegang Hak Paten Ditinjau Dari UU No 14 Tahun 2001 Tentang Hak Paten” 1, no. 2 (2019): 106–75.</w:t>
      </w:r>
      <w:r w:rsidRPr="0083043E">
        <w:rPr>
          <w:rFonts w:ascii="Book Antiqua" w:hAnsi="Book Antiqua"/>
          <w:color w:val="000000" w:themeColor="text1"/>
          <w:sz w:val="16"/>
          <w:szCs w:val="16"/>
        </w:rPr>
        <w:fldChar w:fldCharType="end"/>
      </w:r>
    </w:p>
  </w:footnote>
  <w:footnote w:id="61">
    <w:p w14:paraId="17437B3F" w14:textId="2D1A69F0" w:rsidR="00C04C78" w:rsidRPr="0083043E" w:rsidRDefault="00C04C78" w:rsidP="0083043E">
      <w:pPr>
        <w:pStyle w:val="FootnoteText"/>
        <w:jc w:val="both"/>
        <w:rPr>
          <w:rFonts w:ascii="Book Antiqua" w:hAnsi="Book Antiqua"/>
          <w:color w:val="000000" w:themeColor="text1"/>
          <w:sz w:val="16"/>
          <w:szCs w:val="16"/>
        </w:rPr>
      </w:pPr>
      <w:r w:rsidRPr="0083043E">
        <w:rPr>
          <w:rStyle w:val="FootnoteReference"/>
          <w:rFonts w:ascii="Book Antiqua" w:hAnsi="Book Antiqua"/>
          <w:color w:val="000000" w:themeColor="text1"/>
          <w:sz w:val="16"/>
          <w:szCs w:val="16"/>
        </w:rPr>
        <w:footnoteRef/>
      </w:r>
      <w:r w:rsidRPr="0083043E">
        <w:rPr>
          <w:rFonts w:ascii="Book Antiqua" w:hAnsi="Book Antiqua"/>
          <w:color w:val="000000" w:themeColor="text1"/>
          <w:sz w:val="16"/>
          <w:szCs w:val="16"/>
        </w:rPr>
        <w:t xml:space="preserve"> </w:t>
      </w:r>
      <w:r w:rsidRPr="0083043E">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{"citationItems":[{"id":"ITEM-1","itemData":{"DOI":"10.25123/vej.v7i1.3716","ISBN":"2019123114134","ISSN":"2460-0555","abstract":"Mediasi dalam Pasal 95(4) Undang-Undang No. 28 tahun 2014 tentang Hak Cipta ditetapkan sebagai pilihan metoda penyelesaian sengketa, termasuk yang berkaitan dengan pembajakan hak cipta. Pertanyaan utama di sini adalah apa konsekuensi hukum bila metoda penyelesaian sengketa ini tidak (dapat) digunakan. Untuk menelaah persoalan ini digunakan pendekatan yuridis normatif. Di sini mediasi harus dipahami dalam konteks Undang-Undang No. 30 tahun 1999 tentang Arbitrase dan Alternatif Penyelesaian Sengketa dan Peraturan Mahkamah Agung No. 1 tahun 2016 tentang Prosedur Mediasi di Pengadilan. Ditemukan bahwa alternatif penyelesaian sengketa melalui mediasi dibuka baik di dalam maupun di luar pengadilan, baik dalam sengketa keperdataan (tuntutan ganti rugi) maupun kasus pidana (pembajakan). Selanjutnya, tidak digunakannya mediasi tidak akan berakibat terhentinya proses pemeriksaan perkara tindak pidana. Kata","author":[{"dropping-particle":"","family":"Sudjana","given":"","non-dropping-particle":"","parse-names":false,"suffix":""}],"container-title":"Veritas et Justitia","id":"ITEM-1","issue":"1","issued":{"date-parts":[["2021"]]},"page":"91-114","title":"Makna Mediasi Dalam Undang-Undang Nomor 28 Tahun 2014 Tentang Hak Cipta","type":"article-journal","volume":"7"},"uris":["http://www.mendeley.com/documents/?uuid=36b69bf6-f1c7-4dba-b805-a1c2eeff3079"]}],"mendeley":{"formattedCitation":"Sudjana, “Makna Mediasi Dalam Undang-Undang Nomor 28 Tahun 2014 Tentang Hak Cipta,” &lt;i&gt;Veritas et Justitia&lt;/i&gt; 7, no. 1 (2021): 91–114, https://doi.org/10.25123/vej.v7i1.3716.","plainTextFormattedCitation":"Sudjana, “Makna Mediasi Dalam Undang-Undang Nomor 28 Tahun 2014 Tentang Hak Cipta,” Veritas et Justitia 7, no. 1 (2021): 91–114, https://doi.org/10.25123/vej.v7i1.3716.","previouslyFormattedCitation":"Sudjana, “Makna Mediasi Dalam Undang-Undang Nomor 28 Tahun 2014 Tentang Hak Cipta,” &lt;i&gt;Veritas et Justitia&lt;/i&gt; 7, no. 1 (2021): 91–114, https://doi.org/10.25123/vej.v7i1.3716."},"properties":{"noteIndex":61},"schema":"https://github.com/citation-style-language/schema/raw/master/csl-citation.json"}</w:instrText>
      </w:r>
      <w:r w:rsidRPr="0083043E">
        <w:rPr>
          <w:rFonts w:ascii="Book Antiqua" w:hAnsi="Book Antiqua"/>
          <w:color w:val="000000" w:themeColor="text1"/>
          <w:sz w:val="16"/>
          <w:szCs w:val="16"/>
        </w:rPr>
        <w:fldChar w:fldCharType="separate"/>
      </w:r>
      <w:r w:rsidRPr="0083043E">
        <w:rPr>
          <w:rFonts w:ascii="Book Antiqua" w:hAnsi="Book Antiqua"/>
          <w:noProof/>
          <w:color w:val="000000" w:themeColor="text1"/>
          <w:sz w:val="16"/>
          <w:szCs w:val="16"/>
        </w:rPr>
        <w:t xml:space="preserve">Sudjana, “Makna Mediasi Dalam Undang-Undang Nomor 28 Tahun 2014 Tentang Hak Cipta,” </w:t>
      </w:r>
      <w:r w:rsidRPr="0083043E">
        <w:rPr>
          <w:rFonts w:ascii="Book Antiqua" w:hAnsi="Book Antiqua"/>
          <w:i/>
          <w:noProof/>
          <w:color w:val="000000" w:themeColor="text1"/>
          <w:sz w:val="16"/>
          <w:szCs w:val="16"/>
        </w:rPr>
        <w:t>Veritas et Justitia</w:t>
      </w:r>
      <w:r w:rsidRPr="0083043E">
        <w:rPr>
          <w:rFonts w:ascii="Book Antiqua" w:hAnsi="Book Antiqua"/>
          <w:noProof/>
          <w:color w:val="000000" w:themeColor="text1"/>
          <w:sz w:val="16"/>
          <w:szCs w:val="16"/>
        </w:rPr>
        <w:t xml:space="preserve"> 7, no. 1 (2021): 91–114, https://doi.org/10.25123/vej.v7i1.3716.</w:t>
      </w:r>
      <w:r w:rsidRPr="0083043E">
        <w:rPr>
          <w:rFonts w:ascii="Book Antiqua" w:hAnsi="Book Antiqua"/>
          <w:color w:val="000000" w:themeColor="text1"/>
          <w:sz w:val="16"/>
          <w:szCs w:val="16"/>
        </w:rPr>
        <w:fldChar w:fldCharType="end"/>
      </w:r>
    </w:p>
  </w:footnote>
  <w:footnote w:id="62">
    <w:p w14:paraId="740E5DAA" w14:textId="14D0790D" w:rsidR="00C04C78" w:rsidRPr="0083043E" w:rsidRDefault="00C04C78" w:rsidP="0083043E">
      <w:pPr>
        <w:pStyle w:val="FootnoteText"/>
        <w:jc w:val="both"/>
        <w:rPr>
          <w:rFonts w:ascii="Book Antiqua" w:hAnsi="Book Antiqua"/>
          <w:color w:val="000000" w:themeColor="text1"/>
          <w:sz w:val="16"/>
          <w:szCs w:val="16"/>
        </w:rPr>
      </w:pPr>
      <w:r w:rsidRPr="0083043E">
        <w:rPr>
          <w:rStyle w:val="FootnoteReference"/>
          <w:rFonts w:ascii="Book Antiqua" w:hAnsi="Book Antiqua"/>
          <w:color w:val="000000" w:themeColor="text1"/>
          <w:sz w:val="16"/>
          <w:szCs w:val="16"/>
        </w:rPr>
        <w:footnoteRef/>
      </w:r>
      <w:r w:rsidRPr="0083043E">
        <w:rPr>
          <w:rFonts w:ascii="Book Antiqua" w:hAnsi="Book Antiqua"/>
          <w:color w:val="000000" w:themeColor="text1"/>
          <w:sz w:val="16"/>
          <w:szCs w:val="16"/>
        </w:rPr>
        <w:t xml:space="preserve"> </w:t>
      </w:r>
      <w:r w:rsidRPr="0083043E">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{"citationItems":[{"id":"ITEM-1","itemData":{"author":[{"dropping-particle":"","family":"Jean Neltje et al","given":"","non-dropping-particle":"","parse-names":false,"suffix":""}],"container-title":"Jurnal Pendidikan Tambusai","id":"ITEM-1","issue":"3","issued":{"date-parts":[["2023"]]},"page":"22125-22131","title":"Pengertian Hak Paten-2","type":"article-journal","volume":"7"},"uris":["http://www.mendeley.com/documents/?uuid=564cd4e9-3f51-4caf-8c90-6fd7421d4a19"]}],"mendeley":{"formattedCitation":"Jean Neltje et al, “Pengertian Hak Paten-2.”","plainTextFormattedCitation":"Jean Neltje et al, “Pengertian Hak Paten-2.”","previouslyFormattedCitation":"Jean Neltje et al, “Pengertian Hak Paten-2.”"},"properties":{"noteIndex":62},"schema":"https://github.com/citation-style-language/schema/raw/master/csl-citation.json"}</w:instrText>
      </w:r>
      <w:r w:rsidRPr="0083043E">
        <w:rPr>
          <w:rFonts w:ascii="Book Antiqua" w:hAnsi="Book Antiqua"/>
          <w:color w:val="000000" w:themeColor="text1"/>
          <w:sz w:val="16"/>
          <w:szCs w:val="16"/>
        </w:rPr>
        <w:fldChar w:fldCharType="separate"/>
      </w:r>
      <w:r w:rsidRPr="0083043E">
        <w:rPr>
          <w:rFonts w:ascii="Book Antiqua" w:hAnsi="Book Antiqua"/>
          <w:noProof/>
          <w:color w:val="000000" w:themeColor="text1"/>
          <w:sz w:val="16"/>
          <w:szCs w:val="16"/>
        </w:rPr>
        <w:t>Jean Neltje et al, “Pengertian Hak Paten-2.”</w:t>
      </w:r>
      <w:r w:rsidRPr="0083043E">
        <w:rPr>
          <w:rFonts w:ascii="Book Antiqua" w:hAnsi="Book Antiqua"/>
          <w:color w:val="000000" w:themeColor="text1"/>
          <w:sz w:val="16"/>
          <w:szCs w:val="16"/>
        </w:rPr>
        <w:fldChar w:fldCharType="end"/>
      </w:r>
    </w:p>
  </w:footnote>
  <w:footnote w:id="63">
    <w:p w14:paraId="0E604F34" w14:textId="46940461" w:rsidR="00C04C78" w:rsidRPr="0083043E" w:rsidRDefault="00C04C78" w:rsidP="0083043E">
      <w:pPr>
        <w:pStyle w:val="FootnoteText"/>
        <w:jc w:val="both"/>
        <w:rPr>
          <w:rFonts w:ascii="Book Antiqua" w:hAnsi="Book Antiqua"/>
          <w:color w:val="000000" w:themeColor="text1"/>
          <w:sz w:val="16"/>
          <w:szCs w:val="16"/>
        </w:rPr>
      </w:pPr>
      <w:r w:rsidRPr="0083043E">
        <w:rPr>
          <w:rStyle w:val="FootnoteReference"/>
          <w:rFonts w:ascii="Book Antiqua" w:hAnsi="Book Antiqua"/>
          <w:color w:val="000000" w:themeColor="text1"/>
          <w:sz w:val="16"/>
          <w:szCs w:val="16"/>
        </w:rPr>
        <w:footnoteRef/>
      </w:r>
      <w:r w:rsidRPr="0083043E">
        <w:rPr>
          <w:rFonts w:ascii="Book Antiqua" w:hAnsi="Book Antiqua"/>
          <w:color w:val="000000" w:themeColor="text1"/>
          <w:sz w:val="16"/>
          <w:szCs w:val="16"/>
        </w:rPr>
        <w:t xml:space="preserve"> </w:t>
      </w:r>
      <w:r w:rsidRPr="0083043E">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w:instrText>
      </w:r>
      <w:r w:rsidR="002C142A">
        <w:rPr>
          <w:rFonts w:ascii="Book Antiqua" w:hAnsi="Book Antiqua" w:hint="eastAsia"/>
          <w:color w:val="000000" w:themeColor="text1"/>
          <w:sz w:val="16"/>
          <w:szCs w:val="16"/>
        </w:rPr>
        <w:instrText xml:space="preserve"> poses was improved by post-processing with physics-based implicit solvent MM- GBSA calculations. Using the best RMSD among the top 10 scoring poses as a metric, the success rate (RMSD </w:instrText>
      </w:r>
      <w:r w:rsidR="002C142A">
        <w:rPr>
          <w:rFonts w:ascii="Book Antiqua" w:hAnsi="Book Antiqua" w:hint="eastAsia"/>
          <w:color w:val="000000" w:themeColor="text1"/>
          <w:sz w:val="16"/>
          <w:szCs w:val="16"/>
        </w:rPr>
        <w:instrText>≤</w:instrText>
      </w:r>
      <w:r w:rsidR="002C142A">
        <w:rPr>
          <w:rFonts w:ascii="Book Antiqua" w:hAnsi="Book Antiqua" w:hint="eastAsia"/>
          <w:color w:val="000000" w:themeColor="text1"/>
          <w:sz w:val="16"/>
          <w:szCs w:val="16"/>
        </w:rPr>
        <w:instrText xml:space="preserve"> 2.0 Å for the interface backbone atoms) increased from 21% with defa</w:instrText>
      </w:r>
      <w:r w:rsidR="002C142A">
        <w:rPr>
          <w:rFonts w:ascii="Book Antiqua" w:hAnsi="Book Antiqua"/>
          <w:color w:val="000000" w:themeColor="text1"/>
          <w:sz w:val="16"/>
          <w:szCs w:val="16"/>
        </w:rPr>
        <w:instrText>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approach.","author":[{"dropping-particle":"","family":"Natalia","given":"Diana Putri","non-dropping-particle":"","parse-names":false,"suffix":""},{"dropping-particle":"","family":"Hanggara","given":"Sandy","non-dropping-particle":"","parse-names":false,"suffix":""},{"dropping-particle":"","family":"Nugroho","given":"Bondan","non-dropping-particle":"","parse-names":false,"suffix":""},{"dropping-particle":"","family":"Dewanto","given":"Sindu Adi","non-dropping-particle":"","parse-names":false,"suffix":""},{"dropping-particle":"","family":"Elmasry","given":"Firmansyah Burhanudin","non-dropping-particle":"","parse-names":false,"suffix":""}],"container-title":"Lontar Merah Vol. 6 Nomor 2 (2023) E-ISSN : 2829-2464 Analisis","id":"ITEM-1","issued":{"date-parts":[["2023"]]},"page":"736-749","title":"Analisis Sengketa Hak Paten Apple VS Samsung dalam Hal Pengajuan Gugatan dan Penyelesaian Sengketa","type":"article-journal","volume":"6"},"uris":["http://www.mendeley.com/documents/?uuid=d171e533-cca7-467f-bee4-d27b5cb5bd02"]}],"mendeley":{"formattedCitation":"Diana Putri Natalia et al., “Analisis Sengketa Hak Paten Apple VS Samsung Dalam Hal Pengajuan Gugatan Dan Penyelesaian Sengketa,” &lt;i&gt;Lontar Merah Vol. 6 Nomor 2 (2023) E-ISSN</w:instrText>
      </w:r>
      <w:r w:rsidR="002C142A">
        <w:rPr>
          <w:color w:val="000000" w:themeColor="text1"/>
          <w:sz w:val="16"/>
          <w:szCs w:val="16"/>
        </w:rPr>
        <w:instrText> </w:instrText>
      </w:r>
      <w:r w:rsidR="002C142A">
        <w:rPr>
          <w:rFonts w:ascii="Book Antiqua" w:hAnsi="Book Antiqua"/>
          <w:color w:val="000000" w:themeColor="text1"/>
          <w:sz w:val="16"/>
          <w:szCs w:val="16"/>
        </w:rPr>
        <w:instrText>: 2829-2464 Analisis&lt;/i&gt; 6 (2023): 736</w:instrText>
      </w:r>
      <w:r w:rsidR="002C142A">
        <w:rPr>
          <w:rFonts w:ascii="Book Antiqua" w:hAnsi="Book Antiqua" w:cs="Book Antiqua"/>
          <w:color w:val="000000" w:themeColor="text1"/>
          <w:sz w:val="16"/>
          <w:szCs w:val="16"/>
        </w:rPr>
        <w:instrText>–</w:instrText>
      </w:r>
      <w:r w:rsidR="002C142A">
        <w:rPr>
          <w:rFonts w:ascii="Book Antiqua" w:hAnsi="Book Antiqua"/>
          <w:color w:val="000000" w:themeColor="text1"/>
          <w:sz w:val="16"/>
          <w:szCs w:val="16"/>
        </w:rPr>
        <w:instrText>49, https://jom.untidar.ac.id/index.php/lontarmerah/article/view/4260.","plainTextFormattedCitation":"Diana Putri Natalia et al., “Analisis Sengketa Hak Paten Apple VS Samsung Dalam Hal Pengajuan Gugatan Dan Penyelesaian Sengketa,” Lontar Merah Vol. 6 Nomor 2 (2023) E-ISSN</w:instrText>
      </w:r>
      <w:r w:rsidR="002C142A">
        <w:rPr>
          <w:color w:val="000000" w:themeColor="text1"/>
          <w:sz w:val="16"/>
          <w:szCs w:val="16"/>
        </w:rPr>
        <w:instrText> </w:instrText>
      </w:r>
      <w:r w:rsidR="002C142A">
        <w:rPr>
          <w:rFonts w:ascii="Book Antiqua" w:hAnsi="Book Antiqua"/>
          <w:color w:val="000000" w:themeColor="text1"/>
          <w:sz w:val="16"/>
          <w:szCs w:val="16"/>
        </w:rPr>
        <w:instrText>: 2829-2464 Analisis 6 (2023): 736</w:instrText>
      </w:r>
      <w:r w:rsidR="002C142A">
        <w:rPr>
          <w:rFonts w:ascii="Book Antiqua" w:hAnsi="Book Antiqua" w:cs="Book Antiqua"/>
          <w:color w:val="000000" w:themeColor="text1"/>
          <w:sz w:val="16"/>
          <w:szCs w:val="16"/>
        </w:rPr>
        <w:instrText>–</w:instrText>
      </w:r>
      <w:r w:rsidR="002C142A">
        <w:rPr>
          <w:rFonts w:ascii="Book Antiqua" w:hAnsi="Book Antiqua"/>
          <w:color w:val="000000" w:themeColor="text1"/>
          <w:sz w:val="16"/>
          <w:szCs w:val="16"/>
        </w:rPr>
        <w:instrText>49, https://jom.untidar.ac.id/index.php/lontarmerah/article/view/4260.","previouslyFormattedCitation":"Diana Putri Natalia et al., “Analisis Sengketa Hak Paten Apple VS Samsung Dalam Hal Pengajuan Gugatan Dan Penyelesaian Sengketa,” &lt;i&gt;Lontar Merah Vol. 6 Nomor 2 (2023) E-ISSN</w:instrText>
      </w:r>
      <w:r w:rsidR="002C142A">
        <w:rPr>
          <w:color w:val="000000" w:themeColor="text1"/>
          <w:sz w:val="16"/>
          <w:szCs w:val="16"/>
        </w:rPr>
        <w:instrText> </w:instrText>
      </w:r>
      <w:r w:rsidR="002C142A">
        <w:rPr>
          <w:rFonts w:ascii="Book Antiqua" w:hAnsi="Book Antiqua"/>
          <w:color w:val="000000" w:themeColor="text1"/>
          <w:sz w:val="16"/>
          <w:szCs w:val="16"/>
        </w:rPr>
        <w:instrText>: 2829-2464 Analisis&lt;/i&gt; 6 (2023): 736–49, https://jom.untidar.ac.id/index.php/lontarmerah/article/view/4260."},"properties":{"noteIndex":63},"schema":"https://github.com/citation-style-language/schema/raw/master/csl-citation.json"}</w:instrText>
      </w:r>
      <w:r w:rsidRPr="0083043E">
        <w:rPr>
          <w:rFonts w:ascii="Book Antiqua" w:hAnsi="Book Antiqua"/>
          <w:color w:val="000000" w:themeColor="text1"/>
          <w:sz w:val="16"/>
          <w:szCs w:val="16"/>
        </w:rPr>
        <w:fldChar w:fldCharType="separate"/>
      </w:r>
      <w:r w:rsidRPr="0083043E">
        <w:rPr>
          <w:rFonts w:ascii="Book Antiqua" w:hAnsi="Book Antiqua"/>
          <w:noProof/>
          <w:color w:val="000000" w:themeColor="text1"/>
          <w:sz w:val="16"/>
          <w:szCs w:val="16"/>
        </w:rPr>
        <w:t xml:space="preserve">Diana Putri Natalia et al., “Analisis Sengketa Hak Paten Apple VS Samsung Dalam Hal Pengajuan Gugatan Dan Penyelesaian Sengketa,” </w:t>
      </w:r>
      <w:r w:rsidRPr="0083043E">
        <w:rPr>
          <w:rFonts w:ascii="Book Antiqua" w:hAnsi="Book Antiqua"/>
          <w:i/>
          <w:noProof/>
          <w:color w:val="000000" w:themeColor="text1"/>
          <w:sz w:val="16"/>
          <w:szCs w:val="16"/>
        </w:rPr>
        <w:t>Lontar Merah Vol. 6 Nomor 2 (2023) E-ISSN</w:t>
      </w:r>
      <w:r w:rsidRPr="0083043E">
        <w:rPr>
          <w:i/>
          <w:noProof/>
          <w:color w:val="000000" w:themeColor="text1"/>
          <w:sz w:val="16"/>
          <w:szCs w:val="16"/>
        </w:rPr>
        <w:t> </w:t>
      </w:r>
      <w:r w:rsidRPr="0083043E">
        <w:rPr>
          <w:rFonts w:ascii="Book Antiqua" w:hAnsi="Book Antiqua"/>
          <w:i/>
          <w:noProof/>
          <w:color w:val="000000" w:themeColor="text1"/>
          <w:sz w:val="16"/>
          <w:szCs w:val="16"/>
        </w:rPr>
        <w:t>: 2829-2464 Analisis</w:t>
      </w:r>
      <w:r w:rsidRPr="0083043E">
        <w:rPr>
          <w:rFonts w:ascii="Book Antiqua" w:hAnsi="Book Antiqua"/>
          <w:noProof/>
          <w:color w:val="000000" w:themeColor="text1"/>
          <w:sz w:val="16"/>
          <w:szCs w:val="16"/>
        </w:rPr>
        <w:t xml:space="preserve"> 6 (2023): 736–49, https://jom.untidar.ac.id/index.php/lontarmerah/article/view/4260.</w:t>
      </w:r>
      <w:r w:rsidRPr="0083043E">
        <w:rPr>
          <w:rFonts w:ascii="Book Antiqua" w:hAnsi="Book Antiqua"/>
          <w:color w:val="000000" w:themeColor="text1"/>
          <w:sz w:val="16"/>
          <w:szCs w:val="16"/>
        </w:rPr>
        <w:fldChar w:fldCharType="end"/>
      </w:r>
    </w:p>
  </w:footnote>
  <w:footnote w:id="64">
    <w:p w14:paraId="2352AECC" w14:textId="7AD7BF2A" w:rsidR="00C04C78" w:rsidRPr="0083043E" w:rsidRDefault="00C04C78" w:rsidP="0083043E">
      <w:pPr>
        <w:pStyle w:val="FootnoteText"/>
        <w:jc w:val="both"/>
        <w:rPr>
          <w:rFonts w:ascii="Book Antiqua" w:hAnsi="Book Antiqua"/>
          <w:color w:val="000000" w:themeColor="text1"/>
          <w:sz w:val="16"/>
          <w:szCs w:val="16"/>
        </w:rPr>
      </w:pPr>
      <w:r w:rsidRPr="0083043E">
        <w:rPr>
          <w:rStyle w:val="FootnoteReference"/>
          <w:rFonts w:ascii="Book Antiqua" w:hAnsi="Book Antiqua"/>
          <w:color w:val="000000" w:themeColor="text1"/>
          <w:sz w:val="16"/>
          <w:szCs w:val="16"/>
        </w:rPr>
        <w:footnoteRef/>
      </w:r>
      <w:r w:rsidRPr="0083043E">
        <w:rPr>
          <w:rFonts w:ascii="Book Antiqua" w:hAnsi="Book Antiqua"/>
          <w:color w:val="000000" w:themeColor="text1"/>
          <w:sz w:val="16"/>
          <w:szCs w:val="16"/>
        </w:rPr>
        <w:t xml:space="preserve"> </w:t>
      </w:r>
      <w:r w:rsidRPr="0083043E">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{"citationItems":[{"id":"ITEM-1","itemData":{"DOI":"https://doi.org/10.33559/eoj.v5i3.1892","abstract":"The presence of Law Number 11 of 2020 concerning job creation has caused pros and cons among legal experts. This is caused by the presence of this law, both from a formal perspective and in its composition, which is considered to have several problems. From a substantial perspective, it still causes problems in realizing the goals of the law. One of the most interesting substantial changes in terms of substantial changes to the provisions of Law Number 13 of 2016 concerning patents after the enactment of the Job Creation Law and its implications for accelerating simple patent registration services for determining the value of novelty To examine this matter, a study will be carried out on the formulation of the problem, namely, how is the law reform carried out related to the acceleration of simple patent registration? The formulation of this problem will use a normative research method. As for the conclusion, it is (1). There are several changes regarding simple patents in the work copyright law: (2) The changes that have taken place include simplifying the process for granting simple patents (3). Whereas the changes made to the work copyright law were formed in the context of accelerating public services, Whereas the changes that have been made must also be followed by the renewal of lower operational regulations such as government regulations or ministerial regulations Kehadiran Undang-Undang Nomor 11 Tahun 2020 tentang Cipta Kerja telah menyebabkan terjadinya pro dan juga kontra dikalangan para pakar hukum. Hal tersebut disebabkan oleh hadirnya undang-undang ini baik dari segi formil pada susunannya dianggap mempunyai beberapa persoalan-persoalan. Dari segi substansial, masih ada masalah untuk mencapai tujuan UU tersebut. Salah satu perubahan penting dalam Undang-Undang Nomor 13 Tahun 2016 tentang Paten pasca diberlakukannya Undang-Undang Cipta Kerja adalah percepatan layanan pendaftaran paten sederhana. Untuk menelaah mengenai hal tersebut, maka akan dilaksanakan kajian pada rumusan permasalahan, yaitu; Bagaimana Pembaharuan Hukum yang dilakukan berkaitan dengan percepatan pendaftaran paten sederhana? Adapun rumusan permasalahan ini akan menggunakan sebuah metode penelitian normatif. Adapun yang menjadi kesimpulannya adalah (1). Terdapat beberapa perubahan terkait paten sederhana di uu cipta kerja; (2). Perubahan-perubahan yang terjadi meliputi penyederhanaan proses pemberian paten sederhana; (3). Bahwa adapun perubahan yang dilakukan dalam uu cipta…","author":[{"dropping-particle":"","family":"Marguratua","given":"Andrewnov","non-dropping-particle":"","parse-names":false,"suffix":""},{"dropping-particle":"","family":"Gultom","given":"Elfrida Ratnawati","non-dropping-particle":"","parse-names":false,"suffix":""}],"container-title":"Ensiklopedia of Journal","id":"ITEM-1","issue":"1","issued":{"date-parts":[["2023"]]},"page":"662-667","title":"REFORMASI HUKUM DIBIDANG KEKAYAAN INTELEKTUAL TERKAIT PENGATURAN PERCEPATAN LAYANAN PATEN SEDERHANA","type":"article-journal","volume":"6"},"uris":["http://www.mendeley.com/documents/?uuid=8c4b4abc-3751-4b99-97ea-859113130eba"]}],"mendeley":{"formattedCitation":"Andrewnov Marguratua and Elfrida Ratnawati Gultom, “REFORMASI HUKUM DIBIDANG KEKAYAAN INTELEKTUAL TERKAIT PENGATURAN PERCEPATAN LAYANAN PATEN SEDERHANA,” &lt;i&gt;Ensiklopedia of Journal&lt;/i&gt; 6, no. 1 (2023): 662–67, https://doi.org/https://doi.org/10.33559/eoj.v5i3.1892.","plainTextFormattedCitation":"Andrewnov Marguratua and Elfrida Ratnawati Gultom, “REFORMASI HUKUM DIBIDANG KEKAYAAN INTELEKTUAL TERKAIT PENGATURAN PERCEPATAN LAYANAN PATEN SEDERHANA,” Ensiklopedia of Journal 6, no. 1 (2023): 662–67, https://doi.org/https://doi.org/10.33559/eoj.v5i3.1892.","previouslyFormattedCitation":"Andrewnov Marguratua and Elfrida Ratnawati Gultom, “REFORMASI HUKUM DIBIDANG KEKAYAAN INTELEKTUAL TERKAIT PENGATURAN PERCEPATAN LAYANAN PATEN SEDERHANA,” &lt;i&gt;Ensiklopedia of Journal&lt;/i&gt; 6, no. 1 (2023): 662–67, https://doi.org/https://doi.org/10.33559/eoj.v5i3.1892."},"properties":{"noteIndex":64},"schema":"https://github.com/citation-style-language/schema/raw/master/csl-citation.json"}</w:instrText>
      </w:r>
      <w:r w:rsidRPr="0083043E">
        <w:rPr>
          <w:rFonts w:ascii="Book Antiqua" w:hAnsi="Book Antiqua"/>
          <w:color w:val="000000" w:themeColor="text1"/>
          <w:sz w:val="16"/>
          <w:szCs w:val="16"/>
        </w:rPr>
        <w:fldChar w:fldCharType="separate"/>
      </w:r>
      <w:r w:rsidRPr="0083043E">
        <w:rPr>
          <w:rFonts w:ascii="Book Antiqua" w:hAnsi="Book Antiqua"/>
          <w:noProof/>
          <w:color w:val="000000" w:themeColor="text1"/>
          <w:sz w:val="16"/>
          <w:szCs w:val="16"/>
        </w:rPr>
        <w:t xml:space="preserve">Andrewnov Marguratua and Elfrida Ratnawati Gultom, “REFORMASI HUKUM DIBIDANG KEKAYAAN INTELEKTUAL TERKAIT PENGATURAN PERCEPATAN LAYANAN PATEN SEDERHANA,” </w:t>
      </w:r>
      <w:r w:rsidRPr="0083043E">
        <w:rPr>
          <w:rFonts w:ascii="Book Antiqua" w:hAnsi="Book Antiqua"/>
          <w:i/>
          <w:noProof/>
          <w:color w:val="000000" w:themeColor="text1"/>
          <w:sz w:val="16"/>
          <w:szCs w:val="16"/>
        </w:rPr>
        <w:t>Ensiklopedia of Journal</w:t>
      </w:r>
      <w:r w:rsidRPr="0083043E">
        <w:rPr>
          <w:rFonts w:ascii="Book Antiqua" w:hAnsi="Book Antiqua"/>
          <w:noProof/>
          <w:color w:val="000000" w:themeColor="text1"/>
          <w:sz w:val="16"/>
          <w:szCs w:val="16"/>
        </w:rPr>
        <w:t xml:space="preserve"> 6, no. 1 (2023): 662–67, https://doi.org/https://doi.org/10.33559/eoj.v5i3.1892.</w:t>
      </w:r>
      <w:r w:rsidRPr="0083043E">
        <w:rPr>
          <w:rFonts w:ascii="Book Antiqua" w:hAnsi="Book Antiqua"/>
          <w:color w:val="000000" w:themeColor="text1"/>
          <w:sz w:val="16"/>
          <w:szCs w:val="16"/>
        </w:rPr>
        <w:fldChar w:fldCharType="end"/>
      </w:r>
    </w:p>
  </w:footnote>
  <w:footnote w:id="65">
    <w:p w14:paraId="5D1459FD" w14:textId="0F691BF1" w:rsidR="00C04C78" w:rsidRPr="0083043E" w:rsidRDefault="00C04C78" w:rsidP="0083043E">
      <w:pPr>
        <w:pStyle w:val="FootnoteText"/>
        <w:jc w:val="both"/>
        <w:rPr>
          <w:rFonts w:ascii="Book Antiqua" w:hAnsi="Book Antiqua"/>
          <w:color w:val="000000" w:themeColor="text1"/>
          <w:sz w:val="16"/>
          <w:szCs w:val="16"/>
        </w:rPr>
      </w:pPr>
      <w:r w:rsidRPr="0083043E">
        <w:rPr>
          <w:rStyle w:val="FootnoteReference"/>
          <w:rFonts w:ascii="Book Antiqua" w:hAnsi="Book Antiqua"/>
          <w:color w:val="000000" w:themeColor="text1"/>
          <w:sz w:val="16"/>
          <w:szCs w:val="16"/>
        </w:rPr>
        <w:footnoteRef/>
      </w:r>
      <w:r w:rsidRPr="0083043E">
        <w:rPr>
          <w:rFonts w:ascii="Book Antiqua" w:hAnsi="Book Antiqua"/>
          <w:color w:val="000000" w:themeColor="text1"/>
          <w:sz w:val="16"/>
          <w:szCs w:val="16"/>
        </w:rPr>
        <w:t xml:space="preserve"> </w:t>
      </w:r>
      <w:r w:rsidRPr="0083043E">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{"citationItems":[{"id":"ITEM-1","itemData":{"abstract":"… Faktor penyebab terjadinya perdagangan orang adalah karena faktor ekonomi/kemiskinan, rendahnya … Sindikat perdagangan manusia menunjukkan ada aktor lain selain negara yang …","author":[{"dropping-particle":"","family":"Prasetyo","given":"Handoyo","non-dropping-particle":"","parse-names":false,"suffix":""},{"dropping-particle":"","family":"Waluyo","given":"Bambang","non-dropping-particle":"","parse-names":false,"suffix":""},{"dropping-particle":"","family":"Subakdi","given":"","non-dropping-particle":"","parse-names":false,"suffix":""}],"container-title":"Proceeding: 5TH NATIONAL CONFERENCE on Law Studies 2023","id":"ITEM-1","issued":{"date-parts":[["2023"]]},"page":"550-569","title":"Penggunaan Kartu Khusus Pendamping Pekerja : Upaya Penguatan Keselamatan Pekerja Menghadapi Sindikat Perdagangan Orang","type":"article-journal"},"uris":["http://www.mendeley.com/documents/?uuid=8e0e19dd-096e-42ec-bcd7-fa206fb37d71"]}],"mendeley":{"formattedCitation":"Handoyo Prasetyo, Bambang Waluyo, and Subakdi, “Penggunaan Kartu Khusus Pendamping Pekerja</w:instrText>
      </w:r>
      <w:r w:rsidR="002C142A">
        <w:rPr>
          <w:color w:val="000000" w:themeColor="text1"/>
          <w:sz w:val="16"/>
          <w:szCs w:val="16"/>
        </w:rPr>
        <w:instrText> </w:instrText>
      </w:r>
      <w:r w:rsidR="002C142A">
        <w:rPr>
          <w:rFonts w:ascii="Book Antiqua" w:hAnsi="Book Antiqua"/>
          <w:color w:val="000000" w:themeColor="text1"/>
          <w:sz w:val="16"/>
          <w:szCs w:val="16"/>
        </w:rPr>
        <w:instrText>: Upaya Penguatan Keselamatan Pekerja Menghadapi Sindikat Perdagangan Orang,” &lt;i&gt;Proceeding: 5TH NATIONAL CONFERENCE on Law Studies 2023&lt;/i&gt;, 2023, 550–69.","plainTextFormattedCitation":"Handoyo Prasetyo, Bambang Waluyo, and Subakdi, “Penggunaan Kartu Khusus Pendamping Pekerja</w:instrText>
      </w:r>
      <w:r w:rsidR="002C142A">
        <w:rPr>
          <w:color w:val="000000" w:themeColor="text1"/>
          <w:sz w:val="16"/>
          <w:szCs w:val="16"/>
        </w:rPr>
        <w:instrText> </w:instrText>
      </w:r>
      <w:r w:rsidR="002C142A">
        <w:rPr>
          <w:rFonts w:ascii="Book Antiqua" w:hAnsi="Book Antiqua"/>
          <w:color w:val="000000" w:themeColor="text1"/>
          <w:sz w:val="16"/>
          <w:szCs w:val="16"/>
        </w:rPr>
        <w:instrText>: Upaya Penguatan Keselamatan Pekerja Menghadapi Sindikat Perdagangan Orang,” Proceeding: 5TH NATIONAL CONFERENCE on Law Studies 2023, 2023, 550–69.","previouslyFormattedCitation":"Handoyo Prasetyo, Bambang Waluyo, and Subakdi, “Penggunaan Kartu Khusus Pendamping Pekerja</w:instrText>
      </w:r>
      <w:r w:rsidR="002C142A">
        <w:rPr>
          <w:color w:val="000000" w:themeColor="text1"/>
          <w:sz w:val="16"/>
          <w:szCs w:val="16"/>
        </w:rPr>
        <w:instrText> </w:instrText>
      </w:r>
      <w:r w:rsidR="002C142A">
        <w:rPr>
          <w:rFonts w:ascii="Book Antiqua" w:hAnsi="Book Antiqua"/>
          <w:color w:val="000000" w:themeColor="text1"/>
          <w:sz w:val="16"/>
          <w:szCs w:val="16"/>
        </w:rPr>
        <w:instrText>: Upaya Penguatan Keselamatan Pekerja Menghadapi Sindikat Perdagangan Orang,” &lt;i&gt;Proceeding: 5TH NATIONAL CONFERENCE on Law Studies 2023&lt;/i&gt;, 2023, 550–69."},"properties":{"noteIndex":65},"schema":"https://github.com/citation-style-language/schema/raw/master/csl-citation.json"}</w:instrText>
      </w:r>
      <w:r w:rsidRPr="0083043E">
        <w:rPr>
          <w:rFonts w:ascii="Book Antiqua" w:hAnsi="Book Antiqua"/>
          <w:color w:val="000000" w:themeColor="text1"/>
          <w:sz w:val="16"/>
          <w:szCs w:val="16"/>
        </w:rPr>
        <w:fldChar w:fldCharType="separate"/>
      </w:r>
      <w:r w:rsidRPr="0083043E">
        <w:rPr>
          <w:rFonts w:ascii="Book Antiqua" w:hAnsi="Book Antiqua"/>
          <w:noProof/>
          <w:color w:val="000000" w:themeColor="text1"/>
          <w:sz w:val="16"/>
          <w:szCs w:val="16"/>
        </w:rPr>
        <w:t>Handoyo Prasetyo, Bambang Waluyo, and Subakdi, “Penggunaan Kartu Khusus Pendamping Pekerja</w:t>
      </w:r>
      <w:r w:rsidRPr="0083043E">
        <w:rPr>
          <w:noProof/>
          <w:color w:val="000000" w:themeColor="text1"/>
          <w:sz w:val="16"/>
          <w:szCs w:val="16"/>
        </w:rPr>
        <w:t> </w:t>
      </w:r>
      <w:r w:rsidRPr="0083043E">
        <w:rPr>
          <w:rFonts w:ascii="Book Antiqua" w:hAnsi="Book Antiqua"/>
          <w:noProof/>
          <w:color w:val="000000" w:themeColor="text1"/>
          <w:sz w:val="16"/>
          <w:szCs w:val="16"/>
        </w:rPr>
        <w:t>: Upaya Penguatan Keselamatan Pekerja Menghadapi Sindikat Perdagangan Orang,</w:t>
      </w:r>
      <w:r w:rsidRPr="0083043E">
        <w:rPr>
          <w:rFonts w:ascii="Book Antiqua" w:hAnsi="Book Antiqua" w:cs="Book Antiqua"/>
          <w:noProof/>
          <w:color w:val="000000" w:themeColor="text1"/>
          <w:sz w:val="16"/>
          <w:szCs w:val="16"/>
        </w:rPr>
        <w:t>”</w:t>
      </w:r>
      <w:r w:rsidRPr="0083043E">
        <w:rPr>
          <w:rFonts w:ascii="Book Antiqua" w:hAnsi="Book Antiqua"/>
          <w:noProof/>
          <w:color w:val="000000" w:themeColor="text1"/>
          <w:sz w:val="16"/>
          <w:szCs w:val="16"/>
        </w:rPr>
        <w:t xml:space="preserve"> </w:t>
      </w:r>
      <w:r w:rsidRPr="0083043E">
        <w:rPr>
          <w:rFonts w:ascii="Book Antiqua" w:hAnsi="Book Antiqua"/>
          <w:i/>
          <w:noProof/>
          <w:color w:val="000000" w:themeColor="text1"/>
          <w:sz w:val="16"/>
          <w:szCs w:val="16"/>
        </w:rPr>
        <w:t>Proceeding: 5TH NATIONAL CONFERENCE on Law Studies 2023</w:t>
      </w:r>
      <w:r w:rsidRPr="0083043E">
        <w:rPr>
          <w:rFonts w:ascii="Book Antiqua" w:hAnsi="Book Antiqua"/>
          <w:noProof/>
          <w:color w:val="000000" w:themeColor="text1"/>
          <w:sz w:val="16"/>
          <w:szCs w:val="16"/>
        </w:rPr>
        <w:t>, 2023, 550–69.</w:t>
      </w:r>
      <w:r w:rsidRPr="0083043E">
        <w:rPr>
          <w:rFonts w:ascii="Book Antiqua" w:hAnsi="Book Antiqua"/>
          <w:color w:val="000000" w:themeColor="text1"/>
          <w:sz w:val="16"/>
          <w:szCs w:val="16"/>
        </w:rPr>
        <w:fldChar w:fldCharType="end"/>
      </w:r>
    </w:p>
  </w:footnote>
  <w:footnote w:id="66">
    <w:p w14:paraId="6FC44258" w14:textId="3EF745C7" w:rsidR="00C04C78" w:rsidRPr="0083043E" w:rsidRDefault="00C04C78" w:rsidP="0083043E">
      <w:pPr>
        <w:pStyle w:val="FootnoteText"/>
        <w:jc w:val="both"/>
        <w:rPr>
          <w:rFonts w:ascii="Book Antiqua" w:hAnsi="Book Antiqua"/>
          <w:color w:val="000000" w:themeColor="text1"/>
          <w:sz w:val="16"/>
          <w:szCs w:val="16"/>
        </w:rPr>
      </w:pPr>
      <w:r w:rsidRPr="0083043E">
        <w:rPr>
          <w:rStyle w:val="FootnoteReference"/>
          <w:rFonts w:ascii="Book Antiqua" w:hAnsi="Book Antiqua"/>
          <w:color w:val="000000" w:themeColor="text1"/>
          <w:sz w:val="16"/>
          <w:szCs w:val="16"/>
        </w:rPr>
        <w:footnoteRef/>
      </w:r>
      <w:r w:rsidRPr="0083043E">
        <w:rPr>
          <w:rFonts w:ascii="Book Antiqua" w:hAnsi="Book Antiqua"/>
          <w:color w:val="000000" w:themeColor="text1"/>
          <w:sz w:val="16"/>
          <w:szCs w:val="16"/>
        </w:rPr>
        <w:t xml:space="preserve"> </w:t>
      </w:r>
      <w:r w:rsidRPr="0083043E">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DOI":"https://doi.org/10.23920/acta.v5i1.712","author":[{"dropping-particle":"","family":"Nurahmasari","given":"Revita","non-dropping-particle":"","parse-names":false,"suffix":""},{"dropping-particle":"","family":"Amirulloh","given":"Muhamad","non-dropping-particle":"","parse-names":false,"suffix":""},{"dropping-particle":"","family":"Afriana","given":"Anita","non-dropping-particle":"","parse-names":false,"suffix":""}],"id":"ITEM-1","issued":{"date-parts":[["2021"]]},"page":"123-138","title":"Mediasi Sebagai Kewajiban Penyelesaian Sengketa Perdata Pelanggaran Paten di Indonesia Demi Kepastian dan Kemanfaatan Hukum","type":"article-journal","volume":"5"},"uris":["http://www.mendeley.com/documents/?uuid=94e79f0d-f58c-4ddc-867f-de9f2f0fc0aa"]}],"mendeley":{"formattedCitation":"Nurahmasari, Amirulloh, and Afriana, “Mediasi Sebagai Kewajiban Penyelesaian Sengketa Perdata Pelanggaran Paten Di Indonesia Demi Kepastian Dan Kemanfaatan Hukum.”","plainTextFormattedCitation":"Nurahmasari, Amirulloh, and Afriana, “Mediasi Sebagai Kewajiban Penyelesaian Sengketa Perdata Pelanggaran Paten Di Indonesia Demi Kepastian Dan Kemanfaatan Hukum.”","previouslyFormattedCitation":"Nurahmasari, Amirulloh, and Afriana, “Mediasi Sebagai Kewajiban Penyelesaian Sengketa Perdata Pelanggaran Paten Di Indonesia Demi Kepastian Dan Kemanfaatan Hukum.”"},"properties":{"noteIndex":66},"schema":"https://github.com/citation-style-language/schema/raw/master/csl-citation.json"}</w:instrText>
      </w:r>
      <w:r w:rsidRPr="0083043E">
        <w:rPr>
          <w:rFonts w:ascii="Book Antiqua" w:hAnsi="Book Antiqua"/>
          <w:color w:val="000000" w:themeColor="text1"/>
          <w:sz w:val="16"/>
          <w:szCs w:val="16"/>
        </w:rPr>
        <w:fldChar w:fldCharType="separate"/>
      </w:r>
      <w:r w:rsidRPr="0083043E">
        <w:rPr>
          <w:rFonts w:ascii="Book Antiqua" w:hAnsi="Book Antiqua"/>
          <w:noProof/>
          <w:color w:val="000000" w:themeColor="text1"/>
          <w:sz w:val="16"/>
          <w:szCs w:val="16"/>
        </w:rPr>
        <w:t>Nurahmasari, Amirulloh, and Afriana, “Mediasi Sebagai Kewajiban Penyelesaian Sengketa Perdata Pelanggaran Paten Di Indonesia Demi Kepastian Dan Kemanfaatan Hukum.”</w:t>
      </w:r>
      <w:r w:rsidRPr="0083043E">
        <w:rPr>
          <w:rFonts w:ascii="Book Antiqua" w:hAnsi="Book Antiqua"/>
          <w:color w:val="000000" w:themeColor="text1"/>
          <w:sz w:val="16"/>
          <w:szCs w:val="16"/>
        </w:rPr>
        <w:fldChar w:fldCharType="end"/>
      </w:r>
    </w:p>
  </w:footnote>
  <w:footnote w:id="67">
    <w:p w14:paraId="5D9FA3D0" w14:textId="6EFC1F69" w:rsidR="00C04C78" w:rsidRDefault="00C04C78" w:rsidP="0083043E">
      <w:pPr>
        <w:pStyle w:val="FootnoteText"/>
        <w:jc w:val="both"/>
      </w:pPr>
      <w:r w:rsidRPr="0083043E">
        <w:rPr>
          <w:rStyle w:val="FootnoteReference"/>
          <w:rFonts w:ascii="Book Antiqua" w:hAnsi="Book Antiqua"/>
          <w:color w:val="000000" w:themeColor="text1"/>
          <w:sz w:val="16"/>
          <w:szCs w:val="16"/>
        </w:rPr>
        <w:footnoteRef/>
      </w:r>
      <w:r w:rsidRPr="0083043E">
        <w:rPr>
          <w:rFonts w:ascii="Book Antiqua" w:hAnsi="Book Antiqua"/>
          <w:color w:val="000000" w:themeColor="text1"/>
          <w:sz w:val="16"/>
          <w:szCs w:val="16"/>
        </w:rPr>
        <w:t xml:space="preserve"> </w:t>
      </w:r>
      <w:r w:rsidRPr="0083043E">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{"citationItems":[{"id":"ITEM-1","itemData":{"DOI":"10.58812/jhhws.v2i12.873","abstract":"Penelitian ini menyelidiki persepsi para pemangku kepentingan mengenai penyelesaian sengketa litigasi paten dan implikasinya terhadap inovasi teknologi di Indonesia. Dengan menggunakan desain penelitian kuantitatif, penelitian ini mengumpulkan data melalui survei daring dari para penemu, profesional hukum, dan eksekutif bisnis di sektor teknologi. Statistik deskriptif, analisis korelasi, dan analisis regresi digunakan untuk mengeksplorasi hubungan antara keadilan, efisiensi, aksesibilitas, kepuasan keseluruhan dengan penyelesaian sengketa, dan tingkat inovasi teknologi. Temuan ini menyoroti peran penting dari keadilan yang dirasakan dalam membentuk keterlibatan pemangku kepentingan dalam kegiatan inovasi. Hasil penelitian ini memberikan wawasan bagi para pembuat kebijakan, praktisi hukum, dan pemimpin industri untuk mendorong lingkungan yang lebih ramah terhadap inovasi di Indonesia.","author":[{"dropping-particle":"","family":"Syamhadi","given":"","non-dropping-particle":"","parse-names":false,"suffix":""},{"dropping-particle":"","family":"Adiman","given":"Muhammad Fauzen","non-dropping-particle":"","parse-names":false,"suffix":""},{"dropping-particle":"","family":"Dewi","given":"Retno Sari","non-dropping-particle":"","parse-names":false,"suffix":""}],"container-title":"Jurnal Hukum dan HAM Wara Sains","id":"ITEM-1","issue":"12","issued":{"date-parts":[["2023"]]},"page":"1191-1200","title":"Analisis Penyelesaian Sengketa Secara Litigasi Paten terhadap Perkembangan Inovasi Teknologi di Indonesia","type":"article-journal","volume":"02"},"uris":["http://www.mendeley.com/documents/?uuid=e0ca01d4-af93-4ffe-8ec3-7430ac11ee33"]}],"mendeley":{"formattedCitation":"Syamhadi, Muhammad Fauzen Adiman, and Retno Sari Dewi, “Analisis Penyelesaian Sengketa Secara Litigasi Paten Terhadap Perkembangan Inovasi Teknologi Di Indonesia,” &lt;i&gt;Jurnal Hukum Dan HAM Wara Sains&lt;/i&gt; 02, no. 12 (2023): 1191–1200, https://doi.org/10.58812/jhhws.v2i12.873.","plainTextFormattedCitation":"Syamhadi, Muhammad Fauzen Adiman, and Retno Sari Dewi, “Analisis Penyelesaian Sengketa Secara Litigasi Paten Terhadap Perkembangan Inovasi Teknologi Di Indonesia,” Jurnal Hukum Dan HAM Wara Sains 02, no. 12 (2023): 1191–1200, https://doi.org/10.58812/jhhws.v2i12.873.","previouslyFormattedCitation":"Syamhadi, Muhammad Fauzen Adiman, and Retno Sari Dewi, “Analisis Penyelesaian Sengketa Secara Litigasi Paten Terhadap Perkembangan Inovasi Teknologi Di Indonesia,” &lt;i&gt;Jurnal Hukum Dan HAM Wara Sains&lt;/i&gt; 02, no. 12 (2023): 1191–1200, https://doi.org/10.58812/jhhws.v2i12.873."},"properties":{"noteIndex":67},"schema":"https://github.com/citation-style-language/schema/raw/master/csl-citation.json"}</w:instrText>
      </w:r>
      <w:r w:rsidRPr="0083043E">
        <w:rPr>
          <w:rFonts w:ascii="Book Antiqua" w:hAnsi="Book Antiqua"/>
          <w:color w:val="000000" w:themeColor="text1"/>
          <w:sz w:val="16"/>
          <w:szCs w:val="16"/>
        </w:rPr>
        <w:fldChar w:fldCharType="separate"/>
      </w:r>
      <w:r w:rsidRPr="0083043E">
        <w:rPr>
          <w:rFonts w:ascii="Book Antiqua" w:hAnsi="Book Antiqua"/>
          <w:noProof/>
          <w:color w:val="000000" w:themeColor="text1"/>
          <w:sz w:val="16"/>
          <w:szCs w:val="16"/>
        </w:rPr>
        <w:t xml:space="preserve">Syamhadi, Muhammad Fauzen Adiman, and Retno Sari Dewi, “Analisis Penyelesaian Sengketa Secara Litigasi Paten Terhadap Perkembangan Inovasi Teknologi Di Indonesia,” </w:t>
      </w:r>
      <w:r w:rsidRPr="0083043E">
        <w:rPr>
          <w:rFonts w:ascii="Book Antiqua" w:hAnsi="Book Antiqua"/>
          <w:i/>
          <w:noProof/>
          <w:color w:val="000000" w:themeColor="text1"/>
          <w:sz w:val="16"/>
          <w:szCs w:val="16"/>
        </w:rPr>
        <w:t>Jurnal Hukum Dan HAM Wara Sains</w:t>
      </w:r>
      <w:r w:rsidRPr="0083043E">
        <w:rPr>
          <w:rFonts w:ascii="Book Antiqua" w:hAnsi="Book Antiqua"/>
          <w:noProof/>
          <w:color w:val="000000" w:themeColor="text1"/>
          <w:sz w:val="16"/>
          <w:szCs w:val="16"/>
        </w:rPr>
        <w:t xml:space="preserve"> 02, no. 12 (2023): 1191–1200, https://doi.org/10.58812/jhhws.v2i12.873.</w:t>
      </w:r>
      <w:r w:rsidRPr="0083043E">
        <w:rPr>
          <w:rFonts w:ascii="Book Antiqua" w:hAnsi="Book Antiqua"/>
          <w:color w:val="000000" w:themeColor="text1"/>
          <w:sz w:val="16"/>
          <w:szCs w:val="16"/>
        </w:rPr>
        <w:fldChar w:fldCharType="end"/>
      </w:r>
    </w:p>
  </w:footnote>
  <w:footnote w:id="68">
    <w:p w14:paraId="48172B00" w14:textId="00EFC582" w:rsidR="00C04C78" w:rsidRPr="001D201E" w:rsidRDefault="00C04C78" w:rsidP="001D201E">
      <w:pPr>
        <w:pStyle w:val="FootnoteText"/>
        <w:jc w:val="both"/>
        <w:rPr>
          <w:rFonts w:ascii="Book Antiqua" w:hAnsi="Book Antiqua"/>
        </w:rPr>
      </w:pPr>
      <w:r w:rsidRPr="001D201E">
        <w:rPr>
          <w:rStyle w:val="FootnoteReference"/>
          <w:rFonts w:ascii="Book Antiqua" w:hAnsi="Book Antiqua"/>
          <w:sz w:val="16"/>
          <w:szCs w:val="16"/>
        </w:rPr>
        <w:footnoteRef/>
      </w:r>
      <w:r w:rsidRPr="001D201E">
        <w:rPr>
          <w:rFonts w:ascii="Book Antiqua" w:hAnsi="Book Antiqua"/>
          <w:sz w:val="16"/>
          <w:szCs w:val="16"/>
        </w:rPr>
        <w:t xml:space="preserve"> </w:t>
      </w:r>
      <w:r w:rsidRPr="001D201E">
        <w:rPr>
          <w:rFonts w:ascii="Book Antiqua" w:hAnsi="Book Antiqua"/>
          <w:sz w:val="16"/>
          <w:szCs w:val="16"/>
        </w:rPr>
        <w:fldChar w:fldCharType="begin" w:fldLock="1"/>
      </w:r>
      <w:r w:rsidR="002C142A">
        <w:rPr>
          <w:rFonts w:ascii="Book Antiqua" w:hAnsi="Book Antiqua"/>
          <w:sz w:val="16"/>
          <w:szCs w:val="16"/>
        </w:rPr>
        <w:instrText>ADDIN CSL_CITATION {"citationItems":[{"id":"ITEM-1","itemData":{"abstract":"Tujuan dilakukannya penelitian ini adalah untuk mengetahui bagaimanakah pengaturan hukum mengenai hak pemegang paten mengajukan gugatan ganti rugi melalui pengadilan niaga dan bagaimanakah upaya hukum kasasi terhadap putusan pengadilan niaga mengenai gugatan ganti rugi. Dengan menggunakan metode penelitian yuridis normatif, disimpulkan: 1. Pengaturan hukum mengenai hak pemegang paten mengajukan gugatan ganti rugi melalui pengadilan niaga menunjukkan pihak yang berhak memperoleh paten dapat mendapatkan perlindungan hukum. Pemegang paten atau penerima lisensi berhak mengajukan gugatan ganti rugi kepada pengadilan niaga terhadap setiap orang yang dengan sengaja dan tanpa hak melakukan perbuatan melanggar hak eksklusif pemegang paten persetujuannya. Gugatan ganti rugi yang diajukan hanya dapat diterima jika produk atau proses itu terbukti dibuat dengan menggunakan invensi yang telah diberi paten. Invensi adalah ide inventor yang dituangkan ke dalam suatu kegiatan pemecahan masalah yang spesifik di bidang teknologi berupa produk atau proses, atau penyempurnaan dan pengembangan produk atau proses. 2. Upaya hukum permohonan kasasi terhadap putusan pengadilan niaga mengenai gugatan ganti rugi didaftarkan kepada pengadilan niaga yang telah memutus gugatan dan panitera mengirimkan berkas perkara kasasi kepada Mahkamah Agung. Upaya hukum dalam mengajukan kasasi terjadi apabila ada pihak yang tidak menerima putusan pengadilan niaga dan karena di pengadilan niaga tidak ada upaya banding, sehingga penyelesaian melalui kasasi lebih cepat, sederhana dan biaya pengurusan perkara lebih murah. 1","author":[{"dropping-particle":"","family":"Rompas","given":"Jeferson David","non-dropping-particle":"","parse-names":false,"suffix":""},{"dropping-particle":"","family":"Mamahit","given":"Godlieb N.","non-dropping-particle":"","parse-names":false,"suffix":""},{"dropping-particle":"","family":"Karisoh","given":"Fernando J. M. M.","non-dropping-particle":"","parse-names":false,"suffix":""}],"container-title":"Lex Privatum","id":"ITEM-1","issue":"3","issued":{"date-parts":[["2018"]]},"page":"1-26","title":"Hak Pemegang Paten Dalam Gugatan Ganti Rugi Melalui Pengadilan Niaga Menurut Undang-Undang Nomor 13 Tahun 2016 Tentang Paten","type":"article-journal","volume":"VI"},"uris":["http://www.mendeley.com/documents/?uuid=12c7b01c-38a6-4692-80e7-8d8ecc246609"]}],"mendeley":{"formattedCitation":"Jeferson David Rompas, Godlieb N. Mamahit, and Fernando J. M. M. Karisoh, “Hak Pemegang Paten Dalam Gugatan Ganti Rugi Melalui Pengadilan Niaga Menurut Undang-Undang Nomor 13 Tahun 2016 Tentang Paten,” &lt;i&gt;Lex Privatum&lt;/i&gt; VI, no. 3 (2018): 1–26, https://ejournal.unsrat.ac.id/v2/index.php/lexprivatum/article/view/20417.","plainTextFormattedCitation":"Jeferson David Rompas, Godlieb N. Mamahit, and Fernando J. M. M. Karisoh, “Hak Pemegang Paten Dalam Gugatan Ganti Rugi Melalui Pengadilan Niaga Menurut Undang-Undang Nomor 13 Tahun 2016 Tentang Paten,” Lex Privatum VI, no. 3 (2018): 1–26, https://ejournal.unsrat.ac.id/v2/index.php/lexprivatum/article/view/20417.","previouslyFormattedCitation":"Jeferson David Rompas, Godlieb N. Mamahit, and Fernando J. M. M. Karisoh, “Hak Pemegang Paten Dalam Gugatan Ganti Rugi Melalui Pengadilan Niaga Menurut Undang-Undang Nomor 13 Tahun 2016 Tentang Paten,” &lt;i&gt;Lex Privatum&lt;/i&gt; VI, no. 3 (2018): 1–26, https://ejournal.unsrat.ac.id/v2/index.php/lexprivatum/article/view/20417."},"properties":{"noteIndex":68},"schema":"https://github.com/citation-style-language/schema/raw/master/csl-citation.json"}</w:instrText>
      </w:r>
      <w:r w:rsidRPr="001D201E">
        <w:rPr>
          <w:rFonts w:ascii="Book Antiqua" w:hAnsi="Book Antiqua"/>
          <w:sz w:val="16"/>
          <w:szCs w:val="16"/>
        </w:rPr>
        <w:fldChar w:fldCharType="separate"/>
      </w:r>
      <w:r w:rsidRPr="001D201E">
        <w:rPr>
          <w:rFonts w:ascii="Book Antiqua" w:hAnsi="Book Antiqua"/>
          <w:noProof/>
          <w:sz w:val="16"/>
          <w:szCs w:val="16"/>
        </w:rPr>
        <w:t xml:space="preserve">Jeferson David Rompas, Godlieb N. Mamahit, and Fernando J. M. M. Karisoh, “Hak Pemegang Paten Dalam Gugatan Ganti Rugi Melalui Pengadilan Niaga Menurut Undang-Undang Nomor 13 Tahun 2016 Tentang Paten,” </w:t>
      </w:r>
      <w:r w:rsidRPr="001D201E">
        <w:rPr>
          <w:rFonts w:ascii="Book Antiqua" w:hAnsi="Book Antiqua"/>
          <w:i/>
          <w:noProof/>
          <w:sz w:val="16"/>
          <w:szCs w:val="16"/>
        </w:rPr>
        <w:t>Lex Privatum</w:t>
      </w:r>
      <w:r w:rsidRPr="001D201E">
        <w:rPr>
          <w:rFonts w:ascii="Book Antiqua" w:hAnsi="Book Antiqua"/>
          <w:noProof/>
          <w:sz w:val="16"/>
          <w:szCs w:val="16"/>
        </w:rPr>
        <w:t xml:space="preserve"> VI, no. 3 (2018): 1–26, https://ejournal.unsrat.ac.id/v2/index.php/lexprivatum/article/view/20417.</w:t>
      </w:r>
      <w:r w:rsidRPr="001D201E">
        <w:rPr>
          <w:rFonts w:ascii="Book Antiqua" w:hAnsi="Book Antiqua"/>
          <w:sz w:val="16"/>
          <w:szCs w:val="16"/>
        </w:rPr>
        <w:fldChar w:fldCharType="end"/>
      </w:r>
    </w:p>
  </w:footnote>
  <w:footnote w:id="69">
    <w:p w14:paraId="558FE292" w14:textId="6A940A47" w:rsidR="00C04C78" w:rsidRPr="007757D4" w:rsidRDefault="00C04C78" w:rsidP="007757D4">
      <w:pPr>
        <w:pStyle w:val="FootnoteText"/>
        <w:jc w:val="both"/>
        <w:rPr>
          <w:rFonts w:ascii="Book Antiqua" w:hAnsi="Book Antiqua"/>
          <w:sz w:val="16"/>
          <w:szCs w:val="16"/>
        </w:rPr>
      </w:pPr>
      <w:r w:rsidRPr="007757D4">
        <w:rPr>
          <w:rStyle w:val="FootnoteReference"/>
          <w:rFonts w:ascii="Book Antiqua" w:hAnsi="Book Antiqua"/>
          <w:sz w:val="16"/>
          <w:szCs w:val="16"/>
        </w:rPr>
        <w:footnoteRef/>
      </w:r>
      <w:r w:rsidRPr="007757D4">
        <w:rPr>
          <w:rFonts w:ascii="Book Antiqua" w:hAnsi="Book Antiqua"/>
          <w:sz w:val="16"/>
          <w:szCs w:val="16"/>
        </w:rPr>
        <w:t xml:space="preserve"> </w:t>
      </w:r>
      <w:r w:rsidRPr="007757D4">
        <w:rPr>
          <w:rFonts w:ascii="Book Antiqua" w:hAnsi="Book Antiqua"/>
          <w:sz w:val="16"/>
          <w:szCs w:val="16"/>
        </w:rPr>
        <w:fldChar w:fldCharType="begin" w:fldLock="1"/>
      </w:r>
      <w:r w:rsidR="002C142A">
        <w:rPr>
          <w:rFonts w:ascii="Book Antiqua" w:hAnsi="Book Antiqua"/>
          <w:sz w:val="16"/>
          <w:szCs w:val="16"/>
        </w:rPr>
        <w:instrText>ADDIN CSL_CITATION {"citationItems":[{"id":"ITEM-1","itemData":{"author":[{"dropping-particle":"","family":"Savala","given":"Maulana Saputra","non-dropping-particle":"","parse-names":false,"suffix":""}],"id":"ITEM-1","issued":{"date-parts":[["2019"]]},"title":"Pembaharuan Hukum Penggunaan Hak Paten Sebagai Objek Jaminan Fidusia Dalam Perspektif Hukum Jaminan di Indonesia Berbasis Nilai Keadilan Bermartabat","type":"article-journal"},"uris":["http://www.mendeley.com/documents/?uuid=61cb3b2e-6b22-46f7-a2a3-c0fd544a0aa3"]}],"mendeley":{"formattedCitation":"Savala, “Pembaharuan Hukum Penggunaan Hak Paten Sebagai Objek Jaminan Fidusia Dalam Perspektif Hukum Jaminan Di Indonesia Berbasis Nilai Keadilan Bermartabat.”","plainTextFormattedCitation":"Savala, “Pembaharuan Hukum Penggunaan Hak Paten Sebagai Objek Jaminan Fidusia Dalam Perspektif Hukum Jaminan Di Indonesia Berbasis Nilai Keadilan Bermartabat.”","previouslyFormattedCitation":"Savala, “Pembaharuan Hukum Penggunaan Hak Paten Sebagai Objek Jaminan Fidusia Dalam Perspektif Hukum Jaminan Di Indonesia Berbasis Nilai Keadilan Bermartabat.”"},"properties":{"noteIndex":69},"schema":"https://github.com/citation-style-language/schema/raw/master/csl-citation.json"}</w:instrText>
      </w:r>
      <w:r w:rsidRPr="007757D4">
        <w:rPr>
          <w:rFonts w:ascii="Book Antiqua" w:hAnsi="Book Antiqua"/>
          <w:sz w:val="16"/>
          <w:szCs w:val="16"/>
        </w:rPr>
        <w:fldChar w:fldCharType="separate"/>
      </w:r>
      <w:r w:rsidRPr="007757D4">
        <w:rPr>
          <w:rFonts w:ascii="Book Antiqua" w:hAnsi="Book Antiqua"/>
          <w:noProof/>
          <w:sz w:val="16"/>
          <w:szCs w:val="16"/>
        </w:rPr>
        <w:t>Savala, “Pembaharuan Hukum Penggunaan Hak Paten Sebagai Objek Jaminan Fidusia Dalam Perspektif Hukum Jaminan Di Indonesia Berbasis Nilai Keadilan Bermartabat.”</w:t>
      </w:r>
      <w:r w:rsidRPr="007757D4">
        <w:rPr>
          <w:rFonts w:ascii="Book Antiqua" w:hAnsi="Book Antiqua"/>
          <w:sz w:val="16"/>
          <w:szCs w:val="16"/>
        </w:rPr>
        <w:fldChar w:fldCharType="end"/>
      </w:r>
    </w:p>
  </w:footnote>
  <w:footnote w:id="70">
    <w:p w14:paraId="590F776A" w14:textId="2155C61C" w:rsidR="00C04C78" w:rsidRPr="007757D4" w:rsidRDefault="00C04C78" w:rsidP="007757D4">
      <w:pPr>
        <w:pStyle w:val="FootnoteText"/>
        <w:jc w:val="both"/>
        <w:rPr>
          <w:rFonts w:ascii="Book Antiqua" w:hAnsi="Book Antiqua"/>
          <w:sz w:val="16"/>
          <w:szCs w:val="16"/>
        </w:rPr>
      </w:pPr>
      <w:r w:rsidRPr="007757D4">
        <w:rPr>
          <w:rStyle w:val="FootnoteReference"/>
          <w:rFonts w:ascii="Book Antiqua" w:hAnsi="Book Antiqua"/>
          <w:sz w:val="16"/>
          <w:szCs w:val="16"/>
        </w:rPr>
        <w:footnoteRef/>
      </w:r>
      <w:r w:rsidRPr="007757D4">
        <w:rPr>
          <w:rFonts w:ascii="Book Antiqua" w:hAnsi="Book Antiqua"/>
          <w:sz w:val="16"/>
          <w:szCs w:val="16"/>
        </w:rPr>
        <w:t xml:space="preserve"> </w:t>
      </w:r>
      <w:r w:rsidRPr="007757D4">
        <w:rPr>
          <w:rFonts w:ascii="Book Antiqua" w:hAnsi="Book Antiqua"/>
          <w:sz w:val="16"/>
          <w:szCs w:val="16"/>
        </w:rPr>
        <w:fldChar w:fldCharType="begin" w:fldLock="1"/>
      </w:r>
      <w:r w:rsidR="002C142A">
        <w:rPr>
          <w:rFonts w:ascii="Book Antiqua" w:hAnsi="Book Antiqua"/>
          <w:sz w:val="16"/>
          <w:szCs w:val="16"/>
        </w:rPr>
        <w:instrText>ADDIN CSL_CITATION {"citationItems":[{"id":"ITEM-1","itemData":{"ISBN":"2013206534","author":[{"dropping-particle":"","family":"Tumbel","given":"Cindy Valencya","non-dropping-particle":"","parse-names":false,"suffix":""}],"id":"ITEM-1","issue":"July","issued":{"date-parts":[["2022"]]},"page":"1-23","title":"Perlindungan Hukum Terhadap Pemegang Paten dalam Pembekuan Sementara Paten","type":"article-journal"},"uris":["http://www.mendeley.com/documents/?uuid=19b095f6-cd04-428c-b2fd-f9c0420f4241"]}],"mendeley":{"formattedCitation":"Tumbel, “Perlindungan Hukum Terhadap Pemegang Paten Dalam Pembekuan Sementara Paten.”","plainTextFormattedCitation":"Tumbel, “Perlindungan Hukum Terhadap Pemegang Paten Dalam Pembekuan Sementara Paten.”","previouslyFormattedCitation":"Tumbel, “Perlindungan Hukum Terhadap Pemegang Paten Dalam Pembekuan Sementara Paten.”"},"properties":{"noteIndex":70},"schema":"https://github.com/citation-style-language/schema/raw/master/csl-citation.json"}</w:instrText>
      </w:r>
      <w:r w:rsidRPr="007757D4">
        <w:rPr>
          <w:rFonts w:ascii="Book Antiqua" w:hAnsi="Book Antiqua"/>
          <w:sz w:val="16"/>
          <w:szCs w:val="16"/>
        </w:rPr>
        <w:fldChar w:fldCharType="separate"/>
      </w:r>
      <w:r w:rsidRPr="007757D4">
        <w:rPr>
          <w:rFonts w:ascii="Book Antiqua" w:hAnsi="Book Antiqua"/>
          <w:noProof/>
          <w:sz w:val="16"/>
          <w:szCs w:val="16"/>
        </w:rPr>
        <w:t>Tumbel, “Perlindungan Hukum Terhadap Pemegang Paten Dalam Pembekuan Sementara Paten.”</w:t>
      </w:r>
      <w:r w:rsidRPr="007757D4">
        <w:rPr>
          <w:rFonts w:ascii="Book Antiqua" w:hAnsi="Book Antiqua"/>
          <w:sz w:val="16"/>
          <w:szCs w:val="16"/>
        </w:rPr>
        <w:fldChar w:fldCharType="end"/>
      </w:r>
    </w:p>
  </w:footnote>
  <w:footnote w:id="71">
    <w:p w14:paraId="42FBDBD2" w14:textId="5C1281D7" w:rsidR="00C04C78" w:rsidRDefault="00C04C78" w:rsidP="007757D4">
      <w:pPr>
        <w:pStyle w:val="FootnoteText"/>
        <w:jc w:val="both"/>
      </w:pPr>
      <w:r w:rsidRPr="007757D4">
        <w:rPr>
          <w:rStyle w:val="FootnoteReference"/>
          <w:rFonts w:ascii="Book Antiqua" w:hAnsi="Book Antiqua"/>
          <w:sz w:val="16"/>
          <w:szCs w:val="16"/>
        </w:rPr>
        <w:footnoteRef/>
      </w:r>
      <w:r w:rsidRPr="007757D4">
        <w:rPr>
          <w:rFonts w:ascii="Book Antiqua" w:hAnsi="Book Antiqua"/>
          <w:sz w:val="16"/>
          <w:szCs w:val="16"/>
        </w:rPr>
        <w:t xml:space="preserve"> </w:t>
      </w:r>
      <w:r w:rsidRPr="007757D4">
        <w:rPr>
          <w:rFonts w:ascii="Book Antiqua" w:hAnsi="Book Antiqua"/>
          <w:sz w:val="16"/>
          <w:szCs w:val="16"/>
        </w:rPr>
        <w:fldChar w:fldCharType="begin" w:fldLock="1"/>
      </w:r>
      <w:r w:rsidR="002C142A">
        <w:rPr>
          <w:rFonts w:ascii="Book Antiqua" w:hAnsi="Book Antiqua"/>
          <w:sz w:val="16"/>
          <w:szCs w:val="16"/>
        </w:rPr>
        <w:instrText>ADDIN CSL_CITATION {"citationItems":[{"id":"ITEM-1","itemData":{"author":[{"dropping-particle":"","family":"Nov","given":"Maulana Rizki","non-dropping-particle":"","parse-names":false,"suffix":""},{"dropping-particle":"","family":"Bustani","given":"Simona","non-dropping-particle":"","parse-names":false,"suffix":""}],"id":"ITEM-1","issue":"3","issued":{"date-parts":[["2023"]]},"page":"571-580","title":"Perlindungan Hukum Hak Paten Alat Sterilisasi Untuk Pengolahan Tandan-Tandan Kelapa Sawit","type":"article-journal","volume":"5"},"uris":["http://www.mendeley.com/documents/?uuid=34e1ef84-28a9-4298-9bd3-b05fad2b1822"]}],"mendeley":{"formattedCitation":"Nov and Bustani, “Perlindungan Hukum Hak Paten Alat Sterilisasi Untuk Pengolahan Tandan-Tandan Kelapa Sawit.”","plainTextFormattedCitation":"Nov and Bustani, “Perlindungan Hukum Hak Paten Alat Sterilisasi Untuk Pengolahan Tandan-Tandan Kelapa Sawit.”","previouslyFormattedCitation":"Nov and Bustani, “Perlindungan Hukum Hak Paten Alat Sterilisasi Untuk Pengolahan Tandan-Tandan Kelapa Sawit.”"},"properties":{"noteIndex":71},"schema":"https://github.com/citation-style-language/schema/raw/master/csl-citation.json"}</w:instrText>
      </w:r>
      <w:r w:rsidRPr="007757D4">
        <w:rPr>
          <w:rFonts w:ascii="Book Antiqua" w:hAnsi="Book Antiqua"/>
          <w:sz w:val="16"/>
          <w:szCs w:val="16"/>
        </w:rPr>
        <w:fldChar w:fldCharType="separate"/>
      </w:r>
      <w:r w:rsidRPr="003F1A9E">
        <w:rPr>
          <w:rFonts w:ascii="Book Antiqua" w:hAnsi="Book Antiqua"/>
          <w:noProof/>
          <w:sz w:val="16"/>
          <w:szCs w:val="16"/>
        </w:rPr>
        <w:t>Nov and Bustani, “Perlindungan Hukum Hak Paten Alat Sterilisasi Untuk Pengolahan Tandan-Tandan Kelapa Sawit.”</w:t>
      </w:r>
      <w:r w:rsidRPr="007757D4">
        <w:rPr>
          <w:rFonts w:ascii="Book Antiqua" w:hAnsi="Book Antiqua"/>
          <w:sz w:val="16"/>
          <w:szCs w:val="16"/>
        </w:rPr>
        <w:fldChar w:fldCharType="end"/>
      </w:r>
    </w:p>
  </w:footnote>
  <w:footnote w:id="72">
    <w:p w14:paraId="5624C0C3" w14:textId="6A38E4BB" w:rsidR="00C04C78" w:rsidRPr="00531CD1" w:rsidRDefault="00C04C78" w:rsidP="00842A42">
      <w:pPr>
        <w:pStyle w:val="FootnoteText"/>
        <w:jc w:val="both"/>
        <w:rPr>
          <w:rFonts w:ascii="Book Antiqua" w:hAnsi="Book Antiqua"/>
          <w:color w:val="000000" w:themeColor="text1"/>
          <w:sz w:val="16"/>
          <w:szCs w:val="16"/>
        </w:rPr>
      </w:pPr>
      <w:r w:rsidRPr="00531CD1">
        <w:rPr>
          <w:rStyle w:val="FootnoteReference"/>
          <w:rFonts w:ascii="Book Antiqua" w:hAnsi="Book Antiqua"/>
          <w:color w:val="000000" w:themeColor="text1"/>
          <w:sz w:val="16"/>
          <w:szCs w:val="16"/>
        </w:rPr>
        <w:footnoteRef/>
      </w:r>
      <w:r w:rsidRPr="00531CD1">
        <w:rPr>
          <w:rFonts w:ascii="Book Antiqua" w:hAnsi="Book Antiqua"/>
          <w:color w:val="000000" w:themeColor="text1"/>
          <w:sz w:val="16"/>
          <w:szCs w:val="16"/>
        </w:rPr>
        <w:t xml:space="preserve"> </w:t>
      </w:r>
      <w:r w:rsidRPr="00531CD1">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{"citationItems":[{"id":"ITEM-1","itemData":{"DOI":"10.23887/jpss.v2i1.452","ISSN":"2723-7435","abstract":"In Indonesia, there are two forms of dispute resolution over Intellectual Property Rights. The first is through the litigation channel and the second is through the Non-Litigation route. Regarding trade disputes over trademark rights, the resolution is also through these two channels. This research specifically examines the settlement of trademark disputes between Geprek Bensu and I Am Geprek Bensu based on Law Number 20 of 2016 concerning Trademarks and Geographical Indications. This research uses research methods of normative law which is carried out through the collection of primary data and secondary data as well as by the literature approach. Data analysis in this study used qualitative data analysis methods.","author":[{"dropping-particle":"","family":"Pinem","given":"Lompoh Egia Nuansa","non-dropping-particle":"","parse-names":false,"suffix":""},{"dropping-particle":"","family":"Gunadi","given":"Ni Luh Dwik Suryacahyani","non-dropping-particle":"","parse-names":false,"suffix":""}],"container-title":"Jurnal Pacta Sunt Servanda","id":"ITEM-1","issue":"1","issued":{"date-parts":[["2021"]]},"page":"24-35","title":"Analisis Penyelesaian Sengketa Terhadap Hak Merek Atas Putusan Geprek Bensu Melawan I Am Geprek Bensu","type":"article-journal","volume":"2"},"uris":["http://www.mendeley.com/documents/?uuid=ef9822a3-5ae0-40a8-9716-5fa1e455f708"]}],"mendeley":{"formattedCitation":"Lompoh Egia Nuansa Pinem and Ni Luh Dwik Suryacahyani Gunadi, “Analisis Penyelesaian Sengketa Terhadap Hak Merek Atas Putusan Geprek Bensu Melawan I Am Geprek Bensu,” &lt;i&gt;Jurnal Pacta Sunt Servanda&lt;/i&gt; 2, no. 1 (2021): 24–35, https://doi.org/10.23887/jpss.v2i1.452.","plainTextFormattedCitation":"Lompoh Egia Nuansa Pinem and Ni Luh Dwik Suryacahyani Gunadi, “Analisis Penyelesaian Sengketa Terhadap Hak Merek Atas Putusan Geprek Bensu Melawan I Am Geprek Bensu,” Jurnal Pacta Sunt Servanda 2, no. 1 (2021): 24–35, https://doi.org/10.23887/jpss.v2i1.452.","previouslyFormattedCitation":"Lompoh Egia Nuansa Pinem and Ni Luh Dwik Suryacahyani Gunadi, “Analisis Penyelesaian Sengketa Terhadap Hak Merek Atas Putusan Geprek Bensu Melawan I Am Geprek Bensu,” &lt;i&gt;Jurnal Pacta Sunt Servanda&lt;/i&gt; 2, no. 1 (2021): 24–35, https://doi.org/10.23887/jpss.v2i1.452."},"properties":{"noteIndex":72},"schema":"https://github.com/citation-style-language/schema/raw/master/csl-citation.json"}</w:instrText>
      </w:r>
      <w:r w:rsidRPr="00531CD1">
        <w:rPr>
          <w:rFonts w:ascii="Book Antiqua" w:hAnsi="Book Antiqua"/>
          <w:color w:val="000000" w:themeColor="text1"/>
          <w:sz w:val="16"/>
          <w:szCs w:val="16"/>
        </w:rPr>
        <w:fldChar w:fldCharType="separate"/>
      </w:r>
      <w:r w:rsidRPr="00E21F2F">
        <w:rPr>
          <w:rFonts w:ascii="Book Antiqua" w:hAnsi="Book Antiqua"/>
          <w:noProof/>
          <w:color w:val="000000" w:themeColor="text1"/>
          <w:sz w:val="16"/>
          <w:szCs w:val="16"/>
        </w:rPr>
        <w:t xml:space="preserve">Lompoh Egia Nuansa Pinem and Ni Luh Dwik Suryacahyani Gunadi, “Analisis Penyelesaian Sengketa Terhadap Hak Merek Atas Putusan Geprek Bensu Melawan I Am Geprek Bensu,” </w:t>
      </w:r>
      <w:r w:rsidRPr="00E21F2F">
        <w:rPr>
          <w:rFonts w:ascii="Book Antiqua" w:hAnsi="Book Antiqua"/>
          <w:i/>
          <w:noProof/>
          <w:color w:val="000000" w:themeColor="text1"/>
          <w:sz w:val="16"/>
          <w:szCs w:val="16"/>
        </w:rPr>
        <w:t>Jurnal Pacta Sunt Servanda</w:t>
      </w:r>
      <w:r w:rsidRPr="00E21F2F">
        <w:rPr>
          <w:rFonts w:ascii="Book Antiqua" w:hAnsi="Book Antiqua"/>
          <w:noProof/>
          <w:color w:val="000000" w:themeColor="text1"/>
          <w:sz w:val="16"/>
          <w:szCs w:val="16"/>
        </w:rPr>
        <w:t xml:space="preserve"> 2, no. 1 (2021): 24–35, https://doi.org/10.23887/jpss.v2i1.452.</w:t>
      </w:r>
      <w:r w:rsidRPr="00531CD1">
        <w:rPr>
          <w:rFonts w:ascii="Book Antiqua" w:hAnsi="Book Antiqua"/>
          <w:color w:val="000000" w:themeColor="text1"/>
          <w:sz w:val="16"/>
          <w:szCs w:val="16"/>
        </w:rPr>
        <w:fldChar w:fldCharType="end"/>
      </w:r>
    </w:p>
  </w:footnote>
  <w:footnote w:id="73">
    <w:p w14:paraId="5B03DEE4" w14:textId="1A2A2FD3" w:rsidR="00C04C78" w:rsidRDefault="00C04C78" w:rsidP="00842A42">
      <w:pPr>
        <w:pStyle w:val="FootnoteText"/>
        <w:jc w:val="both"/>
      </w:pPr>
      <w:r w:rsidRPr="00531CD1">
        <w:rPr>
          <w:rStyle w:val="FootnoteReference"/>
          <w:rFonts w:ascii="Book Antiqua" w:hAnsi="Book Antiqua"/>
          <w:color w:val="000000" w:themeColor="text1"/>
          <w:sz w:val="16"/>
          <w:szCs w:val="16"/>
        </w:rPr>
        <w:footnoteRef/>
      </w:r>
      <w:r w:rsidRPr="00531CD1">
        <w:rPr>
          <w:rFonts w:ascii="Book Antiqua" w:hAnsi="Book Antiqua"/>
          <w:color w:val="000000" w:themeColor="text1"/>
          <w:sz w:val="16"/>
          <w:szCs w:val="16"/>
        </w:rPr>
        <w:t xml:space="preserve"> </w:t>
      </w:r>
      <w:r w:rsidRPr="00531CD1">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{"citationItems":[{"id":"ITEM-1","itemData":{"author":[{"dropping-particle":"","family":"Pratama","given":"Radhyca Nanda","non-dropping-particle":"","parse-names":false,"suffix":""},{"dropping-particle":"","family":"Astanti","given":"Dilla Nurfiana","non-dropping-particle":"","parse-names":false,"suffix":""},{"dropping-particle":"","family":"Masnun","given":"Muh. Ali","non-dropping-particle":"","parse-names":false,"suffix":""}],"id":"ITEM-1","issue":"2","issued":{"date-parts":[["2019"]]},"page":"158-173","title":"Implikasi Kewajiban Pelaksanaan Paten Terhadap Penyelenggaraan Alih Teknologi","type":"article-journal","volume":"17"},"uris":["http://www.mendeley.com/documents/?uuid=a2080542-78d2-4c82-b62b-108b17d5114a"]}],"mendeley":{"formattedCitation":"Radhyca Nanda Pratama, Dilla Nurfiana Astanti, and Muh. Ali Masnun, “Implikasi Kewajiban Pelaksanaan Paten Terhadap Penyelenggaraan Alih Teknologi” 17, no. 2 (2019): 158–73.","plainTextFormattedCitation":"Radhyca Nanda Pratama, Dilla Nurfiana Astanti, and Muh. Ali Masnun, “Implikasi Kewajiban Pelaksanaan Paten Terhadap Penyelenggaraan Alih Teknologi” 17, no. 2 (2019): 158–73.","previouslyFormattedCitation":"Radhyca Nanda Pratama, Dilla Nurfiana Astanti, and Muh. Ali Masnun, “Implikasi Kewajiban Pelaksanaan Paten Terhadap Penyelenggaraan Alih Teknologi” 17, no. 2 (2019): 158–73."},"properties":{"noteIndex":73},"schema":"https://github.com/citation-style-language/schema/raw/master/csl-citation.json"}</w:instrText>
      </w:r>
      <w:r w:rsidRPr="00531CD1">
        <w:rPr>
          <w:rFonts w:ascii="Book Antiqua" w:hAnsi="Book Antiqua"/>
          <w:color w:val="000000" w:themeColor="text1"/>
          <w:sz w:val="16"/>
          <w:szCs w:val="16"/>
        </w:rPr>
        <w:fldChar w:fldCharType="separate"/>
      </w:r>
      <w:r w:rsidRPr="00E21F2F">
        <w:rPr>
          <w:rFonts w:ascii="Book Antiqua" w:hAnsi="Book Antiqua"/>
          <w:noProof/>
          <w:color w:val="000000" w:themeColor="text1"/>
          <w:sz w:val="16"/>
          <w:szCs w:val="16"/>
        </w:rPr>
        <w:t>Radhyca Nanda Pratama, Dilla Nurfiana Astanti, and Muh. Ali Masnun, “Implikasi Kewajiban Pelaksanaan Paten Terhadap Penyelenggaraan Alih Teknologi” 17, no. 2 (2019): 158–73.</w:t>
      </w:r>
      <w:r w:rsidRPr="00531CD1">
        <w:rPr>
          <w:rFonts w:ascii="Book Antiqua" w:hAnsi="Book Antiqua"/>
          <w:color w:val="000000" w:themeColor="text1"/>
          <w:sz w:val="16"/>
          <w:szCs w:val="16"/>
        </w:rPr>
        <w:fldChar w:fldCharType="end"/>
      </w:r>
    </w:p>
  </w:footnote>
  <w:footnote w:id="74">
    <w:p w14:paraId="7C904EA5" w14:textId="333642A9" w:rsidR="00C04C78" w:rsidRPr="00E21F2F" w:rsidRDefault="00C04C78" w:rsidP="00E21F2F">
      <w:pPr>
        <w:pStyle w:val="FootnoteText"/>
        <w:jc w:val="both"/>
        <w:rPr>
          <w:rFonts w:ascii="Book Antiqua" w:hAnsi="Book Antiqua"/>
          <w:sz w:val="16"/>
          <w:szCs w:val="16"/>
        </w:rPr>
      </w:pPr>
      <w:r w:rsidRPr="00E21F2F">
        <w:rPr>
          <w:rStyle w:val="FootnoteReference"/>
          <w:rFonts w:ascii="Book Antiqua" w:hAnsi="Book Antiqua"/>
          <w:sz w:val="16"/>
          <w:szCs w:val="16"/>
        </w:rPr>
        <w:footnoteRef/>
      </w:r>
      <w:r w:rsidRPr="00E21F2F">
        <w:rPr>
          <w:rFonts w:ascii="Book Antiqua" w:hAnsi="Book Antiqua"/>
          <w:sz w:val="16"/>
          <w:szCs w:val="16"/>
        </w:rPr>
        <w:t xml:space="preserve"> </w:t>
      </w:r>
      <w:r w:rsidRPr="00E21F2F">
        <w:rPr>
          <w:rFonts w:ascii="Book Antiqua" w:hAnsi="Book Antiqua"/>
          <w:sz w:val="16"/>
          <w:szCs w:val="16"/>
        </w:rPr>
        <w:fldChar w:fldCharType="begin" w:fldLock="1"/>
      </w:r>
      <w:r w:rsidR="002C142A">
        <w:rPr>
          <w:rFonts w:ascii="Book Antiqua" w:hAnsi="Book Antiqua"/>
          <w:sz w:val="16"/>
          <w:szCs w:val="16"/>
        </w:rPr>
        <w:instrText>ADDIN CSL_CITATION {"citationItems":[{"id":"ITEM-1","itemData":{"author":[{"dropping-particle":"","family":"Saputra","given":"Andi","non-dropping-particle":"","parse-names":false,"suffix":""}],"container-title":"Detik news","id":"ITEM-1","issued":{"date-parts":[["2022"]]},"title":"Sengketa Paten, Gugatan Rp 2,3 Triliun Nokia Vs Oppo Kandas","type":"article-newspaper"},"uris":["http://www.mendeley.com/documents/?uuid=f7f51b87-bd23-4e7f-bd9a-2d2df52580bb"]}],"mendeley":{"formattedCitation":"Andi Saputra, “Sengketa Paten, Gugatan Rp 2,3 Triliun Nokia Vs Oppo Kandas,” &lt;i&gt;Detik News&lt;/i&gt;, 2022, https://news.detik.com/berita/d-6353023/sengketa-paten-gugatan-rp-2-3-triliun-nokia-vs-oppo-kandas?single=1.","plainTextFormattedCitation":"Andi Saputra, “Sengketa Paten, Gugatan Rp 2,3 Triliun Nokia Vs Oppo Kandas,” Detik News, 2022, https://news.detik.com/berita/d-6353023/sengketa-paten-gugatan-rp-2-3-triliun-nokia-vs-oppo-kandas?single=1.","previouslyFormattedCitation":"Andi Saputra, “Sengketa Paten, Gugatan Rp 2,3 Triliun Nokia Vs Oppo Kandas,” &lt;i&gt;Detik News&lt;/i&gt;, 2022, https://news.detik.com/berita/d-6353023/sengketa-paten-gugatan-rp-2-3-triliun-nokia-vs-oppo-kandas?single=1."},"properties":{"noteIndex":74},"schema":"https://github.com/citation-style-language/schema/raw/master/csl-citation.json"}</w:instrText>
      </w:r>
      <w:r w:rsidRPr="00E21F2F">
        <w:rPr>
          <w:rFonts w:ascii="Book Antiqua" w:hAnsi="Book Antiqua"/>
          <w:sz w:val="16"/>
          <w:szCs w:val="16"/>
        </w:rPr>
        <w:fldChar w:fldCharType="separate"/>
      </w:r>
      <w:r w:rsidRPr="00E21F2F">
        <w:rPr>
          <w:rFonts w:ascii="Book Antiqua" w:hAnsi="Book Antiqua"/>
          <w:noProof/>
          <w:sz w:val="16"/>
          <w:szCs w:val="16"/>
        </w:rPr>
        <w:t xml:space="preserve">Andi Saputra, “Sengketa Paten, Gugatan Rp 2,3 Triliun Nokia Vs Oppo Kandas,” </w:t>
      </w:r>
      <w:r w:rsidRPr="00E21F2F">
        <w:rPr>
          <w:rFonts w:ascii="Book Antiqua" w:hAnsi="Book Antiqua"/>
          <w:i/>
          <w:noProof/>
          <w:sz w:val="16"/>
          <w:szCs w:val="16"/>
        </w:rPr>
        <w:t>Detik News</w:t>
      </w:r>
      <w:r w:rsidRPr="00E21F2F">
        <w:rPr>
          <w:rFonts w:ascii="Book Antiqua" w:hAnsi="Book Antiqua"/>
          <w:noProof/>
          <w:sz w:val="16"/>
          <w:szCs w:val="16"/>
        </w:rPr>
        <w:t>, 2022, https://news.detik.com/berita/d-6353023/sengketa-paten-gugatan-rp-2-3-triliun-nokia-vs-oppo-kandas?single=1.</w:t>
      </w:r>
      <w:r w:rsidRPr="00E21F2F">
        <w:rPr>
          <w:rFonts w:ascii="Book Antiqua" w:hAnsi="Book Antiqua"/>
          <w:sz w:val="16"/>
          <w:szCs w:val="16"/>
        </w:rPr>
        <w:fldChar w:fldCharType="end"/>
      </w:r>
    </w:p>
  </w:footnote>
  <w:footnote w:id="75">
    <w:p w14:paraId="6604CEB5" w14:textId="5D7346BA" w:rsidR="00C04C78" w:rsidRPr="00FF28AC" w:rsidRDefault="00C04C78" w:rsidP="0093276E">
      <w:pPr>
        <w:pStyle w:val="FootnoteText"/>
        <w:jc w:val="both"/>
        <w:rPr>
          <w:rFonts w:ascii="Book Antiqua" w:hAnsi="Book Antiqua"/>
          <w:sz w:val="16"/>
          <w:szCs w:val="16"/>
        </w:rPr>
      </w:pPr>
      <w:r w:rsidRPr="00FF28AC">
        <w:rPr>
          <w:rStyle w:val="FootnoteReference"/>
          <w:rFonts w:ascii="Book Antiqua" w:hAnsi="Book Antiqua"/>
          <w:sz w:val="16"/>
          <w:szCs w:val="16"/>
        </w:rPr>
        <w:footnoteRef/>
      </w:r>
      <w:r w:rsidRPr="00FF28AC">
        <w:rPr>
          <w:rFonts w:ascii="Book Antiqua" w:hAnsi="Book Antiqua"/>
          <w:sz w:val="16"/>
          <w:szCs w:val="16"/>
        </w:rPr>
        <w:t xml:space="preserve"> </w:t>
      </w:r>
      <w:r w:rsidRPr="00FF28AC">
        <w:rPr>
          <w:rFonts w:ascii="Book Antiqua" w:hAnsi="Book Antiqua"/>
          <w:sz w:val="16"/>
          <w:szCs w:val="16"/>
        </w:rPr>
        <w:fldChar w:fldCharType="begin" w:fldLock="1"/>
      </w:r>
      <w:r w:rsidR="002C142A">
        <w:rPr>
          <w:rFonts w:ascii="Book Antiqua" w:hAnsi="Book Antiqua"/>
          <w:sz w:val="16"/>
          <w:szCs w:val="16"/>
        </w:rPr>
        <w:instrText>ADDIN CSL_CITATION {"citationItems":[{"id":"ITEM-1","itemData":{"DOI":"10.37631/widyapranata.v1i2.47","ISSN":"2654-5195","abstract":"Persoalan mengenai Hak Kekayaan Intelektual tidak bisa lepas dari persoalan ekonomi, sebab identik dengan komersialisasi karya intelektual. Sengketa Hak Kekayaan Intelektual di Mahkamah Agung terdapat beberapa perkara yang telah diputus, hak cipta sebanyak 71 perkara, hak merek sebanyak 422 perkara, desain industri sebanyak 50 perkara dan hak paten sebanyak 23 perkara. Masalah dari jurnal ini adalah Pertama, bagaimanakah pengaturan dan penegakan hukum Hak Kekayaan Intelektual di Indonesia. Kedua, apakah dengan adanya PERMA Nomor 2 Tahun 2015 telah sesuai dengan Prinsip Small Claim Court (SCC) dalam Penyelesaian Sengketa Hak Kekayaan Intelektual di Indonesia. Metode penelitian yang digunakan dalam jurnal ini adalah metode penelitian hukum normatif, dengan menggunakan pendekatan : Statute Approach, Conceptual Approach serta Comparative Approach. Hasil penelitian menunjukan bahwa Penyelesaian sengketa Hak Cipta, Hak Merek dan Hak Paten dapat dilakukan melalui alternatif penyelesaian sengketa, arbitrase ,atau pengadilan. Small Claim Court didalam pelaksanaanya diatur didalam PERMA Nomor 2 Tahun 2015 tentang Tata Cara Penyelesaian Gugatan Sederhana.","author":[{"dropping-particle":"","family":"Pajrin","given":"Rani","non-dropping-particle":"","parse-names":false,"suffix":""}],"container-title":"Widya Pranata Hukum : Jurnal Kajian dan Penelitian Hukum","id":"ITEM-1","issue":"2","issued":{"date-parts":[["2019"]]},"page":"163-175","title":"Prinsip Small Claim Court (SCC) Dalam Penyelesaian Sengketa Hak Kekayaan Intelektual Di Indonesia (Fokus Kajian Hak Merek dan Hak Cipta)","type":"article-journal","volume":"1"},"uris":["http://www.mendeley.com/documents/?uuid=f5a18aa3-31e1-4a57-9239-67d2553026a9"]}],"mendeley":{"formattedCitation":"Rani Pajrin, “Prinsip Small Claim Court (SCC) Dalam Penyelesaian Sengketa Hak Kekayaan Intelektual Di Indonesia (Fokus Kajian Hak Merek Dan Hak Cipta),” &lt;i&gt;Widya Pranata Hukum</w:instrText>
      </w:r>
      <w:r w:rsidR="002C142A">
        <w:rPr>
          <w:sz w:val="16"/>
          <w:szCs w:val="16"/>
        </w:rPr>
        <w:instrText> </w:instrText>
      </w:r>
      <w:r w:rsidR="002C142A">
        <w:rPr>
          <w:rFonts w:ascii="Book Antiqua" w:hAnsi="Book Antiqua"/>
          <w:sz w:val="16"/>
          <w:szCs w:val="16"/>
        </w:rPr>
        <w:instrText>: Jurnal Kajian Dan Penelitian Hukum&lt;/i&gt; 1, no. 2 (2019): 163</w:instrText>
      </w:r>
      <w:r w:rsidR="002C142A">
        <w:rPr>
          <w:rFonts w:ascii="Book Antiqua" w:hAnsi="Book Antiqua" w:cs="Book Antiqua"/>
          <w:sz w:val="16"/>
          <w:szCs w:val="16"/>
        </w:rPr>
        <w:instrText>–</w:instrText>
      </w:r>
      <w:r w:rsidR="002C142A">
        <w:rPr>
          <w:rFonts w:ascii="Book Antiqua" w:hAnsi="Book Antiqua"/>
          <w:sz w:val="16"/>
          <w:szCs w:val="16"/>
        </w:rPr>
        <w:instrText xml:space="preserve">75, https://doi.org/10.37631/widyapranata.v1i2.47.","plainTextFormattedCitation":"Rani Pajrin, </w:instrText>
      </w:r>
      <w:r w:rsidR="002C142A">
        <w:rPr>
          <w:rFonts w:ascii="Book Antiqua" w:hAnsi="Book Antiqua" w:cs="Book Antiqua"/>
          <w:sz w:val="16"/>
          <w:szCs w:val="16"/>
        </w:rPr>
        <w:instrText>“</w:instrText>
      </w:r>
      <w:r w:rsidR="002C142A">
        <w:rPr>
          <w:rFonts w:ascii="Book Antiqua" w:hAnsi="Book Antiqua"/>
          <w:sz w:val="16"/>
          <w:szCs w:val="16"/>
        </w:rPr>
        <w:instrText>Prinsip Small Claim Court (SCC) Dalam Penyelesaian Sengketa Hak Kekayaan Intelektual Di Indonesia (Fokus Kajian Hak Merek Dan Hak Cipta),” Widya Pranata Hukum</w:instrText>
      </w:r>
      <w:r w:rsidR="002C142A">
        <w:rPr>
          <w:sz w:val="16"/>
          <w:szCs w:val="16"/>
        </w:rPr>
        <w:instrText> </w:instrText>
      </w:r>
      <w:r w:rsidR="002C142A">
        <w:rPr>
          <w:rFonts w:ascii="Book Antiqua" w:hAnsi="Book Antiqua"/>
          <w:sz w:val="16"/>
          <w:szCs w:val="16"/>
        </w:rPr>
        <w:instrText>: Jurnal Kajian Dan Penelitian Hukum 1, no. 2 (2019): 163</w:instrText>
      </w:r>
      <w:r w:rsidR="002C142A">
        <w:rPr>
          <w:rFonts w:ascii="Book Antiqua" w:hAnsi="Book Antiqua" w:cs="Book Antiqua"/>
          <w:sz w:val="16"/>
          <w:szCs w:val="16"/>
        </w:rPr>
        <w:instrText>–</w:instrText>
      </w:r>
      <w:r w:rsidR="002C142A">
        <w:rPr>
          <w:rFonts w:ascii="Book Antiqua" w:hAnsi="Book Antiqua"/>
          <w:sz w:val="16"/>
          <w:szCs w:val="16"/>
        </w:rPr>
        <w:instrText xml:space="preserve">75, https://doi.org/10.37631/widyapranata.v1i2.47.","previouslyFormattedCitation":"Rani Pajrin, </w:instrText>
      </w:r>
      <w:r w:rsidR="002C142A">
        <w:rPr>
          <w:rFonts w:ascii="Book Antiqua" w:hAnsi="Book Antiqua" w:cs="Book Antiqua"/>
          <w:sz w:val="16"/>
          <w:szCs w:val="16"/>
        </w:rPr>
        <w:instrText>“</w:instrText>
      </w:r>
      <w:r w:rsidR="002C142A">
        <w:rPr>
          <w:rFonts w:ascii="Book Antiqua" w:hAnsi="Book Antiqua"/>
          <w:sz w:val="16"/>
          <w:szCs w:val="16"/>
        </w:rPr>
        <w:instrText>Prinsip Small Claim Court (SCC) Dalam Penyelesaian Sengketa Hak Kekayaan Intelektual Di Indonesia (Fokus Kajian Hak Merek Dan Hak Cipta),” &lt;i&gt;Widya Pranata Hukum</w:instrText>
      </w:r>
      <w:r w:rsidR="002C142A">
        <w:rPr>
          <w:sz w:val="16"/>
          <w:szCs w:val="16"/>
        </w:rPr>
        <w:instrText> </w:instrText>
      </w:r>
      <w:r w:rsidR="002C142A">
        <w:rPr>
          <w:rFonts w:ascii="Book Antiqua" w:hAnsi="Book Antiqua"/>
          <w:sz w:val="16"/>
          <w:szCs w:val="16"/>
        </w:rPr>
        <w:instrText>: Jurnal Kajian Dan Penelitian Hukum&lt;/i&gt; 1, no. 2 (2019): 163</w:instrText>
      </w:r>
      <w:r w:rsidR="002C142A">
        <w:rPr>
          <w:rFonts w:ascii="Book Antiqua" w:hAnsi="Book Antiqua" w:cs="Book Antiqua"/>
          <w:sz w:val="16"/>
          <w:szCs w:val="16"/>
        </w:rPr>
        <w:instrText>–</w:instrText>
      </w:r>
      <w:r w:rsidR="002C142A">
        <w:rPr>
          <w:rFonts w:ascii="Book Antiqua" w:hAnsi="Book Antiqua"/>
          <w:sz w:val="16"/>
          <w:szCs w:val="16"/>
        </w:rPr>
        <w:instrText>75, https://doi.org/10.37631/widyapranata.v1i2.47."},"properties":{"noteIndex":75},"schema":"https://github.com/citation-style-language/schema/raw/master/csl-citation.json"}</w:instrText>
      </w:r>
      <w:r w:rsidRPr="00FF28AC">
        <w:rPr>
          <w:rFonts w:ascii="Book Antiqua" w:hAnsi="Book Antiqua"/>
          <w:sz w:val="16"/>
          <w:szCs w:val="16"/>
        </w:rPr>
        <w:fldChar w:fldCharType="separate"/>
      </w:r>
      <w:r w:rsidRPr="00E21F2F">
        <w:rPr>
          <w:rFonts w:ascii="Book Antiqua" w:hAnsi="Book Antiqua"/>
          <w:noProof/>
          <w:sz w:val="16"/>
          <w:szCs w:val="16"/>
        </w:rPr>
        <w:t xml:space="preserve">Rani Pajrin, “Prinsip Small Claim Court (SCC) Dalam Penyelesaian Sengketa Hak Kekayaan Intelektual Di Indonesia (Fokus Kajian Hak Merek Dan Hak Cipta),” </w:t>
      </w:r>
      <w:r w:rsidRPr="00E21F2F">
        <w:rPr>
          <w:rFonts w:ascii="Book Antiqua" w:hAnsi="Book Antiqua"/>
          <w:i/>
          <w:noProof/>
          <w:sz w:val="16"/>
          <w:szCs w:val="16"/>
        </w:rPr>
        <w:t>Widya Pranata Hukum</w:t>
      </w:r>
      <w:r w:rsidRPr="00E21F2F">
        <w:rPr>
          <w:i/>
          <w:noProof/>
          <w:sz w:val="16"/>
          <w:szCs w:val="16"/>
        </w:rPr>
        <w:t> </w:t>
      </w:r>
      <w:r w:rsidRPr="00E21F2F">
        <w:rPr>
          <w:rFonts w:ascii="Book Antiqua" w:hAnsi="Book Antiqua"/>
          <w:i/>
          <w:noProof/>
          <w:sz w:val="16"/>
          <w:szCs w:val="16"/>
        </w:rPr>
        <w:t>: Jurnal Kajian Dan Penelitian Hukum</w:t>
      </w:r>
      <w:r w:rsidRPr="00E21F2F">
        <w:rPr>
          <w:rFonts w:ascii="Book Antiqua" w:hAnsi="Book Antiqua"/>
          <w:noProof/>
          <w:sz w:val="16"/>
          <w:szCs w:val="16"/>
        </w:rPr>
        <w:t xml:space="preserve"> 1, no. 2 (2019): 163</w:t>
      </w:r>
      <w:r w:rsidRPr="00E21F2F">
        <w:rPr>
          <w:rFonts w:ascii="Book Antiqua" w:hAnsi="Book Antiqua" w:cs="Book Antiqua"/>
          <w:noProof/>
          <w:sz w:val="16"/>
          <w:szCs w:val="16"/>
        </w:rPr>
        <w:t>–</w:t>
      </w:r>
      <w:r w:rsidRPr="00E21F2F">
        <w:rPr>
          <w:rFonts w:ascii="Book Antiqua" w:hAnsi="Book Antiqua"/>
          <w:noProof/>
          <w:sz w:val="16"/>
          <w:szCs w:val="16"/>
        </w:rPr>
        <w:t>75, https://doi.org/10.37631/widyapranata.v1i2.47.</w:t>
      </w:r>
      <w:r w:rsidRPr="00FF28AC">
        <w:rPr>
          <w:rFonts w:ascii="Book Antiqua" w:hAnsi="Book Antiqua"/>
          <w:sz w:val="16"/>
          <w:szCs w:val="16"/>
        </w:rPr>
        <w:fldChar w:fldCharType="end"/>
      </w:r>
    </w:p>
  </w:footnote>
  <w:footnote w:id="76">
    <w:p w14:paraId="617AE193" w14:textId="58DB6C58" w:rsidR="00C04C78" w:rsidRPr="00FF28AC" w:rsidRDefault="00C04C78" w:rsidP="0093276E">
      <w:pPr>
        <w:pStyle w:val="FootnoteText"/>
        <w:jc w:val="both"/>
        <w:rPr>
          <w:rFonts w:ascii="Book Antiqua" w:hAnsi="Book Antiqua"/>
          <w:sz w:val="16"/>
          <w:szCs w:val="16"/>
        </w:rPr>
      </w:pPr>
      <w:r w:rsidRPr="00FF28AC">
        <w:rPr>
          <w:rStyle w:val="FootnoteReference"/>
          <w:rFonts w:ascii="Book Antiqua" w:hAnsi="Book Antiqua"/>
          <w:sz w:val="16"/>
          <w:szCs w:val="16"/>
        </w:rPr>
        <w:footnoteRef/>
      </w:r>
      <w:r w:rsidRPr="00FF28AC">
        <w:rPr>
          <w:rFonts w:ascii="Book Antiqua" w:hAnsi="Book Antiqua"/>
          <w:sz w:val="16"/>
          <w:szCs w:val="16"/>
        </w:rPr>
        <w:t xml:space="preserve"> </w:t>
      </w:r>
      <w:r w:rsidRPr="00FF28AC">
        <w:rPr>
          <w:rFonts w:ascii="Book Antiqua" w:hAnsi="Book Antiqua"/>
          <w:sz w:val="16"/>
          <w:szCs w:val="16"/>
        </w:rPr>
        <w:fldChar w:fldCharType="begin" w:fldLock="1"/>
      </w:r>
      <w:r w:rsidR="002C142A">
        <w:rPr>
          <w:rFonts w:ascii="Book Antiqua" w:hAnsi="Book Antiqua"/>
          <w:sz w:val="16"/>
          <w:szCs w:val="16"/>
        </w:rPr>
        <w:instrText>ADDIN CSL_CITATION {"citationItems":[{"id":"ITEM-1","itemData":{"DOI":"https://doi.org/10.23920/acta.v5i1.712","author":[{"dropping-particle":"","family":"Nurahmasari","given":"Revita","non-dropping-particle":"","parse-names":false,"suffix":""},{"dropping-particle":"","family":"Amirulloh","given":"Muhamad","non-dropping-particle":"","parse-names":false,"suffix":""},{"dropping-particle":"","family":"Afriana","given":"Anita","non-dropping-particle":"","parse-names":false,"suffix":""}],"id":"ITEM-1","issued":{"date-parts":[["2021"]]},"page":"123-138","title":"Mediasi Sebagai Kewajiban Penyelesaian Sengketa Perdata Pelanggaran Paten di Indonesia Demi Kepastian dan Kemanfaatan Hukum","type":"article-journal","volume":"5"},"uris":["http://www.mendeley.com/documents/?uuid=94e79f0d-f58c-4ddc-867f-de9f2f0fc0aa"]}],"mendeley":{"formattedCitation":"Nurahmasari, Amirulloh, and Afriana, “Mediasi Sebagai Kewajiban Penyelesaian Sengketa Perdata Pelanggaran Paten Di Indonesia Demi Kepastian Dan Kemanfaatan Hukum.”","plainTextFormattedCitation":"Nurahmasari, Amirulloh, and Afriana, “Mediasi Sebagai Kewajiban Penyelesaian Sengketa Perdata Pelanggaran Paten Di Indonesia Demi Kepastian Dan Kemanfaatan Hukum.”","previouslyFormattedCitation":"Nurahmasari, Amirulloh, and Afriana, “Mediasi Sebagai Kewajiban Penyelesaian Sengketa Perdata Pelanggaran Paten Di Indonesia Demi Kepastian Dan Kemanfaatan Hukum.”"},"properties":{"noteIndex":76},"schema":"https://github.com/citation-style-language/schema/raw/master/csl-citation.json"}</w:instrText>
      </w:r>
      <w:r w:rsidRPr="00FF28AC">
        <w:rPr>
          <w:rFonts w:ascii="Book Antiqua" w:hAnsi="Book Antiqua"/>
          <w:sz w:val="16"/>
          <w:szCs w:val="16"/>
        </w:rPr>
        <w:fldChar w:fldCharType="separate"/>
      </w:r>
      <w:r w:rsidRPr="00FF28AC">
        <w:rPr>
          <w:rFonts w:ascii="Book Antiqua" w:hAnsi="Book Antiqua"/>
          <w:noProof/>
          <w:sz w:val="16"/>
          <w:szCs w:val="16"/>
        </w:rPr>
        <w:t>Nurahmasari, Amirulloh, and Afriana, “Mediasi Sebagai Kewajiban Penyelesaian Sengketa Perdata Pelanggaran Paten Di Indonesia Demi Kepastian Dan Kemanfaatan Hukum.”</w:t>
      </w:r>
      <w:r w:rsidRPr="00FF28AC">
        <w:rPr>
          <w:rFonts w:ascii="Book Antiqua" w:hAnsi="Book Antiqua"/>
          <w:sz w:val="16"/>
          <w:szCs w:val="16"/>
        </w:rPr>
        <w:fldChar w:fldCharType="end"/>
      </w:r>
    </w:p>
  </w:footnote>
  <w:footnote w:id="77">
    <w:p w14:paraId="524D1AC3" w14:textId="73178FEB" w:rsidR="00C04C78" w:rsidRPr="003F1A9E" w:rsidRDefault="00C04C78" w:rsidP="003F1A9E">
      <w:pPr>
        <w:pStyle w:val="FootnoteText"/>
        <w:jc w:val="both"/>
        <w:rPr>
          <w:rFonts w:ascii="Book Antiqua" w:hAnsi="Book Antiqua"/>
        </w:rPr>
      </w:pPr>
      <w:r w:rsidRPr="003F1A9E">
        <w:rPr>
          <w:rStyle w:val="FootnoteReference"/>
          <w:rFonts w:ascii="Book Antiqua" w:hAnsi="Book Antiqua"/>
          <w:sz w:val="16"/>
          <w:szCs w:val="16"/>
        </w:rPr>
        <w:footnoteRef/>
      </w:r>
      <w:r w:rsidRPr="003F1A9E">
        <w:rPr>
          <w:rFonts w:ascii="Book Antiqua" w:hAnsi="Book Antiqua"/>
          <w:sz w:val="16"/>
          <w:szCs w:val="16"/>
        </w:rPr>
        <w:t xml:space="preserve"> </w:t>
      </w:r>
      <w:r w:rsidRPr="003F1A9E">
        <w:rPr>
          <w:rFonts w:ascii="Book Antiqua" w:hAnsi="Book Antiqua"/>
          <w:sz w:val="16"/>
          <w:szCs w:val="16"/>
        </w:rPr>
        <w:fldChar w:fldCharType="begin" w:fldLock="1"/>
      </w:r>
      <w:r w:rsidR="002C142A">
        <w:rPr>
          <w:rFonts w:ascii="Book Antiqua" w:hAnsi="Book Antiqua"/>
          <w:sz w:val="16"/>
          <w:szCs w:val="16"/>
        </w:rPr>
        <w:instrText>ADDIN CSL_CITATION {"citationItems":[{"id":"ITEM-1","itemData":{"author":[{"dropping-particle":"","family":"Nov","given":"Maulana Rizki","non-dropping-particle":"","parse-names":false,"suffix":""},{"dropping-particle":"","family":"Bustani","given":"Simona","non-dropping-particle":"","parse-names":false,"suffix":""}],"id":"ITEM-1","issue":"3","issued":{"date-parts":[["2023"]]},"page":"571-580","title":"Perlindungan Hukum Hak Paten Alat Sterilisasi Untuk Pengolahan Tandan-Tandan Kelapa Sawit","type":"article-journal","volume":"5"},"uris":["http://www.mendeley.com/documents/?uuid=34e1ef84-28a9-4298-9bd3-b05fad2b1822"]}],"mendeley":{"formattedCitation":"Nov and Bustani, “Perlindungan Hukum Hak Paten Alat Sterilisasi Untuk Pengolahan Tandan-Tandan Kelapa Sawit.”","plainTextFormattedCitation":"Nov and Bustani, “Perlindungan Hukum Hak Paten Alat Sterilisasi Untuk Pengolahan Tandan-Tandan Kelapa Sawit.”","previouslyFormattedCitation":"Nov and Bustani, “Perlindungan Hukum Hak Paten Alat Sterilisasi Untuk Pengolahan Tandan-Tandan Kelapa Sawit.”"},"properties":{"noteIndex":77},"schema":"https://github.com/citation-style-language/schema/raw/master/csl-citation.json"}</w:instrText>
      </w:r>
      <w:r w:rsidRPr="003F1A9E">
        <w:rPr>
          <w:rFonts w:ascii="Book Antiqua" w:hAnsi="Book Antiqua"/>
          <w:sz w:val="16"/>
          <w:szCs w:val="16"/>
        </w:rPr>
        <w:fldChar w:fldCharType="separate"/>
      </w:r>
      <w:r w:rsidRPr="003F1A9E">
        <w:rPr>
          <w:rFonts w:ascii="Book Antiqua" w:hAnsi="Book Antiqua"/>
          <w:noProof/>
          <w:sz w:val="16"/>
          <w:szCs w:val="16"/>
        </w:rPr>
        <w:t>Nov and Bustani, “Perlindungan Hukum Hak Paten Alat Sterilisasi Untuk Pengolahan Tandan-Tandan Kelapa Sawit.”</w:t>
      </w:r>
      <w:r w:rsidRPr="003F1A9E">
        <w:rPr>
          <w:rFonts w:ascii="Book Antiqua" w:hAnsi="Book Antiqua"/>
          <w:sz w:val="16"/>
          <w:szCs w:val="16"/>
        </w:rPr>
        <w:fldChar w:fldCharType="end"/>
      </w:r>
    </w:p>
  </w:footnote>
  <w:footnote w:id="78">
    <w:p w14:paraId="4782962D" w14:textId="2431AD13" w:rsidR="00C04C78" w:rsidRPr="0081695B" w:rsidRDefault="00C04C78" w:rsidP="0081695B">
      <w:pPr>
        <w:pStyle w:val="FootnoteText"/>
        <w:jc w:val="both"/>
        <w:rPr>
          <w:rFonts w:ascii="Book Antiqua" w:hAnsi="Book Antiqua"/>
        </w:rPr>
      </w:pPr>
      <w:r w:rsidRPr="0081695B">
        <w:rPr>
          <w:rStyle w:val="FootnoteReference"/>
          <w:rFonts w:ascii="Book Antiqua" w:hAnsi="Book Antiqua"/>
          <w:sz w:val="16"/>
          <w:szCs w:val="16"/>
        </w:rPr>
        <w:footnoteRef/>
      </w:r>
      <w:r w:rsidRPr="0081695B">
        <w:rPr>
          <w:rFonts w:ascii="Book Antiqua" w:hAnsi="Book Antiqua"/>
          <w:sz w:val="16"/>
          <w:szCs w:val="16"/>
        </w:rPr>
        <w:t xml:space="preserve"> </w:t>
      </w:r>
      <w:r w:rsidRPr="0081695B">
        <w:rPr>
          <w:rFonts w:ascii="Book Antiqua" w:hAnsi="Book Antiqua"/>
          <w:sz w:val="16"/>
          <w:szCs w:val="16"/>
        </w:rPr>
        <w:fldChar w:fldCharType="begin" w:fldLock="1"/>
      </w:r>
      <w:r w:rsidR="002C142A">
        <w:rPr>
          <w:rFonts w:ascii="Book Antiqua" w:hAnsi="Book Antiqua"/>
          <w:sz w:val="16"/>
          <w:szCs w:val="16"/>
        </w:rPr>
        <w:instrText>ADDIN CSL_CITATION {"citationItems":[{"id":"ITEM-1","itemData":{"DOI":"10.29303/jtsw.v36i3.341","ISSN":"0853-392X","abstract":"Putusan Pengadilan Niaga Surabaya â€œNomor 18/Pdt.Sus-PKPU/2021/PN.Niaga Sbyâ€</w:instrText>
      </w:r>
      <w:r w:rsidR="002C142A">
        <w:rPr>
          <w:rFonts w:ascii="Book Antiqua" w:hAnsi="Book Antiqua" w:cs="Book Antiqua"/>
          <w:sz w:val="16"/>
          <w:szCs w:val="16"/>
        </w:rPr>
        <w:instrText></w:instrText>
      </w:r>
      <w:r w:rsidR="002C142A">
        <w:rPr>
          <w:rFonts w:ascii="Book Antiqua" w:hAnsi="Book Antiqua"/>
          <w:sz w:val="16"/>
          <w:szCs w:val="16"/>
        </w:rPr>
        <w:instrText xml:space="preserve"> dalam perkara Penundaan Kewajiban Pembayaran Utang dengan termohon PT. GBP sangat menarik untuk dikaji karena menimbulkan pro dan kontra di masyarakat, terutama dikalangan enam ribu (6.000) pedagang Pasar Turi Baru yang telah membeli stand sejak tahun 2012 yang mana sampai saat ini tidak dapat memanfaatkan stand tersebut dengan optimal. Tujuan penelitian ini adalah untuk mengetahui apakah putusan tersebut sudah memenuhi rasa keadilan. Pendekatan yang dipakai adalah pendekatan perundang-undangan dan pendekatan konseptual. Sedangkan sebagai pisau analisis memakai Teori Hukum Gustav Radbruch. Pengajuan proposal perdamaian yang diajukan oleh Debitur dikabulkan oleh Hakim Pengawas meskipun dalam proses persidangan terdapat banyak hal yang seharusnya perlu digali lebih dalam. Seperti status keabsahan dan nilai nominal kewajiban dari para Kreditur Separatis, dan isi proposal perdamaian yang merugikan pihak Kreditur. Putusan PKPU ini menimbulkan tanda tanya besar jika ditelaah dari Teori Hukum Gustav Radbruch yang seharusnya hukum itu bertujuan memberikan keadilan, kemanfaatan, dan kepastian hukum. Penulis berkesimpulan bahwa putusan ini bertolak belakang dengan Teori Hukum Gustav Radbruch.","author":[{"dropping-particle":"","family":"Santoso","given":"Hari Agus","non-dropping-particle":"","parse-names":false,"suffix":""}],"container-title":"JATISWARA","id":"ITEM-1","issue":"3","issued":{"date-parts":[["2021","11","29"]]},"page":"325-334","title":"Perspektif Keadilan Hukum Teori Gustav Radbruch Dalam Putusan PKPU \"PTB\"","type":"article-journal","volume":"36"},"uris":["http://www.mendeley.com/documents/?uuid=968b6ad1-68c8-3518-8492-4567e7a3c229"]}],"mendeley":{"formattedCitation":"Santoso, “Perspektif Keadilan Hukum Teori Gustav Radbruch Dalam Putusan PKPU ‘PTB.’”","plainTextFormattedCitation":"Santoso, “Perspektif Keadilan Hukum Teori Gustav Radbruch Dalam Putusan PKPU ‘PTB.’”","previouslyFormattedCitation":"Santoso, “Perspektif Keadilan Hukum Teori Gustav Radbruch Dalam Putusan PKPU ‘PTB.’”"},"properties":{"noteIndex":78},"schema":"https://github.com/citation-style-language/schema/raw/master/csl-citation.json"}</w:instrText>
      </w:r>
      <w:r w:rsidRPr="0081695B">
        <w:rPr>
          <w:rFonts w:ascii="Book Antiqua" w:hAnsi="Book Antiqua"/>
          <w:sz w:val="16"/>
          <w:szCs w:val="16"/>
        </w:rPr>
        <w:fldChar w:fldCharType="separate"/>
      </w:r>
      <w:r w:rsidRPr="0081695B">
        <w:rPr>
          <w:rFonts w:ascii="Book Antiqua" w:hAnsi="Book Antiqua"/>
          <w:noProof/>
          <w:sz w:val="16"/>
          <w:szCs w:val="16"/>
        </w:rPr>
        <w:t>Santoso, “Perspektif Keadilan Hukum Teori Gustav Radbruch Dalam Putusan PKPU ‘PTB.’”</w:t>
      </w:r>
      <w:r w:rsidRPr="0081695B">
        <w:rPr>
          <w:rFonts w:ascii="Book Antiqua" w:hAnsi="Book Antiqua"/>
          <w:sz w:val="16"/>
          <w:szCs w:val="16"/>
        </w:rPr>
        <w:fldChar w:fldCharType="end"/>
      </w:r>
    </w:p>
  </w:footnote>
  <w:footnote w:id="79">
    <w:p w14:paraId="6E13F983" w14:textId="6CC5F480" w:rsidR="00C04C78" w:rsidRPr="00E23A5F" w:rsidRDefault="00C04C78" w:rsidP="00E23A5F">
      <w:pPr>
        <w:pStyle w:val="FootnoteText"/>
        <w:jc w:val="both"/>
        <w:rPr>
          <w:rFonts w:ascii="Book Antiqua" w:hAnsi="Book Antiqua"/>
          <w:sz w:val="16"/>
          <w:szCs w:val="16"/>
        </w:rPr>
      </w:pPr>
      <w:r w:rsidRPr="00E23A5F">
        <w:rPr>
          <w:rStyle w:val="FootnoteReference"/>
          <w:rFonts w:ascii="Book Antiqua" w:hAnsi="Book Antiqua"/>
          <w:sz w:val="16"/>
          <w:szCs w:val="16"/>
        </w:rPr>
        <w:footnoteRef/>
      </w:r>
      <w:r w:rsidRPr="00E23A5F">
        <w:rPr>
          <w:rFonts w:ascii="Book Antiqua" w:hAnsi="Book Antiqua"/>
          <w:sz w:val="16"/>
          <w:szCs w:val="16"/>
        </w:rPr>
        <w:t xml:space="preserve"> </w:t>
      </w:r>
      <w:r w:rsidRPr="00E23A5F">
        <w:rPr>
          <w:rFonts w:ascii="Book Antiqua" w:hAnsi="Book Antiqua"/>
          <w:sz w:val="16"/>
          <w:szCs w:val="16"/>
        </w:rPr>
        <w:fldChar w:fldCharType="begin" w:fldLock="1"/>
      </w:r>
      <w:r w:rsidR="002C142A">
        <w:rPr>
          <w:rFonts w:ascii="Book Antiqua" w:hAnsi="Book Antiqua"/>
          <w:sz w:val="16"/>
          <w:szCs w:val="16"/>
        </w:rPr>
        <w:instrText>ADDIN CSL_CITATION {"citationItems":[{"id":"ITEM-1","itemData":{"author":[{"dropping-particle":"","family":"Pratama","given":"Radhyca Nanda","non-dropping-particle":"","parse-names":false,"suffix":""},{"dropping-particle":"","family":"Astanti","given":"Dilla Nurfiana","non-dropping-particle":"","parse-names":false,"suffix":""},{"dropping-particle":"","family":"Masnun","given":"Muh. Ali","non-dropping-particle":"","parse-names":false,"suffix":""}],"id":"ITEM-1","issue":"2","issued":{"date-parts":[["2019"]]},"page":"158-173","title":"Implikasi Kewajiban Pelaksanaan Paten Terhadap Penyelenggaraan Alih Teknologi","type":"article-journal","volume":"17"},"uris":["http://www.mendeley.com/documents/?uuid=a2080542-78d2-4c82-b62b-108b17d5114a"]}],"mendeley":{"formattedCitation":"Pratama, Astanti, and Masnun, “Implikasi Kewajiban Pelaksanaan Paten Terhadap Penyelenggaraan Alih Teknologi.”","plainTextFormattedCitation":"Pratama, Astanti, and Masnun, “Implikasi Kewajiban Pelaksanaan Paten Terhadap Penyelenggaraan Alih Teknologi.”","previouslyFormattedCitation":"Pratama, Astanti, and Masnun, “Implikasi Kewajiban Pelaksanaan Paten Terhadap Penyelenggaraan Alih Teknologi.”"},"properties":{"noteIndex":79},"schema":"https://github.com/citation-style-language/schema/raw/master/csl-citation.json"}</w:instrText>
      </w:r>
      <w:r w:rsidRPr="00E23A5F">
        <w:rPr>
          <w:rFonts w:ascii="Book Antiqua" w:hAnsi="Book Antiqua"/>
          <w:sz w:val="16"/>
          <w:szCs w:val="16"/>
        </w:rPr>
        <w:fldChar w:fldCharType="separate"/>
      </w:r>
      <w:r w:rsidRPr="00E21F2F">
        <w:rPr>
          <w:rFonts w:ascii="Book Antiqua" w:hAnsi="Book Antiqua"/>
          <w:noProof/>
          <w:sz w:val="16"/>
          <w:szCs w:val="16"/>
        </w:rPr>
        <w:t>Pratama, Astanti, and Masnun, “Implikasi Kewajiban Pelaksanaan Paten Terhadap Penyelenggaraan Alih Teknologi.”</w:t>
      </w:r>
      <w:r w:rsidRPr="00E23A5F">
        <w:rPr>
          <w:rFonts w:ascii="Book Antiqua" w:hAnsi="Book Antiqua"/>
          <w:sz w:val="16"/>
          <w:szCs w:val="16"/>
        </w:rPr>
        <w:fldChar w:fldCharType="end"/>
      </w:r>
    </w:p>
  </w:footnote>
  <w:footnote w:id="80">
    <w:p w14:paraId="08E13A5D" w14:textId="54D44ACB" w:rsidR="00C04C78" w:rsidRPr="00E23A5F" w:rsidRDefault="00C04C78" w:rsidP="00E23A5F">
      <w:pPr>
        <w:pStyle w:val="FootnoteText"/>
        <w:jc w:val="both"/>
        <w:rPr>
          <w:rFonts w:ascii="Book Antiqua" w:hAnsi="Book Antiqua"/>
          <w:sz w:val="16"/>
          <w:szCs w:val="16"/>
        </w:rPr>
      </w:pPr>
      <w:r w:rsidRPr="00E23A5F">
        <w:rPr>
          <w:rStyle w:val="FootnoteReference"/>
          <w:rFonts w:ascii="Book Antiqua" w:hAnsi="Book Antiqua"/>
          <w:sz w:val="16"/>
          <w:szCs w:val="16"/>
        </w:rPr>
        <w:footnoteRef/>
      </w:r>
      <w:r w:rsidRPr="00E23A5F">
        <w:rPr>
          <w:rFonts w:ascii="Book Antiqua" w:hAnsi="Book Antiqua"/>
          <w:sz w:val="16"/>
          <w:szCs w:val="16"/>
        </w:rPr>
        <w:t xml:space="preserve"> </w:t>
      </w:r>
      <w:r w:rsidRPr="00E23A5F">
        <w:rPr>
          <w:rFonts w:ascii="Book Antiqua" w:hAnsi="Book Antiqua"/>
          <w:sz w:val="16"/>
          <w:szCs w:val="16"/>
        </w:rPr>
        <w:fldChar w:fldCharType="begin" w:fldLock="1"/>
      </w:r>
      <w:r w:rsidR="002C142A">
        <w:rPr>
          <w:rFonts w:ascii="Book Antiqua" w:hAnsi="Book Antiqua"/>
          <w:sz w:val="16"/>
          <w:szCs w:val="16"/>
        </w:rPr>
        <w:instrText>ADDIN CSL_CITATION {"citationItems":[{"id":"ITEM-1","itemData":{"DOI":"https://doi.org/10.47709/cnapc.xxxx","abstract":"Patents are exclusive rights granted by the state to inventors for their inventions in the field of technology, for a certain period of time. A simple patent is an exclusive right granted by the Patent Directorate Office to a patent holder to realize a new invention, either in the form of a product or a certain process. If a simple patent does not contain an element of novelty or does not contain an element of progress, a simple patent may be rejected for registration at the Directorate. The type of research used in this research is normative legal research. The nature of this research is descriptive analytical where this research seeks to describe, describe and analyze the problems that arise, then look for the correct answer as a solution to the problem. The results of the discussion of the problems that arise in this research, the rights to simple patents contain elements of novelty or are the development of a technology from simple patent products from existing simple patent products. The simple patent holder must be protected by law if another party sues the registered simple patent product The panel of judges of the Supreme Court in their legal considerations have complied with the provisions of the legislation in the field of patents in this case is Law No. 13 of 2016 concerning Patents, where the judge's legal consideration is that the plaintiff / respondent for cassation YA does not have a strong juridical basis in filing a lawsuit for cancellation simple patent.","author":[{"dropping-particle":"","family":"Lubis","given":"Rahmad Anwar","non-dropping-particle":"","parse-names":false,"suffix":""}],"id":"ITEM-1","issue":"I","issued":{"date-parts":[["2021"]]},"page":"13-23","title":"Perlindungan Hukum Terhadap Pemegang Hak Paten Sederhana Yang Terdaftar Lebih Dahulu Di Direktorat Paten (Studi Putusan Mahkamah Agung No. 437K/PDT.SUS-HK/2018","type":"article-journal","volume":"I"},"uris":["http://www.mendeley.com/documents/?uuid=441ac5a9-e3b2-4534-9138-983345a82b9d"]}],"mendeley":{"formattedCitation":"Lubis, “Perlindungan Hukum Terhadap Pemegang Hak Paten Sederhana Yang Terdaftar Lebih Dahulu Di Direktorat Paten (Studi Putusan Mahkamah Agung No. 437K/PDT.SUS-HK/2018.”","plainTextFormattedCitation":"Lubis, “Perlindungan Hukum Terhadap Pemegang Hak Paten Sederhana Yang Terdaftar Lebih Dahulu Di Direktorat Paten (Studi Putusan Mahkamah Agung No. 437K/PDT.SUS-HK/2018.”","previouslyFormattedCitation":"Lubis, “Perlindungan Hukum Terhadap Pemegang Hak Paten Sederhana Yang Terdaftar Lebih Dahulu Di Direktorat Paten (Studi Putusan Mahkamah Agung No. 437K/PDT.SUS-HK/2018.”"},"properties":{"noteIndex":80},"schema":"https://github.com/citation-style-language/schema/raw/master/csl-citation.json"}</w:instrText>
      </w:r>
      <w:r w:rsidRPr="00E23A5F">
        <w:rPr>
          <w:rFonts w:ascii="Book Antiqua" w:hAnsi="Book Antiqua"/>
          <w:sz w:val="16"/>
          <w:szCs w:val="16"/>
        </w:rPr>
        <w:fldChar w:fldCharType="separate"/>
      </w:r>
      <w:r w:rsidRPr="00E23A5F">
        <w:rPr>
          <w:rFonts w:ascii="Book Antiqua" w:hAnsi="Book Antiqua"/>
          <w:noProof/>
          <w:sz w:val="16"/>
          <w:szCs w:val="16"/>
        </w:rPr>
        <w:t>Lubis, “Perlindungan Hukum Terhadap Pemegang Hak Paten Sederhana Yang Terdaftar Lebih Dahulu Di Direktorat Paten (Studi Putusan Mahkamah Agung No. 437K/PDT.SUS-HK/2018.”</w:t>
      </w:r>
      <w:r w:rsidRPr="00E23A5F">
        <w:rPr>
          <w:rFonts w:ascii="Book Antiqua" w:hAnsi="Book Antiqua"/>
          <w:sz w:val="16"/>
          <w:szCs w:val="16"/>
        </w:rPr>
        <w:fldChar w:fldCharType="end"/>
      </w:r>
    </w:p>
  </w:footnote>
  <w:footnote w:id="81">
    <w:p w14:paraId="7BBE1C72" w14:textId="4EBAA1F9" w:rsidR="00C04C78" w:rsidRPr="00E23A5F" w:rsidRDefault="00C04C78" w:rsidP="00E23A5F">
      <w:pPr>
        <w:pStyle w:val="FootnoteText"/>
        <w:jc w:val="both"/>
        <w:rPr>
          <w:rFonts w:ascii="Book Antiqua" w:hAnsi="Book Antiqua"/>
          <w:sz w:val="16"/>
          <w:szCs w:val="16"/>
        </w:rPr>
      </w:pPr>
      <w:r w:rsidRPr="00E23A5F">
        <w:rPr>
          <w:rStyle w:val="FootnoteReference"/>
          <w:rFonts w:ascii="Book Antiqua" w:hAnsi="Book Antiqua"/>
          <w:sz w:val="16"/>
          <w:szCs w:val="16"/>
        </w:rPr>
        <w:footnoteRef/>
      </w:r>
      <w:r w:rsidRPr="00E23A5F">
        <w:rPr>
          <w:rFonts w:ascii="Book Antiqua" w:hAnsi="Book Antiqua"/>
          <w:sz w:val="16"/>
          <w:szCs w:val="16"/>
        </w:rPr>
        <w:t xml:space="preserve"> </w:t>
      </w:r>
      <w:r w:rsidRPr="00E23A5F">
        <w:rPr>
          <w:rFonts w:ascii="Book Antiqua" w:hAnsi="Book Antiqua"/>
          <w:sz w:val="16"/>
          <w:szCs w:val="16"/>
        </w:rPr>
        <w:fldChar w:fldCharType="begin" w:fldLock="1"/>
      </w:r>
      <w:r w:rsidR="002C142A">
        <w:rPr>
          <w:rFonts w:ascii="Book Antiqua" w:hAnsi="Book Antiqua"/>
          <w:sz w:val="16"/>
          <w:szCs w:val="16"/>
        </w:rPr>
        <w:instrText>ADDIN CSL_CITATION {"citationItems":[{"id":"ITEM-1","itemData":{"DOI":"10.22212/jnh.v10i1.1222","ISSN":"2087-295X","abstract":"Patent as a branch of Intellectual Property Rights (IPR) serves to protect inventions on the field of technology, one of them being medicine. The rise on the number of cases on the theft of genetic resources and traditional knowledge on the field of medicine for commercialization purposes shows that the protection of patent rights on traditional medicine knowledge is still not optimal. This article is the result of a normative juridical research which is supported by an empirical data, examines the protection of patent rights on traditional medicine knowledge and the implementation of Article 26 of Law No. 13 of 2016 on Patents (Patent Law year 2016). In the research results, it was mentioned that even though the TRIPs Agreement did not accommodate the traditional knowledge, the presence of Patent Law year 2016 complemented the Indonesian government's efforts to save the knowledge of traditional medicines from biopiracy and misappropriation. It is necessary to regulate the disclosure obligation in TRIPs agreement and further mechanism regarding benefit sharing and granting access to traditional medicines knowledge. AbstrakPaten merupakan salah satu cabang Hak Kekayaan Intelektual yang berfungsi untuk melindungi invensi di bidang teknologi, salah satunya obat-obatan. Maraknya kasus pencurian sumber daya genetik dan pengetahuan tradisional di bidang obat-obatan untuk tujuan komersialisasi menunjukkan bahwa pelindungan hak paten atas pengetahuan obat tradisional masih belum maksimal. Artikel ini merupakan hasil penelitian yuridis normatif yang didukung dengan data empiris, membahas mengenai pelindungan hak paten atas pengetahuan obat tradisional dan implementasi Pasal 26 Undang-Undang Nomor 13 Tahun 2016 tentang Paten (UU Paten 2016). Di dalam hasil penelitian, disebutkan meskipun Perjanjian Trade-Related Aspects of Intellectual Property Rights (TRIPs) belum mengakomodasi pengetahuan tradisional namun hadirnya UU Paten 2016 melengkapi usaha pemerintah Indonesia dalam menyelamatkan pengetahuan obat tradisional dari biopiracy dan misappropriation. Perlu pengaturan kewajiban disclosure di dalam Perjanjian TRIPs dan mekanisme lebih lanjut mengenai benefit sharing dan pemberian akses atas pengetahuan obat tradisional.","author":[{"dropping-particle":"","family":"Kurnianingrum","given":"Trias Palupi","non-dropping-particle":"","parse-names":false,"suffix":""}],"container-title":"Trias Palupi Kurnianingrum: Pelindungan Hak Paten atas Pengetahuan Obat Tradisional","id":"ITEM-1","issue":"1","issued":{"date-parts":[["2019"]]},"page":"49-65","title":"Pelindungan Hak Paten atas Pengetahuan Obat Tradisional Melalui Pasal 26 UU No. 13 Tahun 2016 tentang Paten Protection","type":"article-journal","volume":"10"},"uris":["http://www.mendeley.com/documents/?uuid=64fd00b4-8be0-4d95-9a21-b0d7ae43aa34"]}],"mendeley":{"formattedCitation":"Trias Palupi Kurnianingrum, “Pelindungan Hak Paten Atas Pengetahuan Obat Tradisional Melalui Pasal 26 UU No. 13 Tahun 2016 Tentang Paten Protection,” &lt;i&gt;Trias Palupi Kurnianingrum: Pelindungan Hak Paten Atas Pengetahuan Obat Tradisional&lt;/i&gt; 10, no. 1 (2019): 49–65, https://doi.org/10.22212/jnh.v10i1.1222.","plainTextFormattedCitation":"Trias Palupi Kurnianingrum, “Pelindungan Hak Paten Atas Pengetahuan Obat Tradisional Melalui Pasal 26 UU No. 13 Tahun 2016 Tentang Paten Protection,” Trias Palupi Kurnianingrum: Pelindungan Hak Paten Atas Pengetahuan Obat Tradisional 10, no. 1 (2019): 49–65, https://doi.org/10.22212/jnh.v10i1.1222.","previouslyFormattedCitation":"Trias Palupi Kurnianingrum, “Pelindungan Hak Paten Atas Pengetahuan Obat Tradisional Melalui Pasal 26 UU No. 13 Tahun 2016 Tentang Paten Protection,” &lt;i&gt;Trias Palupi Kurnianingrum: Pelindungan Hak Paten Atas Pengetahuan Obat Tradisional&lt;/i&gt; 10, no. 1 (2019): 49–65, https://doi.org/10.22212/jnh.v10i1.1222."},"properties":{"noteIndex":81},"schema":"https://github.com/citation-style-language/schema/raw/master/csl-citation.json"}</w:instrText>
      </w:r>
      <w:r w:rsidRPr="00E23A5F">
        <w:rPr>
          <w:rFonts w:ascii="Book Antiqua" w:hAnsi="Book Antiqua"/>
          <w:sz w:val="16"/>
          <w:szCs w:val="16"/>
        </w:rPr>
        <w:fldChar w:fldCharType="separate"/>
      </w:r>
      <w:r w:rsidRPr="00E23A5F">
        <w:rPr>
          <w:rFonts w:ascii="Book Antiqua" w:hAnsi="Book Antiqua"/>
          <w:noProof/>
          <w:sz w:val="16"/>
          <w:szCs w:val="16"/>
        </w:rPr>
        <w:t xml:space="preserve">Trias Palupi Kurnianingrum, “Pelindungan Hak Paten Atas Pengetahuan Obat Tradisional Melalui Pasal 26 UU No. 13 Tahun 2016 Tentang Paten Protection,” </w:t>
      </w:r>
      <w:r w:rsidRPr="00E23A5F">
        <w:rPr>
          <w:rFonts w:ascii="Book Antiqua" w:hAnsi="Book Antiqua"/>
          <w:i/>
          <w:noProof/>
          <w:sz w:val="16"/>
          <w:szCs w:val="16"/>
        </w:rPr>
        <w:t>Trias Palupi Kurnianingrum: Pelindungan Hak Paten Atas Pengetahuan Obat Tradisional</w:t>
      </w:r>
      <w:r w:rsidRPr="00E23A5F">
        <w:rPr>
          <w:rFonts w:ascii="Book Antiqua" w:hAnsi="Book Antiqua"/>
          <w:noProof/>
          <w:sz w:val="16"/>
          <w:szCs w:val="16"/>
        </w:rPr>
        <w:t xml:space="preserve"> 10, no. 1 (2019): 49–65, https://doi.org/10.22212/jnh.v10i1.1222.</w:t>
      </w:r>
      <w:r w:rsidRPr="00E23A5F">
        <w:rPr>
          <w:rFonts w:ascii="Book Antiqua" w:hAnsi="Book Antiqua"/>
          <w:sz w:val="16"/>
          <w:szCs w:val="16"/>
        </w:rPr>
        <w:fldChar w:fldCharType="end"/>
      </w:r>
    </w:p>
  </w:footnote>
  <w:footnote w:id="82">
    <w:p w14:paraId="5F470B39" w14:textId="3373B71F" w:rsidR="00C04C78" w:rsidRPr="00E23A5F" w:rsidRDefault="00C04C78" w:rsidP="00E23A5F">
      <w:pPr>
        <w:pStyle w:val="FootnoteText"/>
        <w:jc w:val="both"/>
        <w:rPr>
          <w:rFonts w:ascii="Book Antiqua" w:hAnsi="Book Antiqua"/>
          <w:sz w:val="16"/>
          <w:szCs w:val="16"/>
        </w:rPr>
      </w:pPr>
      <w:r w:rsidRPr="00E23A5F">
        <w:rPr>
          <w:rStyle w:val="FootnoteReference"/>
          <w:rFonts w:ascii="Book Antiqua" w:hAnsi="Book Antiqua"/>
          <w:sz w:val="16"/>
          <w:szCs w:val="16"/>
        </w:rPr>
        <w:footnoteRef/>
      </w:r>
      <w:r w:rsidRPr="00E23A5F">
        <w:rPr>
          <w:rFonts w:ascii="Book Antiqua" w:hAnsi="Book Antiqua"/>
          <w:sz w:val="16"/>
          <w:szCs w:val="16"/>
        </w:rPr>
        <w:t xml:space="preserve"> </w:t>
      </w:r>
      <w:r w:rsidRPr="00E23A5F">
        <w:rPr>
          <w:rFonts w:ascii="Book Antiqua" w:hAnsi="Book Antiqua"/>
          <w:sz w:val="16"/>
          <w:szCs w:val="16"/>
        </w:rPr>
        <w:fldChar w:fldCharType="begin" w:fldLock="1"/>
      </w:r>
      <w:r w:rsidR="002C142A">
        <w:rPr>
          <w:rFonts w:ascii="Book Antiqua" w:hAnsi="Book Antiqua"/>
          <w:sz w:val="16"/>
          <w:szCs w:val="16"/>
        </w:rPr>
        <w:instrText>ADDIN CSL_CITATION {"citationItems":[{"id":"ITEM-1","itemData":{"author":[{"dropping-particle":"","family":"Saputra","given":"Yogi","non-dropping-particle":"","parse-names":false,"suffix":""},{"dropping-particle":"","family":"Aizani","given":"Pasha","non-dropping-particle":"","parse-names":false,"suffix":""}],"id":"ITEM-1","issue":"2","issued":{"date-parts":[["2024"]]},"page":"161-169","title":"Aspek Hak Kekayaan Intelektual Dalam Hukum Perdata: Perlindungan Terhadap Karya-Karya Seni Dan Inovasi Teknologi","type":"article-journal","volume":"2"},"uris":["http://www.mendeley.com/documents/?uuid=beb7a884-a9a0-4385-93ad-c76ba83eba63"]}],"mendeley":{"formattedCitation":"Saputra and Aizani, “Aspek Hak Kekayaan Intelektual Dalam Hukum Perdata: Perlindungan Terhadap Karya-Karya Seni Dan Inovasi Teknologi.”","plainTextFormattedCitation":"Saputra and Aizani, “Aspek Hak Kekayaan Intelektual Dalam Hukum Perdata: Perlindungan Terhadap Karya-Karya Seni Dan Inovasi Teknologi.”","previouslyFormattedCitation":"Saputra and Aizani, “Aspek Hak Kekayaan Intelektual Dalam Hukum Perdata: Perlindungan Terhadap Karya-Karya Seni Dan Inovasi Teknologi.”"},"properties":{"noteIndex":82},"schema":"https://github.com/citation-style-language/schema/raw/master/csl-citation.json"}</w:instrText>
      </w:r>
      <w:r w:rsidRPr="00E23A5F">
        <w:rPr>
          <w:rFonts w:ascii="Book Antiqua" w:hAnsi="Book Antiqua"/>
          <w:sz w:val="16"/>
          <w:szCs w:val="16"/>
        </w:rPr>
        <w:fldChar w:fldCharType="separate"/>
      </w:r>
      <w:r w:rsidRPr="00E23A5F">
        <w:rPr>
          <w:rFonts w:ascii="Book Antiqua" w:hAnsi="Book Antiqua"/>
          <w:noProof/>
          <w:sz w:val="16"/>
          <w:szCs w:val="16"/>
        </w:rPr>
        <w:t>Saputra and Aizani, “Aspek Hak Kekayaan Intelektual Dalam Hukum Perdata: Perlindungan Terhadap Karya-Karya Seni Dan Inovasi Teknologi.”</w:t>
      </w:r>
      <w:r w:rsidRPr="00E23A5F">
        <w:rPr>
          <w:rFonts w:ascii="Book Antiqua" w:hAnsi="Book Antiqua"/>
          <w:sz w:val="16"/>
          <w:szCs w:val="16"/>
        </w:rPr>
        <w:fldChar w:fldCharType="end"/>
      </w:r>
    </w:p>
  </w:footnote>
  <w:footnote w:id="83">
    <w:p w14:paraId="5D764585" w14:textId="43B628A1" w:rsidR="00C04C78" w:rsidRPr="00E23A5F" w:rsidRDefault="00C04C78" w:rsidP="00E23A5F">
      <w:pPr>
        <w:pStyle w:val="FootnoteText"/>
        <w:jc w:val="both"/>
        <w:rPr>
          <w:rFonts w:ascii="Book Antiqua" w:hAnsi="Book Antiqua"/>
          <w:sz w:val="16"/>
          <w:szCs w:val="16"/>
        </w:rPr>
      </w:pPr>
      <w:r w:rsidRPr="00E23A5F">
        <w:rPr>
          <w:rStyle w:val="FootnoteReference"/>
          <w:rFonts w:ascii="Book Antiqua" w:hAnsi="Book Antiqua"/>
          <w:sz w:val="16"/>
          <w:szCs w:val="16"/>
        </w:rPr>
        <w:footnoteRef/>
      </w:r>
      <w:r w:rsidRPr="00E23A5F">
        <w:rPr>
          <w:rFonts w:ascii="Book Antiqua" w:hAnsi="Book Antiqua"/>
          <w:sz w:val="16"/>
          <w:szCs w:val="16"/>
        </w:rPr>
        <w:t xml:space="preserve"> </w:t>
      </w:r>
      <w:r w:rsidRPr="00E23A5F">
        <w:rPr>
          <w:rFonts w:ascii="Book Antiqua" w:hAnsi="Book Antiqua"/>
          <w:sz w:val="16"/>
          <w:szCs w:val="16"/>
        </w:rPr>
        <w:fldChar w:fldCharType="begin" w:fldLock="1"/>
      </w:r>
      <w:r w:rsidR="002C142A">
        <w:rPr>
          <w:rFonts w:ascii="Book Antiqua" w:hAnsi="Book Antiqua"/>
          <w:sz w:val="16"/>
          <w:szCs w:val="16"/>
        </w:rPr>
        <w:instrText>ADDIN CSL_CITATION {"citationItems":[{"id":"ITEM-1","itemData":{"DOI":"https://doi.org/10.29303/","author":[{"dropping-particle":"","family":"Mulyono","given":"Aji","non-dropping-particle":"","parse-names":false,"suffix":""},{"dropping-particle":"","family":"Sutrisno","given":"Budi","non-dropping-particle":"","parse-names":false,"suffix":""},{"dropping-particle":"","family":"Martini","given":"Dwi","non-dropping-particle":"","parse-names":false,"suffix":""}],"id":"ITEM-1","issued":{"date-parts":[["2021"]]},"title":"Perlindungan Hukum terhadap Pemakai Terdahulu suatu Invensi yang Sama dalam Sistem Paten (Studi Putusan PN Niaga Surabaya Nomor 1/PDT.Sus-Paten/2019/PN.Niaga.SBY)","type":"article-journal","volume":"1"},"uris":["http://www.mendeley.com/documents/?uuid=82648a45-7622-4455-8aad-37171000dd14"]}],"mendeley":{"formattedCitation":"Mulyono, Sutrisno, and Martini, “Perlindungan Hukum Terhadap Pemakai Terdahulu Suatu Invensi Yang Sama Dalam Sistem Paten (Studi Putusan PN Niaga Surabaya Nomor 1/PDT.Sus-Paten/2019/PN.Niaga.SBY).”","plainTextFormattedCitation":"Mulyono, Sutrisno, and Martini, “Perlindungan Hukum Terhadap Pemakai Terdahulu Suatu Invensi Yang Sama Dalam Sistem Paten (Studi Putusan PN Niaga Surabaya Nomor 1/PDT.Sus-Paten/2019/PN.Niaga.SBY).”","previouslyFormattedCitation":"Mulyono, Sutrisno, and Martini, “Perlindungan Hukum Terhadap Pemakai Terdahulu Suatu Invensi Yang Sama Dalam Sistem Paten (Studi Putusan PN Niaga Surabaya Nomor 1/PDT.Sus-Paten/2019/PN.Niaga.SBY).”"},"properties":{"noteIndex":83},"schema":"https://github.com/citation-style-language/schema/raw/master/csl-citation.json"}</w:instrText>
      </w:r>
      <w:r w:rsidRPr="00E23A5F">
        <w:rPr>
          <w:rFonts w:ascii="Book Antiqua" w:hAnsi="Book Antiqua"/>
          <w:sz w:val="16"/>
          <w:szCs w:val="16"/>
        </w:rPr>
        <w:fldChar w:fldCharType="separate"/>
      </w:r>
      <w:r w:rsidRPr="00E23A5F">
        <w:rPr>
          <w:rFonts w:ascii="Book Antiqua" w:hAnsi="Book Antiqua"/>
          <w:noProof/>
          <w:sz w:val="16"/>
          <w:szCs w:val="16"/>
        </w:rPr>
        <w:t>Mulyono, Sutrisno, and Martini, “Perlindungan Hukum Terhadap Pemakai Terdahulu Suatu Invensi Yang Sama Dalam Sistem Paten (Studi Putusan PN Niaga Surabaya Nomor 1/PDT.Sus-Paten/2019/PN.Niaga.SBY).”</w:t>
      </w:r>
      <w:r w:rsidRPr="00E23A5F">
        <w:rPr>
          <w:rFonts w:ascii="Book Antiqua" w:hAnsi="Book Antiqua"/>
          <w:sz w:val="16"/>
          <w:szCs w:val="16"/>
        </w:rPr>
        <w:fldChar w:fldCharType="end"/>
      </w:r>
    </w:p>
  </w:footnote>
  <w:footnote w:id="84">
    <w:p w14:paraId="2853A9F2" w14:textId="38D4318C" w:rsidR="00C04C78" w:rsidRDefault="00C04C78" w:rsidP="00E23A5F">
      <w:pPr>
        <w:pStyle w:val="FootnoteText"/>
        <w:jc w:val="both"/>
      </w:pPr>
      <w:r w:rsidRPr="00E23A5F">
        <w:rPr>
          <w:rStyle w:val="FootnoteReference"/>
          <w:rFonts w:ascii="Book Antiqua" w:hAnsi="Book Antiqua"/>
          <w:sz w:val="16"/>
          <w:szCs w:val="16"/>
        </w:rPr>
        <w:footnoteRef/>
      </w:r>
      <w:r w:rsidRPr="00E23A5F">
        <w:rPr>
          <w:rFonts w:ascii="Book Antiqua" w:hAnsi="Book Antiqua"/>
          <w:sz w:val="16"/>
          <w:szCs w:val="16"/>
        </w:rPr>
        <w:t xml:space="preserve"> </w:t>
      </w:r>
      <w:r w:rsidRPr="00E23A5F">
        <w:rPr>
          <w:rFonts w:ascii="Book Antiqua" w:hAnsi="Book Antiqua"/>
          <w:sz w:val="16"/>
          <w:szCs w:val="16"/>
        </w:rPr>
        <w:fldChar w:fldCharType="begin" w:fldLock="1"/>
      </w:r>
      <w:r w:rsidR="002C142A">
        <w:rPr>
          <w:rFonts w:ascii="Book Antiqua" w:hAnsi="Book Antiqua"/>
          <w:sz w:val="16"/>
          <w:szCs w:val="16"/>
        </w:rPr>
        <w:instrText>ADDIN CSL_CITATION {"citationItems":[{"id":"ITEM-1","itemData":{"author":[{"dropping-particle":"","family":"Akbar","given":"Indra Padillah","non-dropping-particle":"","parse-names":false,"suffix":""},{"dropping-particle":"","family":"Sarifudin","given":"Asep","non-dropping-particle":"","parse-names":false,"suffix":""}],"container-title":"NUSANTARA: Jurnal Ilmu Pengetahuan Sosial","id":"ITEM-1","issue":"2","issued":{"date-parts":[["2024"]]},"page":"779-788","title":"Legalitas Kecerdasan Buatan (Artificial Intelligence) sebagai Subjek Hukum Pemegang Hak Paten","type":"article-journal","volume":"11"},"uris":["http://www.mendeley.com/documents/?uuid=89695ba1-7a6b-44e5-aa36-43425906091c"]}],"mendeley":{"formattedCitation":"Akbar and Sarifudin, “Legalitas Kecerdasan Buatan (Artificial Intelligence) Sebagai Subjek Hukum Pemegang Hak Paten.”","plainTextFormattedCitation":"Akbar and Sarifudin, “Legalitas Kecerdasan Buatan (Artificial Intelligence) Sebagai Subjek Hukum Pemegang Hak Paten.”","previouslyFormattedCitation":"Akbar and Sarifudin, “Legalitas Kecerdasan Buatan (Artificial Intelligence) Sebagai Subjek Hukum Pemegang Hak Paten.”"},"properties":{"noteIndex":84},"schema":"https://github.com/citation-style-language/schema/raw/master/csl-citation.json"}</w:instrText>
      </w:r>
      <w:r w:rsidRPr="00E23A5F">
        <w:rPr>
          <w:rFonts w:ascii="Book Antiqua" w:hAnsi="Book Antiqua"/>
          <w:sz w:val="16"/>
          <w:szCs w:val="16"/>
        </w:rPr>
        <w:fldChar w:fldCharType="separate"/>
      </w:r>
      <w:r w:rsidRPr="00E23A5F">
        <w:rPr>
          <w:rFonts w:ascii="Book Antiqua" w:hAnsi="Book Antiqua"/>
          <w:noProof/>
          <w:sz w:val="16"/>
          <w:szCs w:val="16"/>
        </w:rPr>
        <w:t>Akbar and Sarifudin, “Legalitas Kecerdasan Buatan (Artificial Intelligence) Sebagai Subjek Hukum Pemegang Hak Paten.”</w:t>
      </w:r>
      <w:r w:rsidRPr="00E23A5F">
        <w:rPr>
          <w:rFonts w:ascii="Book Antiqua" w:hAnsi="Book Antiqua"/>
          <w:sz w:val="16"/>
          <w:szCs w:val="16"/>
        </w:rPr>
        <w:fldChar w:fldCharType="end"/>
      </w:r>
    </w:p>
  </w:footnote>
  <w:footnote w:id="85">
    <w:p w14:paraId="49BD2CD5" w14:textId="74058CE5" w:rsidR="00C04C78" w:rsidRPr="002E2A34" w:rsidRDefault="00C04C78" w:rsidP="002E2A34">
      <w:pPr>
        <w:pStyle w:val="FootnoteText"/>
        <w:jc w:val="both"/>
        <w:rPr>
          <w:rFonts w:ascii="Book Antiqua" w:hAnsi="Book Antiqua"/>
          <w:sz w:val="16"/>
          <w:szCs w:val="16"/>
        </w:rPr>
      </w:pPr>
      <w:r w:rsidRPr="002E2A34">
        <w:rPr>
          <w:rStyle w:val="FootnoteReference"/>
          <w:rFonts w:ascii="Book Antiqua" w:hAnsi="Book Antiqua"/>
          <w:sz w:val="16"/>
          <w:szCs w:val="16"/>
        </w:rPr>
        <w:footnoteRef/>
      </w:r>
      <w:r w:rsidRPr="002E2A34">
        <w:rPr>
          <w:rFonts w:ascii="Book Antiqua" w:hAnsi="Book Antiqua"/>
          <w:sz w:val="16"/>
          <w:szCs w:val="16"/>
        </w:rPr>
        <w:t xml:space="preserve"> </w:t>
      </w:r>
      <w:r w:rsidRPr="002E2A34">
        <w:rPr>
          <w:rFonts w:ascii="Book Antiqua" w:hAnsi="Book Antiqua"/>
          <w:sz w:val="16"/>
          <w:szCs w:val="16"/>
        </w:rPr>
        <w:fldChar w:fldCharType="begin" w:fldLock="1"/>
      </w:r>
      <w:r w:rsidR="002C142A">
        <w:rPr>
          <w:rFonts w:ascii="Book Antiqua" w:hAnsi="Book Antiqua"/>
          <w:sz w:val="16"/>
          <w:szCs w:val="16"/>
        </w:rPr>
        <w:instrText>ADDIN CSL_CITATION {"citationItems":[{"id":"ITEM-1","itemData":{"author":[{"dropping-particle":"","family":"Savala","given":"Maulana Saputra","non-dropping-particle":"","parse-names":false,"suffix":""}],"id":"ITEM-1","issued":{"date-parts":[["2019"]]},"title":"Pembaharuan Hukum Penggunaan Hak Paten Sebagai Objek Jaminan Fidusia Dalam Perspektif Hukum Jaminan di Indonesia Berbasis Nilai Keadilan Bermartabat","type":"article-journal"},"uris":["http://www.mendeley.com/documents/?uuid=61cb3b2e-6b22-46f7-a2a3-c0fd544a0aa3"]}],"mendeley":{"formattedCitation":"Savala, “Pembaharuan Hukum Penggunaan Hak Paten Sebagai Objek Jaminan Fidusia Dalam Perspektif Hukum Jaminan Di Indonesia Berbasis Nilai Keadilan Bermartabat.”","plainTextFormattedCitation":"Savala, “Pembaharuan Hukum Penggunaan Hak Paten Sebagai Objek Jaminan Fidusia Dalam Perspektif Hukum Jaminan Di Indonesia Berbasis Nilai Keadilan Bermartabat.”","previouslyFormattedCitation":"Savala, “Pembaharuan Hukum Penggunaan Hak Paten Sebagai Objek Jaminan Fidusia Dalam Perspektif Hukum Jaminan Di Indonesia Berbasis Nilai Keadilan Bermartabat.”"},"properties":{"noteIndex":85},"schema":"https://github.com/citation-style-language/schema/raw/master/csl-citation.json"}</w:instrText>
      </w:r>
      <w:r w:rsidRPr="002E2A34">
        <w:rPr>
          <w:rFonts w:ascii="Book Antiqua" w:hAnsi="Book Antiqua"/>
          <w:sz w:val="16"/>
          <w:szCs w:val="16"/>
        </w:rPr>
        <w:fldChar w:fldCharType="separate"/>
      </w:r>
      <w:r w:rsidRPr="002E2A34">
        <w:rPr>
          <w:rFonts w:ascii="Book Antiqua" w:hAnsi="Book Antiqua"/>
          <w:noProof/>
          <w:sz w:val="16"/>
          <w:szCs w:val="16"/>
        </w:rPr>
        <w:t>Savala, “Pembaharuan Hukum Penggunaan Hak Paten Sebagai Objek Jaminan Fidusia Dalam Perspektif Hukum Jaminan Di Indonesia Berbasis Nilai Keadilan Bermartabat.”</w:t>
      </w:r>
      <w:r w:rsidRPr="002E2A34">
        <w:rPr>
          <w:rFonts w:ascii="Book Antiqua" w:hAnsi="Book Antiqua"/>
          <w:sz w:val="16"/>
          <w:szCs w:val="16"/>
        </w:rPr>
        <w:fldChar w:fldCharType="end"/>
      </w:r>
    </w:p>
  </w:footnote>
  <w:footnote w:id="86">
    <w:p w14:paraId="61F4E271" w14:textId="5BA1A61E" w:rsidR="00C04C78" w:rsidRPr="002E2A34" w:rsidRDefault="00C04C78" w:rsidP="002E2A34">
      <w:pPr>
        <w:pStyle w:val="FootnoteText"/>
        <w:jc w:val="both"/>
        <w:rPr>
          <w:rFonts w:ascii="Book Antiqua" w:hAnsi="Book Antiqua"/>
          <w:sz w:val="16"/>
          <w:szCs w:val="16"/>
        </w:rPr>
      </w:pPr>
      <w:r w:rsidRPr="002E2A34">
        <w:rPr>
          <w:rStyle w:val="FootnoteReference"/>
          <w:rFonts w:ascii="Book Antiqua" w:hAnsi="Book Antiqua"/>
          <w:sz w:val="16"/>
          <w:szCs w:val="16"/>
        </w:rPr>
        <w:footnoteRef/>
      </w:r>
      <w:r w:rsidRPr="002E2A34">
        <w:rPr>
          <w:rFonts w:ascii="Book Antiqua" w:hAnsi="Book Antiqua"/>
          <w:sz w:val="16"/>
          <w:szCs w:val="16"/>
        </w:rPr>
        <w:t xml:space="preserve"> </w:t>
      </w:r>
      <w:r w:rsidRPr="002E2A34">
        <w:rPr>
          <w:rFonts w:ascii="Book Antiqua" w:hAnsi="Book Antiqua"/>
          <w:sz w:val="16"/>
          <w:szCs w:val="16"/>
        </w:rPr>
        <w:fldChar w:fldCharType="begin" w:fldLock="1"/>
      </w:r>
      <w:r w:rsidR="002C142A">
        <w:rPr>
          <w:rFonts w:ascii="Book Antiqua" w:hAnsi="Book Antiqua"/>
          <w:sz w:val="16"/>
          <w:szCs w:val="16"/>
        </w:rPr>
        <w:instrText>ADDIN CSL_CITATION {"citationItems":[{"id":"ITEM-1","itemData":{"DOI":"10.29303/jtsw.v36i3.341","ISSN":"0853-392X","abstract":"Putusan Pengadilan Niaga Surabaya â€œNomor 18/Pdt.Sus-PKPU/2021/PN.Niaga Sbyâ€</w:instrText>
      </w:r>
      <w:r w:rsidR="002C142A">
        <w:rPr>
          <w:rFonts w:ascii="Book Antiqua" w:hAnsi="Book Antiqua" w:cs="Book Antiqua"/>
          <w:sz w:val="16"/>
          <w:szCs w:val="16"/>
        </w:rPr>
        <w:instrText></w:instrText>
      </w:r>
      <w:r w:rsidR="002C142A">
        <w:rPr>
          <w:rFonts w:ascii="Book Antiqua" w:hAnsi="Book Antiqua"/>
          <w:sz w:val="16"/>
          <w:szCs w:val="16"/>
        </w:rPr>
        <w:instrText xml:space="preserve"> dalam perkara Penundaan Kewajiban Pembayaran Utang dengan termohon PT. GBP sangat menarik untuk dikaji karena menimbulkan pro dan kontra di masyarakat, terutama dikalangan enam ribu (6.000) pedagang Pasar Turi Baru yang telah membeli stand sejak tahun 2012 yang mana sampai saat ini tidak dapat memanfaatkan stand tersebut dengan optimal. Tujuan penelitian ini adalah untuk mengetahui apakah putusan tersebut sudah memenuhi rasa keadilan. Pendekatan yang dipakai adalah pendekatan perundang-undangan dan pendekatan konseptual. Sedangkan sebagai pisau analisis memakai Teori Hukum Gustav Radbruch. Pengajuan proposal perdamaian yang diajukan oleh Debitur dikabulkan oleh Hakim Pengawas meskipun dalam proses persidangan terdapat banyak hal yang seharusnya perlu digali lebih dalam. Seperti status keabsahan dan nilai nominal kewajiban dari para Kreditur Separatis, dan isi proposal perdamaian yang merugikan pihak Kreditur. Putusan PKPU ini menimbulkan tanda tanya besar jika ditelaah dari Teori Hukum Gustav Radbruch yang seharusnya hukum itu bertujuan memberikan keadilan, kemanfaatan, dan kepastian hukum. Penulis berkesimpulan bahwa putusan ini bertolak belakang dengan Teori Hukum Gustav Radbruch.","author":[{"dropping-particle":"","family":"Santoso","given":"Hari Agus","non-dropping-particle":"","parse-names":false,"suffix":""}],"container-title":"JATISWARA","id":"ITEM-1","issue":"3","issued":{"date-parts":[["2021","11","29"]]},"page":"325-334","title":"Perspektif Keadilan Hukum Teori Gustav Radbruch Dalam Putusan PKPU \"PTB\"","type":"article-journal","volume":"36"},"uris":["http://www.mendeley.com/documents/?uuid=968b6ad1-68c8-3518-8492-4567e7a3c229"]}],"mendeley":{"formattedCitation":"Santoso, “Perspektif Keadilan Hukum Teori Gustav Radbruch Dalam Putusan PKPU ‘PTB.’”","plainTextFormattedCitation":"Santoso, “Perspektif Keadilan Hukum Teori Gustav Radbruch Dalam Putusan PKPU ‘PTB.’”","previouslyFormattedCitation":"Santoso, “Perspektif Keadilan Hukum Teori Gustav Radbruch Dalam Putusan PKPU ‘PTB.’”"},"properties":{"noteIndex":86},"schema":"https://github.com/citation-style-language/schema/raw/master/csl-citation.json"}</w:instrText>
      </w:r>
      <w:r w:rsidRPr="002E2A34">
        <w:rPr>
          <w:rFonts w:ascii="Book Antiqua" w:hAnsi="Book Antiqua"/>
          <w:sz w:val="16"/>
          <w:szCs w:val="16"/>
        </w:rPr>
        <w:fldChar w:fldCharType="separate"/>
      </w:r>
      <w:r w:rsidRPr="002E2A34">
        <w:rPr>
          <w:rFonts w:ascii="Book Antiqua" w:hAnsi="Book Antiqua"/>
          <w:noProof/>
          <w:sz w:val="16"/>
          <w:szCs w:val="16"/>
        </w:rPr>
        <w:t>Santoso, “Perspektif Keadilan Hukum Teori Gustav Radbruch Dalam Putusan PKPU ‘PTB.’”</w:t>
      </w:r>
      <w:r w:rsidRPr="002E2A34">
        <w:rPr>
          <w:rFonts w:ascii="Book Antiqua" w:hAnsi="Book Antiqua"/>
          <w:sz w:val="16"/>
          <w:szCs w:val="16"/>
        </w:rPr>
        <w:fldChar w:fldCharType="end"/>
      </w:r>
    </w:p>
  </w:footnote>
  <w:footnote w:id="87">
    <w:p w14:paraId="51EB6810" w14:textId="0C811FE5" w:rsidR="00C04C78" w:rsidRPr="002E2A34" w:rsidRDefault="00C04C78" w:rsidP="002E2A34">
      <w:pPr>
        <w:pStyle w:val="FootnoteText"/>
        <w:jc w:val="both"/>
        <w:rPr>
          <w:rFonts w:ascii="Book Antiqua" w:hAnsi="Book Antiqua"/>
          <w:sz w:val="16"/>
          <w:szCs w:val="16"/>
        </w:rPr>
      </w:pPr>
      <w:r w:rsidRPr="002E2A34">
        <w:rPr>
          <w:rStyle w:val="FootnoteReference"/>
          <w:rFonts w:ascii="Book Antiqua" w:hAnsi="Book Antiqua"/>
          <w:sz w:val="16"/>
          <w:szCs w:val="16"/>
        </w:rPr>
        <w:footnoteRef/>
      </w:r>
      <w:r w:rsidRPr="002E2A34">
        <w:rPr>
          <w:rFonts w:ascii="Book Antiqua" w:hAnsi="Book Antiqua"/>
          <w:sz w:val="16"/>
          <w:szCs w:val="16"/>
        </w:rPr>
        <w:t xml:space="preserve"> </w:t>
      </w:r>
      <w:r w:rsidRPr="002E2A34">
        <w:rPr>
          <w:rFonts w:ascii="Book Antiqua" w:hAnsi="Book Antiqua"/>
          <w:sz w:val="16"/>
          <w:szCs w:val="16"/>
        </w:rPr>
        <w:fldChar w:fldCharType="begin" w:fldLock="1"/>
      </w:r>
      <w:r w:rsidR="002C142A">
        <w:rPr>
          <w:rFonts w:ascii="Book Antiqua" w:hAnsi="Book Antiqua"/>
          <w:sz w:val="16"/>
          <w:szCs w:val="16"/>
        </w:rPr>
        <w:instrText>ADDIN CSL_CITATION {"citationItems":[{"id":"ITEM-1","itemData":{"author":[{"dropping-particle":"","family":"Rulendari","given":"Mieke Novice","non-dropping-particle":"","parse-names":false,"suffix":""}],"id":"ITEM-1","issued":{"date-parts":[["2020"]]},"title":"Perlindungan Hukum Terhadap Pemegang Hak Paten Konstruksi Sarang Laba-Laba Yang Digunakan Tanpa Izin Oleh Perusahaan Lain","type":"article-journal"},"uris":["http://www.mendeley.com/documents/?uuid=fdb1fc5d-5a8b-4e17-aef1-3436802cb13a"]}],"mendeley":{"formattedCitation":"Rulendari, “Perlindungan Hukum Terhadap Pemegang Hak Paten Konstruksi Sarang Laba-Laba Yang Digunakan Tanpa Izin Oleh Perusahaan Lain.”","plainTextFormattedCitation":"Rulendari, “Perlindungan Hukum Terhadap Pemegang Hak Paten Konstruksi Sarang Laba-Laba Yang Digunakan Tanpa Izin Oleh Perusahaan Lain.”","previouslyFormattedCitation":"Rulendari, “Perlindungan Hukum Terhadap Pemegang Hak Paten Konstruksi Sarang Laba-Laba Yang Digunakan Tanpa Izin Oleh Perusahaan Lain.”"},"properties":{"noteIndex":87},"schema":"https://github.com/citation-style-language/schema/raw/master/csl-citation.json"}</w:instrText>
      </w:r>
      <w:r w:rsidRPr="002E2A34">
        <w:rPr>
          <w:rFonts w:ascii="Book Antiqua" w:hAnsi="Book Antiqua"/>
          <w:sz w:val="16"/>
          <w:szCs w:val="16"/>
        </w:rPr>
        <w:fldChar w:fldCharType="separate"/>
      </w:r>
      <w:r w:rsidRPr="002E2A34">
        <w:rPr>
          <w:rFonts w:ascii="Book Antiqua" w:hAnsi="Book Antiqua"/>
          <w:noProof/>
          <w:sz w:val="16"/>
          <w:szCs w:val="16"/>
        </w:rPr>
        <w:t>Rulendari, “Perlindungan Hukum Terhadap Pemegang Hak Paten Konstruksi Sarang Laba-Laba Yang Digunakan Tanpa Izin Oleh Perusahaan Lain.”</w:t>
      </w:r>
      <w:r w:rsidRPr="002E2A34">
        <w:rPr>
          <w:rFonts w:ascii="Book Antiqua" w:hAnsi="Book Antiqua"/>
          <w:sz w:val="16"/>
          <w:szCs w:val="16"/>
        </w:rPr>
        <w:fldChar w:fldCharType="end"/>
      </w:r>
    </w:p>
  </w:footnote>
  <w:footnote w:id="88">
    <w:p w14:paraId="504EA73B" w14:textId="6BDB5088" w:rsidR="00C04C78" w:rsidRPr="002E2A34" w:rsidRDefault="00C04C78" w:rsidP="002E2A34">
      <w:pPr>
        <w:pStyle w:val="FootnoteText"/>
        <w:jc w:val="both"/>
        <w:rPr>
          <w:rFonts w:ascii="Book Antiqua" w:hAnsi="Book Antiqua"/>
          <w:sz w:val="16"/>
          <w:szCs w:val="16"/>
        </w:rPr>
      </w:pPr>
      <w:r w:rsidRPr="002E2A34">
        <w:rPr>
          <w:rStyle w:val="FootnoteReference"/>
          <w:rFonts w:ascii="Book Antiqua" w:hAnsi="Book Antiqua"/>
          <w:sz w:val="16"/>
          <w:szCs w:val="16"/>
        </w:rPr>
        <w:footnoteRef/>
      </w:r>
      <w:r w:rsidRPr="002E2A34">
        <w:rPr>
          <w:rFonts w:ascii="Book Antiqua" w:hAnsi="Book Antiqua"/>
          <w:sz w:val="16"/>
          <w:szCs w:val="16"/>
        </w:rPr>
        <w:t xml:space="preserve"> </w:t>
      </w:r>
      <w:r w:rsidRPr="002E2A34">
        <w:rPr>
          <w:rFonts w:ascii="Book Antiqua" w:hAnsi="Book Antiqua"/>
          <w:sz w:val="16"/>
          <w:szCs w:val="16"/>
        </w:rPr>
        <w:fldChar w:fldCharType="begin" w:fldLock="1"/>
      </w:r>
      <w:r w:rsidR="002C142A">
        <w:rPr>
          <w:rFonts w:ascii="Book Antiqua" w:hAnsi="Book Antiqua"/>
          <w:sz w:val="16"/>
          <w:szCs w:val="16"/>
        </w:rPr>
        <w:instrText>ADDIN CSL_CITATION {"citationItems":[{"id":"ITEM-1","itemData":{"DOI":"10.37631/widyapranata.v1i2.47","ISSN":"2654-5195","abstract":"Persoalan mengenai Hak Kekayaan Intelektual tidak bisa lepas dari persoalan ekonomi, sebab identik dengan komersialisasi karya intelektual. Sengketa Hak Kekayaan Intelektual di Mahkamah Agung terdapat beberapa perkara yang telah diputus, hak cipta sebanyak 71 perkara, hak merek sebanyak 422 perkara, desain industri sebanyak 50 perkara dan hak paten sebanyak 23 perkara. Masalah dari jurnal ini adalah Pertama, bagaimanakah pengaturan dan penegakan hukum Hak Kekayaan Intelektual di Indonesia. Kedua, apakah dengan adanya PERMA Nomor 2 Tahun 2015 telah sesuai dengan Prinsip Small Claim Court (SCC) dalam Penyelesaian Sengketa Hak Kekayaan Intelektual di Indonesia. Metode penelitian yang digunakan dalam jurnal ini adalah metode penelitian hukum normatif, dengan menggunakan pendekatan : Statute Approach, Conceptual Approach serta Comparative Approach. Hasil penelitian menunjukan bahwa Penyelesaian sengketa Hak Cipta, Hak Merek dan Hak Paten dapat dilakukan melalui alternatif penyelesaian sengketa, arbitrase ,atau pengadilan. Small Claim Court didalam pelaksanaanya diatur didalam PERMA Nomor 2 Tahun 2015 tentang Tata Cara Penyelesaian Gugatan Sederhana.","author":[{"dropping-particle":"","family":"Pajrin","given":"Rani","non-dropping-particle":"","parse-names":false,"suffix":""}],"container-title":"Widya Pranata Hukum : Jurnal Kajian dan Penelitian Hukum","id":"ITEM-1","issue":"2","issued":{"date-parts":[["2019"]]},"page":"163-175","title":"Prinsip Small Claim Court (SCC) Dalam Penyelesaian Sengketa Hak Kekayaan Intelektual Di Indonesia (Fokus Kajian Hak Merek dan Hak Cipta)","type":"article-journal","volume":"1"},"uris":["http://www.mendeley.com/documents/?uuid=f5a18aa3-31e1-4a57-9239-67d2553026a9"]}],"mendeley":{"formattedCitation":"Pajrin, “Prinsip Small Claim Court (SCC) Dalam Penyelesaian Sengketa Hak Kekayaan Intelektual Di Indonesia (Fokus Kajian Hak Merek Dan Hak Cipta).”","plainTextFormattedCitation":"Pajrin, “Prinsip Small Claim Court (SCC) Dalam Penyelesaian Sengketa Hak Kekayaan Intelektual Di Indonesia (Fokus Kajian Hak Merek Dan Hak Cipta).”","previouslyFormattedCitation":"Pajrin, “Prinsip Small Claim Court (SCC) Dalam Penyelesaian Sengketa Hak Kekayaan Intelektual Di Indonesia (Fokus Kajian Hak Merek Dan Hak Cipta).”"},"properties":{"noteIndex":88},"schema":"https://github.com/citation-style-language/schema/raw/master/csl-citation.json"}</w:instrText>
      </w:r>
      <w:r w:rsidRPr="002E2A34">
        <w:rPr>
          <w:rFonts w:ascii="Book Antiqua" w:hAnsi="Book Antiqua"/>
          <w:sz w:val="16"/>
          <w:szCs w:val="16"/>
        </w:rPr>
        <w:fldChar w:fldCharType="separate"/>
      </w:r>
      <w:r w:rsidRPr="00E21F2F">
        <w:rPr>
          <w:rFonts w:ascii="Book Antiqua" w:hAnsi="Book Antiqua"/>
          <w:noProof/>
          <w:sz w:val="16"/>
          <w:szCs w:val="16"/>
        </w:rPr>
        <w:t>Pajrin, “Prinsip Small Claim Court (SCC) Dalam Penyelesaian Sengketa Hak Kekayaan Intelektual Di Indonesia (Fokus Kajian Hak Merek Dan Hak Cipta).”</w:t>
      </w:r>
      <w:r w:rsidRPr="002E2A34">
        <w:rPr>
          <w:rFonts w:ascii="Book Antiqua" w:hAnsi="Book Antiqua"/>
          <w:sz w:val="16"/>
          <w:szCs w:val="16"/>
        </w:rPr>
        <w:fldChar w:fldCharType="end"/>
      </w:r>
    </w:p>
  </w:footnote>
  <w:footnote w:id="89">
    <w:p w14:paraId="0C4D28F7" w14:textId="3C9641D6" w:rsidR="00C04C78" w:rsidRPr="002E2A34" w:rsidRDefault="00C04C78" w:rsidP="002E2A34">
      <w:pPr>
        <w:pStyle w:val="FootnoteText"/>
        <w:jc w:val="both"/>
        <w:rPr>
          <w:rFonts w:ascii="Book Antiqua" w:hAnsi="Book Antiqua"/>
          <w:sz w:val="16"/>
          <w:szCs w:val="16"/>
        </w:rPr>
      </w:pPr>
      <w:r w:rsidRPr="002E2A34">
        <w:rPr>
          <w:rStyle w:val="FootnoteReference"/>
          <w:rFonts w:ascii="Book Antiqua" w:hAnsi="Book Antiqua"/>
          <w:sz w:val="16"/>
          <w:szCs w:val="16"/>
        </w:rPr>
        <w:footnoteRef/>
      </w:r>
      <w:r w:rsidRPr="002E2A34">
        <w:rPr>
          <w:rFonts w:ascii="Book Antiqua" w:hAnsi="Book Antiqua"/>
          <w:sz w:val="16"/>
          <w:szCs w:val="16"/>
        </w:rPr>
        <w:t xml:space="preserve"> </w:t>
      </w:r>
      <w:r w:rsidRPr="002E2A34">
        <w:rPr>
          <w:rFonts w:ascii="Book Antiqua" w:hAnsi="Book Antiqua"/>
          <w:sz w:val="16"/>
          <w:szCs w:val="16"/>
        </w:rPr>
        <w:fldChar w:fldCharType="begin" w:fldLock="1"/>
      </w:r>
      <w:r w:rsidR="002C142A">
        <w:rPr>
          <w:rFonts w:ascii="Book Antiqua" w:hAnsi="Book Antiqua"/>
          <w:sz w:val="16"/>
          <w:szCs w:val="16"/>
        </w:rPr>
        <w:instrText>ADDIN CSL_CITATION {"citationItems":[{"id":"ITEM-1","itemData":{"author":[{"dropping-particle":"","family":"Purwaningsih","given":"Endang","non-dropping-particle":"","parse-names":false,"suffix":""},{"dropping-particle":"","family":"Ariyanti","given":"Evie Rachmawati Nur","non-dropping-particle":"","parse-names":false,"suffix":""}],"id":"ITEM-1","issue":"2","issued":{"date-parts":[["2021"]]},"page":"53-70","title":"Jurnal Surya Kencana Satu : Dinamika Masalah Hukum dan Keadilan Volume 11 Nomor 1 Maret 2020 53","type":"article-journal","volume":"11"},"uris":["http://www.mendeley.com/documents/?uuid=dbaed6c5-b027-4559-b006-341d2f62f8cc"]}],"mendeley":{"formattedCitation":"Purwaningsih and Ariyanti, “Jurnal Surya Kencana Satu</w:instrText>
      </w:r>
      <w:r w:rsidR="002C142A">
        <w:rPr>
          <w:sz w:val="16"/>
          <w:szCs w:val="16"/>
        </w:rPr>
        <w:instrText> </w:instrText>
      </w:r>
      <w:r w:rsidR="002C142A">
        <w:rPr>
          <w:rFonts w:ascii="Book Antiqua" w:hAnsi="Book Antiqua"/>
          <w:sz w:val="16"/>
          <w:szCs w:val="16"/>
        </w:rPr>
        <w:instrText>: Dinamika Masalah Hukum Dan Keadilan Volume 11 Nomor 1 Maret 2020 53.</w:instrText>
      </w:r>
      <w:r w:rsidR="002C142A">
        <w:rPr>
          <w:rFonts w:ascii="Book Antiqua" w:hAnsi="Book Antiqua" w:cs="Book Antiqua"/>
          <w:sz w:val="16"/>
          <w:szCs w:val="16"/>
        </w:rPr>
        <w:instrText>”</w:instrText>
      </w:r>
      <w:r w:rsidR="002C142A">
        <w:rPr>
          <w:rFonts w:ascii="Book Antiqua" w:hAnsi="Book Antiqua"/>
          <w:sz w:val="16"/>
          <w:szCs w:val="16"/>
        </w:rPr>
        <w:instrText>","plainTextFormattedCitation":"Purwaningsih and Ariyanti, “Jurnal Surya Kencana Satu</w:instrText>
      </w:r>
      <w:r w:rsidR="002C142A">
        <w:rPr>
          <w:sz w:val="16"/>
          <w:szCs w:val="16"/>
        </w:rPr>
        <w:instrText> </w:instrText>
      </w:r>
      <w:r w:rsidR="002C142A">
        <w:rPr>
          <w:rFonts w:ascii="Book Antiqua" w:hAnsi="Book Antiqua"/>
          <w:sz w:val="16"/>
          <w:szCs w:val="16"/>
        </w:rPr>
        <w:instrText>: Dinamika Masalah Hukum Dan Keadilan Volume 11 Nomor 1 Maret 2020 53.</w:instrText>
      </w:r>
      <w:r w:rsidR="002C142A">
        <w:rPr>
          <w:rFonts w:ascii="Book Antiqua" w:hAnsi="Book Antiqua" w:cs="Book Antiqua"/>
          <w:sz w:val="16"/>
          <w:szCs w:val="16"/>
        </w:rPr>
        <w:instrText>”</w:instrText>
      </w:r>
      <w:r w:rsidR="002C142A">
        <w:rPr>
          <w:rFonts w:ascii="Book Antiqua" w:hAnsi="Book Antiqua"/>
          <w:sz w:val="16"/>
          <w:szCs w:val="16"/>
        </w:rPr>
        <w:instrText xml:space="preserve">","previouslyFormattedCitation":"Purwaningsih and Ariyanti, </w:instrText>
      </w:r>
      <w:r w:rsidR="002C142A">
        <w:rPr>
          <w:rFonts w:ascii="Book Antiqua" w:hAnsi="Book Antiqua" w:cs="Book Antiqua"/>
          <w:sz w:val="16"/>
          <w:szCs w:val="16"/>
        </w:rPr>
        <w:instrText>“</w:instrText>
      </w:r>
      <w:r w:rsidR="002C142A">
        <w:rPr>
          <w:rFonts w:ascii="Book Antiqua" w:hAnsi="Book Antiqua"/>
          <w:sz w:val="16"/>
          <w:szCs w:val="16"/>
        </w:rPr>
        <w:instrText>Jurnal Surya Kencana Satu</w:instrText>
      </w:r>
      <w:r w:rsidR="002C142A">
        <w:rPr>
          <w:sz w:val="16"/>
          <w:szCs w:val="16"/>
        </w:rPr>
        <w:instrText> </w:instrText>
      </w:r>
      <w:r w:rsidR="002C142A">
        <w:rPr>
          <w:rFonts w:ascii="Book Antiqua" w:hAnsi="Book Antiqua"/>
          <w:sz w:val="16"/>
          <w:szCs w:val="16"/>
        </w:rPr>
        <w:instrText>: Dinamika Masalah Hukum Dan Keadilan Volume 11 Nomor 1 Maret 2020 53.”"},"properties":{"noteIndex":89},"schema":"https://github.com/citation-style-language/schema/raw/master/csl-citation.json"}</w:instrText>
      </w:r>
      <w:r w:rsidRPr="002E2A34">
        <w:rPr>
          <w:rFonts w:ascii="Book Antiqua" w:hAnsi="Book Antiqua"/>
          <w:sz w:val="16"/>
          <w:szCs w:val="16"/>
        </w:rPr>
        <w:fldChar w:fldCharType="separate"/>
      </w:r>
      <w:r w:rsidRPr="002E2A34">
        <w:rPr>
          <w:rFonts w:ascii="Book Antiqua" w:hAnsi="Book Antiqua"/>
          <w:noProof/>
          <w:sz w:val="16"/>
          <w:szCs w:val="16"/>
        </w:rPr>
        <w:t>Purwaningsih and Ariyanti, “Jurnal Surya Kencana Satu</w:t>
      </w:r>
      <w:r w:rsidRPr="002E2A34">
        <w:rPr>
          <w:noProof/>
          <w:sz w:val="16"/>
          <w:szCs w:val="16"/>
        </w:rPr>
        <w:t> </w:t>
      </w:r>
      <w:r w:rsidRPr="002E2A34">
        <w:rPr>
          <w:rFonts w:ascii="Book Antiqua" w:hAnsi="Book Antiqua"/>
          <w:noProof/>
          <w:sz w:val="16"/>
          <w:szCs w:val="16"/>
        </w:rPr>
        <w:t>: Dinamika Masalah Hukum Dan Keadilan Volume 11 Nomor 1 Maret 2020 53.</w:t>
      </w:r>
      <w:r w:rsidRPr="002E2A34">
        <w:rPr>
          <w:rFonts w:ascii="Book Antiqua" w:hAnsi="Book Antiqua" w:cs="Book Antiqua"/>
          <w:noProof/>
          <w:sz w:val="16"/>
          <w:szCs w:val="16"/>
        </w:rPr>
        <w:t>”</w:t>
      </w:r>
      <w:r w:rsidRPr="002E2A34">
        <w:rPr>
          <w:rFonts w:ascii="Book Antiqua" w:hAnsi="Book Antiqua"/>
          <w:sz w:val="16"/>
          <w:szCs w:val="16"/>
        </w:rPr>
        <w:fldChar w:fldCharType="end"/>
      </w:r>
    </w:p>
  </w:footnote>
  <w:footnote w:id="90">
    <w:p w14:paraId="305CD8D0" w14:textId="651377D7" w:rsidR="00C04C78" w:rsidRPr="002E2A34" w:rsidRDefault="00C04C78" w:rsidP="002E2A34">
      <w:pPr>
        <w:pStyle w:val="FootnoteText"/>
        <w:jc w:val="both"/>
        <w:rPr>
          <w:rFonts w:ascii="Book Antiqua" w:hAnsi="Book Antiqua"/>
          <w:sz w:val="16"/>
          <w:szCs w:val="16"/>
        </w:rPr>
      </w:pPr>
      <w:r w:rsidRPr="002E2A34">
        <w:rPr>
          <w:rStyle w:val="FootnoteReference"/>
          <w:rFonts w:ascii="Book Antiqua" w:hAnsi="Book Antiqua"/>
          <w:sz w:val="16"/>
          <w:szCs w:val="16"/>
        </w:rPr>
        <w:footnoteRef/>
      </w:r>
      <w:r w:rsidRPr="002E2A34">
        <w:rPr>
          <w:rFonts w:ascii="Book Antiqua" w:hAnsi="Book Antiqua"/>
          <w:sz w:val="16"/>
          <w:szCs w:val="16"/>
        </w:rPr>
        <w:t xml:space="preserve"> </w:t>
      </w:r>
      <w:r w:rsidRPr="002E2A34">
        <w:rPr>
          <w:rFonts w:ascii="Book Antiqua" w:hAnsi="Book Antiqua"/>
          <w:sz w:val="16"/>
          <w:szCs w:val="16"/>
        </w:rPr>
        <w:fldChar w:fldCharType="begin" w:fldLock="1"/>
      </w:r>
      <w:r w:rsidR="002C142A">
        <w:rPr>
          <w:rFonts w:ascii="Book Antiqua" w:hAnsi="Book Antiqua"/>
          <w:sz w:val="16"/>
          <w:szCs w:val="16"/>
        </w:rPr>
        <w:instrText>ADDIN CSL_CITATION {"citationItems":[{"id":"ITEM-1","itemData":{"author":[{"dropping-particle":"","family":"Saputra","given":"Yogi","non-dropping-particle":"","parse-names":false,"suffix":""},{"dropping-particle":"","family":"Aizani","given":"Pasha","non-dropping-particle":"","parse-names":false,"suffix":""}],"id":"ITEM-1","issue":"2","issued":{"date-parts":[["2024"]]},"page":"161-169","title":"Aspek Hak Kekayaan Intelektual Dalam Hukum Perdata: Perlindungan Terhadap Karya-Karya Seni Dan Inovasi Teknologi","type":"article-journal","volume":"2"},"uris":["http://www.mendeley.com/documents/?uuid=beb7a884-a9a0-4385-93ad-c76ba83eba63"]}],"mendeley":{"formattedCitation":"Saputra and Aizani, “Aspek Hak Kekayaan Intelektual Dalam Hukum Perdata: Perlindungan Terhadap Karya-Karya Seni Dan Inovasi Teknologi.”","plainTextFormattedCitation":"Saputra and Aizani, “Aspek Hak Kekayaan Intelektual Dalam Hukum Perdata: Perlindungan Terhadap Karya-Karya Seni Dan Inovasi Teknologi.”","previouslyFormattedCitation":"Saputra and Aizani, “Aspek Hak Kekayaan Intelektual Dalam Hukum Perdata: Perlindungan Terhadap Karya-Karya Seni Dan Inovasi Teknologi.”"},"properties":{"noteIndex":90},"schema":"https://github.com/citation-style-language/schema/raw/master/csl-citation.json"}</w:instrText>
      </w:r>
      <w:r w:rsidRPr="002E2A34">
        <w:rPr>
          <w:rFonts w:ascii="Book Antiqua" w:hAnsi="Book Antiqua"/>
          <w:sz w:val="16"/>
          <w:szCs w:val="16"/>
        </w:rPr>
        <w:fldChar w:fldCharType="separate"/>
      </w:r>
      <w:r w:rsidRPr="002E2A34">
        <w:rPr>
          <w:rFonts w:ascii="Book Antiqua" w:hAnsi="Book Antiqua"/>
          <w:noProof/>
          <w:sz w:val="16"/>
          <w:szCs w:val="16"/>
        </w:rPr>
        <w:t>Saputra and Aizani, “Aspek Hak Kekayaan Intelektual Dalam Hukum Perdata: Perlindungan Terhadap Karya-Karya Seni Dan Inovasi Teknologi.”</w:t>
      </w:r>
      <w:r w:rsidRPr="002E2A34">
        <w:rPr>
          <w:rFonts w:ascii="Book Antiqua" w:hAnsi="Book Antiqua"/>
          <w:sz w:val="16"/>
          <w:szCs w:val="16"/>
        </w:rPr>
        <w:fldChar w:fldCharType="end"/>
      </w:r>
    </w:p>
  </w:footnote>
  <w:footnote w:id="91">
    <w:p w14:paraId="74331DE3" w14:textId="33EB2EFB" w:rsidR="00C04C78" w:rsidRPr="002E2A34" w:rsidRDefault="00C04C78" w:rsidP="002E2A34">
      <w:pPr>
        <w:pStyle w:val="FootnoteText"/>
        <w:jc w:val="both"/>
        <w:rPr>
          <w:rFonts w:ascii="Book Antiqua" w:hAnsi="Book Antiqua"/>
          <w:sz w:val="16"/>
          <w:szCs w:val="16"/>
        </w:rPr>
      </w:pPr>
      <w:r w:rsidRPr="002E2A34">
        <w:rPr>
          <w:rStyle w:val="FootnoteReference"/>
          <w:rFonts w:ascii="Book Antiqua" w:hAnsi="Book Antiqua"/>
          <w:sz w:val="16"/>
          <w:szCs w:val="16"/>
        </w:rPr>
        <w:footnoteRef/>
      </w:r>
      <w:r w:rsidRPr="002E2A34">
        <w:rPr>
          <w:rFonts w:ascii="Book Antiqua" w:hAnsi="Book Antiqua"/>
          <w:sz w:val="16"/>
          <w:szCs w:val="16"/>
        </w:rPr>
        <w:t xml:space="preserve"> </w:t>
      </w:r>
      <w:r w:rsidRPr="002E2A34">
        <w:rPr>
          <w:rFonts w:ascii="Book Antiqua" w:hAnsi="Book Antiqua"/>
          <w:sz w:val="16"/>
          <w:szCs w:val="16"/>
        </w:rPr>
        <w:fldChar w:fldCharType="begin" w:fldLock="1"/>
      </w:r>
      <w:r w:rsidR="002C142A">
        <w:rPr>
          <w:rFonts w:ascii="Book Antiqua" w:hAnsi="Book Antiqua"/>
          <w:sz w:val="16"/>
          <w:szCs w:val="16"/>
        </w:rPr>
        <w:instrText>ADDIN CSL_CITATION {"citationItems":[{"id":"ITEM-1","itemData":{"ISBN":"2013206534","author":[{"dropping-particle":"","family":"Tumbel","given":"Cindy Valencya","non-dropping-particle":"","parse-names":false,"suffix":""}],"id":"ITEM-1","issue":"July","issued":{"date-parts":[["2022"]]},"page":"1-23","title":"Perlindungan Hukum Terhadap Pemegang Paten dalam Pembekuan Sementara Paten","type":"article-journal"},"uris":["http://www.mendeley.com/documents/?uuid=19b095f6-cd04-428c-b2fd-f9c0420f4241"]}],"mendeley":{"formattedCitation":"Tumbel, “Perlindungan Hukum Terhadap Pemegang Paten Dalam Pembekuan Sementara Paten.”","plainTextFormattedCitation":"Tumbel, “Perlindungan Hukum Terhadap Pemegang Paten Dalam Pembekuan Sementara Paten.”","previouslyFormattedCitation":"Tumbel, “Perlindungan Hukum Terhadap Pemegang Paten Dalam Pembekuan Sementara Paten.”"},"properties":{"noteIndex":91},"schema":"https://github.com/citation-style-language/schema/raw/master/csl-citation.json"}</w:instrText>
      </w:r>
      <w:r w:rsidRPr="002E2A34">
        <w:rPr>
          <w:rFonts w:ascii="Book Antiqua" w:hAnsi="Book Antiqua"/>
          <w:sz w:val="16"/>
          <w:szCs w:val="16"/>
        </w:rPr>
        <w:fldChar w:fldCharType="separate"/>
      </w:r>
      <w:r w:rsidRPr="002E2A34">
        <w:rPr>
          <w:rFonts w:ascii="Book Antiqua" w:hAnsi="Book Antiqua"/>
          <w:noProof/>
          <w:sz w:val="16"/>
          <w:szCs w:val="16"/>
        </w:rPr>
        <w:t>Tumbel, “Perlindungan Hukum Terhadap Pemegang Paten Dalam Pembekuan Sementara Paten.”</w:t>
      </w:r>
      <w:r w:rsidRPr="002E2A34">
        <w:rPr>
          <w:rFonts w:ascii="Book Antiqua" w:hAnsi="Book Antiqua"/>
          <w:sz w:val="16"/>
          <w:szCs w:val="16"/>
        </w:rPr>
        <w:fldChar w:fldCharType="end"/>
      </w:r>
    </w:p>
  </w:footnote>
  <w:footnote w:id="92">
    <w:p w14:paraId="43CFFA86" w14:textId="675E1DDE" w:rsidR="00C04C78" w:rsidRPr="002E2A34" w:rsidRDefault="00C04C78" w:rsidP="002E2A34">
      <w:pPr>
        <w:pStyle w:val="FootnoteText"/>
        <w:jc w:val="both"/>
        <w:rPr>
          <w:rFonts w:ascii="Book Antiqua" w:hAnsi="Book Antiqua"/>
          <w:sz w:val="16"/>
          <w:szCs w:val="16"/>
        </w:rPr>
      </w:pPr>
      <w:r w:rsidRPr="002E2A34">
        <w:rPr>
          <w:rStyle w:val="FootnoteReference"/>
          <w:rFonts w:ascii="Book Antiqua" w:hAnsi="Book Antiqua"/>
          <w:sz w:val="16"/>
          <w:szCs w:val="16"/>
        </w:rPr>
        <w:footnoteRef/>
      </w:r>
      <w:r w:rsidRPr="002E2A34">
        <w:rPr>
          <w:rFonts w:ascii="Book Antiqua" w:hAnsi="Book Antiqua"/>
          <w:sz w:val="16"/>
          <w:szCs w:val="16"/>
        </w:rPr>
        <w:t xml:space="preserve"> </w:t>
      </w:r>
      <w:r w:rsidRPr="002E2A34">
        <w:rPr>
          <w:rFonts w:ascii="Book Antiqua" w:hAnsi="Book Antiqua"/>
          <w:sz w:val="16"/>
          <w:szCs w:val="16"/>
        </w:rPr>
        <w:fldChar w:fldCharType="begin" w:fldLock="1"/>
      </w:r>
      <w:r w:rsidR="002C142A">
        <w:rPr>
          <w:rFonts w:ascii="Book Antiqua" w:hAnsi="Book Antiqua"/>
          <w:sz w:val="16"/>
          <w:szCs w:val="16"/>
        </w:rPr>
        <w:instrText>ADDIN CSL_CITATION {"citationItems":[{"id":"ITEM-1","itemData":{"DOI":"10.58812/jhhws.v2i12.873","abstract":"Penelitian ini menyelidiki persepsi para pemangku kepentingan mengenai penyelesaian sengketa litigasi paten dan implikasinya terhadap inovasi teknologi di Indonesia. Dengan menggunakan desain penelitian kuantitatif, penelitian ini mengumpulkan data melalui survei daring dari para penemu, profesional hukum, dan eksekutif bisnis di sektor teknologi. Statistik deskriptif, analisis korelasi, dan analisis regresi digunakan untuk mengeksplorasi hubungan antara keadilan, efisiensi, aksesibilitas, kepuasan keseluruhan dengan penyelesaian sengketa, dan tingkat inovasi teknologi. Temuan ini menyoroti peran penting dari keadilan yang dirasakan dalam membentuk keterlibatan pemangku kepentingan dalam kegiatan inovasi. Hasil penelitian ini memberikan wawasan bagi para pembuat kebijakan, praktisi hukum, dan pemimpin industri untuk mendorong lingkungan yang lebih ramah terhadap inovasi di Indonesia.","author":[{"dropping-particle":"","family":"Syamhadi","given":"","non-dropping-particle":"","parse-names":false,"suffix":""},{"dropping-particle":"","family":"Adiman","given":"Muhammad Fauzen","non-dropping-particle":"","parse-names":false,"suffix":""},{"dropping-particle":"","family":"Dewi","given":"Retno Sari","non-dropping-particle":"","parse-names":false,"suffix":""}],"container-title":"Jurnal Hukum dan HAM Wara Sains","id":"ITEM-1","issue":"12","issued":{"date-parts":[["2023"]]},"page":"1191-1200","title":"Analisis Penyelesaian Sengketa Secara Litigasi Paten terhadap Perkembangan Inovasi Teknologi di Indonesia","type":"article-journal","volume":"02"},"uris":["http://www.mendeley.com/documents/?uuid=e0ca01d4-af93-4ffe-8ec3-7430ac11ee33"]}],"mendeley":{"formattedCitation":"Syamhadi, Adiman, and Dewi, “Analisis Penyelesaian Sengketa Secara Litigasi Paten Terhadap Perkembangan Inovasi Teknologi Di Indonesia.”","plainTextFormattedCitation":"Syamhadi, Adiman, and Dewi, “Analisis Penyelesaian Sengketa Secara Litigasi Paten Terhadap Perkembangan Inovasi Teknologi Di Indonesia.”","previouslyFormattedCitation":"Syamhadi, Adiman, and Dewi, “Analisis Penyelesaian Sengketa Secara Litigasi Paten Terhadap Perkembangan Inovasi Teknologi Di Indonesia.”"},"properties":{"noteIndex":92},"schema":"https://github.com/citation-style-language/schema/raw/master/csl-citation.json"}</w:instrText>
      </w:r>
      <w:r w:rsidRPr="002E2A34">
        <w:rPr>
          <w:rFonts w:ascii="Book Antiqua" w:hAnsi="Book Antiqua"/>
          <w:sz w:val="16"/>
          <w:szCs w:val="16"/>
        </w:rPr>
        <w:fldChar w:fldCharType="separate"/>
      </w:r>
      <w:r w:rsidRPr="002E2A34">
        <w:rPr>
          <w:rFonts w:ascii="Book Antiqua" w:hAnsi="Book Antiqua"/>
          <w:noProof/>
          <w:sz w:val="16"/>
          <w:szCs w:val="16"/>
        </w:rPr>
        <w:t>Syamhadi, Adiman, and Dewi, “Analisis Penyelesaian Sengketa Secara Litigasi Paten Terhadap Perkembangan Inovasi Teknologi Di Indonesia.”</w:t>
      </w:r>
      <w:r w:rsidRPr="002E2A34">
        <w:rPr>
          <w:rFonts w:ascii="Book Antiqua" w:hAnsi="Book Antiqua"/>
          <w:sz w:val="16"/>
          <w:szCs w:val="16"/>
        </w:rPr>
        <w:fldChar w:fldCharType="end"/>
      </w:r>
    </w:p>
  </w:footnote>
  <w:footnote w:id="93">
    <w:p w14:paraId="162DD1D0" w14:textId="371D603C" w:rsidR="00C04C78" w:rsidRDefault="00C04C78" w:rsidP="002E2A34">
      <w:pPr>
        <w:pStyle w:val="FootnoteText"/>
        <w:jc w:val="both"/>
      </w:pPr>
      <w:r w:rsidRPr="002E2A34">
        <w:rPr>
          <w:rStyle w:val="FootnoteReference"/>
          <w:rFonts w:ascii="Book Antiqua" w:hAnsi="Book Antiqua"/>
          <w:sz w:val="16"/>
          <w:szCs w:val="16"/>
        </w:rPr>
        <w:footnoteRef/>
      </w:r>
      <w:r w:rsidRPr="002E2A34">
        <w:rPr>
          <w:rFonts w:ascii="Book Antiqua" w:hAnsi="Book Antiqua"/>
          <w:sz w:val="16"/>
          <w:szCs w:val="16"/>
        </w:rPr>
        <w:t xml:space="preserve"> </w:t>
      </w:r>
      <w:r w:rsidRPr="002E2A34">
        <w:rPr>
          <w:rFonts w:ascii="Book Antiqua" w:hAnsi="Book Antiqua"/>
          <w:sz w:val="16"/>
          <w:szCs w:val="16"/>
        </w:rPr>
        <w:fldChar w:fldCharType="begin" w:fldLock="1"/>
      </w:r>
      <w:r w:rsidR="002C142A">
        <w:rPr>
          <w:rFonts w:ascii="Book Antiqua" w:hAnsi="Book Antiqua"/>
          <w:sz w:val="16"/>
          <w:szCs w:val="16"/>
        </w:rPr>
        <w:instrText>ADDIN CSL_CITATION {"citationItems":[{"id":"ITEM-1","itemData":{"DOI":"10.24843/kp.2021.v43.i03.p04","ISSN":"0215-899X","abstract":"Penelitian ini bertujuan untuk mendeskripsikan pentingnyamediasi dalam penyelesaian sengketa Hak Cipta. Penelitian inimenggunakan jenis penelitian yuridis normatif denganpendekatan (statute approach) dan (conceptual approach). Hasilpenelitian menunjukan ada beberapa faktor yang patut untukdipertimbangkan sebagai alasan memilih mediasi dalam sengketaHak Cipta. Faktor tersebut adalah 1) Proses litigasi yangmemakan biaya yang tinggi (2) Mediasi merupakan solusialternatif berbagi hak cipta (3) Mediasi sebagai saranamembangun jejaring dan reputasi Bisnis (4) Sulitnya pembuktian dalam sengketa Hak Cipta (5) Kehendak Pancasiladalam penyelesaian pertikaian secara damai (5) litigasi dapatmerusak hubungan bisnis atau reputasi para pihak; (6) Mediasimemperingan kerja hukum acara; (7) Mediasi sebagai budayahukum di Indonesia. Beberapa konsep yang harus dikembangkanuntuk keberhasilan mediasi yaitu Pertama, seorang mediatoryang handal dalam penyelesaian sengketa Hak Cipta mengingatkompleksitas pengaturan hukum hak cipta. Kedua, HarmonisasiPerma Nomor 1 tahun 2016 Tentang Prosedur Mediasi DiPengadilan dengan UU Hak Cipta dengan mensinkronkanpengecualian kewajiban mediasi di Pengadilan Niaga dengankewajiban mediasi dalam UU Hak Cipta. Ketiga, Proses Mediasiharus bersifat informal agar para pihak yang terlibat merasasaling di hargai dan tidak ada ketegangan yang memacu amarah.Implikasi dari proses informal ini adalah terbangunnya jejaringdan reputasi bisnis para pihak.","author":[{"dropping-particle":"","family":"Praja","given":"Chrisna Bagus Edhita","non-dropping-particle":"","parse-names":false,"suffix":""},{"dropping-particle":"","family":"Riswandi","given":"Budi Agus","non-dropping-particle":"","parse-names":false,"suffix":""},{"dropping-particle":"","family":"Dimyati","given":"Khudzaifah","non-dropping-particle":"","parse-names":false,"suffix":""}],"container-title":"Kertha Patrika","id":"ITEM-1","issue":"3","issued":{"date-parts":[["2021"]]},"page":"275-295","title":"Urgensi Mediasi sebagai Alternatif Penyelesaian Sengketa Hak Cipta","type":"article-journal","volume":"43"},"uris":["http://www.mendeley.com/documents/?uuid=6bb1df3b-8865-4cae-9473-96e7c05547d8"]}],"mendeley":{"formattedCitation":"Chrisna Bagus Edhita Praja, Budi Agus Riswandi, and Khudzaifah Dimyati, “Urgensi Mediasi Sebagai Alternatif Penyelesaian Sengketa Hak Cipta,” &lt;i&gt;Kertha Patrika&lt;/i&gt; 43, no. 3 (2021): 275–95, https://doi.org/10.24843/kp.2021.v43.i03.p04.","plainTextFormattedCitation":"Chrisna Bagus Edhita Praja, Budi Agus Riswandi, and Khudzaifah Dimyati, “Urgensi Mediasi Sebagai Alternatif Penyelesaian Sengketa Hak Cipta,” Kertha Patrika 43, no. 3 (2021): 275–95, https://doi.org/10.24843/kp.2021.v43.i03.p04.","previouslyFormattedCitation":"Chrisna Bagus Edhita Praja, Budi Agus Riswandi, and Khudzaifah Dimyati, “Urgensi Mediasi Sebagai Alternatif Penyelesaian Sengketa Hak Cipta,” &lt;i&gt;Kertha Patrika&lt;/i&gt; 43, no. 3 (2021): 275–95, https://doi.org/10.24843/kp.2021.v43.i03.p04."},"properties":{"noteIndex":93},"schema":"https://github.com/citation-style-language/schema/raw/master/csl-citation.json"}</w:instrText>
      </w:r>
      <w:r w:rsidRPr="002E2A34">
        <w:rPr>
          <w:rFonts w:ascii="Book Antiqua" w:hAnsi="Book Antiqua"/>
          <w:sz w:val="16"/>
          <w:szCs w:val="16"/>
        </w:rPr>
        <w:fldChar w:fldCharType="separate"/>
      </w:r>
      <w:r w:rsidRPr="002E2A34">
        <w:rPr>
          <w:rFonts w:ascii="Book Antiqua" w:hAnsi="Book Antiqua"/>
          <w:noProof/>
          <w:sz w:val="16"/>
          <w:szCs w:val="16"/>
        </w:rPr>
        <w:t xml:space="preserve">Chrisna Bagus Edhita Praja, Budi Agus Riswandi, and Khudzaifah Dimyati, “Urgensi Mediasi Sebagai Alternatif Penyelesaian Sengketa Hak Cipta,” </w:t>
      </w:r>
      <w:r w:rsidRPr="002E2A34">
        <w:rPr>
          <w:rFonts w:ascii="Book Antiqua" w:hAnsi="Book Antiqua"/>
          <w:i/>
          <w:noProof/>
          <w:sz w:val="16"/>
          <w:szCs w:val="16"/>
        </w:rPr>
        <w:t>Kertha Patrika</w:t>
      </w:r>
      <w:r w:rsidRPr="002E2A34">
        <w:rPr>
          <w:rFonts w:ascii="Book Antiqua" w:hAnsi="Book Antiqua"/>
          <w:noProof/>
          <w:sz w:val="16"/>
          <w:szCs w:val="16"/>
        </w:rPr>
        <w:t xml:space="preserve"> 43, no. 3 (2021): 275–95, https://doi.org/10.24843/kp.2021.v43.i03.p04.</w:t>
      </w:r>
      <w:r w:rsidRPr="002E2A34">
        <w:rPr>
          <w:rFonts w:ascii="Book Antiqua" w:hAnsi="Book Antiqua"/>
          <w:sz w:val="16"/>
          <w:szCs w:val="16"/>
        </w:rPr>
        <w:fldChar w:fldCharType="end"/>
      </w:r>
    </w:p>
  </w:footnote>
  <w:footnote w:id="94">
    <w:p w14:paraId="709A35B0" w14:textId="022594FE" w:rsidR="00C04C78" w:rsidRPr="00F109D2" w:rsidRDefault="00C04C78" w:rsidP="00F109D2">
      <w:pPr>
        <w:pStyle w:val="FootnoteText"/>
        <w:jc w:val="both"/>
        <w:rPr>
          <w:rFonts w:ascii="Book Antiqua" w:hAnsi="Book Antiqua"/>
          <w:sz w:val="16"/>
          <w:szCs w:val="16"/>
        </w:rPr>
      </w:pPr>
      <w:r w:rsidRPr="00F109D2">
        <w:rPr>
          <w:rStyle w:val="FootnoteReference"/>
          <w:rFonts w:ascii="Book Antiqua" w:hAnsi="Book Antiqua"/>
          <w:sz w:val="16"/>
          <w:szCs w:val="16"/>
        </w:rPr>
        <w:footnoteRef/>
      </w:r>
      <w:r w:rsidRPr="00F109D2">
        <w:rPr>
          <w:rFonts w:ascii="Book Antiqua" w:hAnsi="Book Antiqua"/>
          <w:sz w:val="16"/>
          <w:szCs w:val="16"/>
        </w:rPr>
        <w:t xml:space="preserve"> </w:t>
      </w:r>
      <w:r w:rsidRPr="00F109D2">
        <w:rPr>
          <w:rFonts w:ascii="Book Antiqua" w:hAnsi="Book Antiqua"/>
          <w:sz w:val="16"/>
          <w:szCs w:val="16"/>
        </w:rPr>
        <w:fldChar w:fldCharType="begin" w:fldLock="1"/>
      </w:r>
      <w:r w:rsidR="002C142A">
        <w:rPr>
          <w:rFonts w:ascii="Book Antiqua" w:hAnsi="Book Antiqua"/>
          <w:sz w:val="16"/>
          <w:szCs w:val="16"/>
        </w:rPr>
        <w:instrText>ADDIN CSL_CITATION {"citationItems":[{"id":"ITEM-1","itemData":{"abstract":"The existence of UKM in Gianyar Regency is very diverse not only in the form of traditional foods of Gianyar but also spread in various creative businesses. That the Government's policy is clear, as of December 31, 2015 has opened the MEA or the Asean Economic Community, so that it has an impact on the circulation of trade traffic that will involve various countries and crossing national borders, including possibly coming to Gianyar, will enter foreign entrepreneurs to join in the competition with existing SMEs. The problem discussed is how to increase the legal awareness of small business actors on trademark rights and copyrights, as well as what efforts can be done by the government in giving legal protection to small and medium business groups. The method used is to provide socialization, legal counseling and mentoring of trademark rights and copyright. The results of the counseling revealed that the community's legal awareness of copyright and brand rights is still low therefore there needs to be legal protection measures for SMEs in Gianyar Regency.","author":[{"dropping-particle":"","family":"Gorda","given":"AAA. Ngr. Sri Rahayu","non-dropping-particle":"","parse-names":false,"suffix":""},{"dropping-particle":"","family":"Antari","given":"Putu Eva Ditayani","non-dropping-particle":"","parse-names":false,"suffix":""},{"dropping-particle":"","family":"Artami","given":"Ida Ayu Ketut","non-dropping-particle":"","parse-names":false,"suffix":""}],"container-title":"PARTA: Jurnal Pengabdian Kepada Masyarakat","id":"ITEM-1","issue":"1","issued":{"date-parts":[["2020"]]},"page":"27-31","title":"Sosialisasi Hak Cipta dan Hak Merek pada Kelompok Usaha Kecil dan Menengah (UKM) Sebagai Aset Bisnis di Era Industri Kreatif (Sosialisasi Hak Merek dan Hak Paten Pada Masyarakat Desa Celuk Kabupaten Gianyar)","type":"article-journal","volume":"1"},"uris":["http://www.mendeley.com/documents/?uuid=d9e7608e-8b27-4bef-8f9f-e73d1f44c0cf"]}],"mendeley":{"formattedCitation":"AAA. Ngr. Sri Rahayu Gorda, Putu Eva Ditayani Antari, and Ida Ayu Ketut Artami, “Sosialisasi Hak Cipta Dan Hak Merek Pada Kelompok Usaha Kecil Dan Menengah (UKM) Sebagai Aset Bisnis Di Era Industri Kreatif (Sosialisasi Hak Merek Dan Hak Paten Pada Masyarakat Desa Celuk Kabupaten Gianyar),” &lt;i&gt;PARTA: Jurnal Pengabdian Kepada Masyarakat&lt;/i&gt; 1, no. 1 (2020): 27–31, http://journal.undiknas.ac.id/index.php/parta.http://journal.undiknas.ac.id/index.php/parta.","plainTextFormattedCitation":"AAA. Ngr. Sri Rahayu Gorda, Putu Eva Ditayani Antari, and Ida Ayu Ketut Artami, “Sosialisasi Hak Cipta Dan Hak Merek Pada Kelompok Usaha Kecil Dan Menengah (UKM) Sebagai Aset Bisnis Di Era Industri Kreatif (Sosialisasi Hak Merek Dan Hak Paten Pada Masyarakat Desa Celuk Kabupaten Gianyar),” PARTA: Jurnal Pengabdian Kepada Masyarakat 1, no. 1 (2020): 27–31, http://journal.undiknas.ac.id/index.php/parta.http://journal.undiknas.ac.id/index.php/parta.","previouslyFormattedCitation":"AAA. Ngr. Sri Rahayu Gorda, Putu Eva Ditayani Antari, and Ida Ayu Ketut Artami, “Sosialisasi Hak Cipta Dan Hak Merek Pada Kelompok Usaha Kecil Dan Menengah (UKM) Sebagai Aset Bisnis Di Era Industri Kreatif (Sosialisasi Hak Merek Dan Hak Paten Pada Masyarakat Desa Celuk Kabupaten Gianyar),” &lt;i&gt;PARTA: Jurnal Pengabdian Kepada Masyarakat&lt;/i&gt; 1, no. 1 (2020): 27–31, http://journal.undiknas.ac.id/index.php/parta.http://journal.undiknas.ac.id/index.php/parta."},"properties":{"noteIndex":94},"schema":"https://github.com/citation-style-language/schema/raw/master/csl-citation.json"}</w:instrText>
      </w:r>
      <w:r w:rsidRPr="00F109D2">
        <w:rPr>
          <w:rFonts w:ascii="Book Antiqua" w:hAnsi="Book Antiqua"/>
          <w:sz w:val="16"/>
          <w:szCs w:val="16"/>
        </w:rPr>
        <w:fldChar w:fldCharType="separate"/>
      </w:r>
      <w:r w:rsidRPr="00F109D2">
        <w:rPr>
          <w:rFonts w:ascii="Book Antiqua" w:hAnsi="Book Antiqua"/>
          <w:noProof/>
          <w:sz w:val="16"/>
          <w:szCs w:val="16"/>
        </w:rPr>
        <w:t xml:space="preserve">AAA. Ngr. Sri Rahayu Gorda, Putu Eva Ditayani Antari, and Ida Ayu Ketut Artami, “Sosialisasi Hak Cipta Dan Hak Merek Pada Kelompok Usaha Kecil Dan Menengah (UKM) Sebagai Aset Bisnis Di Era Industri Kreatif (Sosialisasi Hak Merek Dan Hak Paten Pada Masyarakat Desa Celuk Kabupaten Gianyar),” </w:t>
      </w:r>
      <w:r w:rsidRPr="00F109D2">
        <w:rPr>
          <w:rFonts w:ascii="Book Antiqua" w:hAnsi="Book Antiqua"/>
          <w:i/>
          <w:noProof/>
          <w:sz w:val="16"/>
          <w:szCs w:val="16"/>
        </w:rPr>
        <w:t>PARTA: Jurnal Pengabdian Kepada Masyarakat</w:t>
      </w:r>
      <w:r w:rsidRPr="00F109D2">
        <w:rPr>
          <w:rFonts w:ascii="Book Antiqua" w:hAnsi="Book Antiqua"/>
          <w:noProof/>
          <w:sz w:val="16"/>
          <w:szCs w:val="16"/>
        </w:rPr>
        <w:t xml:space="preserve"> 1, no. 1 (2020): 27–31, http://journal.undiknas.ac.id/index.php/parta.http://journal.undiknas.ac.id/index.php/parta.</w:t>
      </w:r>
      <w:r w:rsidRPr="00F109D2">
        <w:rPr>
          <w:rFonts w:ascii="Book Antiqua" w:hAnsi="Book Antiqua"/>
          <w:sz w:val="16"/>
          <w:szCs w:val="16"/>
        </w:rPr>
        <w:fldChar w:fldCharType="end"/>
      </w:r>
    </w:p>
  </w:footnote>
  <w:footnote w:id="95">
    <w:p w14:paraId="6ED52199" w14:textId="4033E1F6" w:rsidR="00C04C78" w:rsidRPr="00F109D2" w:rsidRDefault="00C04C78" w:rsidP="00F109D2">
      <w:pPr>
        <w:pStyle w:val="FootnoteText"/>
        <w:jc w:val="both"/>
        <w:rPr>
          <w:rFonts w:ascii="Book Antiqua" w:hAnsi="Book Antiqua"/>
          <w:sz w:val="16"/>
          <w:szCs w:val="16"/>
        </w:rPr>
      </w:pPr>
      <w:r w:rsidRPr="00F109D2">
        <w:rPr>
          <w:rStyle w:val="FootnoteReference"/>
          <w:rFonts w:ascii="Book Antiqua" w:hAnsi="Book Antiqua"/>
          <w:sz w:val="16"/>
          <w:szCs w:val="16"/>
        </w:rPr>
        <w:footnoteRef/>
      </w:r>
      <w:r w:rsidRPr="00F109D2">
        <w:rPr>
          <w:rFonts w:ascii="Book Antiqua" w:hAnsi="Book Antiqua"/>
          <w:sz w:val="16"/>
          <w:szCs w:val="16"/>
        </w:rPr>
        <w:t xml:space="preserve"> </w:t>
      </w:r>
      <w:r w:rsidRPr="00F109D2">
        <w:rPr>
          <w:rFonts w:ascii="Book Antiqua" w:hAnsi="Book Antiqua"/>
          <w:sz w:val="16"/>
          <w:szCs w:val="16"/>
        </w:rPr>
        <w:fldChar w:fldCharType="begin" w:fldLock="1"/>
      </w:r>
      <w:r w:rsidR="002C142A">
        <w:rPr>
          <w:rFonts w:ascii="Book Antiqua" w:hAnsi="Book Antiqua"/>
          <w:sz w:val="16"/>
          <w:szCs w:val="16"/>
        </w:rPr>
        <w:instrText>ADDIN CSL_CITATION {"citationItems":[{"id":"ITEM-1","itemData":{"abstract":"… Faktor penyebab terjadinya perdagangan orang adalah karena faktor ekonomi/kemiskinan, rendahnya … Sindikat perdagangan manusia menunjukkan ada aktor lain selain negara yang …","author":[{"dropping-particle":"","family":"Prasetyo","given":"Handoyo","non-dropping-particle":"","parse-names":false,"suffix":""},{"dropping-particle":"","family":"Waluyo","given":"Bambang","non-dropping-particle":"","parse-names":false,"suffix":""},{"dropping-particle":"","family":"Subakdi","given":"","non-dropping-particle":"","parse-names":false,"suffix":""}],"container-title":"Proceeding: 5TH NATIONAL CONFERENCE on Law Studies 2023","id":"ITEM-1","issued":{"date-parts":[["2023"]]},"page":"550-569","title":"Penggunaan Kartu Khusus Pendamping Pekerja : Upaya Penguatan Keselamatan Pekerja Menghadapi Sindikat Perdagangan Orang","type":"article-journal"},"uris":["http://www.mendeley.com/documents/?uuid=8e0e19dd-096e-42ec-bcd7-fa206fb37d71"]}],"mendeley":{"formattedCitation":"Prasetyo, Waluyo, and Subakdi, “Penggunaan Kartu Khusus Pendamping Pekerja</w:instrText>
      </w:r>
      <w:r w:rsidR="002C142A">
        <w:rPr>
          <w:sz w:val="16"/>
          <w:szCs w:val="16"/>
        </w:rPr>
        <w:instrText> </w:instrText>
      </w:r>
      <w:r w:rsidR="002C142A">
        <w:rPr>
          <w:rFonts w:ascii="Book Antiqua" w:hAnsi="Book Antiqua"/>
          <w:sz w:val="16"/>
          <w:szCs w:val="16"/>
        </w:rPr>
        <w:instrText>: Upaya Penguatan Keselamatan Pekerja Menghadapi Sindikat Perdagangan Orang.”","plainTextFormattedCitation":"Prasetyo, Waluyo, and Subakdi, “Penggunaan Kartu Khusus Pendamping Pekerja</w:instrText>
      </w:r>
      <w:r w:rsidR="002C142A">
        <w:rPr>
          <w:sz w:val="16"/>
          <w:szCs w:val="16"/>
        </w:rPr>
        <w:instrText> </w:instrText>
      </w:r>
      <w:r w:rsidR="002C142A">
        <w:rPr>
          <w:rFonts w:ascii="Book Antiqua" w:hAnsi="Book Antiqua"/>
          <w:sz w:val="16"/>
          <w:szCs w:val="16"/>
        </w:rPr>
        <w:instrText>: Upaya Penguatan Keselamatan Pekerja Menghadapi Sindikat Perdagangan Orang.</w:instrText>
      </w:r>
      <w:r w:rsidR="002C142A">
        <w:rPr>
          <w:rFonts w:ascii="Book Antiqua" w:hAnsi="Book Antiqua" w:cs="Book Antiqua"/>
          <w:sz w:val="16"/>
          <w:szCs w:val="16"/>
        </w:rPr>
        <w:instrText>”</w:instrText>
      </w:r>
      <w:r w:rsidR="002C142A">
        <w:rPr>
          <w:rFonts w:ascii="Book Antiqua" w:hAnsi="Book Antiqua"/>
          <w:sz w:val="16"/>
          <w:szCs w:val="16"/>
        </w:rPr>
        <w:instrText>","previouslyFormattedCitation":"Prasetyo, Waluyo, and Subakdi, “Penggunaan Kartu Khusus Pendamping Pekerja</w:instrText>
      </w:r>
      <w:r w:rsidR="002C142A">
        <w:rPr>
          <w:sz w:val="16"/>
          <w:szCs w:val="16"/>
        </w:rPr>
        <w:instrText> </w:instrText>
      </w:r>
      <w:r w:rsidR="002C142A">
        <w:rPr>
          <w:rFonts w:ascii="Book Antiqua" w:hAnsi="Book Antiqua"/>
          <w:sz w:val="16"/>
          <w:szCs w:val="16"/>
        </w:rPr>
        <w:instrText>: Upaya Penguatan Keselamatan Pekerja Menghadapi Sindikat Perdagangan Orang.</w:instrText>
      </w:r>
      <w:r w:rsidR="002C142A">
        <w:rPr>
          <w:rFonts w:ascii="Book Antiqua" w:hAnsi="Book Antiqua" w:cs="Book Antiqua"/>
          <w:sz w:val="16"/>
          <w:szCs w:val="16"/>
        </w:rPr>
        <w:instrText>”</w:instrText>
      </w:r>
      <w:r w:rsidR="002C142A">
        <w:rPr>
          <w:rFonts w:ascii="Book Antiqua" w:hAnsi="Book Antiqua"/>
          <w:sz w:val="16"/>
          <w:szCs w:val="16"/>
        </w:rPr>
        <w:instrText>"},"properties":{"noteIndex":95},"schema":"https://github.com/citation-style-language/schema/raw/master/csl-citation.json"}</w:instrText>
      </w:r>
      <w:r w:rsidRPr="00F109D2">
        <w:rPr>
          <w:rFonts w:ascii="Book Antiqua" w:hAnsi="Book Antiqua"/>
          <w:sz w:val="16"/>
          <w:szCs w:val="16"/>
        </w:rPr>
        <w:fldChar w:fldCharType="separate"/>
      </w:r>
      <w:r w:rsidRPr="00F109D2">
        <w:rPr>
          <w:rFonts w:ascii="Book Antiqua" w:hAnsi="Book Antiqua"/>
          <w:noProof/>
          <w:sz w:val="16"/>
          <w:szCs w:val="16"/>
        </w:rPr>
        <w:t>Prasetyo, Waluyo, and Subakdi, “Penggunaan Kartu Khusus Pendamping Pekerja</w:t>
      </w:r>
      <w:r w:rsidRPr="00F109D2">
        <w:rPr>
          <w:noProof/>
          <w:sz w:val="16"/>
          <w:szCs w:val="16"/>
        </w:rPr>
        <w:t> </w:t>
      </w:r>
      <w:r w:rsidRPr="00F109D2">
        <w:rPr>
          <w:rFonts w:ascii="Book Antiqua" w:hAnsi="Book Antiqua"/>
          <w:noProof/>
          <w:sz w:val="16"/>
          <w:szCs w:val="16"/>
        </w:rPr>
        <w:t>: Upaya Penguatan Keselamatan Pekerja Menghadapi Sindikat Perdagangan Orang.</w:t>
      </w:r>
      <w:r w:rsidRPr="00F109D2">
        <w:rPr>
          <w:rFonts w:ascii="Book Antiqua" w:hAnsi="Book Antiqua" w:cs="Book Antiqua"/>
          <w:noProof/>
          <w:sz w:val="16"/>
          <w:szCs w:val="16"/>
        </w:rPr>
        <w:t>”</w:t>
      </w:r>
      <w:r w:rsidRPr="00F109D2">
        <w:rPr>
          <w:rFonts w:ascii="Book Antiqua" w:hAnsi="Book Antiqua"/>
          <w:sz w:val="16"/>
          <w:szCs w:val="16"/>
        </w:rPr>
        <w:fldChar w:fldCharType="end"/>
      </w:r>
    </w:p>
  </w:footnote>
  <w:footnote w:id="96">
    <w:p w14:paraId="4FEBA8B3" w14:textId="654CDEC0" w:rsidR="00C04C78" w:rsidRPr="00F109D2" w:rsidRDefault="00C04C78" w:rsidP="00F109D2">
      <w:pPr>
        <w:pStyle w:val="FootnoteText"/>
        <w:jc w:val="both"/>
        <w:rPr>
          <w:rFonts w:ascii="Book Antiqua" w:hAnsi="Book Antiqua"/>
          <w:sz w:val="16"/>
          <w:szCs w:val="16"/>
        </w:rPr>
      </w:pPr>
      <w:r w:rsidRPr="00F109D2">
        <w:rPr>
          <w:rStyle w:val="FootnoteReference"/>
          <w:rFonts w:ascii="Book Antiqua" w:hAnsi="Book Antiqua"/>
          <w:sz w:val="16"/>
          <w:szCs w:val="16"/>
        </w:rPr>
        <w:footnoteRef/>
      </w:r>
      <w:r w:rsidRPr="00F109D2">
        <w:rPr>
          <w:rFonts w:ascii="Book Antiqua" w:hAnsi="Book Antiqua"/>
          <w:sz w:val="16"/>
          <w:szCs w:val="16"/>
        </w:rPr>
        <w:t xml:space="preserve"> </w:t>
      </w:r>
      <w:r w:rsidRPr="00F109D2">
        <w:rPr>
          <w:rFonts w:ascii="Book Antiqua" w:hAnsi="Book Antiqua"/>
          <w:sz w:val="16"/>
          <w:szCs w:val="16"/>
        </w:rPr>
        <w:fldChar w:fldCharType="begin" w:fldLock="1"/>
      </w:r>
      <w:r w:rsidR="002C142A">
        <w:rPr>
          <w:rFonts w:ascii="Book Antiqua" w:hAnsi="Book Antiqua"/>
          <w:sz w:val="16"/>
          <w:szCs w:val="16"/>
        </w:rPr>
        <w:instrText>ADDIN CSL_CITATION {"citationItems":[{"id":"ITEM-1","itemData":{"ISBN":"2013206534","author":[{"dropping-particle":"","family":"Tumbel","given":"Cindy Valencya","non-dropping-particle":"","parse-names":false,"suffix":""}],"id":"ITEM-1","issue":"July","issued":{"date-parts":[["2022"]]},"page":"1-23","title":"Perlindungan Hukum Terhadap Pemegang Paten dalam Pembekuan Sementara Paten","type":"article-journal"},"uris":["http://www.mendeley.com/documents/?uuid=19b095f6-cd04-428c-b2fd-f9c0420f4241"]}],"mendeley":{"formattedCitation":"Tumbel, “Perlindungan Hukum Terhadap Pemegang Paten Dalam Pembekuan Sementara Paten.”","plainTextFormattedCitation":"Tumbel, “Perlindungan Hukum Terhadap Pemegang Paten Dalam Pembekuan Sementara Paten.”","previouslyFormattedCitation":"Tumbel, “Perlindungan Hukum Terhadap Pemegang Paten Dalam Pembekuan Sementara Paten.”"},"properties":{"noteIndex":96},"schema":"https://github.com/citation-style-language/schema/raw/master/csl-citation.json"}</w:instrText>
      </w:r>
      <w:r w:rsidRPr="00F109D2">
        <w:rPr>
          <w:rFonts w:ascii="Book Antiqua" w:hAnsi="Book Antiqua"/>
          <w:sz w:val="16"/>
          <w:szCs w:val="16"/>
        </w:rPr>
        <w:fldChar w:fldCharType="separate"/>
      </w:r>
      <w:r w:rsidRPr="00F109D2">
        <w:rPr>
          <w:rFonts w:ascii="Book Antiqua" w:hAnsi="Book Antiqua"/>
          <w:noProof/>
          <w:sz w:val="16"/>
          <w:szCs w:val="16"/>
        </w:rPr>
        <w:t>Tumbel, “Perlindungan Hukum Terhadap Pemegang Paten Dalam Pembekuan Sementara Paten.”</w:t>
      </w:r>
      <w:r w:rsidRPr="00F109D2">
        <w:rPr>
          <w:rFonts w:ascii="Book Antiqua" w:hAnsi="Book Antiqua"/>
          <w:sz w:val="16"/>
          <w:szCs w:val="16"/>
        </w:rPr>
        <w:fldChar w:fldCharType="end"/>
      </w:r>
    </w:p>
  </w:footnote>
  <w:footnote w:id="97">
    <w:p w14:paraId="2BA0F9BF" w14:textId="01572F8D" w:rsidR="00C04C78" w:rsidRPr="00621958" w:rsidRDefault="00C04C78" w:rsidP="00621958">
      <w:pPr>
        <w:pStyle w:val="FootnoteText"/>
        <w:jc w:val="both"/>
        <w:rPr>
          <w:rFonts w:ascii="Book Antiqua" w:hAnsi="Book Antiqua"/>
          <w:color w:val="000000" w:themeColor="text1"/>
          <w:sz w:val="16"/>
          <w:szCs w:val="16"/>
        </w:rPr>
      </w:pPr>
      <w:r w:rsidRPr="00621958">
        <w:rPr>
          <w:rStyle w:val="FootnoteReference"/>
          <w:rFonts w:ascii="Book Antiqua" w:hAnsi="Book Antiqua"/>
          <w:color w:val="000000" w:themeColor="text1"/>
          <w:sz w:val="16"/>
          <w:szCs w:val="16"/>
        </w:rPr>
        <w:footnoteRef/>
      </w:r>
      <w:r w:rsidRPr="00621958">
        <w:rPr>
          <w:rFonts w:ascii="Book Antiqua" w:hAnsi="Book Antiqua"/>
          <w:color w:val="000000" w:themeColor="text1"/>
          <w:sz w:val="16"/>
          <w:szCs w:val="16"/>
        </w:rPr>
        <w:t xml:space="preserve"> </w:t>
      </w:r>
      <w:r w:rsidRPr="00621958">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{"citationItems":[{"id":"ITEM-1","itemData":{"DOI":"10.23887/jkh.v7i1.31457","ISSN":"2407-4276","abstract":"Saat ini dunia tengah menghadapi perubahan dalam dunia industri yang bisa disebut dengan istilah Revolusi Industri 4.0, dan fenomena ini memberikan dampak yang cukup signifikan dalam kehidupan industrial, yaitu berupa perkembangan teknologi yang pesat. Perkembangan teknologi yang pesat mengakibatkan munculnya istilah baru yaitu ‘ekonomi kreatif’ yang mengandalkan kreativitas serta daya pikir manusia dalam penerapannya. Hak Kekayaan Intelektual berperan sangat penting dalam ekonomi kreatif, dan negara harus memberikan perlindungan hukum bagi kekayaan intelektual sebagai bentuk apresiasi kepada para pencipta/penemu atas upaya dan kerja kerasnya dalam menghasilkan inovasi baru, serta meminimalisir terjadinya pelanggaran kekayaan intelektual. Namun pada prakteknya, terdapat beberapa tantangan dan kesulitan dalam menegakkan hukum terkait kekayaan intelektual yang ada di Indonesia. Penulisan jurnal ilmiah ini menggunakan metode penelitian normatif, berdasarkan peraturan-peraturan tertulis dan studi kepustakaan yang mengkaji aspek teori, struktur, serta penjelasan hukum. Permasalahan utama yang terjadi di Indonesia adalah kurangnya kesadaran serta edukasi masyarakat mengenai kekayaan intelektual, dan permasalahan ini dapat menjadi akar dari permasalahan-permasalahan lain yang terjadi di Indonesia. Dengan adanya perlindungan kekayaan intelektual di Indonesia tidak hanya memberikan rasa aman dan kepastian hukum bagi para pencipta/penemu, namun juga memberikan dampak psikologis dan meningkatkan semangat dari para pencipta/ penemu untuk terus melakukan inovasi.","author":[{"dropping-particle":"","family":"Disemadi","given":"Hari Sutra","non-dropping-particle":"","parse-names":false,"suffix":""},{"dropping-particle":"","family":"Kang","given":"Cindy","non-dropping-particle":"","parse-names":false,"suffix":""}],"container-title":"Jurnal Komunikasi Hukum (JKH)","id":"ITEM-1","issue":"1","issued":{"date-parts":[["2021"]]},"page":"54-71","title":"Tantangan Penegakan Hukum Hak Kekayaan Intelektual dalam Pengembangan Ekonomi Kreatif di Era Revolusi Industri 4.0","type":"article-journal","volume":"7"},"uris":["http://www.mendeley.com/documents/?uuid=a976044a-286d-4903-a837-1732c85af162"]}],"mendeley":{"formattedCitation":"Hari Sutra Disemadi and Cindy Kang, “Tantangan Penegakan Hukum Hak Kekayaan Intelektual Dalam Pengembangan Ekonomi Kreatif Di Era Revolusi Industri 4.0,” &lt;i&gt;Jurnal Komunikasi Hukum (JKH)&lt;/i&gt; 7, no. 1 (2021): 54–71, https://doi.org/10.23887/jkh.v7i1.31457.","plainTextFormattedCitation":"Hari Sutra Disemadi and Cindy Kang, “Tantangan Penegakan Hukum Hak Kekayaan Intelektual Dalam Pengembangan Ekonomi Kreatif Di Era Revolusi Industri 4.0,” Jurnal Komunikasi Hukum (JKH) 7, no. 1 (2021): 54–71, https://doi.org/10.23887/jkh.v7i1.31457.","previouslyFormattedCitation":"Hari Sutra Disemadi and Cindy Kang, “Tantangan Penegakan Hukum Hak Kekayaan Intelektual Dalam Pengembangan Ekonomi Kreatif Di Era Revolusi Industri 4.0,” &lt;i&gt;Jurnal Komunikasi Hukum (JKH)&lt;/i&gt; 7, no. 1 (2021): 54–71, https://doi.org/10.23887/jkh.v7i1.31457."},"properties":{"noteIndex":97},"schema":"https://github.com/citation-style-language/schema/raw/master/csl-citation.json"}</w:instrText>
      </w:r>
      <w:r w:rsidRPr="00621958">
        <w:rPr>
          <w:rFonts w:ascii="Book Antiqua" w:hAnsi="Book Antiqua"/>
          <w:color w:val="000000" w:themeColor="text1"/>
          <w:sz w:val="16"/>
          <w:szCs w:val="16"/>
        </w:rPr>
        <w:fldChar w:fldCharType="separate"/>
      </w:r>
      <w:r w:rsidRPr="00621958">
        <w:rPr>
          <w:rFonts w:ascii="Book Antiqua" w:hAnsi="Book Antiqua"/>
          <w:noProof/>
          <w:color w:val="000000" w:themeColor="text1"/>
          <w:sz w:val="16"/>
          <w:szCs w:val="16"/>
        </w:rPr>
        <w:t xml:space="preserve">Hari Sutra Disemadi and Cindy Kang, “Tantangan Penegakan Hukum Hak Kekayaan Intelektual Dalam Pengembangan Ekonomi Kreatif Di Era Revolusi Industri 4.0,” </w:t>
      </w:r>
      <w:r w:rsidRPr="00621958">
        <w:rPr>
          <w:rFonts w:ascii="Book Antiqua" w:hAnsi="Book Antiqua"/>
          <w:i/>
          <w:noProof/>
          <w:color w:val="000000" w:themeColor="text1"/>
          <w:sz w:val="16"/>
          <w:szCs w:val="16"/>
        </w:rPr>
        <w:t>Jurnal Komunikasi Hukum (JKH)</w:t>
      </w:r>
      <w:r w:rsidRPr="00621958">
        <w:rPr>
          <w:rFonts w:ascii="Book Antiqua" w:hAnsi="Book Antiqua"/>
          <w:noProof/>
          <w:color w:val="000000" w:themeColor="text1"/>
          <w:sz w:val="16"/>
          <w:szCs w:val="16"/>
        </w:rPr>
        <w:t xml:space="preserve"> 7, no. 1 (2021): 54–71, https://doi.org/10.23887/jkh.v7i1.31457.</w:t>
      </w:r>
      <w:r w:rsidRPr="00621958">
        <w:rPr>
          <w:rFonts w:ascii="Book Antiqua" w:hAnsi="Book Antiqua"/>
          <w:color w:val="000000" w:themeColor="text1"/>
          <w:sz w:val="16"/>
          <w:szCs w:val="16"/>
        </w:rPr>
        <w:fldChar w:fldCharType="end"/>
      </w:r>
    </w:p>
  </w:footnote>
  <w:footnote w:id="98">
    <w:p w14:paraId="312C2A24" w14:textId="72871E04" w:rsidR="00C04C78" w:rsidRPr="00621958" w:rsidRDefault="00C04C78" w:rsidP="00621958">
      <w:pPr>
        <w:pStyle w:val="FootnoteText"/>
        <w:jc w:val="both"/>
        <w:rPr>
          <w:rFonts w:ascii="Book Antiqua" w:hAnsi="Book Antiqua"/>
          <w:color w:val="000000" w:themeColor="text1"/>
          <w:sz w:val="16"/>
          <w:szCs w:val="16"/>
        </w:rPr>
      </w:pPr>
      <w:r w:rsidRPr="00621958">
        <w:rPr>
          <w:rStyle w:val="FootnoteReference"/>
          <w:rFonts w:ascii="Book Antiqua" w:hAnsi="Book Antiqua"/>
          <w:color w:val="000000" w:themeColor="text1"/>
          <w:sz w:val="16"/>
          <w:szCs w:val="16"/>
        </w:rPr>
        <w:footnoteRef/>
      </w:r>
      <w:r w:rsidRPr="00621958">
        <w:rPr>
          <w:rFonts w:ascii="Book Antiqua" w:hAnsi="Book Antiqua"/>
          <w:color w:val="000000" w:themeColor="text1"/>
          <w:sz w:val="16"/>
          <w:szCs w:val="16"/>
        </w:rPr>
        <w:t xml:space="preserve"> </w:t>
      </w:r>
      <w:r w:rsidRPr="00621958">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{"citationItems":[{"id":"ITEM-1","itemData":{"ISSN":"2808-6988","author":[{"dropping-particle":"","family":"Iriawan","given":"Asep Iwan","non-dropping-particle":"","parse-names":false,"suffix":""}],"container-title":"Action Research Literate","id":"ITEM-1","issue":"10","issued":{"date-parts":[["2023"]]},"page":"102-113","title":"Kepastian Hukum Kompetensi Pengadilan Niaga dalam Penyelesaian Sengketa Bisnis","type":"article-journal","volume":"7"},"uris":["http://www.mendeley.com/documents/?uuid=57a42d66-4a53-4057-a9fc-dfcc78ae21c5"]}],"mendeley":{"formattedCitation":"Asep Iwan Iriawan, “Kepastian Hukum Kompetensi Pengadilan Niaga Dalam Penyelesaian Sengketa Bisnis,” &lt;i&gt;Action Research Literate&lt;/i&gt; 7, no. 10 (2023): 102–13, https://arl.ridwaninstitute.co.id/index.php/arl.","plainTextFormattedCitation":"Asep Iwan Iriawan, “Kepastian Hukum Kompetensi Pengadilan Niaga Dalam Penyelesaian Sengketa Bisnis,” Action Research Literate 7, no. 10 (2023): 102–13, https://arl.ridwaninstitute.co.id/index.php/arl.","previouslyFormattedCitation":"Asep Iwan Iriawan, “Kepastian Hukum Kompetensi Pengadilan Niaga Dalam Penyelesaian Sengketa Bisnis,” &lt;i&gt;Action Research Literate&lt;/i&gt; 7, no. 10 (2023): 102–13, https://arl.ridwaninstitute.co.id/index.php/arl."},"properties":{"noteIndex":98},"schema":"https://github.com/citation-style-language/schema/raw/master/csl-citation.json"}</w:instrText>
      </w:r>
      <w:r w:rsidRPr="00621958">
        <w:rPr>
          <w:rFonts w:ascii="Book Antiqua" w:hAnsi="Book Antiqua"/>
          <w:color w:val="000000" w:themeColor="text1"/>
          <w:sz w:val="16"/>
          <w:szCs w:val="16"/>
        </w:rPr>
        <w:fldChar w:fldCharType="separate"/>
      </w:r>
      <w:r w:rsidRPr="001D201E">
        <w:rPr>
          <w:rFonts w:ascii="Book Antiqua" w:hAnsi="Book Antiqua"/>
          <w:noProof/>
          <w:color w:val="000000" w:themeColor="text1"/>
          <w:sz w:val="16"/>
          <w:szCs w:val="16"/>
        </w:rPr>
        <w:t xml:space="preserve">Asep Iwan Iriawan, “Kepastian Hukum Kompetensi Pengadilan Niaga Dalam Penyelesaian Sengketa Bisnis,” </w:t>
      </w:r>
      <w:r w:rsidRPr="001D201E">
        <w:rPr>
          <w:rFonts w:ascii="Book Antiqua" w:hAnsi="Book Antiqua"/>
          <w:i/>
          <w:noProof/>
          <w:color w:val="000000" w:themeColor="text1"/>
          <w:sz w:val="16"/>
          <w:szCs w:val="16"/>
        </w:rPr>
        <w:t>Action Research Literate</w:t>
      </w:r>
      <w:r w:rsidRPr="001D201E">
        <w:rPr>
          <w:rFonts w:ascii="Book Antiqua" w:hAnsi="Book Antiqua"/>
          <w:noProof/>
          <w:color w:val="000000" w:themeColor="text1"/>
          <w:sz w:val="16"/>
          <w:szCs w:val="16"/>
        </w:rPr>
        <w:t xml:space="preserve"> 7, no. 10 (2023): 102–13, https://arl.ridwaninstitute.co.id/index.php/arl.</w:t>
      </w:r>
      <w:r w:rsidRPr="00621958">
        <w:rPr>
          <w:rFonts w:ascii="Book Antiqua" w:hAnsi="Book Antiqua"/>
          <w:color w:val="000000" w:themeColor="text1"/>
          <w:sz w:val="16"/>
          <w:szCs w:val="16"/>
        </w:rPr>
        <w:fldChar w:fldCharType="end"/>
      </w:r>
    </w:p>
  </w:footnote>
  <w:footnote w:id="99">
    <w:p w14:paraId="7AD2214D" w14:textId="72D5BE2F" w:rsidR="00C04C78" w:rsidRPr="00DE67E9" w:rsidRDefault="00C04C78" w:rsidP="00DE67E9">
      <w:pPr>
        <w:pStyle w:val="FootnoteText"/>
        <w:jc w:val="both"/>
        <w:rPr>
          <w:rFonts w:ascii="Book Antiqua" w:hAnsi="Book Antiqua"/>
        </w:rPr>
      </w:pPr>
      <w:r w:rsidRPr="00DE67E9">
        <w:rPr>
          <w:rStyle w:val="FootnoteReference"/>
          <w:rFonts w:ascii="Book Antiqua" w:hAnsi="Book Antiqua"/>
          <w:sz w:val="16"/>
          <w:szCs w:val="16"/>
        </w:rPr>
        <w:footnoteRef/>
      </w:r>
      <w:r w:rsidRPr="00DE67E9">
        <w:rPr>
          <w:rFonts w:ascii="Book Antiqua" w:hAnsi="Book Antiqua"/>
          <w:sz w:val="16"/>
          <w:szCs w:val="16"/>
        </w:rPr>
        <w:t xml:space="preserve"> </w:t>
      </w:r>
      <w:r w:rsidRPr="00DE67E9">
        <w:rPr>
          <w:rFonts w:ascii="Book Antiqua" w:hAnsi="Book Antiqua"/>
          <w:sz w:val="16"/>
          <w:szCs w:val="16"/>
        </w:rPr>
        <w:fldChar w:fldCharType="begin" w:fldLock="1"/>
      </w:r>
      <w:r w:rsidR="002C142A">
        <w:rPr>
          <w:rFonts w:ascii="Book Antiqua" w:hAnsi="Book Antiqua"/>
          <w:sz w:val="16"/>
          <w:szCs w:val="16"/>
        </w:rPr>
        <w:instrText>ADDIN CSL_CITATION {"citationItems":[{"id":"ITEM-1","itemData":{"DOI":"https://doi.org/10.23920/acta.v5i1.712","author":[{"dropping-particle":"","family":"Nurahmasari","given":"Revita","non-dropping-particle":"","parse-names":false,"suffix":""},{"dropping-particle":"","family":"Amirulloh","given":"Muhamad","non-dropping-particle":"","parse-names":false,"suffix":""},{"dropping-particle":"","family":"Afriana","given":"Anita","non-dropping-particle":"","parse-names":false,"suffix":""}],"id":"ITEM-1","issued":{"date-parts":[["2021"]]},"page":"123-138","title":"Mediasi Sebagai Kewajiban Penyelesaian Sengketa Perdata Pelanggaran Paten di Indonesia Demi Kepastian dan Kemanfaatan Hukum","type":"article-journal","volume":"5"},"uris":["http://www.mendeley.com/documents/?uuid=94e79f0d-f58c-4ddc-867f-de9f2f0fc0aa"]}],"mendeley":{"formattedCitation":"Nurahmasari, Amirulloh, and Afriana, “Mediasi Sebagai Kewajiban Penyelesaian Sengketa Perdata Pelanggaran Paten Di Indonesia Demi Kepastian Dan Kemanfaatan Hukum.”","plainTextFormattedCitation":"Nurahmasari, Amirulloh, and Afriana, “Mediasi Sebagai Kewajiban Penyelesaian Sengketa Perdata Pelanggaran Paten Di Indonesia Demi Kepastian Dan Kemanfaatan Hukum.”","previouslyFormattedCitation":"Nurahmasari, Amirulloh, and Afriana, “Mediasi Sebagai Kewajiban Penyelesaian Sengketa Perdata Pelanggaran Paten Di Indonesia Demi Kepastian Dan Kemanfaatan Hukum.”"},"properties":{"noteIndex":99},"schema":"https://github.com/citation-style-language/schema/raw/master/csl-citation.json"}</w:instrText>
      </w:r>
      <w:r w:rsidRPr="00DE67E9">
        <w:rPr>
          <w:rFonts w:ascii="Book Antiqua" w:hAnsi="Book Antiqua"/>
          <w:sz w:val="16"/>
          <w:szCs w:val="16"/>
        </w:rPr>
        <w:fldChar w:fldCharType="separate"/>
      </w:r>
      <w:r w:rsidRPr="00DE67E9">
        <w:rPr>
          <w:rFonts w:ascii="Book Antiqua" w:hAnsi="Book Antiqua"/>
          <w:noProof/>
          <w:sz w:val="16"/>
          <w:szCs w:val="16"/>
        </w:rPr>
        <w:t>Nurahmasari, Amirulloh, and Afriana, “Mediasi Sebagai Kewajiban Penyelesaian Sengketa Perdata Pelanggaran Paten Di Indonesia Demi Kepastian Dan Kemanfaatan Hukum.”</w:t>
      </w:r>
      <w:r w:rsidRPr="00DE67E9">
        <w:rPr>
          <w:rFonts w:ascii="Book Antiqua" w:hAnsi="Book Antiqua"/>
          <w:sz w:val="16"/>
          <w:szCs w:val="16"/>
        </w:rPr>
        <w:fldChar w:fldCharType="end"/>
      </w:r>
    </w:p>
  </w:footnote>
  <w:footnote w:id="100">
    <w:p w14:paraId="36F4783C" w14:textId="5DA60C7C" w:rsidR="00C04C78" w:rsidRPr="003A57FF" w:rsidRDefault="00C04C78" w:rsidP="003A57FF">
      <w:pPr>
        <w:pStyle w:val="FootnoteText"/>
        <w:jc w:val="both"/>
        <w:rPr>
          <w:rFonts w:ascii="Book Antiqua" w:hAnsi="Book Antiqua"/>
        </w:rPr>
      </w:pPr>
      <w:r w:rsidRPr="003A57FF">
        <w:rPr>
          <w:rStyle w:val="FootnoteReference"/>
          <w:rFonts w:ascii="Book Antiqua" w:hAnsi="Book Antiqua"/>
          <w:sz w:val="16"/>
          <w:szCs w:val="16"/>
        </w:rPr>
        <w:footnoteRef/>
      </w:r>
      <w:r w:rsidRPr="003A57FF">
        <w:rPr>
          <w:rFonts w:ascii="Book Antiqua" w:hAnsi="Book Antiqua"/>
          <w:sz w:val="16"/>
          <w:szCs w:val="16"/>
        </w:rPr>
        <w:t xml:space="preserve"> </w:t>
      </w:r>
      <w:r w:rsidRPr="003A57FF">
        <w:rPr>
          <w:rFonts w:ascii="Book Antiqua" w:hAnsi="Book Antiqua"/>
          <w:sz w:val="16"/>
          <w:szCs w:val="16"/>
        </w:rPr>
        <w:fldChar w:fldCharType="begin" w:fldLock="1"/>
      </w:r>
      <w:r w:rsidR="002C142A">
        <w:rPr>
          <w:rFonts w:ascii="Book Antiqua" w:hAnsi="Book Antiqua"/>
          <w:sz w:val="16"/>
          <w:szCs w:val="16"/>
        </w:rPr>
        <w:instrText>ADDIN CSL_CITATION {"citationItems":[{"id":"ITEM-1","itemData":{"DOI":"10.58812/jhhws.v2i12.873","abstract":"Penelitian ini menyelidiki persepsi para pemangku kepentingan mengenai penyelesaian sengketa litigasi paten dan implikasinya terhadap inovasi teknologi di Indonesia. Dengan menggunakan desain penelitian kuantitatif, penelitian ini mengumpulkan data melalui survei daring dari para penemu, profesional hukum, dan eksekutif bisnis di sektor teknologi. Statistik deskriptif, analisis korelasi, dan analisis regresi digunakan untuk mengeksplorasi hubungan antara keadilan, efisiensi, aksesibilitas, kepuasan keseluruhan dengan penyelesaian sengketa, dan tingkat inovasi teknologi. Temuan ini menyoroti peran penting dari keadilan yang dirasakan dalam membentuk keterlibatan pemangku kepentingan dalam kegiatan inovasi. Hasil penelitian ini memberikan wawasan bagi para pembuat kebijakan, praktisi hukum, dan pemimpin industri untuk mendorong lingkungan yang lebih ramah terhadap inovasi di Indonesia.","author":[{"dropping-particle":"","family":"Syamhadi","given":"","non-dropping-particle":"","parse-names":false,"suffix":""},{"dropping-particle":"","family":"Adiman","given":"Muhammad Fauzen","non-dropping-particle":"","parse-names":false,"suffix":""},{"dropping-particle":"","family":"Dewi","given":"Retno Sari","non-dropping-particle":"","parse-names":false,"suffix":""}],"container-title":"Jurnal Hukum dan HAM Wara Sains","id":"ITEM-1","issue":"12","issued":{"date-parts":[["2023"]]},"page":"1191-1200","title":"Analisis Penyelesaian Sengketa Secara Litigasi Paten terhadap Perkembangan Inovasi Teknologi di Indonesia","type":"article-journal","volume":"02"},"uris":["http://www.mendeley.com/documents/?uuid=e0ca01d4-af93-4ffe-8ec3-7430ac11ee33"]}],"mendeley":{"formattedCitation":"Syamhadi, Adiman, and Dewi, “Analisis Penyelesaian Sengketa Secara Litigasi Paten Terhadap Perkembangan Inovasi Teknologi Di Indonesia.”","plainTextFormattedCitation":"Syamhadi, Adiman, and Dewi, “Analisis Penyelesaian Sengketa Secara Litigasi Paten Terhadap Perkembangan Inovasi Teknologi Di Indonesia.”","previouslyFormattedCitation":"Syamhadi, Adiman, and Dewi, “Analisis Penyelesaian Sengketa Secara Litigasi Paten Terhadap Perkembangan Inovasi Teknologi Di Indonesia.”"},"properties":{"noteIndex":100},"schema":"https://github.com/citation-style-language/schema/raw/master/csl-citation.json"}</w:instrText>
      </w:r>
      <w:r w:rsidRPr="003A57FF">
        <w:rPr>
          <w:rFonts w:ascii="Book Antiqua" w:hAnsi="Book Antiqua"/>
          <w:sz w:val="16"/>
          <w:szCs w:val="16"/>
        </w:rPr>
        <w:fldChar w:fldCharType="separate"/>
      </w:r>
      <w:r w:rsidRPr="003A57FF">
        <w:rPr>
          <w:rFonts w:ascii="Book Antiqua" w:hAnsi="Book Antiqua"/>
          <w:noProof/>
          <w:sz w:val="16"/>
          <w:szCs w:val="16"/>
        </w:rPr>
        <w:t>Syamhadi, Adiman, and Dewi, “Analisis Penyelesaian Sengketa Secara Litigasi Paten Terhadap Perkembangan Inovasi Teknologi Di Indonesia.”</w:t>
      </w:r>
      <w:r w:rsidRPr="003A57FF">
        <w:rPr>
          <w:rFonts w:ascii="Book Antiqua" w:hAnsi="Book Antiqua"/>
          <w:sz w:val="16"/>
          <w:szCs w:val="16"/>
        </w:rPr>
        <w:fldChar w:fldCharType="end"/>
      </w:r>
    </w:p>
  </w:footnote>
  <w:footnote w:id="101">
    <w:p w14:paraId="49B6960F" w14:textId="42C4C5FE" w:rsidR="00C04C78" w:rsidRPr="003A57FF" w:rsidRDefault="00C04C78" w:rsidP="003A57FF">
      <w:pPr>
        <w:pStyle w:val="FootnoteText"/>
        <w:jc w:val="both"/>
        <w:rPr>
          <w:rFonts w:ascii="Book Antiqua" w:hAnsi="Book Antiqua"/>
        </w:rPr>
      </w:pPr>
      <w:r w:rsidRPr="003A57FF">
        <w:rPr>
          <w:rStyle w:val="FootnoteReference"/>
          <w:rFonts w:ascii="Book Antiqua" w:hAnsi="Book Antiqua"/>
          <w:sz w:val="16"/>
          <w:szCs w:val="16"/>
        </w:rPr>
        <w:footnoteRef/>
      </w:r>
      <w:r w:rsidRPr="003A57FF">
        <w:rPr>
          <w:rFonts w:ascii="Book Antiqua" w:hAnsi="Book Antiqua"/>
          <w:sz w:val="16"/>
          <w:szCs w:val="16"/>
        </w:rPr>
        <w:t xml:space="preserve"> </w:t>
      </w:r>
      <w:r w:rsidRPr="003A57FF">
        <w:rPr>
          <w:rFonts w:ascii="Book Antiqua" w:hAnsi="Book Antiqua"/>
          <w:sz w:val="16"/>
          <w:szCs w:val="16"/>
        </w:rPr>
        <w:fldChar w:fldCharType="begin" w:fldLock="1"/>
      </w:r>
      <w:r w:rsidR="002C142A">
        <w:rPr>
          <w:rFonts w:ascii="Book Antiqua" w:hAnsi="Book Antiqua"/>
          <w:sz w:val="16"/>
          <w:szCs w:val="16"/>
        </w:rPr>
        <w:instrText>ADDIN CSL_CITATION {"citationItems":[{"id":"ITEM-1","itemData":{"author":[{"dropping-particle":"","family":"Aruan","given":"Haposan Lambelouis Valentino","non-dropping-particle":"","parse-names":false,"suffix":""}],"id":"ITEM-1","issue":"46","issued":{"date-parts":[["2023"]]},"publisher":"Universitas Kristen Indonesia","title":"Perlindungan Hukum Pemegang Paten di Indonesia Studi Kasus No 46/Pdt.Sus-Paten/2021/PN.Niaga.Jkt.Pst","type":"thesis"},"uris":["http://www.mendeley.com/documents/?uuid=a10c3e1a-1647-4cc4-8162-6ba3d6323664"]}],"mendeley":{"formattedCitation":"Aruan, “Perlindungan Hukum Pemegang Paten Di Indonesia Studi Kasus No 46/Pdt.Sus-Paten/2021/PN.Niaga.Jkt.Pst.”","plainTextFormattedCitation":"Aruan, “Perlindungan Hukum Pemegang Paten Di Indonesia Studi Kasus No 46/Pdt.Sus-Paten/2021/PN.Niaga.Jkt.Pst.”","previouslyFormattedCitation":"Aruan, “Perlindungan Hukum Pemegang Paten Di Indonesia Studi Kasus No 46/Pdt.Sus-Paten/2021/PN.Niaga.Jkt.Pst.”"},"properties":{"noteIndex":101},"schema":"https://github.com/citation-style-language/schema/raw/master/csl-citation.json"}</w:instrText>
      </w:r>
      <w:r w:rsidRPr="003A57FF">
        <w:rPr>
          <w:rFonts w:ascii="Book Antiqua" w:hAnsi="Book Antiqua"/>
          <w:sz w:val="16"/>
          <w:szCs w:val="16"/>
        </w:rPr>
        <w:fldChar w:fldCharType="separate"/>
      </w:r>
      <w:r w:rsidRPr="003A57FF">
        <w:rPr>
          <w:rFonts w:ascii="Book Antiqua" w:hAnsi="Book Antiqua"/>
          <w:noProof/>
          <w:sz w:val="16"/>
          <w:szCs w:val="16"/>
        </w:rPr>
        <w:t>Aruan, “Perlindungan Hukum Pemegang Paten Di Indonesia Studi Kasus No 46/Pdt.Sus-Paten/2021/PN.Niaga.Jkt.Pst.”</w:t>
      </w:r>
      <w:r w:rsidRPr="003A57FF">
        <w:rPr>
          <w:rFonts w:ascii="Book Antiqua" w:hAnsi="Book Antiqua"/>
          <w:sz w:val="16"/>
          <w:szCs w:val="16"/>
        </w:rPr>
        <w:fldChar w:fldCharType="end"/>
      </w:r>
    </w:p>
  </w:footnote>
  <w:footnote w:id="102">
    <w:p w14:paraId="58A26225" w14:textId="0EC5D0F0" w:rsidR="00C04C78" w:rsidRPr="00531CD1" w:rsidRDefault="00C04C78" w:rsidP="00A11458">
      <w:pPr>
        <w:pStyle w:val="FootnoteText"/>
        <w:jc w:val="both"/>
        <w:rPr>
          <w:rFonts w:ascii="Book Antiqua" w:hAnsi="Book Antiqua"/>
          <w:sz w:val="16"/>
          <w:szCs w:val="16"/>
        </w:rPr>
      </w:pPr>
      <w:r w:rsidRPr="00531CD1">
        <w:rPr>
          <w:rStyle w:val="FootnoteReference"/>
          <w:rFonts w:ascii="Book Antiqua" w:hAnsi="Book Antiqua"/>
          <w:sz w:val="16"/>
          <w:szCs w:val="16"/>
        </w:rPr>
        <w:footnoteRef/>
      </w:r>
      <w:r w:rsidRPr="00531CD1">
        <w:rPr>
          <w:rFonts w:ascii="Book Antiqua" w:hAnsi="Book Antiqua"/>
          <w:sz w:val="16"/>
          <w:szCs w:val="16"/>
        </w:rPr>
        <w:t xml:space="preserve"> </w:t>
      </w:r>
      <w:r w:rsidRPr="00531CD1">
        <w:rPr>
          <w:rFonts w:ascii="Book Antiqua" w:hAnsi="Book Antiqua"/>
          <w:sz w:val="16"/>
          <w:szCs w:val="16"/>
        </w:rPr>
        <w:fldChar w:fldCharType="begin" w:fldLock="1"/>
      </w:r>
      <w:r w:rsidR="002C142A">
        <w:rPr>
          <w:rFonts w:ascii="Book Antiqua" w:hAnsi="Book Antiqua"/>
          <w:sz w:val="16"/>
          <w:szCs w:val="16"/>
        </w:rPr>
        <w:instrText>ADDIN CSL_CITATION {"citationItems":[{"id":"ITEM-1","itemData":{"DOI":"www. dx.doi.org 10.31604/justitia.v9i5. 2303-2317","ISSN":"2686-5963","abstract":"Tidak dapat dipungkiri bahwa pada saat ini persaingan usaha atau kegiatan bisnis yang semakin hari semakin pesat sangat menunjukkan bahwa dalam hal kegiatan usaha yang mencapai ratusan atau bahkan pula ribuan dalam setiap harinya, tidak menutup kemungkinan bahwa dapat terjadi suatu sengketa ( dispute, diferrence ) diantara para pihak yang terlibat dalam dunia bisnis tersebut, yang disebabkan dari semakin banyaknya kegiatan perdagangan yang semakin luas. Dalam sengketa tersebut pasti pula ada salah satu pihak menuntut dan berharap penyelesaian dan pemecahannya dapat diselesaikan melalui sebuah alternatif penyelesaian sengketa yang salah satunya mediasi tentu diharapkan dalam upaya yang dilakukan oleh para pihak untuk dapat menyelesaikan suatu sengketa dengan hasil kesepakatan bersama dengan bantuan seorang mediator yang bersikap netral dan tidak memihak, penyelesaian sengketa melalui alternatif penyelesaian sengketa mampu diharapkan pula selalu berperan dalam membantu para pihak. Sehingga mediasi pula tidak hanya dimanfaatkan dinegara Indonesia saja tetapi dimanfaatkan oleh negara-negara lain, yang pastinya memiliki perbandingan negara satu dengan yang lainnya dalam penerapan mediasi sebagai alternatif penyelesaian sengketa.","author":[{"dropping-particle":"","family":"Nurafifah","given":"Amalia","non-dropping-particle":"","parse-names":false,"suffix":""},{"dropping-particle":"","family":"Marpaung","given":"Devi Siti Hamzah","non-dropping-particle":"","parse-names":false,"suffix":""}],"container-title":"JUSTITIA : Jurnal Ilmu Hukum dan Humaniora","id":"ITEM-1","issue":"5","issued":{"date-parts":[["2022","8","13"]]},"page":"2303-2317","title":"Mediasi Sebagai Alternatif Penyelesaian Sengketa","type":"article-journal","volume":"9"},"uris":["http://www.mendeley.com/documents/?uuid=25505ef2-5c53-4c55-8e4f-1fd2b95a1ad7"]}],"mendeley":{"formattedCitation":"Nurafifah and Marpaung, “Mediasi Sebagai Alternatif Penyelesaian Sengketa.”","plainTextFormattedCitation":"Nurafifah and Marpaung, “Mediasi Sebagai Alternatif Penyelesaian Sengketa.”","previouslyFormattedCitation":"Nurafifah and Marpaung, “Mediasi Sebagai Alternatif Penyelesaian Sengketa.”"},"properties":{"noteIndex":102},"schema":"https://github.com/citation-style-language/schema/raw/master/csl-citation.json"}</w:instrText>
      </w:r>
      <w:r w:rsidRPr="00531CD1">
        <w:rPr>
          <w:rFonts w:ascii="Book Antiqua" w:hAnsi="Book Antiqua"/>
          <w:sz w:val="16"/>
          <w:szCs w:val="16"/>
        </w:rPr>
        <w:fldChar w:fldCharType="separate"/>
      </w:r>
      <w:r w:rsidRPr="003A57FF">
        <w:rPr>
          <w:rFonts w:ascii="Book Antiqua" w:hAnsi="Book Antiqua"/>
          <w:noProof/>
          <w:sz w:val="16"/>
          <w:szCs w:val="16"/>
        </w:rPr>
        <w:t>Nurafifah and Marpaung, “Mediasi Sebagai Alternatif Penyelesaian Sengketa.”</w:t>
      </w:r>
      <w:r w:rsidRPr="00531CD1">
        <w:rPr>
          <w:rFonts w:ascii="Book Antiqua" w:hAnsi="Book Antiqua"/>
          <w:sz w:val="16"/>
          <w:szCs w:val="16"/>
        </w:rPr>
        <w:fldChar w:fldCharType="end"/>
      </w:r>
    </w:p>
  </w:footnote>
  <w:footnote w:id="103">
    <w:p w14:paraId="689C0D4A" w14:textId="3E848A7C" w:rsidR="00C04C78" w:rsidRPr="00531CD1" w:rsidRDefault="00C04C78" w:rsidP="00A11458">
      <w:pPr>
        <w:pStyle w:val="FootnoteText"/>
        <w:jc w:val="both"/>
        <w:rPr>
          <w:rFonts w:ascii="Book Antiqua" w:hAnsi="Book Antiqua"/>
          <w:sz w:val="16"/>
          <w:szCs w:val="16"/>
        </w:rPr>
      </w:pPr>
      <w:r w:rsidRPr="00531CD1">
        <w:rPr>
          <w:rStyle w:val="FootnoteReference"/>
          <w:rFonts w:ascii="Book Antiqua" w:hAnsi="Book Antiqua"/>
          <w:sz w:val="16"/>
          <w:szCs w:val="16"/>
        </w:rPr>
        <w:footnoteRef/>
      </w:r>
      <w:r w:rsidRPr="00531CD1">
        <w:rPr>
          <w:rFonts w:ascii="Book Antiqua" w:hAnsi="Book Antiqua"/>
          <w:sz w:val="16"/>
          <w:szCs w:val="16"/>
        </w:rPr>
        <w:t xml:space="preserve"> </w:t>
      </w:r>
      <w:r w:rsidRPr="00531CD1">
        <w:rPr>
          <w:rFonts w:ascii="Book Antiqua" w:hAnsi="Book Antiqua"/>
          <w:sz w:val="16"/>
          <w:szCs w:val="16"/>
        </w:rPr>
        <w:fldChar w:fldCharType="begin" w:fldLock="1"/>
      </w:r>
      <w:r w:rsidR="002C142A">
        <w:rPr>
          <w:rFonts w:ascii="Book Antiqua" w:hAnsi="Book Antiqua"/>
          <w:sz w:val="16"/>
          <w:szCs w:val="16"/>
        </w:rPr>
        <w:instrText>ADDIN CSL_CITATION {"citationItems":[{"id":"ITEM-1","itemData":{"ISSN":"2808-6988","author":[{"dropping-particle":"","family":"Iriawan","given":"Asep Iwan","non-dropping-particle":"","parse-names":false,"suffix":""}],"container-title":"Action Research Literate","id":"ITEM-1","issue":"10","issued":{"date-parts":[["2023"]]},"page":"102-113","title":"Kepastian Hukum Kompetensi Pengadilan Niaga dalam Penyelesaian Sengketa Bisnis","type":"article-journal","volume":"7"},"uris":["http://www.mendeley.com/documents/?uuid=57a42d66-4a53-4057-a9fc-dfcc78ae21c5"]}],"mendeley":{"formattedCitation":"Iriawan, “Kepastian Hukum Kompetensi Pengadilan Niaga Dalam Penyelesaian Sengketa Bisnis.”","plainTextFormattedCitation":"Iriawan, “Kepastian Hukum Kompetensi Pengadilan Niaga Dalam Penyelesaian Sengketa Bisnis.”","previouslyFormattedCitation":"Iriawan, “Kepastian Hukum Kompetensi Pengadilan Niaga Dalam Penyelesaian Sengketa Bisnis.”"},"properties":{"noteIndex":103},"schema":"https://github.com/citation-style-language/schema/raw/master/csl-citation.json"}</w:instrText>
      </w:r>
      <w:r w:rsidRPr="00531CD1">
        <w:rPr>
          <w:rFonts w:ascii="Book Antiqua" w:hAnsi="Book Antiqua"/>
          <w:sz w:val="16"/>
          <w:szCs w:val="16"/>
        </w:rPr>
        <w:fldChar w:fldCharType="separate"/>
      </w:r>
      <w:r w:rsidRPr="001D201E">
        <w:rPr>
          <w:rFonts w:ascii="Book Antiqua" w:hAnsi="Book Antiqua"/>
          <w:noProof/>
          <w:sz w:val="16"/>
          <w:szCs w:val="16"/>
        </w:rPr>
        <w:t>Iriawan, “Kepastian Hukum Kompetensi Pengadilan Niaga Dalam Penyelesaian Sengketa Bisnis.”</w:t>
      </w:r>
      <w:r w:rsidRPr="00531CD1">
        <w:rPr>
          <w:rFonts w:ascii="Book Antiqua" w:hAnsi="Book Antiqua"/>
          <w:sz w:val="16"/>
          <w:szCs w:val="16"/>
        </w:rPr>
        <w:fldChar w:fldCharType="end"/>
      </w:r>
    </w:p>
  </w:footnote>
  <w:footnote w:id="104">
    <w:p w14:paraId="45B6C6A5" w14:textId="7C35F6E3" w:rsidR="00C04C78" w:rsidRPr="00531CD1" w:rsidRDefault="00C04C78" w:rsidP="00A11458">
      <w:pPr>
        <w:pStyle w:val="FootnoteText"/>
        <w:jc w:val="both"/>
        <w:rPr>
          <w:rFonts w:ascii="Book Antiqua" w:hAnsi="Book Antiqua"/>
          <w:sz w:val="16"/>
          <w:szCs w:val="16"/>
        </w:rPr>
      </w:pPr>
      <w:r w:rsidRPr="00531CD1">
        <w:rPr>
          <w:rStyle w:val="FootnoteReference"/>
          <w:rFonts w:ascii="Book Antiqua" w:hAnsi="Book Antiqua"/>
          <w:sz w:val="16"/>
          <w:szCs w:val="16"/>
        </w:rPr>
        <w:footnoteRef/>
      </w:r>
      <w:r w:rsidRPr="00531CD1">
        <w:rPr>
          <w:rFonts w:ascii="Book Antiqua" w:hAnsi="Book Antiqua"/>
          <w:sz w:val="16"/>
          <w:szCs w:val="16"/>
        </w:rPr>
        <w:t xml:space="preserve"> </w:t>
      </w:r>
      <w:r w:rsidRPr="00531CD1">
        <w:rPr>
          <w:rFonts w:ascii="Book Antiqua" w:hAnsi="Book Antiqua"/>
          <w:sz w:val="16"/>
          <w:szCs w:val="16"/>
        </w:rPr>
        <w:fldChar w:fldCharType="begin" w:fldLock="1"/>
      </w:r>
      <w:r w:rsidR="002C142A">
        <w:rPr>
          <w:rFonts w:ascii="Book Antiqua" w:hAnsi="Book Antiqua"/>
          <w:sz w:val="16"/>
          <w:szCs w:val="16"/>
        </w:rPr>
        <w:instrText>ADDIN CSL_CITATION {"citationItems":[{"id":"ITEM-1","itemData":{"DOI":"https://doi.org/10.59141/japendi.v4i04.1747","author":[{"dropping-particle":"","family":"Irfawandi","given":"","non-dropping-particle":"","parse-names":false,"suffix":""},{"dropping-particle":"","family":"Hirwan","given":"Irwanda","non-dropping-particle":"","parse-names":false,"suffix":""},{"dropping-particle":"","family":"Aziz","given":"Zahra Mawarda","non-dropping-particle":"","parse-names":false,"suffix":""},{"dropping-particle":"","family":"M.Syukur","given":"","non-dropping-particle":"","parse-names":false,"suffix":""},{"dropping-particle":"","family":"Arifin","given":"Ibrahim","non-dropping-particle":"","parse-names":false,"suffix":""}],"container-title":"Jurnal Pendidikan Indonesia","id":"ITEM-1","issue":"04","issued":{"date-parts":[["2023"]]},"page":"383-392","title":"Analisis Jenis Jenis dan Penyebab Kekerasan Seksual di Lingkungan Kampus","type":"article-journal","volume":"4"},"uris":["http://www.mendeley.com/documents/?uuid=19fbbb34-0ecd-4708-a056-d828bdee6fb0"]}],"mendeley":{"formattedCitation":"Irfawandi et al., “Analisis Jenis Jenis Dan Penyebab Kekerasan Seksual Di Lingkungan Kampus,” &lt;i&gt;Jurnal Pendidikan Indonesia&lt;/i&gt; 4, no. 04 (2023): 383–92, https://doi.org/https://doi.org/10.59141/japendi.v4i04.1747.","plainTextFormattedCitation":"Irfawandi et al., “Analisis Jenis Jenis Dan Penyebab Kekerasan Seksual Di Lingkungan Kampus,” Jurnal Pendidikan Indonesia 4, no. 04 (2023): 383–92, https://doi.org/https://doi.org/10.59141/japendi.v4i04.1747.","previouslyFormattedCitation":"Irfawandi et al., “Analisis Jenis Jenis Dan Penyebab Kekerasan Seksual Di Lingkungan Kampus,” &lt;i&gt;Jurnal Pendidikan Indonesia&lt;/i&gt; 4, no. 04 (2023): 383–92, https://doi.org/https://doi.org/10.59141/japendi.v4i04.1747."},"properties":{"noteIndex":104},"schema":"https://github.com/citation-style-language/schema/raw/master/csl-citation.json"}</w:instrText>
      </w:r>
      <w:r w:rsidRPr="00531CD1">
        <w:rPr>
          <w:rFonts w:ascii="Book Antiqua" w:hAnsi="Book Antiqua"/>
          <w:sz w:val="16"/>
          <w:szCs w:val="16"/>
        </w:rPr>
        <w:fldChar w:fldCharType="separate"/>
      </w:r>
      <w:r w:rsidRPr="00531CD1">
        <w:rPr>
          <w:rFonts w:ascii="Book Antiqua" w:hAnsi="Book Antiqua"/>
          <w:noProof/>
          <w:sz w:val="16"/>
          <w:szCs w:val="16"/>
        </w:rPr>
        <w:t xml:space="preserve">Irfawandi et al., “Analisis Jenis Jenis Dan Penyebab Kekerasan Seksual Di Lingkungan Kampus,” </w:t>
      </w:r>
      <w:r w:rsidRPr="00531CD1">
        <w:rPr>
          <w:rFonts w:ascii="Book Antiqua" w:hAnsi="Book Antiqua"/>
          <w:i/>
          <w:noProof/>
          <w:sz w:val="16"/>
          <w:szCs w:val="16"/>
        </w:rPr>
        <w:t>Jurnal Pendidikan Indonesia</w:t>
      </w:r>
      <w:r w:rsidRPr="00531CD1">
        <w:rPr>
          <w:rFonts w:ascii="Book Antiqua" w:hAnsi="Book Antiqua"/>
          <w:noProof/>
          <w:sz w:val="16"/>
          <w:szCs w:val="16"/>
        </w:rPr>
        <w:t xml:space="preserve"> 4, no. 04 (2023): 383–92, https://doi.org/https://doi.org/10.59141/japendi.v4i04.1747.</w:t>
      </w:r>
      <w:r w:rsidRPr="00531CD1">
        <w:rPr>
          <w:rFonts w:ascii="Book Antiqua" w:hAnsi="Book Antiqua"/>
          <w:sz w:val="16"/>
          <w:szCs w:val="16"/>
        </w:rPr>
        <w:fldChar w:fldCharType="end"/>
      </w:r>
    </w:p>
  </w:footnote>
  <w:footnote w:id="105">
    <w:p w14:paraId="0FEF7DF6" w14:textId="468FB932" w:rsidR="00C04C78" w:rsidRPr="00531CD1" w:rsidRDefault="00C04C78" w:rsidP="00A11458">
      <w:pPr>
        <w:pStyle w:val="FootnoteText"/>
        <w:jc w:val="both"/>
        <w:rPr>
          <w:rFonts w:ascii="Book Antiqua" w:hAnsi="Book Antiqua"/>
          <w:sz w:val="16"/>
          <w:szCs w:val="16"/>
        </w:rPr>
      </w:pPr>
      <w:r w:rsidRPr="00531CD1">
        <w:rPr>
          <w:rStyle w:val="FootnoteReference"/>
          <w:rFonts w:ascii="Book Antiqua" w:hAnsi="Book Antiqua"/>
          <w:sz w:val="16"/>
          <w:szCs w:val="16"/>
        </w:rPr>
        <w:footnoteRef/>
      </w:r>
      <w:r w:rsidRPr="00531CD1">
        <w:rPr>
          <w:rFonts w:ascii="Book Antiqua" w:hAnsi="Book Antiqua"/>
          <w:sz w:val="16"/>
          <w:szCs w:val="16"/>
        </w:rPr>
        <w:t xml:space="preserve"> </w:t>
      </w:r>
      <w:r w:rsidRPr="00531CD1">
        <w:rPr>
          <w:rFonts w:ascii="Book Antiqua" w:hAnsi="Book Antiqua"/>
          <w:sz w:val="16"/>
          <w:szCs w:val="16"/>
        </w:rPr>
        <w:fldChar w:fldCharType="begin" w:fldLock="1"/>
      </w:r>
      <w:r w:rsidR="002C142A">
        <w:rPr>
          <w:rFonts w:ascii="Book Antiqua" w:hAnsi="Book Antiqua"/>
          <w:sz w:val="16"/>
          <w:szCs w:val="16"/>
        </w:rPr>
        <w:instrText>ADDIN CSL_CITATION {"citationItems":[{"id":"ITEM-1","itemData":{"DOI":"10.23887/jpss.v2i1.452","ISSN":"2723-7435","abstract":"In Indonesia, there are two forms of dispute resolution over Intellectual Property Rights. The first is through the litigation channel and the second is through the Non-Litigation route. Regarding trade disputes over trademark rights, the resolution is also through these two channels. This research specifically examines the settlement of trademark disputes between Geprek Bensu and I Am Geprek Bensu based on Law Number 20 of 2016 concerning Trademarks and Geographical Indications. This research uses research methods of normative law which is carried out through the collection of primary data and secondary data as well as by the literature approach. Data analysis in this study used qualitative data analysis methods.","author":[{"dropping-particle":"","family":"Pinem","given":"Lompoh Egia Nuansa","non-dropping-particle":"","parse-names":false,"suffix":""},{"dropping-particle":"","family":"Gunadi","given":"Ni Luh Dwik Suryacahyani","non-dropping-particle":"","parse-names":false,"suffix":""}],"container-title":"Jurnal Pacta Sunt Servanda","id":"ITEM-1","issue":"1","issued":{"date-parts":[["2021"]]},"page":"24-35","title":"Analisis Penyelesaian Sengketa Terhadap Hak Merek Atas Putusan Geprek Bensu Melawan I Am Geprek Bensu","type":"article-journal","volume":"2"},"uris":["http://www.mendeley.com/documents/?uuid=ef9822a3-5ae0-40a8-9716-5fa1e455f708"]}],"mendeley":{"formattedCitation":"Pinem and Gunadi, “Analisis Penyelesaian Sengketa Terhadap Hak Merek Atas Putusan Geprek Bensu Melawan I Am Geprek Bensu.”","plainTextFormattedCitation":"Pinem and Gunadi, “Analisis Penyelesaian Sengketa Terhadap Hak Merek Atas Putusan Geprek Bensu Melawan I Am Geprek Bensu.”","previouslyFormattedCitation":"Pinem and Gunadi, “Analisis Penyelesaian Sengketa Terhadap Hak Merek Atas Putusan Geprek Bensu Melawan I Am Geprek Bensu.”"},"properties":{"noteIndex":105},"schema":"https://github.com/citation-style-language/schema/raw/master/csl-citation.json"}</w:instrText>
      </w:r>
      <w:r w:rsidRPr="00531CD1">
        <w:rPr>
          <w:rFonts w:ascii="Book Antiqua" w:hAnsi="Book Antiqua"/>
          <w:sz w:val="16"/>
          <w:szCs w:val="16"/>
        </w:rPr>
        <w:fldChar w:fldCharType="separate"/>
      </w:r>
      <w:r w:rsidRPr="00E21F2F">
        <w:rPr>
          <w:rFonts w:ascii="Book Antiqua" w:hAnsi="Book Antiqua"/>
          <w:noProof/>
          <w:sz w:val="16"/>
          <w:szCs w:val="16"/>
        </w:rPr>
        <w:t>Pinem and Gunadi, “Analisis Penyelesaian Sengketa Terhadap Hak Merek Atas Putusan Geprek Bensu Melawan I Am Geprek Bensu.”</w:t>
      </w:r>
      <w:r w:rsidRPr="00531CD1">
        <w:rPr>
          <w:rFonts w:ascii="Book Antiqua" w:hAnsi="Book Antiqua"/>
          <w:sz w:val="16"/>
          <w:szCs w:val="16"/>
        </w:rPr>
        <w:fldChar w:fldCharType="end"/>
      </w:r>
    </w:p>
  </w:footnote>
  <w:footnote w:id="106">
    <w:p w14:paraId="71C00DEC" w14:textId="112F0912" w:rsidR="00C04C78" w:rsidRPr="00531CD1" w:rsidRDefault="00C04C78" w:rsidP="00A11458">
      <w:pPr>
        <w:pStyle w:val="FootnoteText"/>
        <w:jc w:val="both"/>
        <w:rPr>
          <w:rFonts w:ascii="Book Antiqua" w:hAnsi="Book Antiqua"/>
          <w:sz w:val="16"/>
          <w:szCs w:val="16"/>
        </w:rPr>
      </w:pPr>
      <w:r w:rsidRPr="00531CD1">
        <w:rPr>
          <w:rStyle w:val="FootnoteReference"/>
          <w:rFonts w:ascii="Book Antiqua" w:hAnsi="Book Antiqua"/>
          <w:sz w:val="16"/>
          <w:szCs w:val="16"/>
        </w:rPr>
        <w:footnoteRef/>
      </w:r>
      <w:r w:rsidRPr="00531CD1">
        <w:rPr>
          <w:rFonts w:ascii="Book Antiqua" w:hAnsi="Book Antiqua"/>
          <w:sz w:val="16"/>
          <w:szCs w:val="16"/>
        </w:rPr>
        <w:t xml:space="preserve"> </w:t>
      </w:r>
      <w:r w:rsidRPr="00531CD1">
        <w:rPr>
          <w:rFonts w:ascii="Book Antiqua" w:hAnsi="Book Antiqua"/>
          <w:sz w:val="16"/>
          <w:szCs w:val="16"/>
        </w:rPr>
        <w:fldChar w:fldCharType="begin" w:fldLock="1"/>
      </w:r>
      <w:r w:rsidR="002C142A">
        <w:rPr>
          <w:rFonts w:ascii="Book Antiqua" w:hAnsi="Book Antiqua"/>
          <w:sz w:val="16"/>
          <w:szCs w:val="16"/>
        </w:rPr>
        <w:instrText>ADDIN CSL_CITATION {"citationItems":[{"id":"ITEM-1","itemData":{"DOI":"10.35973/jrs.v1i01.1486","ISSN":"2721-6098","abstract":"2016 Tentang Paten pasal 134 ayat 2 yang menyatakan :Menteri wajib memberitahukan kepada pemegang paten dalam jangka waktu 30 hari sebelum Paten dimaksud dinyatakan hapus berdasarkan alasan sebagaimana ayat(1), Pasal 135 ayat (1) dan (2) dalam hal paten dihapus sebagaimana pasal 130, menteri memberitahukan secara tertulis dalam bentuk elektronik atau non elektronik kepada pemegang paten. Pasal 2 paten yang dinyatakan dihapus dicatat dan diumumkan. Permasalahan yang akan dibahas apakah pemegang hak paten tanpa suatu sebab bisa dihapus dari daftar umum paten? dan bagaimana perlindungan hukum terhadap pemegang hak paten? Metode pendekatan yaitu yuridis normatif. Spesifikasi penelitian bersifat deskriptif analitis, sumber data adalah data sekunder, metode pengumpulan data dengan studi pustaka,Analisa data dengan analisa kualitatif. Hasil penelitian dan pembahasan sebagai berikut: 1.Pemegang Hak Paten tanpa suatu sebab tidak bisa di hapus dari daftar umum paten karena berdasarkan Pasal 130 Undang-Undang Nomor 13 Tahun 2016 terdapat 4 penyebab paten dihapuskan sebagian atau seluruhnya.tetapi dalam kenyataanya ada kasus paten yang dihapus secara tiba-tiba dari daftar umum paten 2.Perlindungan hukum terhadap pemegang hak paten berdasarkan UU No 13 Tahun 2016 pasal 134 ayat 2 dan Pasal 135 ayat (1) dan (2) dimana .paten tidak bisa langsung dihapus tanpa pemberitahuan secara tertulis disertai dengan alasan Seperti Contoh kasus PT.Starmas Inti Aluminium Industri dia dikabulkan permohonannya untuk menghidupkan kembali sertifikat paten.","author":[{"dropping-particle":"","family":"Zuami","given":"Mutia Denti Armala","non-dropping-particle":"","parse-names":false,"suffix":""},{"dropping-particle":"","family":"Tresnawati","given":"Bakti","non-dropping-particle":"","parse-names":false,"suffix":""}],"container-title":"Jurnal JURISTIC","id":"ITEM-1","issue":"01","issued":{"date-parts":[["2020","4","4"]]},"page":"95","title":"Perlindungan Hukum Terhadap Pemegang Hak Paten Akibat Dihapusnya Kepemilikan Hak Paten Dari Daftar Umum Paten","type":"article-journal","volume":"1"},"uris":["http://www.mendeley.com/documents/?uuid=19251d0a-4669-499c-bb4b-8e326cceaaf2"]}],"mendeley":{"formattedCitation":"Zuami and Tresnawati, “Perlindungan Hukum Terhadap Pemegang Hak Paten Akibat Dihapusnya Kepemilikan Hak Paten Dari Daftar Umum Paten.”","plainTextFormattedCitation":"Zuami and Tresnawati, “Perlindungan Hukum Terhadap Pemegang Hak Paten Akibat Dihapusnya Kepemilikan Hak Paten Dari Daftar Umum Paten.”","previouslyFormattedCitation":"Zuami and Tresnawati, “Perlindungan Hukum Terhadap Pemegang Hak Paten Akibat Dihapusnya Kepemilikan Hak Paten Dari Daftar Umum Paten.”"},"properties":{"noteIndex":106},"schema":"https://github.com/citation-style-language/schema/raw/master/csl-citation.json"}</w:instrText>
      </w:r>
      <w:r w:rsidRPr="00531CD1">
        <w:rPr>
          <w:rFonts w:ascii="Book Antiqua" w:hAnsi="Book Antiqua"/>
          <w:sz w:val="16"/>
          <w:szCs w:val="16"/>
        </w:rPr>
        <w:fldChar w:fldCharType="separate"/>
      </w:r>
      <w:r w:rsidRPr="00531CD1">
        <w:rPr>
          <w:rFonts w:ascii="Book Antiqua" w:hAnsi="Book Antiqua"/>
          <w:noProof/>
          <w:sz w:val="16"/>
          <w:szCs w:val="16"/>
        </w:rPr>
        <w:t>Zuami and Tresnawati, “Perlindungan Hukum Terhadap Pemegang Hak Paten Akibat Dihapusnya Kepemilikan Hak Paten Dari Daftar Umum Paten.”</w:t>
      </w:r>
      <w:r w:rsidRPr="00531CD1">
        <w:rPr>
          <w:rFonts w:ascii="Book Antiqua" w:hAnsi="Book Antiqua"/>
          <w:sz w:val="16"/>
          <w:szCs w:val="16"/>
        </w:rPr>
        <w:fldChar w:fldCharType="end"/>
      </w:r>
    </w:p>
  </w:footnote>
  <w:footnote w:id="107">
    <w:p w14:paraId="6FE3027B" w14:textId="619A4C29" w:rsidR="00C04C78" w:rsidRPr="00531CD1" w:rsidRDefault="00C04C78" w:rsidP="00A11458">
      <w:pPr>
        <w:pStyle w:val="FootnoteText"/>
        <w:jc w:val="both"/>
        <w:rPr>
          <w:rFonts w:ascii="Book Antiqua" w:hAnsi="Book Antiqua"/>
          <w:color w:val="000000" w:themeColor="text1"/>
          <w:sz w:val="16"/>
          <w:szCs w:val="16"/>
        </w:rPr>
      </w:pPr>
      <w:r w:rsidRPr="00531CD1">
        <w:rPr>
          <w:rStyle w:val="FootnoteReference"/>
          <w:rFonts w:ascii="Book Antiqua" w:hAnsi="Book Antiqua"/>
          <w:sz w:val="16"/>
          <w:szCs w:val="16"/>
        </w:rPr>
        <w:footnoteRef/>
      </w:r>
      <w:r w:rsidRPr="00531CD1">
        <w:rPr>
          <w:rFonts w:ascii="Book Antiqua" w:hAnsi="Book Antiqua"/>
          <w:sz w:val="16"/>
          <w:szCs w:val="16"/>
        </w:rPr>
        <w:t xml:space="preserve"> </w:t>
      </w:r>
      <w:r w:rsidRPr="00531CD1">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DOI":"https://doi.org/10.23920/acta.v5i1.712","author":[{"dropping-particle":"","family":"Nurahmasari","given":"Revita","non-dropping-particle":"","parse-names":false,"suffix":""},{"dropping-particle":"","family":"Amirulloh","given":"Muhamad","non-dropping-particle":"","parse-names":false,"suffix":""},{"dropping-particle":"","family":"Afriana","given":"Anita","non-dropping-particle":"","parse-names":false,"suffix":""}],"id":"ITEM-1","issued":{"date-parts":[["2021"]]},"page":"123-138","title":"Mediasi Sebagai Kewajiban Penyelesaian Sengketa Perdata Pelanggaran Paten di Indonesia Demi Kepastian dan Kemanfaatan Hukum","type":"article-journal","volume":"5"},"uris":["http://www.mendeley.com/documents/?uuid=94e79f0d-f58c-4ddc-867f-de9f2f0fc0aa"]}],"mendeley":{"formattedCitation":"Nurahmasari, Amirulloh, and Afriana, “Mediasi Sebagai Kewajiban Penyelesaian Sengketa Perdata Pelanggaran Paten Di Indonesia Demi Kepastian Dan Kemanfaatan Hukum.”","plainTextFormattedCitation":"Nurahmasari, Amirulloh, and Afriana, “Mediasi Sebagai Kewajiban Penyelesaian Sengketa Perdata Pelanggaran Paten Di Indonesia Demi Kepastian Dan Kemanfaatan Hukum.”","previouslyFormattedCitation":"Nurahmasari, Amirulloh, and Afriana, “Mediasi Sebagai Kewajiban Penyelesaian Sengketa Perdata Pelanggaran Paten Di Indonesia Demi Kepastian Dan Kemanfaatan Hukum.”"},"properties":{"noteIndex":107},"schema":"https://github.com/citation-style-language/schema/raw/master/csl-citation.json"}</w:instrText>
      </w:r>
      <w:r w:rsidRPr="00531CD1">
        <w:rPr>
          <w:rFonts w:ascii="Book Antiqua" w:hAnsi="Book Antiqua"/>
          <w:color w:val="000000" w:themeColor="text1"/>
          <w:sz w:val="16"/>
          <w:szCs w:val="16"/>
        </w:rPr>
        <w:fldChar w:fldCharType="separate"/>
      </w:r>
      <w:r w:rsidRPr="00531CD1">
        <w:rPr>
          <w:rFonts w:ascii="Book Antiqua" w:hAnsi="Book Antiqua"/>
          <w:noProof/>
          <w:color w:val="000000" w:themeColor="text1"/>
          <w:sz w:val="16"/>
          <w:szCs w:val="16"/>
        </w:rPr>
        <w:t>Nurahmasari, Amirulloh, and Afriana, “Mediasi Sebagai Kewajiban Penyelesaian Sengketa Perdata Pelanggaran Paten Di Indonesia Demi Kepastian Dan Kemanfaatan Hukum.”</w:t>
      </w:r>
      <w:r w:rsidRPr="00531CD1">
        <w:rPr>
          <w:rFonts w:ascii="Book Antiqua" w:hAnsi="Book Antiqua"/>
          <w:color w:val="000000" w:themeColor="text1"/>
          <w:sz w:val="16"/>
          <w:szCs w:val="16"/>
        </w:rPr>
        <w:fldChar w:fldCharType="end"/>
      </w:r>
    </w:p>
  </w:footnote>
  <w:footnote w:id="108">
    <w:p w14:paraId="33E646A5" w14:textId="0E32F74F" w:rsidR="00C04C78" w:rsidRPr="00621958" w:rsidRDefault="00C04C78" w:rsidP="00621958">
      <w:pPr>
        <w:pStyle w:val="FootnoteText"/>
        <w:jc w:val="both"/>
        <w:rPr>
          <w:rFonts w:ascii="Book Antiqua" w:hAnsi="Book Antiqua"/>
          <w:color w:val="000000" w:themeColor="text1"/>
          <w:sz w:val="16"/>
          <w:szCs w:val="16"/>
        </w:rPr>
      </w:pPr>
      <w:r w:rsidRPr="00621958">
        <w:rPr>
          <w:rStyle w:val="FootnoteReference"/>
          <w:rFonts w:ascii="Book Antiqua" w:hAnsi="Book Antiqua"/>
          <w:color w:val="000000" w:themeColor="text1"/>
          <w:sz w:val="16"/>
          <w:szCs w:val="16"/>
        </w:rPr>
        <w:footnoteRef/>
      </w:r>
      <w:r w:rsidRPr="00621958">
        <w:rPr>
          <w:rFonts w:ascii="Book Antiqua" w:hAnsi="Book Antiqua"/>
          <w:color w:val="000000" w:themeColor="text1"/>
          <w:sz w:val="16"/>
          <w:szCs w:val="16"/>
        </w:rPr>
        <w:t xml:space="preserve"> </w:t>
      </w:r>
      <w:r w:rsidRPr="00621958">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{"citationItems":[{"id":"ITEM-1","itemData":{"DOI":"10.37253/jjr.v23i1.4360","ISSN":"1907-6479","abstract":"The products produced by the creative economy will never be separated from the intellectual property in it, especially brands. However, the problem is that there are still many creative economy actors who do not register their product brands. This study uses a socio-legal research method with a statutory approach and a sociological approach. The results of this study indicate that a new brand will occur after the brand has been registered. Legal protection for creative economy product brands can be in the form of preventive protection and repressive protection. Preventive protection is provided by preventing the occurrence of trademark infringement to encourage trademark owners to register their trademarks to be legally protected. Meanwhile, repressive protection is carried out to deal with violations of trademark rights under applicable laws and regulations through judicial institutions and other law enforcement officers such as the police, Civil Servant Investigators, and the prosecutor's office to take action against violations of trademark rights. In the case of a request for violation of trademark rights, it is filed through the Ministry of Law and Human Rights.","author":[{"dropping-particle":"","family":"Balqis","given":"Wizna Gania","non-dropping-particle":"","parse-names":false,"suffix":""}],"container-title":"Journal of Judicial Review","id":"ITEM-1","issue":"1","issued":{"date-parts":[["2021"]]},"page":"41","title":"Perlindungan Merek sebagai Hak Kekayaan Intelektual: Studi di Kota Semarang, Indonesia","type":"article-journal","volume":"23"},"uris":["http://www.mendeley.com/documents/?uuid=a93da97d-95e6-437d-b4b8-61eaa2ef32db"]}],"mendeley":{"formattedCitation":"Wizna Gania Balqis, “Perlindungan Merek Sebagai Hak Kekayaan Intelektual: Studi Di Kota Semarang, Indonesia,” &lt;i&gt;Journal of Judicial Review&lt;/i&gt; 23, no. 1 (2021): 41, https://doi.org/10.37253/jjr.v23i1.4360.","plainTextFormattedCitation":"Wizna Gania Balqis, “Perlindungan Merek Sebagai Hak Kekayaan Intelektual: Studi Di Kota Semarang, Indonesia,” Journal of Judicial Review 23, no. 1 (2021): 41, https://doi.org/10.37253/jjr.v23i1.4360.","previouslyFormattedCitation":"Wizna Gania Balqis, “Perlindungan Merek Sebagai Hak Kekayaan Intelektual: Studi Di Kota Semarang, Indonesia,” &lt;i&gt;Journal of Judicial Review&lt;/i&gt; 23, no. 1 (2021): 41, https://doi.org/10.37253/jjr.v23i1.4360."},"properties":{"noteIndex":108},"schema":"https://github.com/citation-style-language/schema/raw/master/csl-citation.json"}</w:instrText>
      </w:r>
      <w:r w:rsidRPr="00621958">
        <w:rPr>
          <w:rFonts w:ascii="Book Antiqua" w:hAnsi="Book Antiqua"/>
          <w:color w:val="000000" w:themeColor="text1"/>
          <w:sz w:val="16"/>
          <w:szCs w:val="16"/>
        </w:rPr>
        <w:fldChar w:fldCharType="separate"/>
      </w:r>
      <w:r w:rsidRPr="00621958">
        <w:rPr>
          <w:rFonts w:ascii="Book Antiqua" w:hAnsi="Book Antiqua"/>
          <w:noProof/>
          <w:color w:val="000000" w:themeColor="text1"/>
          <w:sz w:val="16"/>
          <w:szCs w:val="16"/>
        </w:rPr>
        <w:t xml:space="preserve">Wizna Gania Balqis, “Perlindungan Merek Sebagai Hak Kekayaan Intelektual: Studi Di Kota Semarang, Indonesia,” </w:t>
      </w:r>
      <w:r w:rsidRPr="00621958">
        <w:rPr>
          <w:rFonts w:ascii="Book Antiqua" w:hAnsi="Book Antiqua"/>
          <w:i/>
          <w:noProof/>
          <w:color w:val="000000" w:themeColor="text1"/>
          <w:sz w:val="16"/>
          <w:szCs w:val="16"/>
        </w:rPr>
        <w:t>Journal of Judicial Review</w:t>
      </w:r>
      <w:r w:rsidRPr="00621958">
        <w:rPr>
          <w:rFonts w:ascii="Book Antiqua" w:hAnsi="Book Antiqua"/>
          <w:noProof/>
          <w:color w:val="000000" w:themeColor="text1"/>
          <w:sz w:val="16"/>
          <w:szCs w:val="16"/>
        </w:rPr>
        <w:t xml:space="preserve"> 23, no. 1 (2021): 41, https://doi.org/10.37253/jjr.v23i1.4360.</w:t>
      </w:r>
      <w:r w:rsidRPr="00621958">
        <w:rPr>
          <w:rFonts w:ascii="Book Antiqua" w:hAnsi="Book Antiqua"/>
          <w:color w:val="000000" w:themeColor="text1"/>
          <w:sz w:val="16"/>
          <w:szCs w:val="16"/>
        </w:rPr>
        <w:fldChar w:fldCharType="end"/>
      </w:r>
    </w:p>
  </w:footnote>
  <w:footnote w:id="109">
    <w:p w14:paraId="46CAE3E2" w14:textId="38ED6D37" w:rsidR="00C04C78" w:rsidRPr="00621958" w:rsidRDefault="00C04C78" w:rsidP="00621958">
      <w:pPr>
        <w:pStyle w:val="FootnoteText"/>
        <w:jc w:val="both"/>
        <w:rPr>
          <w:rFonts w:ascii="Book Antiqua" w:hAnsi="Book Antiqua"/>
          <w:color w:val="000000" w:themeColor="text1"/>
          <w:sz w:val="16"/>
          <w:szCs w:val="16"/>
        </w:rPr>
      </w:pPr>
      <w:r w:rsidRPr="00621958">
        <w:rPr>
          <w:rStyle w:val="FootnoteReference"/>
          <w:rFonts w:ascii="Book Antiqua" w:hAnsi="Book Antiqua"/>
          <w:color w:val="000000" w:themeColor="text1"/>
          <w:sz w:val="16"/>
          <w:szCs w:val="16"/>
        </w:rPr>
        <w:footnoteRef/>
      </w:r>
      <w:r w:rsidRPr="00621958">
        <w:rPr>
          <w:rFonts w:ascii="Book Antiqua" w:hAnsi="Book Antiqua"/>
          <w:color w:val="000000" w:themeColor="text1"/>
          <w:sz w:val="16"/>
          <w:szCs w:val="16"/>
        </w:rPr>
        <w:t xml:space="preserve"> </w:t>
      </w:r>
      <w:r w:rsidRPr="00621958">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{"citationItems":[{"id":"ITEM-1","itemData":{"DOI":"https://doi.org/10.30640/dewantara.v2i4.1692","abstract":"Terhadap penelitian skripsi ini, penulis dalam penelitiannya menggunakan metode yuridis normatif yang artinya dimaksudkan bahwa penelitian mengacu pada norma – norma hukum dalam undang- undang nasional. Penelitian ini juga memiliki tujuan guna untuk mengetahui pemberlakuan prinsip new novelty dalam pengajuan permohonan paten dan mengetahui akibat hukum bagi pemohon paten yang tidak menggunakan prinsip new novelty. Sumber data penelitian ini diperoleh dari pengumpulan data dalam penelitian ini dilakukan dengan studi dokumen atau kepustakaan. Studi dokumen atau kepustakaan merupakan teknik pengumpulan data yang utama karena pembuktian asumsi dasar penelitian didasarkan bersandar pada norma-norma hukum positif, doktrin-doktrin atau ajaran hukum, hasil-hasil penelitian akademik maupun putusan-putusan pengadilan, di mana kesemuanya berbasis pada dokumen tertulis. Terkait dengan studi dokumen pada dasarnya merupakan kegiatan mengkaji berbagai informasi tertulis mengenai hukum, baik yang telah dipublikasikan atau tidak dipublikasikan secara umum tetapi boleh diketahui oleh pihak tertentu. Studi dokumen adalah kegiatan mengumpulkan dan memeriksa dan menelusuri dokumen-dokumen atau kepustakaan yang dapat memberikan informasi atau keterangan yang dibutuhkan oleh peneliti. Hasil penelitian menunjukkan bahwa prinsip new and novelty menjadi syarat mutlak dalam pendaftaran paten sesuai dengan Undang – Undang Nomor 13 Tahun 2016.","author":[{"dropping-particle":"","family":"Prasetyo","given":"Ramadhan Fajar","non-dropping-particle":"","parse-names":false,"suffix":""},{"dropping-particle":"","family":"Waluyo","given":"","non-dropping-particle":"","parse-names":false,"suffix":""}],"id":"ITEM-1","issue":"4","issued":{"date-parts":[["2023"]]},"page":"84 - 103","title":"Tinjauan Yuridis New Novelty Dalam Pengajuan Permohonan Hak Paten","type":"article-journal","volume":"2"},"uris":["http://www.mendeley.com/documents/?uuid=d16b43c8-f7a8-4d1c-a83a-6b0e68c3ef6b"]}],"mendeley":{"formattedCitation":"Prasetyo and Waluyo, “Tinjauan Yuridis New Novelty Dalam Pengajuan Permohonan Hak Paten.”","plainTextFormattedCitation":"Prasetyo and Waluyo, “Tinjauan Yuridis New Novelty Dalam Pengajuan Permohonan Hak Paten.”","previouslyFormattedCitation":"Prasetyo and Waluyo, “Tinjauan Yuridis New Novelty Dalam Pengajuan Permohonan Hak Paten.”"},"properties":{"noteIndex":109},"schema":"https://github.com/citation-style-language/schema/raw/master/csl-citation.json"}</w:instrText>
      </w:r>
      <w:r w:rsidRPr="00621958">
        <w:rPr>
          <w:rFonts w:ascii="Book Antiqua" w:hAnsi="Book Antiqua"/>
          <w:color w:val="000000" w:themeColor="text1"/>
          <w:sz w:val="16"/>
          <w:szCs w:val="16"/>
        </w:rPr>
        <w:fldChar w:fldCharType="separate"/>
      </w:r>
      <w:r w:rsidRPr="00621958">
        <w:rPr>
          <w:rFonts w:ascii="Book Antiqua" w:hAnsi="Book Antiqua"/>
          <w:noProof/>
          <w:color w:val="000000" w:themeColor="text1"/>
          <w:sz w:val="16"/>
          <w:szCs w:val="16"/>
        </w:rPr>
        <w:t>Prasetyo and Waluyo, “Tinjauan Yuridis New Novelty Dalam Pengajuan Permohonan Hak Paten.”</w:t>
      </w:r>
      <w:r w:rsidRPr="00621958">
        <w:rPr>
          <w:rFonts w:ascii="Book Antiqua" w:hAnsi="Book Antiqua"/>
          <w:color w:val="000000" w:themeColor="text1"/>
          <w:sz w:val="16"/>
          <w:szCs w:val="16"/>
        </w:rPr>
        <w:fldChar w:fldCharType="end"/>
      </w:r>
    </w:p>
  </w:footnote>
  <w:footnote w:id="110">
    <w:p w14:paraId="4B36036C" w14:textId="611A628F" w:rsidR="00C04C78" w:rsidRDefault="00C04C78" w:rsidP="00621958">
      <w:pPr>
        <w:pStyle w:val="FootnoteText"/>
        <w:jc w:val="both"/>
      </w:pPr>
      <w:r w:rsidRPr="00621958">
        <w:rPr>
          <w:rStyle w:val="FootnoteReference"/>
          <w:rFonts w:ascii="Book Antiqua" w:hAnsi="Book Antiqua"/>
          <w:color w:val="000000" w:themeColor="text1"/>
          <w:sz w:val="16"/>
          <w:szCs w:val="16"/>
        </w:rPr>
        <w:footnoteRef/>
      </w:r>
      <w:r w:rsidRPr="00621958">
        <w:rPr>
          <w:rFonts w:ascii="Book Antiqua" w:hAnsi="Book Antiqua"/>
          <w:color w:val="000000" w:themeColor="text1"/>
          <w:sz w:val="16"/>
          <w:szCs w:val="16"/>
        </w:rPr>
        <w:t xml:space="preserve"> </w:t>
      </w:r>
      <w:r w:rsidRPr="00621958">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DOI":"https://doi.org/10.23920/acta.v5i1.712","author":[{"dropping-particle":"","family":"Nurahmasari","given":"Revita","non-dropping-particle":"","parse-names":false,"suffix":""},{"dropping-particle":"","family":"Amirulloh","given":"Muhamad","non-dropping-particle":"","parse-names":false,"suffix":""},{"dropping-particle":"","family":"Afriana","given":"Anita","non-dropping-particle":"","parse-names":false,"suffix":""}],"id":"ITEM-1","issued":{"date-parts":[["2021"]]},"page":"123-138","title":"Mediasi Sebagai Kewajiban Penyelesaian Sengketa Perdata Pelanggaran Paten di Indonesia Demi Kepastian dan Kemanfaatan Hukum","type":"article-journal","volume":"5"},"uris":["http://www.mendeley.com/documents/?uuid=94e79f0d-f58c-4ddc-867f-de9f2f0fc0aa"]}],"mendeley":{"formattedCitation":"Nurahmasari, Amirulloh, and Afriana, “Mediasi Sebagai Kewajiban Penyelesaian Sengketa Perdata Pelanggaran Paten Di Indonesia Demi Kepastian Dan Kemanfaatan Hukum.”","plainTextFormattedCitation":"Nurahmasari, Amirulloh, and Afriana, “Mediasi Sebagai Kewajiban Penyelesaian Sengketa Perdata Pelanggaran Paten Di Indonesia Demi Kepastian Dan Kemanfaatan Hukum.”","previouslyFormattedCitation":"Nurahmasari, Amirulloh, and Afriana, “Mediasi Sebagai Kewajiban Penyelesaian Sengketa Perdata Pelanggaran Paten Di Indonesia Demi Kepastian Dan Kemanfaatan Hukum.”"},"properties":{"noteIndex":110},"schema":"https://github.com/citation-style-language/schema/raw/master/csl-citation.json"}</w:instrText>
      </w:r>
      <w:r w:rsidRPr="00621958">
        <w:rPr>
          <w:rFonts w:ascii="Book Antiqua" w:hAnsi="Book Antiqua"/>
          <w:color w:val="000000" w:themeColor="text1"/>
          <w:sz w:val="16"/>
          <w:szCs w:val="16"/>
        </w:rPr>
        <w:fldChar w:fldCharType="separate"/>
      </w:r>
      <w:r w:rsidRPr="00621958">
        <w:rPr>
          <w:rFonts w:ascii="Book Antiqua" w:hAnsi="Book Antiqua"/>
          <w:noProof/>
          <w:color w:val="000000" w:themeColor="text1"/>
          <w:sz w:val="16"/>
          <w:szCs w:val="16"/>
        </w:rPr>
        <w:t>Nurahmasari, Amirulloh, and Afriana, “Mediasi Sebagai Kewajiban Penyelesaian Sengketa Perdata Pelanggaran Paten Di Indonesia Demi Kepastian Dan Kemanfaatan Hukum.”</w:t>
      </w:r>
      <w:r w:rsidRPr="00621958">
        <w:rPr>
          <w:rFonts w:ascii="Book Antiqua" w:hAnsi="Book Antiqua"/>
          <w:color w:val="000000" w:themeColor="text1"/>
          <w:sz w:val="16"/>
          <w:szCs w:val="16"/>
        </w:rPr>
        <w:fldChar w:fldCharType="end"/>
      </w:r>
    </w:p>
  </w:footnote>
  <w:footnote w:id="111">
    <w:p w14:paraId="36DAD788" w14:textId="5B874130" w:rsidR="00C04C78" w:rsidRPr="00613371" w:rsidRDefault="00C04C78" w:rsidP="00613371">
      <w:pPr>
        <w:pStyle w:val="FootnoteText"/>
        <w:jc w:val="both"/>
        <w:rPr>
          <w:rFonts w:ascii="Book Antiqua" w:hAnsi="Book Antiqua"/>
        </w:rPr>
      </w:pPr>
      <w:r w:rsidRPr="00613371">
        <w:rPr>
          <w:rStyle w:val="FootnoteReference"/>
          <w:rFonts w:ascii="Book Antiqua" w:hAnsi="Book Antiqua"/>
          <w:sz w:val="16"/>
          <w:szCs w:val="16"/>
        </w:rPr>
        <w:footnoteRef/>
      </w:r>
      <w:r w:rsidRPr="00613371">
        <w:rPr>
          <w:rFonts w:ascii="Book Antiqua" w:hAnsi="Book Antiqua"/>
          <w:sz w:val="16"/>
          <w:szCs w:val="16"/>
        </w:rPr>
        <w:t xml:space="preserve"> </w:t>
      </w:r>
      <w:r w:rsidRPr="00613371">
        <w:rPr>
          <w:rFonts w:ascii="Book Antiqua" w:hAnsi="Book Antiqua"/>
          <w:sz w:val="16"/>
          <w:szCs w:val="16"/>
        </w:rPr>
        <w:fldChar w:fldCharType="begin" w:fldLock="1"/>
      </w:r>
      <w:r w:rsidR="002C142A">
        <w:rPr>
          <w:rFonts w:ascii="Book Antiqua" w:hAnsi="Book Antiqua"/>
          <w:sz w:val="16"/>
          <w:szCs w:val="16"/>
        </w:rPr>
        <w:instrText>ADDIN CSL_CITATION {"citationItems":[{"id":"ITEM-1","itemData":{"DOI":"https://doi.org/10.47709/cnapc.xxxx","abstract":"Patents are exclusive rights granted by the state to inventors for their inventions in the field of technology, for a certain period of time. A simple patent is an exclusive right granted by the Patent Directorate Office to a patent holder to realize a new invention, either in the form of a product or a certain process. If a simple patent does not contain an element of novelty or does not contain an element of progress, a simple patent may be rejected for registration at the Directorate. The type of research used in this research is normative legal research. The nature of this research is descriptive analytical where this research seeks to describe, describe and analyze the problems that arise, then look for the correct answer as a solution to the problem. The results of the discussion of the problems that arise in this research, the rights to simple patents contain elements of novelty or are the development of a technology from simple patent products from existing simple patent products. The simple patent holder must be protected by law if another party sues the registered simple patent product The panel of judges of the Supreme Court in their legal considerations have complied with the provisions of the legislation in the field of patents in this case is Law No. 13 of 2016 concerning Patents, where the judge's legal consideration is that the plaintiff / respondent for cassation YA does not have a strong juridical basis in filing a lawsuit for cancellation simple patent.","author":[{"dropping-particle":"","family":"Lubis","given":"Rahmad Anwar","non-dropping-particle":"","parse-names":false,"suffix":""}],"id":"ITEM-1","issue":"I","issued":{"date-parts":[["2021"]]},"page":"13-23","title":"Perlindungan Hukum Terhadap Pemegang Hak Paten Sederhana Yang Terdaftar Lebih Dahulu Di Direktorat Paten (Studi Putusan Mahkamah Agung No. 437K/PDT.SUS-HK/2018","type":"article-journal","volume":"I"},"uris":["http://www.mendeley.com/documents/?uuid=441ac5a9-e3b2-4534-9138-983345a82b9d"]}],"mendeley":{"formattedCitation":"Lubis, “Perlindungan Hukum Terhadap Pemegang Hak Paten Sederhana Yang Terdaftar Lebih Dahulu Di Direktorat Paten (Studi Putusan Mahkamah Agung No. 437K/PDT.SUS-HK/2018.”","plainTextFormattedCitation":"Lubis, “Perlindungan Hukum Terhadap Pemegang Hak Paten Sederhana Yang Terdaftar Lebih Dahulu Di Direktorat Paten (Studi Putusan Mahkamah Agung No. 437K/PDT.SUS-HK/2018.”","previouslyFormattedCitation":"Lubis, “Perlindungan Hukum Terhadap Pemegang Hak Paten Sederhana Yang Terdaftar Lebih Dahulu Di Direktorat Paten (Studi Putusan Mahkamah Agung No. 437K/PDT.SUS-HK/2018.”"},"properties":{"noteIndex":111},"schema":"https://github.com/citation-style-language/schema/raw/master/csl-citation.json"}</w:instrText>
      </w:r>
      <w:r w:rsidRPr="00613371">
        <w:rPr>
          <w:rFonts w:ascii="Book Antiqua" w:hAnsi="Book Antiqua"/>
          <w:sz w:val="16"/>
          <w:szCs w:val="16"/>
        </w:rPr>
        <w:fldChar w:fldCharType="separate"/>
      </w:r>
      <w:r w:rsidRPr="00613371">
        <w:rPr>
          <w:rFonts w:ascii="Book Antiqua" w:hAnsi="Book Antiqua"/>
          <w:noProof/>
          <w:sz w:val="16"/>
          <w:szCs w:val="16"/>
        </w:rPr>
        <w:t>Lubis, “Perlindungan Hukum Terhadap Pemegang Hak Paten Sederhana Yang Terdaftar Lebih Dahulu Di Direktorat Paten (Studi Putusan Mahkamah Agung No. 437K/PDT.SUS-HK/2018.”</w:t>
      </w:r>
      <w:r w:rsidRPr="00613371">
        <w:rPr>
          <w:rFonts w:ascii="Book Antiqua" w:hAnsi="Book Antiqua"/>
          <w:sz w:val="16"/>
          <w:szCs w:val="16"/>
        </w:rPr>
        <w:fldChar w:fldCharType="end"/>
      </w:r>
    </w:p>
  </w:footnote>
  <w:footnote w:id="112">
    <w:p w14:paraId="65BB950C" w14:textId="2F7C3D63" w:rsidR="00C04C78" w:rsidRPr="00987674" w:rsidRDefault="00C04C78" w:rsidP="00987674">
      <w:pPr>
        <w:pStyle w:val="FootnoteText"/>
        <w:jc w:val="both"/>
        <w:rPr>
          <w:rFonts w:ascii="Book Antiqua" w:hAnsi="Book Antiqua"/>
          <w:sz w:val="16"/>
          <w:szCs w:val="16"/>
        </w:rPr>
      </w:pPr>
      <w:r w:rsidRPr="00987674">
        <w:rPr>
          <w:rStyle w:val="FootnoteReference"/>
          <w:rFonts w:ascii="Book Antiqua" w:hAnsi="Book Antiqua"/>
          <w:sz w:val="16"/>
          <w:szCs w:val="16"/>
        </w:rPr>
        <w:footnoteRef/>
      </w:r>
      <w:r w:rsidRPr="00987674">
        <w:rPr>
          <w:rFonts w:ascii="Book Antiqua" w:hAnsi="Book Antiqua"/>
          <w:sz w:val="16"/>
          <w:szCs w:val="16"/>
        </w:rPr>
        <w:t xml:space="preserve"> </w:t>
      </w:r>
      <w:r w:rsidRPr="00987674">
        <w:rPr>
          <w:rFonts w:ascii="Book Antiqua" w:hAnsi="Book Antiqua"/>
          <w:sz w:val="16"/>
          <w:szCs w:val="16"/>
        </w:rPr>
        <w:fldChar w:fldCharType="begin" w:fldLock="1"/>
      </w:r>
      <w:r w:rsidR="002C142A">
        <w:rPr>
          <w:rFonts w:ascii="Book Antiqua" w:hAnsi="Book Antiqua"/>
          <w:sz w:val="16"/>
          <w:szCs w:val="16"/>
        </w:rPr>
        <w:instrText>ADDIN CSL_CITATION {"citationItems":[{"id":"ITEM-1","itemData":{"author":[{"dropping-particle":"","family":"Saputra","given":"Yogi","non-dropping-particle":"","parse-names":false,"suffix":""},{"dropping-particle":"","family":"Aizani","given":"Pasha","non-dropping-particle":"","parse-names":false,"suffix":""}],"id":"ITEM-1","issue":"2","issued":{"date-parts":[["2024"]]},"page":"161-169","title":"Aspek Hak Kekayaan Intelektual Dalam Hukum Perdata: Perlindungan Terhadap Karya-Karya Seni Dan Inovasi Teknologi","type":"article-journal","volume":"2"},"uris":["http://www.mendeley.com/documents/?uuid=beb7a884-a9a0-4385-93ad-c76ba83eba63"]}],"mendeley":{"formattedCitation":"Saputra and Aizani, “Aspek Hak Kekayaan Intelektual Dalam Hukum Perdata: Perlindungan Terhadap Karya-Karya Seni Dan Inovasi Teknologi.”","plainTextFormattedCitation":"Saputra and Aizani, “Aspek Hak Kekayaan Intelektual Dalam Hukum Perdata: Perlindungan Terhadap Karya-Karya Seni Dan Inovasi Teknologi.”","previouslyFormattedCitation":"Saputra and Aizani, “Aspek Hak Kekayaan Intelektual Dalam Hukum Perdata: Perlindungan Terhadap Karya-Karya Seni Dan Inovasi Teknologi.”"},"properties":{"noteIndex":112},"schema":"https://github.com/citation-style-language/schema/raw/master/csl-citation.json"}</w:instrText>
      </w:r>
      <w:r w:rsidRPr="00987674">
        <w:rPr>
          <w:rFonts w:ascii="Book Antiqua" w:hAnsi="Book Antiqua"/>
          <w:sz w:val="16"/>
          <w:szCs w:val="16"/>
        </w:rPr>
        <w:fldChar w:fldCharType="separate"/>
      </w:r>
      <w:r w:rsidRPr="00987674">
        <w:rPr>
          <w:rFonts w:ascii="Book Antiqua" w:hAnsi="Book Antiqua"/>
          <w:noProof/>
          <w:sz w:val="16"/>
          <w:szCs w:val="16"/>
        </w:rPr>
        <w:t>Saputra and Aizani, “Aspek Hak Kekayaan Intelektual Dalam Hukum Perdata: Perlindungan Terhadap Karya-Karya Seni Dan Inovasi Teknologi.”</w:t>
      </w:r>
      <w:r w:rsidRPr="00987674">
        <w:rPr>
          <w:rFonts w:ascii="Book Antiqua" w:hAnsi="Book Antiqua"/>
          <w:sz w:val="16"/>
          <w:szCs w:val="16"/>
        </w:rPr>
        <w:fldChar w:fldCharType="end"/>
      </w:r>
    </w:p>
  </w:footnote>
  <w:footnote w:id="113">
    <w:p w14:paraId="6E62C8F3" w14:textId="687AFC62" w:rsidR="00C04C78" w:rsidRPr="00987674" w:rsidRDefault="00C04C78" w:rsidP="00987674">
      <w:pPr>
        <w:pStyle w:val="FootnoteText"/>
        <w:jc w:val="both"/>
        <w:rPr>
          <w:rFonts w:ascii="Book Antiqua" w:hAnsi="Book Antiqua"/>
          <w:sz w:val="16"/>
          <w:szCs w:val="16"/>
        </w:rPr>
      </w:pPr>
      <w:r w:rsidRPr="00987674">
        <w:rPr>
          <w:rStyle w:val="FootnoteReference"/>
          <w:rFonts w:ascii="Book Antiqua" w:hAnsi="Book Antiqua"/>
          <w:sz w:val="16"/>
          <w:szCs w:val="16"/>
        </w:rPr>
        <w:footnoteRef/>
      </w:r>
      <w:r w:rsidRPr="00987674">
        <w:rPr>
          <w:rFonts w:ascii="Book Antiqua" w:hAnsi="Book Antiqua"/>
          <w:sz w:val="16"/>
          <w:szCs w:val="16"/>
        </w:rPr>
        <w:t xml:space="preserve"> </w:t>
      </w:r>
      <w:r w:rsidRPr="00987674">
        <w:rPr>
          <w:rFonts w:ascii="Book Antiqua" w:hAnsi="Book Antiqua"/>
          <w:sz w:val="16"/>
          <w:szCs w:val="16"/>
        </w:rPr>
        <w:fldChar w:fldCharType="begin" w:fldLock="1"/>
      </w:r>
      <w:r w:rsidR="002C142A">
        <w:rPr>
          <w:rFonts w:ascii="Book Antiqua" w:hAnsi="Book Antiqua"/>
          <w:sz w:val="16"/>
          <w:szCs w:val="16"/>
        </w:rPr>
        <w:instrText>ADDIN CSL_CITATION {"citationItems":[{"id":"ITEM-1","itemData":{"DOI":"10.32884/jih.v1i4.1629","abstract":"Pasal 4 huruf f Undang-Undang Nomor 13 Tahun 2016 tentang Paten menentukan bahwa invensi tidak dapat diberikan kepada suatu temuan (discovery) yang sudah ada sebelumnya yang tidak mengandung unsur kebaharuan (novelty) dan juga merupakan produk yang dikenal oleh masyarakat luas, maka harusnya tidak dapat diberikan sertifikat paten guna melindungi hak pemegang paten yang sah. Penyelesaian sengeketa atas paten terdaftar yang tidak memilik unsur kebaruan (lack of novelty) dapat diajukan gugatan kepada instansi yang berwenang yakni Pengadilan Niaga dalam wilayah domisili hukum setempat. Novelty atau yang dalam bahasa Indonesia sebagai suatu unsur kebaruan dalam suatu invensi merupakan sebuah keharusan yang dimiliki invensi tersebut. Istilah novelty dan antisipasi dapat menggantikan satu sama lain dalam penggunaannya. sebagai sebuah antisipasi untuk sebuah invensi, dalam sebuah prior art atau langkah penemuan itu haruslah terkandung di dalamnya suatu hal mengenai pengungkapan produk (yang dapat dilaksanakan) atau apabila invensi itu dalam hal paten proses diharuskan untuk memberikan arahan yang jelas dan tidak boleh salah dalam melakukan hasil invensi yang telah dilakukan seorang inventor.","author":[{"dropping-particle":"","family":"Abdillah","given":"Muhammad Faizal","non-dropping-particle":"","parse-names":false,"suffix":""},{"dropping-particle":"","family":"Sriwidodo","given":"Joko","non-dropping-particle":"","parse-names":false,"suffix":""},{"dropping-particle":"","family":"Mustafa","given":"Marni Emmy","non-dropping-particle":"","parse-names":false,"suffix":""}],"container-title":"PERFECTO : Jurnal Ilmu Hukum","id":"ITEM-1","issue":"4","issued":{"date-parts":[["2023"]]},"page":"319-336","title":"Penyelesaian Sengketa terhadap Hak Paten yang Tidak Memiliki Unsur Kebaharuan di Indonesia","type":"article-journal","volume":"01"},"uris":["http://www.mendeley.com/documents/?uuid=7af59f54-b254-4d0c-8d3f-874e51f1ef90"]}],"mendeley":{"formattedCitation":"Abdillah, Sriwidodo, and Mustafa, “Penyelesaian Sengketa Terhadap Hak Paten Yang Tidak Memiliki Unsur Kebaharuan Di Indonesia.”","plainTextFormattedCitation":"Abdillah, Sriwidodo, and Mustafa, “Penyelesaian Sengketa Terhadap Hak Paten Yang Tidak Memiliki Unsur Kebaharuan Di Indonesia.”","previouslyFormattedCitation":"Abdillah, Sriwidodo, and Mustafa, “Penyelesaian Sengketa Terhadap Hak Paten Yang Tidak Memiliki Unsur Kebaharuan Di Indonesia.”"},"properties":{"noteIndex":113},"schema":"https://github.com/citation-style-language/schema/raw/master/csl-citation.json"}</w:instrText>
      </w:r>
      <w:r w:rsidRPr="00987674">
        <w:rPr>
          <w:rFonts w:ascii="Book Antiqua" w:hAnsi="Book Antiqua"/>
          <w:sz w:val="16"/>
          <w:szCs w:val="16"/>
        </w:rPr>
        <w:fldChar w:fldCharType="separate"/>
      </w:r>
      <w:r w:rsidRPr="00987674">
        <w:rPr>
          <w:rFonts w:ascii="Book Antiqua" w:hAnsi="Book Antiqua"/>
          <w:noProof/>
          <w:sz w:val="16"/>
          <w:szCs w:val="16"/>
        </w:rPr>
        <w:t>Abdillah, Sriwidodo, and Mustafa, “Penyelesaian Sengketa Terhadap Hak Paten Yang Tidak Memiliki Unsur Kebaharuan Di Indonesia.”</w:t>
      </w:r>
      <w:r w:rsidRPr="00987674">
        <w:rPr>
          <w:rFonts w:ascii="Book Antiqua" w:hAnsi="Book Antiqua"/>
          <w:sz w:val="16"/>
          <w:szCs w:val="16"/>
        </w:rPr>
        <w:fldChar w:fldCharType="end"/>
      </w:r>
    </w:p>
  </w:footnote>
  <w:footnote w:id="114">
    <w:p w14:paraId="678FC636" w14:textId="3199786A" w:rsidR="00C04C78" w:rsidRPr="00987674" w:rsidRDefault="00C04C78" w:rsidP="00987674">
      <w:pPr>
        <w:pStyle w:val="FootnoteText"/>
        <w:jc w:val="both"/>
        <w:rPr>
          <w:rFonts w:ascii="Book Antiqua" w:hAnsi="Book Antiqua"/>
          <w:sz w:val="16"/>
          <w:szCs w:val="16"/>
        </w:rPr>
      </w:pPr>
      <w:r w:rsidRPr="00987674">
        <w:rPr>
          <w:rStyle w:val="FootnoteReference"/>
          <w:rFonts w:ascii="Book Antiqua" w:hAnsi="Book Antiqua"/>
          <w:sz w:val="16"/>
          <w:szCs w:val="16"/>
        </w:rPr>
        <w:footnoteRef/>
      </w:r>
      <w:r w:rsidRPr="00987674">
        <w:rPr>
          <w:rFonts w:ascii="Book Antiqua" w:hAnsi="Book Antiqua"/>
          <w:sz w:val="16"/>
          <w:szCs w:val="16"/>
        </w:rPr>
        <w:t xml:space="preserve"> </w:t>
      </w:r>
      <w:r w:rsidRPr="00987674">
        <w:rPr>
          <w:rFonts w:ascii="Book Antiqua" w:hAnsi="Book Antiqua"/>
          <w:sz w:val="16"/>
          <w:szCs w:val="16"/>
        </w:rPr>
        <w:fldChar w:fldCharType="begin" w:fldLock="1"/>
      </w:r>
      <w:r w:rsidR="002C142A">
        <w:rPr>
          <w:rFonts w:ascii="Book Antiqua" w:hAnsi="Book Antiqua"/>
          <w:sz w:val="16"/>
          <w:szCs w:val="16"/>
        </w:rPr>
        <w:instrText>ADDIN CSL_CITATION {"citationItems":[{"id":"ITEM-1","itemData":{"author":[{"dropping-particle":"","family":"Putri","given":"I Gusti Ayu Agung Ratih Maha Iswari Dwija","non-dropping-particle":"","parse-names":false,"suffix":""}],"container-title":"Jurnal Kertha Semaya","id":"ITEM-1","issue":"7","issued":{"date-parts":[["2020"]]},"page":"1005-1016","title":"Permasalahan Dalam Implementasi Ketentuan Trips Agreement Berdasarkan Undang Undang Nomor 13 Tahun 2016 Tentang Paten","type":"article-journal","volume":"8"},"uris":["http://www.mendeley.com/documents/?uuid=315c61a8-ad9f-426f-81b5-d3b29611aaf4"]}],"mendeley":{"formattedCitation":"I Gusti Ayu Agung Ratih Maha Iswari Dwija Putri, “Permasalahan Dalam Implementasi Ketentuan Trips Agreement Berdasarkan Undang Undang Nomor 13 Tahun 2016 Tentang Paten,” &lt;i&gt;Jurnal Kertha Semaya&lt;/i&gt; 8, no. 7 (2020): 1005–16.","plainTextFormattedCitation":"I Gusti Ayu Agung Ratih Maha Iswari Dwija Putri, “Permasalahan Dalam Implementasi Ketentuan Trips Agreement Berdasarkan Undang Undang Nomor 13 Tahun 2016 Tentang Paten,” Jurnal Kertha Semaya 8, no. 7 (2020): 1005–16.","previouslyFormattedCitation":"I Gusti Ayu Agung Ratih Maha Iswari Dwija Putri, “Permasalahan Dalam Implementasi Ketentuan Trips Agreement Berdasarkan Undang Undang Nomor 13 Tahun 2016 Tentang Paten,” &lt;i&gt;Jurnal Kertha Semaya&lt;/i&gt; 8, no. 7 (2020): 1005–16."},"properties":{"noteIndex":114},"schema":"https://github.com/citation-style-language/schema/raw/master/csl-citation.json"}</w:instrText>
      </w:r>
      <w:r w:rsidRPr="00987674">
        <w:rPr>
          <w:rFonts w:ascii="Book Antiqua" w:hAnsi="Book Antiqua"/>
          <w:sz w:val="16"/>
          <w:szCs w:val="16"/>
        </w:rPr>
        <w:fldChar w:fldCharType="separate"/>
      </w:r>
      <w:r w:rsidRPr="00987674">
        <w:rPr>
          <w:rFonts w:ascii="Book Antiqua" w:hAnsi="Book Antiqua"/>
          <w:noProof/>
          <w:sz w:val="16"/>
          <w:szCs w:val="16"/>
        </w:rPr>
        <w:t xml:space="preserve">I Gusti Ayu Agung Ratih Maha Iswari Dwija Putri, “Permasalahan Dalam Implementasi Ketentuan Trips Agreement Berdasarkan Undang Undang Nomor 13 Tahun 2016 Tentang Paten,” </w:t>
      </w:r>
      <w:r w:rsidRPr="00987674">
        <w:rPr>
          <w:rFonts w:ascii="Book Antiqua" w:hAnsi="Book Antiqua"/>
          <w:i/>
          <w:noProof/>
          <w:sz w:val="16"/>
          <w:szCs w:val="16"/>
        </w:rPr>
        <w:t>Jurnal Kertha Semaya</w:t>
      </w:r>
      <w:r w:rsidRPr="00987674">
        <w:rPr>
          <w:rFonts w:ascii="Book Antiqua" w:hAnsi="Book Antiqua"/>
          <w:noProof/>
          <w:sz w:val="16"/>
          <w:szCs w:val="16"/>
        </w:rPr>
        <w:t xml:space="preserve"> 8, no. 7 (2020): 1005–16.</w:t>
      </w:r>
      <w:r w:rsidRPr="00987674">
        <w:rPr>
          <w:rFonts w:ascii="Book Antiqua" w:hAnsi="Book Antiqua"/>
          <w:sz w:val="16"/>
          <w:szCs w:val="16"/>
        </w:rPr>
        <w:fldChar w:fldCharType="end"/>
      </w:r>
    </w:p>
  </w:footnote>
  <w:footnote w:id="115">
    <w:p w14:paraId="6A5FE831" w14:textId="6EF4D1BD" w:rsidR="00C04C78" w:rsidRPr="00987674" w:rsidRDefault="00C04C78" w:rsidP="00987674">
      <w:pPr>
        <w:pStyle w:val="FootnoteText"/>
        <w:jc w:val="both"/>
        <w:rPr>
          <w:rFonts w:ascii="Book Antiqua" w:hAnsi="Book Antiqua"/>
          <w:sz w:val="16"/>
          <w:szCs w:val="16"/>
        </w:rPr>
      </w:pPr>
      <w:r w:rsidRPr="00987674">
        <w:rPr>
          <w:rStyle w:val="FootnoteReference"/>
          <w:rFonts w:ascii="Book Antiqua" w:hAnsi="Book Antiqua"/>
          <w:sz w:val="16"/>
          <w:szCs w:val="16"/>
        </w:rPr>
        <w:footnoteRef/>
      </w:r>
      <w:r w:rsidRPr="00987674">
        <w:rPr>
          <w:rFonts w:ascii="Book Antiqua" w:hAnsi="Book Antiqua"/>
          <w:sz w:val="16"/>
          <w:szCs w:val="16"/>
        </w:rPr>
        <w:t xml:space="preserve"> </w:t>
      </w:r>
      <w:r w:rsidRPr="00987674">
        <w:rPr>
          <w:rFonts w:ascii="Book Antiqua" w:hAnsi="Book Antiqua"/>
          <w:sz w:val="16"/>
          <w:szCs w:val="16"/>
        </w:rPr>
        <w:fldChar w:fldCharType="begin" w:fldLock="1"/>
      </w:r>
      <w:r w:rsidR="002C142A">
        <w:rPr>
          <w:rFonts w:ascii="Book Antiqua" w:hAnsi="Book Antiqua"/>
          <w:sz w:val="16"/>
          <w:szCs w:val="16"/>
        </w:rPr>
        <w:instrText>ADDIN CSL_CITATION {"citationItems":[{"id":"ITEM-1","itemData":{"DOI":"www. dx.doi.org 10.31604/justitia.v9i5. 2303-2317","ISSN":"2686-5963","abstract":"Tidak dapat dipungkiri bahwa pada saat ini persaingan usaha atau kegiatan bisnis yang semakin hari semakin pesat sangat menunjukkan bahwa dalam hal kegiatan usaha yang mencapai ratusan atau bahkan pula ribuan dalam setiap harinya, tidak menutup kemungkinan bahwa dapat terjadi suatu sengketa ( dispute, diferrence ) diantara para pihak yang terlibat dalam dunia bisnis tersebut, yang disebabkan dari semakin banyaknya kegiatan perdagangan yang semakin luas. Dalam sengketa tersebut pasti pula ada salah satu pihak menuntut dan berharap penyelesaian dan pemecahannya dapat diselesaikan melalui sebuah alternatif penyelesaian sengketa yang salah satunya mediasi tentu diharapkan dalam upaya yang dilakukan oleh para pihak untuk dapat menyelesaikan suatu sengketa dengan hasil kesepakatan bersama dengan bantuan seorang mediator yang bersikap netral dan tidak memihak, penyelesaian sengketa melalui alternatif penyelesaian sengketa mampu diharapkan pula selalu berperan dalam membantu para pihak. Sehingga mediasi pula tidak hanya dimanfaatkan dinegara Indonesia saja tetapi dimanfaatkan oleh negara-negara lain, yang pastinya memiliki perbandingan negara satu dengan yang lainnya dalam penerapan mediasi sebagai alternatif penyelesaian sengketa.","author":[{"dropping-particle":"","family":"Nurafifah","given":"Amalia","non-dropping-particle":"","parse-names":false,"suffix":""},{"dropping-particle":"","family":"Marpaung","given":"Devi Siti Hamzah","non-dropping-particle":"","parse-names":false,"suffix":""}],"container-title":"JUSTITIA : Jurnal Ilmu Hukum dan Humaniora","id":"ITEM-1","issue":"5","issued":{"date-parts":[["2022","8","13"]]},"page":"2303-2317","title":"Mediasi Sebagai Alternatif Penyelesaian Sengketa","type":"article-journal","volume":"9"},"uris":["http://www.mendeley.com/documents/?uuid=25505ef2-5c53-4c55-8e4f-1fd2b95a1ad7"]}],"mendeley":{"formattedCitation":"Nurafifah and Marpaung, “Mediasi Sebagai Alternatif Penyelesaian Sengketa.”","plainTextFormattedCitation":"Nurafifah and Marpaung, “Mediasi Sebagai Alternatif Penyelesaian Sengketa.”","previouslyFormattedCitation":"Nurafifah and Marpaung, “Mediasi Sebagai Alternatif Penyelesaian Sengketa.”"},"properties":{"noteIndex":115},"schema":"https://github.com/citation-style-language/schema/raw/master/csl-citation.json"}</w:instrText>
      </w:r>
      <w:r w:rsidRPr="00987674">
        <w:rPr>
          <w:rFonts w:ascii="Book Antiqua" w:hAnsi="Book Antiqua"/>
          <w:sz w:val="16"/>
          <w:szCs w:val="16"/>
        </w:rPr>
        <w:fldChar w:fldCharType="separate"/>
      </w:r>
      <w:r w:rsidRPr="003A57FF">
        <w:rPr>
          <w:rFonts w:ascii="Book Antiqua" w:hAnsi="Book Antiqua"/>
          <w:noProof/>
          <w:sz w:val="16"/>
          <w:szCs w:val="16"/>
        </w:rPr>
        <w:t>Nurafifah and Marpaung, “Mediasi Sebagai Alternatif Penyelesaian Sengketa.”</w:t>
      </w:r>
      <w:r w:rsidRPr="00987674">
        <w:rPr>
          <w:rFonts w:ascii="Book Antiqua" w:hAnsi="Book Antiqua"/>
          <w:sz w:val="16"/>
          <w:szCs w:val="16"/>
        </w:rPr>
        <w:fldChar w:fldCharType="end"/>
      </w:r>
    </w:p>
  </w:footnote>
  <w:footnote w:id="116">
    <w:p w14:paraId="10369F24" w14:textId="788E1003" w:rsidR="00C04C78" w:rsidRPr="00987674" w:rsidRDefault="00C04C78" w:rsidP="00987674">
      <w:pPr>
        <w:pStyle w:val="FootnoteText"/>
        <w:jc w:val="both"/>
        <w:rPr>
          <w:rFonts w:ascii="Book Antiqua" w:hAnsi="Book Antiqua"/>
          <w:sz w:val="16"/>
          <w:szCs w:val="16"/>
        </w:rPr>
      </w:pPr>
      <w:r w:rsidRPr="00987674">
        <w:rPr>
          <w:rStyle w:val="FootnoteReference"/>
          <w:rFonts w:ascii="Book Antiqua" w:hAnsi="Book Antiqua"/>
          <w:sz w:val="16"/>
          <w:szCs w:val="16"/>
        </w:rPr>
        <w:footnoteRef/>
      </w:r>
      <w:r w:rsidRPr="00987674">
        <w:rPr>
          <w:rFonts w:ascii="Book Antiqua" w:hAnsi="Book Antiqua"/>
          <w:sz w:val="16"/>
          <w:szCs w:val="16"/>
        </w:rPr>
        <w:t xml:space="preserve"> </w:t>
      </w:r>
      <w:r w:rsidRPr="00987674">
        <w:rPr>
          <w:rFonts w:ascii="Book Antiqua" w:hAnsi="Book Antiqua"/>
          <w:sz w:val="16"/>
          <w:szCs w:val="16"/>
        </w:rPr>
        <w:fldChar w:fldCharType="begin" w:fldLock="1"/>
      </w:r>
      <w:r w:rsidR="002C142A">
        <w:rPr>
          <w:rFonts w:ascii="Book Antiqua" w:hAnsi="Book Antiqua"/>
          <w:sz w:val="16"/>
          <w:szCs w:val="16"/>
        </w:rPr>
        <w:instrText>ADDIN CSL_CITATION {"citationItems":[{"id":"ITEM-1","itemData":{"author":[{"dropping-particle":"","family":"Savala","given":"Maulana Saputra","non-dropping-particle":"","parse-names":false,"suffix":""}],"id":"ITEM-1","issued":{"date-parts":[["2019"]]},"title":"Pembaharuan Hukum Penggunaan Hak Paten Sebagai Objek Jaminan Fidusia Dalam Perspektif Hukum Jaminan di Indonesia Berbasis Nilai Keadilan Bermartabat","type":"article-journal"},"uris":["http://www.mendeley.com/documents/?uuid=61cb3b2e-6b22-46f7-a2a3-c0fd544a0aa3"]}],"mendeley":{"formattedCitation":"Savala, “Pembaharuan Hukum Penggunaan Hak Paten Sebagai Objek Jaminan Fidusia Dalam Perspektif Hukum Jaminan Di Indonesia Berbasis Nilai Keadilan Bermartabat.”","plainTextFormattedCitation":"Savala, “Pembaharuan Hukum Penggunaan Hak Paten Sebagai Objek Jaminan Fidusia Dalam Perspektif Hukum Jaminan Di Indonesia Berbasis Nilai Keadilan Bermartabat.”","previouslyFormattedCitation":"Savala, “Pembaharuan Hukum Penggunaan Hak Paten Sebagai Objek Jaminan Fidusia Dalam Perspektif Hukum Jaminan Di Indonesia Berbasis Nilai Keadilan Bermartabat.”"},"properties":{"noteIndex":116},"schema":"https://github.com/citation-style-language/schema/raw/master/csl-citation.json"}</w:instrText>
      </w:r>
      <w:r w:rsidRPr="00987674">
        <w:rPr>
          <w:rFonts w:ascii="Book Antiqua" w:hAnsi="Book Antiqua"/>
          <w:sz w:val="16"/>
          <w:szCs w:val="16"/>
        </w:rPr>
        <w:fldChar w:fldCharType="separate"/>
      </w:r>
      <w:r w:rsidRPr="00987674">
        <w:rPr>
          <w:rFonts w:ascii="Book Antiqua" w:hAnsi="Book Antiqua"/>
          <w:noProof/>
          <w:sz w:val="16"/>
          <w:szCs w:val="16"/>
        </w:rPr>
        <w:t>Savala, “Pembaharuan Hukum Penggunaan Hak Paten Sebagai Objek Jaminan Fidusia Dalam Perspektif Hukum Jaminan Di Indonesia Berbasis Nilai Keadilan Bermartabat.”</w:t>
      </w:r>
      <w:r w:rsidRPr="00987674">
        <w:rPr>
          <w:rFonts w:ascii="Book Antiqua" w:hAnsi="Book Antiqua"/>
          <w:sz w:val="16"/>
          <w:szCs w:val="16"/>
        </w:rPr>
        <w:fldChar w:fldCharType="end"/>
      </w:r>
    </w:p>
  </w:footnote>
  <w:footnote w:id="117">
    <w:p w14:paraId="70704FD3" w14:textId="63A14BE5" w:rsidR="00C04C78" w:rsidRPr="00987674" w:rsidRDefault="00C04C78" w:rsidP="00987674">
      <w:pPr>
        <w:pStyle w:val="FootnoteText"/>
        <w:jc w:val="both"/>
        <w:rPr>
          <w:rFonts w:ascii="Book Antiqua" w:hAnsi="Book Antiqua"/>
          <w:sz w:val="16"/>
          <w:szCs w:val="16"/>
        </w:rPr>
      </w:pPr>
      <w:r w:rsidRPr="00987674">
        <w:rPr>
          <w:rStyle w:val="FootnoteReference"/>
          <w:rFonts w:ascii="Book Antiqua" w:hAnsi="Book Antiqua"/>
          <w:sz w:val="16"/>
          <w:szCs w:val="16"/>
        </w:rPr>
        <w:footnoteRef/>
      </w:r>
      <w:r w:rsidRPr="00987674">
        <w:rPr>
          <w:rFonts w:ascii="Book Antiqua" w:hAnsi="Book Antiqua"/>
          <w:sz w:val="16"/>
          <w:szCs w:val="16"/>
        </w:rPr>
        <w:t xml:space="preserve"> </w:t>
      </w:r>
      <w:r w:rsidRPr="00987674">
        <w:rPr>
          <w:rFonts w:ascii="Book Antiqua" w:hAnsi="Book Antiqua"/>
          <w:sz w:val="16"/>
          <w:szCs w:val="16"/>
        </w:rPr>
        <w:fldChar w:fldCharType="begin" w:fldLock="1"/>
      </w:r>
      <w:r w:rsidR="002C142A">
        <w:rPr>
          <w:rFonts w:ascii="Book Antiqua" w:hAnsi="Book Antiqua"/>
          <w:sz w:val="16"/>
          <w:szCs w:val="16"/>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Kata","author":[{"dropping-particle":"","family":"Ribowo","given":"Mochammad Bambang","non-dropping-particle":"","parse-names":false,"suffix":""},{"dropping-particle":"","family":"Roisah","given":"Kholis","non-dropping-particle":"","parse-names":false,"suffix":""}],"id":"ITEM-1","issue":"July","issued":{"date-parts":[["2020"]]},"page":"1-23","title":"Perlindungan Hukum terhadap Paten Sederhana dalam Sistem Hukum Paten di Indonesia (Studi Komparasi dengan Sistem Hukum Paten di Negara China)","type":"article-journal"},"uris":["http://www.mendeley.com/documents/?uuid=8c06922f-9aa5-43de-bc09-da96840ed32f"]}],"mendeley":{"formattedCitation":"Ribowo and Roisah, “Perlindungan Hukum Terhadap Paten Sederhana Dalam Sistem Hukum Paten Di Indonesia (Studi Komparasi Dengan Sistem Hukum Paten Di Negara China).”","plainTextFormattedCitation":"Ribowo and Roisah, “Perlindungan Hukum Terhadap Paten Sederhana Dalam Sistem Hukum Paten Di Indonesia (Studi Komparasi Dengan Sistem Hukum Paten Di Negara China).”","previouslyFormattedCitation":"Ribowo and Roisah, “Perlindungan Hukum Terhadap Paten Sederhana Dalam Sistem Hukum Paten Di Indonesia (Studi Komparasi Dengan Sistem Hukum Paten Di Negara China).”"},"properties":{"noteIndex":117},"schema":"https://github.com/citation-style-language/schema/raw/master/csl-citation.json"}</w:instrText>
      </w:r>
      <w:r w:rsidRPr="00987674">
        <w:rPr>
          <w:rFonts w:ascii="Book Antiqua" w:hAnsi="Book Antiqua"/>
          <w:sz w:val="16"/>
          <w:szCs w:val="16"/>
        </w:rPr>
        <w:fldChar w:fldCharType="separate"/>
      </w:r>
      <w:r w:rsidRPr="00987674">
        <w:rPr>
          <w:rFonts w:ascii="Book Antiqua" w:hAnsi="Book Antiqua"/>
          <w:noProof/>
          <w:sz w:val="16"/>
          <w:szCs w:val="16"/>
        </w:rPr>
        <w:t>Ribowo and Roisah, “Perlindungan Hukum Terhadap Paten Sederhana Dalam Sistem Hukum Paten Di Indonesia (Studi Komparasi Dengan Sistem Hukum Paten Di Negara China).”</w:t>
      </w:r>
      <w:r w:rsidRPr="00987674">
        <w:rPr>
          <w:rFonts w:ascii="Book Antiqua" w:hAnsi="Book Antiqua"/>
          <w:sz w:val="16"/>
          <w:szCs w:val="16"/>
        </w:rPr>
        <w:fldChar w:fldCharType="end"/>
      </w:r>
    </w:p>
  </w:footnote>
  <w:footnote w:id="118">
    <w:p w14:paraId="1A53C2E5" w14:textId="22BC6493" w:rsidR="00C04C78" w:rsidRPr="00987674" w:rsidRDefault="00C04C78" w:rsidP="00987674">
      <w:pPr>
        <w:pStyle w:val="FootnoteText"/>
        <w:jc w:val="both"/>
        <w:rPr>
          <w:rFonts w:ascii="Book Antiqua" w:hAnsi="Book Antiqua"/>
          <w:sz w:val="16"/>
          <w:szCs w:val="16"/>
        </w:rPr>
      </w:pPr>
      <w:r w:rsidRPr="00987674">
        <w:rPr>
          <w:rStyle w:val="FootnoteReference"/>
          <w:rFonts w:ascii="Book Antiqua" w:hAnsi="Book Antiqua"/>
          <w:sz w:val="16"/>
          <w:szCs w:val="16"/>
        </w:rPr>
        <w:footnoteRef/>
      </w:r>
      <w:r w:rsidRPr="00987674">
        <w:rPr>
          <w:rFonts w:ascii="Book Antiqua" w:hAnsi="Book Antiqua"/>
          <w:sz w:val="16"/>
          <w:szCs w:val="16"/>
        </w:rPr>
        <w:t xml:space="preserve"> </w:t>
      </w:r>
      <w:r w:rsidRPr="00987674">
        <w:rPr>
          <w:rFonts w:ascii="Book Antiqua" w:hAnsi="Book Antiqua"/>
          <w:sz w:val="16"/>
          <w:szCs w:val="16"/>
        </w:rPr>
        <w:fldChar w:fldCharType="begin" w:fldLock="1"/>
      </w:r>
      <w:r w:rsidR="002C142A">
        <w:rPr>
          <w:rFonts w:ascii="Book Antiqua" w:hAnsi="Book Antiqua"/>
          <w:sz w:val="16"/>
          <w:szCs w:val="16"/>
        </w:rPr>
        <w:instrText>ADDIN CSL_CITATION {"citationItems":[{"id":"ITEM-1","itemData":{"DOI":"https://doi.org/10.23920/acta.v5i1.712","author":[{"dropping-particle":"","family":"Nurahmasari","given":"Revita","non-dropping-particle":"","parse-names":false,"suffix":""},{"dropping-particle":"","family":"Amirulloh","given":"Muhamad","non-dropping-particle":"","parse-names":false,"suffix":""},{"dropping-particle":"","family":"Afriana","given":"Anita","non-dropping-particle":"","parse-names":false,"suffix":""}],"id":"ITEM-1","issued":{"date-parts":[["2021"]]},"page":"123-138","title":"Mediasi Sebagai Kewajiban Penyelesaian Sengketa Perdata Pelanggaran Paten di Indonesia Demi Kepastian dan Kemanfaatan Hukum","type":"article-journal","volume":"5"},"uris":["http://www.mendeley.com/documents/?uuid=94e79f0d-f58c-4ddc-867f-de9f2f0fc0aa"]}],"mendeley":{"formattedCitation":"Nurahmasari, Amirulloh, and Afriana, “Mediasi Sebagai Kewajiban Penyelesaian Sengketa Perdata Pelanggaran Paten Di Indonesia Demi Kepastian Dan Kemanfaatan Hukum.”","plainTextFormattedCitation":"Nurahmasari, Amirulloh, and Afriana, “Mediasi Sebagai Kewajiban Penyelesaian Sengketa Perdata Pelanggaran Paten Di Indonesia Demi Kepastian Dan Kemanfaatan Hukum.”","previouslyFormattedCitation":"Nurahmasari, Amirulloh, and Afriana, “Mediasi Sebagai Kewajiban Penyelesaian Sengketa Perdata Pelanggaran Paten Di Indonesia Demi Kepastian Dan Kemanfaatan Hukum.”"},"properties":{"noteIndex":118},"schema":"https://github.com/citation-style-language/schema/raw/master/csl-citation.json"}</w:instrText>
      </w:r>
      <w:r w:rsidRPr="00987674">
        <w:rPr>
          <w:rFonts w:ascii="Book Antiqua" w:hAnsi="Book Antiqua"/>
          <w:sz w:val="16"/>
          <w:szCs w:val="16"/>
        </w:rPr>
        <w:fldChar w:fldCharType="separate"/>
      </w:r>
      <w:r w:rsidRPr="00987674">
        <w:rPr>
          <w:rFonts w:ascii="Book Antiqua" w:hAnsi="Book Antiqua"/>
          <w:noProof/>
          <w:sz w:val="16"/>
          <w:szCs w:val="16"/>
        </w:rPr>
        <w:t>Nurahmasari, Amirulloh, and Afriana, “Mediasi Sebagai Kewajiban Penyelesaian Sengketa Perdata Pelanggaran Paten Di Indonesia Demi Kepastian Dan Kemanfaatan Hukum.”</w:t>
      </w:r>
      <w:r w:rsidRPr="00987674">
        <w:rPr>
          <w:rFonts w:ascii="Book Antiqua" w:hAnsi="Book Antiqua"/>
          <w:sz w:val="16"/>
          <w:szCs w:val="16"/>
        </w:rPr>
        <w:fldChar w:fldCharType="end"/>
      </w:r>
    </w:p>
  </w:footnote>
  <w:footnote w:id="119">
    <w:p w14:paraId="5E373896" w14:textId="2AE083F9" w:rsidR="00C04C78" w:rsidRDefault="00C04C78" w:rsidP="00987674">
      <w:pPr>
        <w:pStyle w:val="FootnoteText"/>
        <w:jc w:val="both"/>
      </w:pPr>
      <w:r w:rsidRPr="00987674">
        <w:rPr>
          <w:rStyle w:val="FootnoteReference"/>
          <w:rFonts w:ascii="Book Antiqua" w:hAnsi="Book Antiqua"/>
          <w:sz w:val="16"/>
          <w:szCs w:val="16"/>
        </w:rPr>
        <w:footnoteRef/>
      </w:r>
      <w:r w:rsidRPr="00987674">
        <w:rPr>
          <w:rFonts w:ascii="Book Antiqua" w:hAnsi="Book Antiqua"/>
          <w:sz w:val="16"/>
          <w:szCs w:val="16"/>
        </w:rPr>
        <w:t xml:space="preserve"> </w:t>
      </w:r>
      <w:r w:rsidRPr="00987674">
        <w:rPr>
          <w:rFonts w:ascii="Book Antiqua" w:hAnsi="Book Antiqua"/>
          <w:sz w:val="16"/>
          <w:szCs w:val="16"/>
        </w:rPr>
        <w:fldChar w:fldCharType="begin" w:fldLock="1"/>
      </w:r>
      <w:r w:rsidR="002C142A">
        <w:rPr>
          <w:rFonts w:ascii="Book Antiqua" w:hAnsi="Book Antiqua"/>
          <w:sz w:val="16"/>
          <w:szCs w:val="16"/>
        </w:rPr>
        <w:instrText>ADDIN CSL_CITATION {"citationItems":[{"id":"ITEM-1","itemData":{"DOI":"10.33603/hermeneutika.v5i1.4898","ISSN":"1978-8487","abstract":"Teori Hukum Pembangunan sampai saat ini adalah teori hukum yang eksis di Indonesia karena diciptakan oleh orang Indonesia dengan melihat dimensi dan kultur masyarakat Indonesia. Oleh karena itu, dengan tolok ukur dimensi teori hukum pembangunan tersebut lahir, tumbuh dan berkembang sesuai dengan kondisi Indonesia maka hakikatnya jikalau diterapkan dalam aplikasinya akan sesuai dengan kondisi dan situasi masyarakat Indonesia yang pluralistik. Permasalahannya adalah Bagaimana perkembangan penerapan teori hukum pembangunan dalam sistem hukum nasional dan Bagaimana pengaruh teori hukum pembangunan bagi modernisasi hukum nasional das sein dan das sollen. Metode penelitiannya menggunakan Metode Pendekatan, Penelitian ini termasuk dalam bentuk penelitian yuridis normatif, yaitu penelitian yang memberi pemahaman terhadap permasalahan norma yang dialami oleh ilmu hukum dogmatif dalam kegiatannya mendeskripsikan norma hukum, merumuskan norma hukum (membentuk peraturan perundang-undangan), dan menegakkan norma hukum (praktik yudisial). Tipe Penelitian yang digunakan dalam penelitian ini adalah deskriptif analisis, untuk memperoleh kejelasan penyelesaian masalah dan ditarik kesimpulan. Sumber data yang digunakan dalam penelitian ini adalah data sekunder. Pada data sekunder, Penulis membagi menjadi 3 (tiga), yaitu sumber hukum primer, sumber hukum sekunder, sumber hukum tersier. Teknik Analisis Data yang diperoleh akan dianalisis secara analisis deskriptif kualitatif. Kesimpulannya adalah Perkembangan Penerapan Teori Hukum Pembangunan Dalam Sistem Hukum Nasional. Perkembangan sistem hukum nasional tentunya merupakan input dari lapisan masyarakat dalam melihat pelaksanaan sistem hukum yang ada saat ini.","author":[{"dropping-particle":"","family":"Prihardiati","given":"RR. Lyia Aina","non-dropping-particle":"","parse-names":false,"suffix":""}],"id":"ITEM-1","issue":"1","issued":{"date-parts":[["2021"]]},"title":"Teori Hukum Pembangunan Antara Das Sein Dan Das Sollen","type":"article-journal","volume":"5"},"uris":["http://www.mendeley.com/documents/?uuid=27bceafb-3232-44fb-a7cd-825f86ef94a0"]}],"mendeley":{"formattedCitation":"Prihardiati, “Teori Hukum Pembangunan Antara Das Sein Dan Das Sollen.”","plainTextFormattedCitation":"Prihardiati, “Teori Hukum Pembangunan Antara Das Sein Dan Das Sollen.”","previouslyFormattedCitation":"Prihardiati, “Teori Hukum Pembangunan Antara Das Sein Dan Das Sollen.”"},"properties":{"noteIndex":119},"schema":"https://github.com/citation-style-language/schema/raw/master/csl-citation.json"}</w:instrText>
      </w:r>
      <w:r w:rsidRPr="00987674">
        <w:rPr>
          <w:rFonts w:ascii="Book Antiqua" w:hAnsi="Book Antiqua"/>
          <w:sz w:val="16"/>
          <w:szCs w:val="16"/>
        </w:rPr>
        <w:fldChar w:fldCharType="separate"/>
      </w:r>
      <w:r w:rsidRPr="00987674">
        <w:rPr>
          <w:rFonts w:ascii="Book Antiqua" w:hAnsi="Book Antiqua"/>
          <w:noProof/>
          <w:sz w:val="16"/>
          <w:szCs w:val="16"/>
        </w:rPr>
        <w:t>Prihardiati, “Teori Hukum Pembangunan Antara Das Sein Dan Das Sollen.”</w:t>
      </w:r>
      <w:r w:rsidRPr="00987674">
        <w:rPr>
          <w:rFonts w:ascii="Book Antiqua" w:hAnsi="Book Antiqua"/>
          <w:sz w:val="16"/>
          <w:szCs w:val="16"/>
        </w:rPr>
        <w:fldChar w:fldCharType="end"/>
      </w:r>
    </w:p>
  </w:footnote>
  <w:footnote w:id="120">
    <w:p w14:paraId="7B8F6516" w14:textId="143DE346" w:rsidR="00C04C78" w:rsidRPr="0072728E" w:rsidRDefault="00C04C78" w:rsidP="0072728E">
      <w:pPr>
        <w:pStyle w:val="FootnoteText"/>
        <w:jc w:val="both"/>
        <w:rPr>
          <w:rFonts w:ascii="Book Antiqua" w:hAnsi="Book Antiqua"/>
          <w:sz w:val="16"/>
          <w:szCs w:val="16"/>
        </w:rPr>
      </w:pPr>
      <w:r w:rsidRPr="0072728E">
        <w:rPr>
          <w:rStyle w:val="FootnoteReference"/>
          <w:rFonts w:ascii="Book Antiqua" w:hAnsi="Book Antiqua"/>
          <w:sz w:val="16"/>
          <w:szCs w:val="16"/>
        </w:rPr>
        <w:footnoteRef/>
      </w:r>
      <w:r w:rsidRPr="0072728E">
        <w:rPr>
          <w:rFonts w:ascii="Book Antiqua" w:hAnsi="Book Antiqua"/>
          <w:sz w:val="16"/>
          <w:szCs w:val="16"/>
        </w:rPr>
        <w:t xml:space="preserve"> </w:t>
      </w:r>
      <w:r w:rsidRPr="0072728E">
        <w:rPr>
          <w:rFonts w:ascii="Book Antiqua" w:hAnsi="Book Antiqua"/>
          <w:sz w:val="16"/>
          <w:szCs w:val="16"/>
        </w:rPr>
        <w:fldChar w:fldCharType="begin" w:fldLock="1"/>
      </w:r>
      <w:r w:rsidR="002C142A">
        <w:rPr>
          <w:rFonts w:ascii="Book Antiqua" w:hAnsi="Book Antiqua"/>
          <w:sz w:val="16"/>
          <w:szCs w:val="16"/>
        </w:rPr>
        <w:instrText>ADDIN CSL_CITATION {"citationItems":[{"id":"ITEM-1","itemData":{"DOI":"10.20885/iustum.vol26.iss2.art6","ISSN":"08548498","abstract":"The regulation of the obligation to implement patents by patent holders to create products or use of the\nprocesses in Indonesia is still relatively problematic. For example, the Regulation of the Ministry of Law\nand Human Rights No. 15 of 2018 concerning the Use of Patents by Patent Holders (Permenkumham\nNo. 15 of 2018), actually negates Article 20 of Law No.13 of 2016 concerning Patents (2016 Patent\nLaw). This study examines and evaluates the issue of regulating the obligations of patent holders to\ncreate products or the use of processes in Indonesia. This research uses the normative juridical method\nby using secondary data. The results of the study concluded that the 2016 Patent Law and\nPermenkumham No. 15 of 2018 as a basis for its implementation is still relatively short and has several\nweaknesses. Such as the unclarity of when the patent starts, the scope and type of patents that must\nbe implemented, the implementation delay is not accompanied by criteria (reasons) whether or not a\ndelay can be made, the time limit for submitting the application for a delay that does not pay attention\nto the duration of patent protection, the absence of anticipatory provisions to overcome the conditions\nof delay request rejection from the Ministry, as well as arrangements for the extension of the delay that\nis not paired with a deadline and criteria for the extention allowance.","author":[{"dropping-particle":"","family":"Masnun","given":"Muh Ali","non-dropping-particle":"","parse-names":false,"suffix":""},{"dropping-particle":"","family":"Roszana","given":"Dina","non-dropping-particle":"","parse-names":false,"suffix":""}],"container-title":"Jurnal Hukum Ius Quia Iustum","id":"ITEM-1","issue":"2","issued":{"date-parts":[["2019"]]},"page":"326-348","title":"Persoalan Pengaturan Kewajiban Pemegang Paten untuk Membuat Produk atau Menggunakan Proses di Indonesia","type":"article-journal","volume":"26"},"uris":["http://www.mendeley.com/documents/?uuid=2caca6ec-37e8-4d38-9a7e-fffd3cd3ce33"]}],"mendeley":{"formattedCitation":"Muh Ali Masnun and Dina Roszana, “Persoalan Pengaturan Kewajiban Pemegang Paten Untuk Membuat Produk Atau Menggunakan Proses Di Indonesia,” &lt;i&gt;Jurnal Hukum Ius Quia Iustum&lt;/i&gt; 26, no. 2 (2019): 326–48, https://doi.org/10.20885/iustum.vol26.iss2.art6.","plainTextFormattedCitation":"Muh Ali Masnun and Dina Roszana, “Persoalan Pengaturan Kewajiban Pemegang Paten Untuk Membuat Produk Atau Menggunakan Proses Di Indonesia,” Jurnal Hukum Ius Quia Iustum 26, no. 2 (2019): 326–48, https://doi.org/10.20885/iustum.vol26.iss2.art6.","previouslyFormattedCitation":"Muh Ali Masnun and Dina Roszana, “Persoalan Pengaturan Kewajiban Pemegang Paten Untuk Membuat Produk Atau Menggunakan Proses Di Indonesia,” &lt;i&gt;Jurnal Hukum Ius Quia Iustum&lt;/i&gt; 26, no. 2 (2019): 326–48, https://doi.org/10.20885/iustum.vol26.iss2.art6."},"properties":{"noteIndex":120},"schema":"https://github.com/citation-style-language/schema/raw/master/csl-citation.json"}</w:instrText>
      </w:r>
      <w:r w:rsidRPr="0072728E">
        <w:rPr>
          <w:rFonts w:ascii="Book Antiqua" w:hAnsi="Book Antiqua"/>
          <w:sz w:val="16"/>
          <w:szCs w:val="16"/>
        </w:rPr>
        <w:fldChar w:fldCharType="separate"/>
      </w:r>
      <w:r w:rsidRPr="0072728E">
        <w:rPr>
          <w:rFonts w:ascii="Book Antiqua" w:hAnsi="Book Antiqua"/>
          <w:noProof/>
          <w:sz w:val="16"/>
          <w:szCs w:val="16"/>
        </w:rPr>
        <w:t xml:space="preserve">Muh Ali Masnun and Dina Roszana, “Persoalan Pengaturan Kewajiban Pemegang Paten Untuk Membuat Produk Atau Menggunakan Proses Di Indonesia,” </w:t>
      </w:r>
      <w:r w:rsidRPr="0072728E">
        <w:rPr>
          <w:rFonts w:ascii="Book Antiqua" w:hAnsi="Book Antiqua"/>
          <w:i/>
          <w:noProof/>
          <w:sz w:val="16"/>
          <w:szCs w:val="16"/>
        </w:rPr>
        <w:t>Jurnal Hukum Ius Quia Iustum</w:t>
      </w:r>
      <w:r w:rsidRPr="0072728E">
        <w:rPr>
          <w:rFonts w:ascii="Book Antiqua" w:hAnsi="Book Antiqua"/>
          <w:noProof/>
          <w:sz w:val="16"/>
          <w:szCs w:val="16"/>
        </w:rPr>
        <w:t xml:space="preserve"> 26, no. 2 (2019): 326–48, https://doi.org/10.20885/iustum.vol26.iss2.art6.</w:t>
      </w:r>
      <w:r w:rsidRPr="0072728E">
        <w:rPr>
          <w:rFonts w:ascii="Book Antiqua" w:hAnsi="Book Antiqua"/>
          <w:sz w:val="16"/>
          <w:szCs w:val="16"/>
        </w:rPr>
        <w:fldChar w:fldCharType="end"/>
      </w:r>
    </w:p>
  </w:footnote>
  <w:footnote w:id="121">
    <w:p w14:paraId="5215AFA8" w14:textId="7E554A3F" w:rsidR="00C04C78" w:rsidRPr="0072728E" w:rsidRDefault="00C04C78" w:rsidP="0072728E">
      <w:pPr>
        <w:pStyle w:val="FootnoteText"/>
        <w:jc w:val="both"/>
        <w:rPr>
          <w:rFonts w:ascii="Book Antiqua" w:hAnsi="Book Antiqua"/>
          <w:sz w:val="16"/>
          <w:szCs w:val="16"/>
        </w:rPr>
      </w:pPr>
      <w:r w:rsidRPr="0072728E">
        <w:rPr>
          <w:rStyle w:val="FootnoteReference"/>
          <w:rFonts w:ascii="Book Antiqua" w:hAnsi="Book Antiqua"/>
          <w:sz w:val="16"/>
          <w:szCs w:val="16"/>
        </w:rPr>
        <w:footnoteRef/>
      </w:r>
      <w:r w:rsidRPr="0072728E">
        <w:rPr>
          <w:rFonts w:ascii="Book Antiqua" w:hAnsi="Book Antiqua"/>
          <w:sz w:val="16"/>
          <w:szCs w:val="16"/>
        </w:rPr>
        <w:t xml:space="preserve"> </w:t>
      </w:r>
      <w:r w:rsidRPr="0072728E">
        <w:rPr>
          <w:rFonts w:ascii="Book Antiqua" w:hAnsi="Book Antiqua"/>
          <w:sz w:val="16"/>
          <w:szCs w:val="16"/>
        </w:rPr>
        <w:fldChar w:fldCharType="begin" w:fldLock="1"/>
      </w:r>
      <w:r w:rsidR="002C142A">
        <w:rPr>
          <w:rFonts w:ascii="Book Antiqua" w:hAnsi="Book Antiqua"/>
          <w:sz w:val="16"/>
          <w:szCs w:val="16"/>
        </w:rPr>
        <w:instrText>ADDIN CSL_CITATION {"citationItems":[{"id":"ITEM-1","itemData":{"author":[{"dropping-particle":"","family":"Jaelani","given":"Abdul Kadir","non-dropping-particle":"","parse-names":false,"suffix":""},{"dropping-particle":"","family":"Kurniawan","given":"Alexander A","non-dropping-particle":"","parse-names":false,"suffix":""},{"dropping-particle":"","family":"Indrastuti","given":"Lusia","non-dropping-particle":"","parse-names":false,"suffix":""}],"id":"ITEM-1","issue":"2","issued":{"date-parts":[["2020"]]},"page":"259-274","title":"Abdul Kadir Jaelani, Alexander A. Kurniawan, Lusia Indrastuti Pelaksanaan Standarisasi Pemberian Paten dalam Invensi Bidang Obat-obatan di Indonesia","type":"article-journal","volume":"27"},"uris":["http://www.mendeley.com/documents/?uuid=b8b1338e-795c-4fdd-abb0-c304780b0fd9"]}],"mendeley":{"formattedCitation":"Abdul Kadir Jaelani, Alexander A Kurniawan, and Lusia Indrastuti, “Abdul Kadir Jaelani, Alexander A. Kurniawan, Lusia Indrastuti Pelaksanaan Standarisasi Pemberian Paten Dalam Invensi Bidang Obat-Obatan Di Indonesia” 27, no. 2 (2020): 259–74.","plainTextFormattedCitation":"Abdul Kadir Jaelani, Alexander A Kurniawan, and Lusia Indrastuti, “Abdul Kadir Jaelani, Alexander A. Kurniawan, Lusia Indrastuti Pelaksanaan Standarisasi Pemberian Paten Dalam Invensi Bidang Obat-Obatan Di Indonesia” 27, no. 2 (2020): 259–74.","previouslyFormattedCitation":"Abdul Kadir Jaelani, Alexander A Kurniawan, and Lusia Indrastuti, “Abdul Kadir Jaelani, Alexander A. Kurniawan, Lusia Indrastuti Pelaksanaan Standarisasi Pemberian Paten Dalam Invensi Bidang Obat-Obatan Di Indonesia” 27, no. 2 (2020): 259–74."},"properties":{"noteIndex":121},"schema":"https://github.com/citation-style-language/schema/raw/master/csl-citation.json"}</w:instrText>
      </w:r>
      <w:r w:rsidRPr="0072728E">
        <w:rPr>
          <w:rFonts w:ascii="Book Antiqua" w:hAnsi="Book Antiqua"/>
          <w:sz w:val="16"/>
          <w:szCs w:val="16"/>
        </w:rPr>
        <w:fldChar w:fldCharType="separate"/>
      </w:r>
      <w:r w:rsidRPr="0072728E">
        <w:rPr>
          <w:rFonts w:ascii="Book Antiqua" w:hAnsi="Book Antiqua"/>
          <w:noProof/>
          <w:sz w:val="16"/>
          <w:szCs w:val="16"/>
        </w:rPr>
        <w:t>Abdul Kadir Jaelani, Alexander A Kurniawan, and Lusia Indrastuti, “Abdul Kadir Jaelani, Alexander A. Kurniawan, Lusia Indrastuti Pelaksanaan Standarisasi Pemberian Paten Dalam Invensi Bidang Obat-Obatan Di Indonesia” 27, no. 2 (2020): 259–74.</w:t>
      </w:r>
      <w:r w:rsidRPr="0072728E">
        <w:rPr>
          <w:rFonts w:ascii="Book Antiqua" w:hAnsi="Book Antiqua"/>
          <w:sz w:val="16"/>
          <w:szCs w:val="16"/>
        </w:rPr>
        <w:fldChar w:fldCharType="end"/>
      </w:r>
    </w:p>
  </w:footnote>
  <w:footnote w:id="122">
    <w:p w14:paraId="6B7527F2" w14:textId="359E4A34" w:rsidR="00C04C78" w:rsidRPr="0072728E" w:rsidRDefault="00C04C78" w:rsidP="0072728E">
      <w:pPr>
        <w:pStyle w:val="FootnoteText"/>
        <w:jc w:val="both"/>
        <w:rPr>
          <w:rFonts w:ascii="Book Antiqua" w:hAnsi="Book Antiqua"/>
          <w:sz w:val="16"/>
          <w:szCs w:val="16"/>
        </w:rPr>
      </w:pPr>
      <w:r w:rsidRPr="0072728E">
        <w:rPr>
          <w:rStyle w:val="FootnoteReference"/>
          <w:rFonts w:ascii="Book Antiqua" w:hAnsi="Book Antiqua"/>
          <w:sz w:val="16"/>
          <w:szCs w:val="16"/>
        </w:rPr>
        <w:footnoteRef/>
      </w:r>
      <w:r w:rsidRPr="0072728E">
        <w:rPr>
          <w:rFonts w:ascii="Book Antiqua" w:hAnsi="Book Antiqua"/>
          <w:sz w:val="16"/>
          <w:szCs w:val="16"/>
        </w:rPr>
        <w:t xml:space="preserve"> </w:t>
      </w:r>
      <w:r w:rsidRPr="0072728E">
        <w:rPr>
          <w:rFonts w:ascii="Book Antiqua" w:hAnsi="Book Antiqua"/>
          <w:sz w:val="16"/>
          <w:szCs w:val="16"/>
        </w:rPr>
        <w:fldChar w:fldCharType="begin" w:fldLock="1"/>
      </w:r>
      <w:r w:rsidR="002C142A">
        <w:rPr>
          <w:rFonts w:ascii="Book Antiqua" w:hAnsi="Book Antiqua"/>
          <w:sz w:val="16"/>
          <w:szCs w:val="16"/>
        </w:rPr>
        <w:instrText>ADDIN CSL_CITATION {"citationItems":[{"id":"ITEM-1","itemData":{"DOI":"10.31599/sasana.v9i1.1866","ISSN":"2461-0453","abstract":"Pembajakan film yang kini merambah ke aplikasi TikTok. Diperlukannya perlindungan pemegang hak cipta akan tindakan pelanggaran hak cipta khususnya pembajakan film. Penjelasan tersebut terciptanya rumusan masalah yaitu bagaimana pengaturan hukum mengenai pembajakan film dalam peraturan perundang-undangan di Indonesia serta bagaimana perlindungan hukum pemegang hak cipta terhadap pembajakan potongan film pada aplikasi TikTok. Penulisan ini menggunakan jenis penelitian Normatif yaitu dengan pendekatan penelitian perundang-undangan dan pendekatan penelitian konseptual. Penulisan ini mengkaitkan dengan asas perlindungan, asas kepastian hukum, dan asas lex specialis derogate legi generalis. Selain itu menggunakan teori perlindungan hukum dan teori hak kekayaan intelektual. Hasil dari penelitian ini adalah pengaturan peraturan yang mengatur tentang pembajakan film terdapat pada Undang-Undang Hak Cipta dan Undang-Undang Perfilman, akan tetapi pada pembajakan potongan film pada aplikasi TikTok menggunakan Undang-Undang Hak Cipta. Dibandingkan pada Undang-Undang Perfilman yang hanya mengatur pembajakan film pada film tanpa lulus sensor. Adapun bentuk perlindungan pemegang hak cipta dimuat film pada aplikais TikTok berupa perlindungan preventif dan represif.","author":[{"dropping-particle":"","family":"Yuliantari","given":"I Gusti Ayu Eviani","non-dropping-particle":"","parse-names":false,"suffix":""},{"dropping-particle":"","family":"Kurniawan","given":"I Gede Agus","non-dropping-particle":"","parse-names":false,"suffix":""},{"dropping-particle":"","family":"Dewi","given":"Ni Putu Dian Puspita","non-dropping-particle":"","parse-names":false,"suffix":""}],"container-title":"Jurnal Hukum Sasana","id":"ITEM-1","issue":"1","issued":{"date-parts":[["2023"]]},"page":"81-90","title":"Perlindungan Hukum Pemegang Hak Cipta Terhadap Pembajakan Potongan Film Pada Aplikasi Tiktok","type":"article-journal","volume":"9"},"uris":["http://www.mendeley.com/documents/?uuid=afc57808-d0ab-4635-af26-2e53ab4ed5f0"]}],"mendeley":{"formattedCitation":"I Gusti Ayu Eviani Yuliantari, I Gede Agus Kurniawan, and Ni Putu Dian Puspita Dewi, “Perlindungan Hukum Pemegang Hak Cipta Terhadap Pembajakan Potongan Film Pada Aplikasi Tiktok,” &lt;i&gt;Jurnal Hukum Sasana&lt;/i&gt; 9, no. 1 (2023): 81–90, https://doi.org/10.31599/sasana.v9i1.1866.","plainTextFormattedCitation":"I Gusti Ayu Eviani Yuliantari, I Gede Agus Kurniawan, and Ni Putu Dian Puspita Dewi, “Perlindungan Hukum Pemegang Hak Cipta Terhadap Pembajakan Potongan Film Pada Aplikasi Tiktok,” Jurnal Hukum Sasana 9, no. 1 (2023): 81–90, https://doi.org/10.31599/sasana.v9i1.1866.","previouslyFormattedCitation":"I Gusti Ayu Eviani Yuliantari, I Gede Agus Kurniawan, and Ni Putu Dian Puspita Dewi, “Perlindungan Hukum Pemegang Hak Cipta Terhadap Pembajakan Potongan Film Pada Aplikasi Tiktok,” &lt;i&gt;Jurnal Hukum Sasana&lt;/i&gt; 9, no. 1 (2023): 81–90, https://doi.org/10.31599/sasana.v9i1.1866."},"properties":{"noteIndex":122},"schema":"https://github.com/citation-style-language/schema/raw/master/csl-citation.json"}</w:instrText>
      </w:r>
      <w:r w:rsidRPr="0072728E">
        <w:rPr>
          <w:rFonts w:ascii="Book Antiqua" w:hAnsi="Book Antiqua"/>
          <w:sz w:val="16"/>
          <w:szCs w:val="16"/>
        </w:rPr>
        <w:fldChar w:fldCharType="separate"/>
      </w:r>
      <w:r w:rsidRPr="0072728E">
        <w:rPr>
          <w:rFonts w:ascii="Book Antiqua" w:hAnsi="Book Antiqua"/>
          <w:noProof/>
          <w:sz w:val="16"/>
          <w:szCs w:val="16"/>
        </w:rPr>
        <w:t xml:space="preserve">I Gusti Ayu Eviani Yuliantari, I Gede Agus Kurniawan, and Ni Putu Dian Puspita Dewi, “Perlindungan Hukum Pemegang Hak Cipta Terhadap Pembajakan Potongan Film Pada Aplikasi Tiktok,” </w:t>
      </w:r>
      <w:r w:rsidRPr="0072728E">
        <w:rPr>
          <w:rFonts w:ascii="Book Antiqua" w:hAnsi="Book Antiqua"/>
          <w:i/>
          <w:noProof/>
          <w:sz w:val="16"/>
          <w:szCs w:val="16"/>
        </w:rPr>
        <w:t>Jurnal Hukum Sasana</w:t>
      </w:r>
      <w:r w:rsidRPr="0072728E">
        <w:rPr>
          <w:rFonts w:ascii="Book Antiqua" w:hAnsi="Book Antiqua"/>
          <w:noProof/>
          <w:sz w:val="16"/>
          <w:szCs w:val="16"/>
        </w:rPr>
        <w:t xml:space="preserve"> 9, no. 1 (2023): 81–90, https://doi.org/10.31599/sasana.v9i1.1866.</w:t>
      </w:r>
      <w:r w:rsidRPr="0072728E">
        <w:rPr>
          <w:rFonts w:ascii="Book Antiqua" w:hAnsi="Book Antiqua"/>
          <w:sz w:val="16"/>
          <w:szCs w:val="16"/>
        </w:rPr>
        <w:fldChar w:fldCharType="end"/>
      </w:r>
    </w:p>
  </w:footnote>
  <w:footnote w:id="123">
    <w:p w14:paraId="29368D74" w14:textId="491FDCB0" w:rsidR="00C04C78" w:rsidRPr="006A3BAE" w:rsidRDefault="00C04C78" w:rsidP="006A3BAE">
      <w:pPr>
        <w:pStyle w:val="FootnoteText"/>
        <w:jc w:val="both"/>
        <w:rPr>
          <w:rFonts w:ascii="Book Antiqua" w:hAnsi="Book Antiqua"/>
          <w:color w:val="000000" w:themeColor="text1"/>
          <w:sz w:val="16"/>
          <w:szCs w:val="16"/>
        </w:rPr>
      </w:pPr>
      <w:r w:rsidRPr="006A3BAE">
        <w:rPr>
          <w:rStyle w:val="FootnoteReference"/>
          <w:rFonts w:ascii="Book Antiqua" w:hAnsi="Book Antiqua"/>
          <w:sz w:val="16"/>
          <w:szCs w:val="16"/>
        </w:rPr>
        <w:footnoteRef/>
      </w:r>
      <w:r w:rsidRPr="006A3BAE">
        <w:rPr>
          <w:rFonts w:ascii="Book Antiqua" w:hAnsi="Book Antiqua"/>
          <w:sz w:val="16"/>
          <w:szCs w:val="16"/>
        </w:rPr>
        <w:t xml:space="preserve"> </w:t>
      </w:r>
      <w:r w:rsidRPr="006A3BAE">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{"citationItems":[{"id":"ITEM-1","itemData":{"DOI":"10.28946/rpt.v10i2.1432","abstract":"Hak cipta merupakan hak eksklusif pencipta yang timbul secara otomatis berdasarkan prinsip deklaratif. Sebagai salah satu bagian dari Hak Kekayaan Intelektual yang memiliki ruang lingkup objek yang dilindungi paling luas, hak cipta berperan besar dalam perkembangan ekonomi kreatif di Indonesia. Akan tetapi, terdapat permasalahan dalam peraturan hak cipta di Indonesia, yaitu pada Undang-Undang Nomor 28 Tahun 2014 Tentang Hak Cipta. Permasalahan yang dimaksud terdapat pada Pasal 95 ayat 1, norma pada pasal tersebut tidak tepat karena bersifat “mengatur” (aanfullen) dengan ditandai kata “dapat”, sementara norma pada Pasal 95 ayat 4 bersifat “memaksa” (dwingen) dengan ditandai kata “harus”, ketidakseimbangan tersebut mengakibatkan belum mengikatnya Alternatif Dispute Resolution (ADR) atau Alternatif Penyelesaian Sengketa dan menjadi penyebab timbulnya ketidakpastian hukum penyelesaian sengketa pelanggaran hak cipta. Berangkat dari hal tersebut, maka penelitian ini memiliki tujuan untuk menentukan upaya yang tepat untuk mengatasi permasalahan dan dasar atau faktor pendukung dilakukannya upaya tersebut. Selain tujuan penelitian, penelitian ini juga memiliki kegunaan yang terdiri atas kegunaan teoritis dan praktis. Terkait metode penelitian, metode pendekatan yang diterapkan adalah yuridis normative. Kemudian spesifikasi penelitian ini bersifat deskriptif analitis. Terkait data, teknik pengumpulan yang diterapkan adalah studi dokumen dan metode analisis yang diterapkan adalah normatif kualitatif. Hasil dari penelitian adalah berdasarkan asas kepastian hukum, asas peradilan sederhana, cepat, biaya ringan, teori hukum pembangunan, teori negara kesejahteraan dan teori economic analysis of law, upaya yang tepat dilakukan untuk mengatasi permasalahan dalam penelitian ini adalah mengubah sifat norma pada Pasal 95 Ayat 1, dengan mewajibkan melakukan mediasi sebelum melakukan gugatan ganti rugi perdata dalam sengketa hak cipta","author":[{"dropping-particle":"","family":"Mayesha Andriana Yasmine, U. Sudjana","given":"Muhamad Amirulloh","non-dropping-particle":"","parse-names":false,"suffix":""}],"container-title":"Repertorium: Jurnal Ilmiah Hukum Kenotariatan","id":"ITEM-1","issue":"2","issued":{"date-parts":[["2021"]]},"page":"157-172","title":"Kewajiban Mediasi Sebelum Gugatan Ganti Rugi Perdata Atas Pelanggaran Hak Cipta Di Indonesia","type":"article-journal","volume":"10"},"uris":["http://www.mendeley.com/documents/?uuid=6f99092a-6bf0-443b-98a9-4f9268f74d90"]}],"mendeley":{"formattedCitation":"Muhamad Amirulloh Mayesha Andriana Yasmine, U. Sudjana, “Kewajiban Mediasi Sebelum Gugatan Ganti Rugi Perdata Atas Pelanggaran Hak Cipta Di Indonesia,” &lt;i&gt;Repertorium: Jurnal Ilmiah Hukum Kenotariatan&lt;/i&gt; 10, no. 2 (2021): 157–72, https://doi.org/10.28946/rpt.v10i2.1432.","plainTextFormattedCitation":"Muhamad Amirulloh Mayesha Andriana Yasmine, U. Sudjana, “Kewajiban Mediasi Sebelum Gugatan Ganti Rugi Perdata Atas Pelanggaran Hak Cipta Di Indonesia,” Repertorium: Jurnal Ilmiah Hukum Kenotariatan 10, no. 2 (2021): 157–72, https://doi.org/10.28946/rpt.v10i2.1432.","previouslyFormattedCitation":"Muhamad Amirulloh Mayesha Andriana Yasmine, U. Sudjana, “Kewajiban Mediasi Sebelum Gugatan Ganti Rugi Perdata Atas Pelanggaran Hak Cipta Di Indonesia,” &lt;i&gt;Repertorium: Jurnal Ilmiah Hukum Kenotariatan&lt;/i&gt; 10, no. 2 (2021): 157–72, https://doi.org/10.28946/rpt.v10i2.1432."},"properties":{"noteIndex":123},"schema":"https://github.com/citation-style-language/schema/raw/master/csl-citation.json"}</w:instrText>
      </w:r>
      <w:r w:rsidRPr="006A3BAE">
        <w:rPr>
          <w:rFonts w:ascii="Book Antiqua" w:hAnsi="Book Antiqua"/>
          <w:color w:val="000000" w:themeColor="text1"/>
          <w:sz w:val="16"/>
          <w:szCs w:val="16"/>
        </w:rPr>
        <w:fldChar w:fldCharType="separate"/>
      </w:r>
      <w:r w:rsidRPr="006A3BAE">
        <w:rPr>
          <w:rFonts w:ascii="Book Antiqua" w:hAnsi="Book Antiqua"/>
          <w:noProof/>
          <w:color w:val="000000" w:themeColor="text1"/>
          <w:sz w:val="16"/>
          <w:szCs w:val="16"/>
        </w:rPr>
        <w:t xml:space="preserve">Muhamad Amirulloh Mayesha Andriana Yasmine, U. Sudjana, “Kewajiban Mediasi Sebelum Gugatan Ganti Rugi Perdata Atas Pelanggaran Hak Cipta Di Indonesia,” </w:t>
      </w:r>
      <w:r w:rsidRPr="006A3BAE">
        <w:rPr>
          <w:rFonts w:ascii="Book Antiqua" w:hAnsi="Book Antiqua"/>
          <w:i/>
          <w:noProof/>
          <w:color w:val="000000" w:themeColor="text1"/>
          <w:sz w:val="16"/>
          <w:szCs w:val="16"/>
        </w:rPr>
        <w:t>Repertorium: Jurnal Ilmiah Hukum Kenotariatan</w:t>
      </w:r>
      <w:r w:rsidRPr="006A3BAE">
        <w:rPr>
          <w:rFonts w:ascii="Book Antiqua" w:hAnsi="Book Antiqua"/>
          <w:noProof/>
          <w:color w:val="000000" w:themeColor="text1"/>
          <w:sz w:val="16"/>
          <w:szCs w:val="16"/>
        </w:rPr>
        <w:t xml:space="preserve"> 10, no. 2 (2021): 157–72, https://doi.org/10.28946/rpt.v10i2.1432.</w:t>
      </w:r>
      <w:r w:rsidRPr="006A3BAE">
        <w:rPr>
          <w:rFonts w:ascii="Book Antiqua" w:hAnsi="Book Antiqua"/>
          <w:color w:val="000000" w:themeColor="text1"/>
          <w:sz w:val="16"/>
          <w:szCs w:val="16"/>
        </w:rPr>
        <w:fldChar w:fldCharType="end"/>
      </w:r>
    </w:p>
  </w:footnote>
  <w:footnote w:id="124">
    <w:p w14:paraId="106547C3" w14:textId="23A1FF14" w:rsidR="00C04C78" w:rsidRPr="006A3BAE" w:rsidRDefault="00C04C78" w:rsidP="006A3BAE">
      <w:pPr>
        <w:pStyle w:val="FootnoteText"/>
        <w:jc w:val="both"/>
        <w:rPr>
          <w:rFonts w:ascii="Book Antiqua" w:hAnsi="Book Antiqua"/>
          <w:color w:val="000000" w:themeColor="text1"/>
          <w:sz w:val="16"/>
          <w:szCs w:val="16"/>
        </w:rPr>
      </w:pPr>
      <w:r w:rsidRPr="006A3BAE">
        <w:rPr>
          <w:rStyle w:val="FootnoteReference"/>
          <w:rFonts w:ascii="Book Antiqua" w:hAnsi="Book Antiqua"/>
          <w:color w:val="000000" w:themeColor="text1"/>
          <w:sz w:val="16"/>
          <w:szCs w:val="16"/>
        </w:rPr>
        <w:footnoteRef/>
      </w:r>
      <w:r w:rsidRPr="006A3BAE">
        <w:rPr>
          <w:rFonts w:ascii="Book Antiqua" w:hAnsi="Book Antiqua"/>
          <w:color w:val="000000" w:themeColor="text1"/>
          <w:sz w:val="16"/>
          <w:szCs w:val="16"/>
        </w:rPr>
        <w:t xml:space="preserve"> </w:t>
      </w:r>
      <w:r w:rsidRPr="006A3BAE">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{"citationItems":[{"id":"ITEM-1","itemData":{"DOI":"10.23887/jkh.v7i1.31457","ISSN":"2407-4276","abstract":"Saat ini dunia tengah menghadapi perubahan dalam dunia industri yang bisa disebut dengan istilah Revolusi Industri 4.0, dan fenomena ini memberikan dampak yang cukup signifikan dalam kehidupan industrial, yaitu berupa perkembangan teknologi yang pesat. Perkembangan teknologi yang pesat mengakibatkan munculnya istilah baru yaitu ‘ekonomi kreatif’ yang mengandalkan kreativitas serta daya pikir manusia dalam penerapannya. Hak Kekayaan Intelektual berperan sangat penting dalam ekonomi kreatif, dan negara harus memberikan perlindungan hukum bagi kekayaan intelektual sebagai bentuk apresiasi kepada para pencipta/penemu atas upaya dan kerja kerasnya dalam menghasilkan inovasi baru, serta meminimalisir terjadinya pelanggaran kekayaan intelektual. Namun pada prakteknya, terdapat beberapa tantangan dan kesulitan dalam menegakkan hukum terkait kekayaan intelektual yang ada di Indonesia. Penulisan jurnal ilmiah ini menggunakan metode penelitian normatif, berdasarkan peraturan-peraturan tertulis dan studi kepustakaan yang mengkaji aspek teori, struktur, serta penjelasan hukum. Permasalahan utama yang terjadi di Indonesia adalah kurangnya kesadaran serta edukasi masyarakat mengenai kekayaan intelektual, dan permasalahan ini dapat menjadi akar dari permasalahan-permasalahan lain yang terjadi di Indonesia. Dengan adanya perlindungan kekayaan intelektual di Indonesia tidak hanya memberikan rasa aman dan kepastian hukum bagi para pencipta/penemu, namun juga memberikan dampak psikologis dan meningkatkan semangat dari para pencipta/ penemu untuk terus melakukan inovasi.","author":[{"dropping-particle":"","family":"Disemadi","given":"Hari Sutra","non-dropping-particle":"","parse-names":false,"suffix":""},{"dropping-particle":"","family":"Kang","given":"Cindy","non-dropping-particle":"","parse-names":false,"suffix":""}],"container-title":"Jurnal Komunikasi Hukum (JKH)","id":"ITEM-1","issue":"1","issued":{"date-parts":[["2021"]]},"page":"54-71","title":"Tantangan Penegakan Hukum Hak Kekayaan Intelektual dalam Pengembangan Ekonomi Kreatif di Era Revolusi Industri 4.0","type":"article-journal","volume":"7"},"uris":["http://www.mendeley.com/documents/?uuid=a976044a-286d-4903-a837-1732c85af162"]}],"mendeley":{"formattedCitation":"Disemadi and Kang, “Tantangan Penegakan Hukum Hak Kekayaan Intelektual Dalam Pengembangan Ekonomi Kreatif Di Era Revolusi Industri 4.0.”","plainTextFormattedCitation":"Disemadi and Kang, “Tantangan Penegakan Hukum Hak Kekayaan Intelektual Dalam Pengembangan Ekonomi Kreatif Di Era Revolusi Industri 4.0.”","previouslyFormattedCitation":"Disemadi and Kang, “Tantangan Penegakan Hukum Hak Kekayaan Intelektual Dalam Pengembangan Ekonomi Kreatif Di Era Revolusi Industri 4.0.”"},"properties":{"noteIndex":124},"schema":"https://github.com/citation-style-language/schema/raw/master/csl-citation.json"}</w:instrText>
      </w:r>
      <w:r w:rsidRPr="006A3BAE">
        <w:rPr>
          <w:rFonts w:ascii="Book Antiqua" w:hAnsi="Book Antiqua"/>
          <w:color w:val="000000" w:themeColor="text1"/>
          <w:sz w:val="16"/>
          <w:szCs w:val="16"/>
        </w:rPr>
        <w:fldChar w:fldCharType="separate"/>
      </w:r>
      <w:r w:rsidRPr="006A3BAE">
        <w:rPr>
          <w:rFonts w:ascii="Book Antiqua" w:hAnsi="Book Antiqua"/>
          <w:noProof/>
          <w:color w:val="000000" w:themeColor="text1"/>
          <w:sz w:val="16"/>
          <w:szCs w:val="16"/>
        </w:rPr>
        <w:t>Disemadi and Kang, “Tantangan Penegakan Hukum Hak Kekayaan Intelektual Dalam Pengembangan Ekonomi Kreatif Di Era Revolusi Industri 4.0.”</w:t>
      </w:r>
      <w:r w:rsidRPr="006A3BAE">
        <w:rPr>
          <w:rFonts w:ascii="Book Antiqua" w:hAnsi="Book Antiqua"/>
          <w:color w:val="000000" w:themeColor="text1"/>
          <w:sz w:val="16"/>
          <w:szCs w:val="16"/>
        </w:rPr>
        <w:fldChar w:fldCharType="end"/>
      </w:r>
    </w:p>
  </w:footnote>
  <w:footnote w:id="125">
    <w:p w14:paraId="7905F252" w14:textId="458493B2" w:rsidR="00C04C78" w:rsidRPr="006A3BAE" w:rsidRDefault="00C04C78" w:rsidP="006A3BAE">
      <w:pPr>
        <w:pStyle w:val="FootnoteText"/>
        <w:jc w:val="both"/>
        <w:rPr>
          <w:rFonts w:ascii="Book Antiqua" w:hAnsi="Book Antiqua"/>
          <w:color w:val="000000" w:themeColor="text1"/>
          <w:sz w:val="16"/>
          <w:szCs w:val="16"/>
        </w:rPr>
      </w:pPr>
      <w:r w:rsidRPr="006A3BAE">
        <w:rPr>
          <w:rStyle w:val="FootnoteReference"/>
          <w:rFonts w:ascii="Book Antiqua" w:hAnsi="Book Antiqua"/>
          <w:color w:val="000000" w:themeColor="text1"/>
          <w:sz w:val="16"/>
          <w:szCs w:val="16"/>
        </w:rPr>
        <w:footnoteRef/>
      </w:r>
      <w:r w:rsidRPr="006A3BAE">
        <w:rPr>
          <w:rFonts w:ascii="Book Antiqua" w:hAnsi="Book Antiqua"/>
          <w:color w:val="000000" w:themeColor="text1"/>
          <w:sz w:val="16"/>
          <w:szCs w:val="16"/>
        </w:rPr>
        <w:t xml:space="preserve"> </w:t>
      </w:r>
      <w:r w:rsidRPr="006A3BAE">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{"citationItems":[{"id":"ITEM-1","itemData":{"author":[{"dropping-particle":"","family":"Winsherly Tan, Ampuan Situmeang","given":"Kevin Indra Bhaskara","non-dropping-particle":"","parse-names":false,"suffix":""}],"id":"ITEM-1","issue":"1","issued":{"date-parts":[["2024"]]},"page":"66-79","title":"TV Broadcasts Piracy Through Illegal Live Streaming Application : Challenges and Legal Protection for Copyright Holders","type":"article-journal","volume":"9"},"uris":["http://www.mendeley.com/documents/?uuid=2dfad6ed-d115-48d6-abb6-250bf788da37"]}],"mendeley":{"formattedCitation":"Kevin Indra Bhaskara Winsherly Tan, Ampuan Situmeang, “TV Broadcasts Piracy Through Illegal Live Streaming Application</w:instrText>
      </w:r>
      <w:r w:rsidR="002C142A">
        <w:rPr>
          <w:color w:val="000000" w:themeColor="text1"/>
          <w:sz w:val="16"/>
          <w:szCs w:val="16"/>
        </w:rPr>
        <w:instrText> </w:instrText>
      </w:r>
      <w:r w:rsidR="002C142A">
        <w:rPr>
          <w:rFonts w:ascii="Book Antiqua" w:hAnsi="Book Antiqua"/>
          <w:color w:val="000000" w:themeColor="text1"/>
          <w:sz w:val="16"/>
          <w:szCs w:val="16"/>
        </w:rPr>
        <w:instrText>: Challenges and Legal Protection for Copyright Holders</w:instrText>
      </w:r>
      <w:r w:rsidR="002C142A">
        <w:rPr>
          <w:rFonts w:ascii="Book Antiqua" w:hAnsi="Book Antiqua" w:cs="Book Antiqua"/>
          <w:color w:val="000000" w:themeColor="text1"/>
          <w:sz w:val="16"/>
          <w:szCs w:val="16"/>
        </w:rPr>
        <w:instrText>”</w:instrText>
      </w:r>
      <w:r w:rsidR="002C142A">
        <w:rPr>
          <w:rFonts w:ascii="Book Antiqua" w:hAnsi="Book Antiqua"/>
          <w:color w:val="000000" w:themeColor="text1"/>
          <w:sz w:val="16"/>
          <w:szCs w:val="16"/>
        </w:rPr>
        <w:instrText xml:space="preserve"> 9, no. 1 (2024): 66</w:instrText>
      </w:r>
      <w:r w:rsidR="002C142A">
        <w:rPr>
          <w:rFonts w:ascii="Book Antiqua" w:hAnsi="Book Antiqua" w:cs="Book Antiqua"/>
          <w:color w:val="000000" w:themeColor="text1"/>
          <w:sz w:val="16"/>
          <w:szCs w:val="16"/>
        </w:rPr>
        <w:instrText>–</w:instrText>
      </w:r>
      <w:r w:rsidR="002C142A">
        <w:rPr>
          <w:rFonts w:ascii="Book Antiqua" w:hAnsi="Book Antiqua"/>
          <w:color w:val="000000" w:themeColor="text1"/>
          <w:sz w:val="16"/>
          <w:szCs w:val="16"/>
        </w:rPr>
        <w:instrText xml:space="preserve">79.","plainTextFormattedCitation":"Kevin Indra Bhaskara Winsherly Tan, Ampuan Situmeang, </w:instrText>
      </w:r>
      <w:r w:rsidR="002C142A">
        <w:rPr>
          <w:rFonts w:ascii="Book Antiqua" w:hAnsi="Book Antiqua" w:cs="Book Antiqua"/>
          <w:color w:val="000000" w:themeColor="text1"/>
          <w:sz w:val="16"/>
          <w:szCs w:val="16"/>
        </w:rPr>
        <w:instrText>“</w:instrText>
      </w:r>
      <w:r w:rsidR="002C142A">
        <w:rPr>
          <w:rFonts w:ascii="Book Antiqua" w:hAnsi="Book Antiqua"/>
          <w:color w:val="000000" w:themeColor="text1"/>
          <w:sz w:val="16"/>
          <w:szCs w:val="16"/>
        </w:rPr>
        <w:instrText>TV Broadcasts Piracy Through Illegal Live Streaming Application</w:instrText>
      </w:r>
      <w:r w:rsidR="002C142A">
        <w:rPr>
          <w:color w:val="000000" w:themeColor="text1"/>
          <w:sz w:val="16"/>
          <w:szCs w:val="16"/>
        </w:rPr>
        <w:instrText> </w:instrText>
      </w:r>
      <w:r w:rsidR="002C142A">
        <w:rPr>
          <w:rFonts w:ascii="Book Antiqua" w:hAnsi="Book Antiqua"/>
          <w:color w:val="000000" w:themeColor="text1"/>
          <w:sz w:val="16"/>
          <w:szCs w:val="16"/>
        </w:rPr>
        <w:instrText>: Challenges and Legal Protection for Copyright Holders</w:instrText>
      </w:r>
      <w:r w:rsidR="002C142A">
        <w:rPr>
          <w:rFonts w:ascii="Book Antiqua" w:hAnsi="Book Antiqua" w:cs="Book Antiqua"/>
          <w:color w:val="000000" w:themeColor="text1"/>
          <w:sz w:val="16"/>
          <w:szCs w:val="16"/>
        </w:rPr>
        <w:instrText>”</w:instrText>
      </w:r>
      <w:r w:rsidR="002C142A">
        <w:rPr>
          <w:rFonts w:ascii="Book Antiqua" w:hAnsi="Book Antiqua"/>
          <w:color w:val="000000" w:themeColor="text1"/>
          <w:sz w:val="16"/>
          <w:szCs w:val="16"/>
        </w:rPr>
        <w:instrText xml:space="preserve"> 9, no. 1 (2024): 66</w:instrText>
      </w:r>
      <w:r w:rsidR="002C142A">
        <w:rPr>
          <w:rFonts w:ascii="Book Antiqua" w:hAnsi="Book Antiqua" w:cs="Book Antiqua"/>
          <w:color w:val="000000" w:themeColor="text1"/>
          <w:sz w:val="16"/>
          <w:szCs w:val="16"/>
        </w:rPr>
        <w:instrText>–</w:instrText>
      </w:r>
      <w:r w:rsidR="002C142A">
        <w:rPr>
          <w:rFonts w:ascii="Book Antiqua" w:hAnsi="Book Antiqua"/>
          <w:color w:val="000000" w:themeColor="text1"/>
          <w:sz w:val="16"/>
          <w:szCs w:val="16"/>
        </w:rPr>
        <w:instrText xml:space="preserve">79.","previouslyFormattedCitation":"Kevin Indra Bhaskara Winsherly Tan, Ampuan Situmeang, </w:instrText>
      </w:r>
      <w:r w:rsidR="002C142A">
        <w:rPr>
          <w:rFonts w:ascii="Book Antiqua" w:hAnsi="Book Antiqua" w:cs="Book Antiqua"/>
          <w:color w:val="000000" w:themeColor="text1"/>
          <w:sz w:val="16"/>
          <w:szCs w:val="16"/>
        </w:rPr>
        <w:instrText>“</w:instrText>
      </w:r>
      <w:r w:rsidR="002C142A">
        <w:rPr>
          <w:rFonts w:ascii="Book Antiqua" w:hAnsi="Book Antiqua"/>
          <w:color w:val="000000" w:themeColor="text1"/>
          <w:sz w:val="16"/>
          <w:szCs w:val="16"/>
        </w:rPr>
        <w:instrText>TV Broadcasts Piracy Through Illegal Live Streaming Application</w:instrText>
      </w:r>
      <w:r w:rsidR="002C142A">
        <w:rPr>
          <w:color w:val="000000" w:themeColor="text1"/>
          <w:sz w:val="16"/>
          <w:szCs w:val="16"/>
        </w:rPr>
        <w:instrText> </w:instrText>
      </w:r>
      <w:r w:rsidR="002C142A">
        <w:rPr>
          <w:rFonts w:ascii="Book Antiqua" w:hAnsi="Book Antiqua"/>
          <w:color w:val="000000" w:themeColor="text1"/>
          <w:sz w:val="16"/>
          <w:szCs w:val="16"/>
        </w:rPr>
        <w:instrText>: Challenges and Legal Protection for Copyright Holders</w:instrText>
      </w:r>
      <w:r w:rsidR="002C142A">
        <w:rPr>
          <w:rFonts w:ascii="Book Antiqua" w:hAnsi="Book Antiqua" w:cs="Book Antiqua"/>
          <w:color w:val="000000" w:themeColor="text1"/>
          <w:sz w:val="16"/>
          <w:szCs w:val="16"/>
        </w:rPr>
        <w:instrText>”</w:instrText>
      </w:r>
      <w:r w:rsidR="002C142A">
        <w:rPr>
          <w:rFonts w:ascii="Book Antiqua" w:hAnsi="Book Antiqua"/>
          <w:color w:val="000000" w:themeColor="text1"/>
          <w:sz w:val="16"/>
          <w:szCs w:val="16"/>
        </w:rPr>
        <w:instrText xml:space="preserve"> 9, no. 1 (2024): 66</w:instrText>
      </w:r>
      <w:r w:rsidR="002C142A">
        <w:rPr>
          <w:rFonts w:ascii="Book Antiqua" w:hAnsi="Book Antiqua" w:cs="Book Antiqua"/>
          <w:color w:val="000000" w:themeColor="text1"/>
          <w:sz w:val="16"/>
          <w:szCs w:val="16"/>
        </w:rPr>
        <w:instrText>–</w:instrText>
      </w:r>
      <w:r w:rsidR="002C142A">
        <w:rPr>
          <w:rFonts w:ascii="Book Antiqua" w:hAnsi="Book Antiqua"/>
          <w:color w:val="000000" w:themeColor="text1"/>
          <w:sz w:val="16"/>
          <w:szCs w:val="16"/>
        </w:rPr>
        <w:instrText>79."},"properties":{"noteIndex":125},"schema":"https://github.com/citation-style-language/schema/raw/master/csl-citation.json"}</w:instrText>
      </w:r>
      <w:r w:rsidRPr="006A3BAE">
        <w:rPr>
          <w:rFonts w:ascii="Book Antiqua" w:hAnsi="Book Antiqua"/>
          <w:color w:val="000000" w:themeColor="text1"/>
          <w:sz w:val="16"/>
          <w:szCs w:val="16"/>
        </w:rPr>
        <w:fldChar w:fldCharType="separate"/>
      </w:r>
      <w:r w:rsidRPr="006A3BAE">
        <w:rPr>
          <w:rFonts w:ascii="Book Antiqua" w:hAnsi="Book Antiqua"/>
          <w:noProof/>
          <w:color w:val="000000" w:themeColor="text1"/>
          <w:sz w:val="16"/>
          <w:szCs w:val="16"/>
        </w:rPr>
        <w:t>Kevin Indra Bhaskara Winsherly Tan, Ampuan Situmeang, “TV Broadcasts Piracy Through Illegal Live Streaming Application</w:t>
      </w:r>
      <w:r w:rsidRPr="006A3BAE">
        <w:rPr>
          <w:noProof/>
          <w:color w:val="000000" w:themeColor="text1"/>
          <w:sz w:val="16"/>
          <w:szCs w:val="16"/>
        </w:rPr>
        <w:t> </w:t>
      </w:r>
      <w:r w:rsidRPr="006A3BAE">
        <w:rPr>
          <w:rFonts w:ascii="Book Antiqua" w:hAnsi="Book Antiqua"/>
          <w:noProof/>
          <w:color w:val="000000" w:themeColor="text1"/>
          <w:sz w:val="16"/>
          <w:szCs w:val="16"/>
        </w:rPr>
        <w:t>: Challenges and Legal Protection for Copyright Holders</w:t>
      </w:r>
      <w:r w:rsidRPr="006A3BAE">
        <w:rPr>
          <w:rFonts w:ascii="Book Antiqua" w:hAnsi="Book Antiqua" w:cs="Book Antiqua"/>
          <w:noProof/>
          <w:color w:val="000000" w:themeColor="text1"/>
          <w:sz w:val="16"/>
          <w:szCs w:val="16"/>
        </w:rPr>
        <w:t>”</w:t>
      </w:r>
      <w:r w:rsidRPr="006A3BAE">
        <w:rPr>
          <w:rFonts w:ascii="Book Antiqua" w:hAnsi="Book Antiqua"/>
          <w:noProof/>
          <w:color w:val="000000" w:themeColor="text1"/>
          <w:sz w:val="16"/>
          <w:szCs w:val="16"/>
        </w:rPr>
        <w:t xml:space="preserve"> 9, no. 1 (2024): 66</w:t>
      </w:r>
      <w:r w:rsidRPr="006A3BAE">
        <w:rPr>
          <w:rFonts w:ascii="Book Antiqua" w:hAnsi="Book Antiqua" w:cs="Book Antiqua"/>
          <w:noProof/>
          <w:color w:val="000000" w:themeColor="text1"/>
          <w:sz w:val="16"/>
          <w:szCs w:val="16"/>
        </w:rPr>
        <w:t>–</w:t>
      </w:r>
      <w:r w:rsidRPr="006A3BAE">
        <w:rPr>
          <w:rFonts w:ascii="Book Antiqua" w:hAnsi="Book Antiqua"/>
          <w:noProof/>
          <w:color w:val="000000" w:themeColor="text1"/>
          <w:sz w:val="16"/>
          <w:szCs w:val="16"/>
        </w:rPr>
        <w:t>79.</w:t>
      </w:r>
      <w:r w:rsidRPr="006A3BAE">
        <w:rPr>
          <w:rFonts w:ascii="Book Antiqua" w:hAnsi="Book Antiqua"/>
          <w:color w:val="000000" w:themeColor="text1"/>
          <w:sz w:val="16"/>
          <w:szCs w:val="16"/>
        </w:rPr>
        <w:fldChar w:fldCharType="end"/>
      </w:r>
    </w:p>
  </w:footnote>
  <w:footnote w:id="126">
    <w:p w14:paraId="49BD99D3" w14:textId="021184B1" w:rsidR="00C04C78" w:rsidRPr="006A3BAE" w:rsidRDefault="00C04C78" w:rsidP="006A3BAE">
      <w:pPr>
        <w:pStyle w:val="FootnoteText"/>
        <w:jc w:val="both"/>
        <w:rPr>
          <w:rFonts w:ascii="Book Antiqua" w:hAnsi="Book Antiqua"/>
          <w:color w:val="000000" w:themeColor="text1"/>
          <w:sz w:val="16"/>
          <w:szCs w:val="16"/>
        </w:rPr>
      </w:pPr>
      <w:r w:rsidRPr="006A3BAE">
        <w:rPr>
          <w:rStyle w:val="FootnoteReference"/>
          <w:rFonts w:ascii="Book Antiqua" w:hAnsi="Book Antiqua"/>
          <w:color w:val="000000" w:themeColor="text1"/>
          <w:sz w:val="16"/>
          <w:szCs w:val="16"/>
        </w:rPr>
        <w:footnoteRef/>
      </w:r>
      <w:r w:rsidRPr="006A3BAE">
        <w:rPr>
          <w:rFonts w:ascii="Book Antiqua" w:hAnsi="Book Antiqua"/>
          <w:color w:val="000000" w:themeColor="text1"/>
          <w:sz w:val="16"/>
          <w:szCs w:val="16"/>
        </w:rPr>
        <w:t xml:space="preserve"> </w:t>
      </w:r>
      <w:r w:rsidRPr="006A3BAE">
        <w:rPr>
          <w:rFonts w:ascii="Book Antiqua" w:hAnsi="Book Antiqua"/>
          <w:color w:val="000000" w:themeColor="text1"/>
          <w:sz w:val="16"/>
          <w:szCs w:val="16"/>
        </w:rPr>
        <w:fldChar w:fldCharType="begin" w:fldLock="1"/>
      </w:r>
      <w:r w:rsidR="002C142A">
        <w:rPr>
          <w:rFonts w:ascii="Book Antiqua" w:hAnsi="Book Antiqua"/>
          <w:color w:val="000000" w:themeColor="text1"/>
          <w:sz w:val="16"/>
          <w:szCs w:val="16"/>
        </w:rPr>
        <w:instrText>ADDIN CSL_CITATION {"citationItems":[{"id":"ITEM-1","itemData":{"abstract":"Revolusi Industri 4.0 atau perubahan dunia industri yang sedang berlangsung saat ini memberikan dampak yang signifikan bagi kehidupan industri, khususnya berupa kemajuan teknologi yang pesat. “Ekonomi kreatif” yang bertumpu pada kreativitas dan kecerdikan manusia dalam penerapannya, muncul sebagai akibat dari pesatnya perkembangan teknologi. Sebagai tanda terima kasih kepada seniman dan penemu atas upaya dan dedikasi mereka dalam mengembangkan ide-ide baru dan melanggar hak kekayaan intelektual, negara harus memberikan perlindungan hukum atas kekayaan intelektual. Dalam ekonomi kreatif, hak kekayaan intelektual sangat penting. Namun, dalam praktiknya, penegakan hukum kekayaan intelektual di Indonesia menghadapi banyak kendala dan tantangan. Jurnal ilmiah ini menerbitkan artikel yang menggunakan metode penelitian normatif, yang didasarkan pada peraturan tertulis dan studi literatur yang melihat teori, struktur, dan penjelasan hukum secara khusus. Minimnya kesadaran dan pendidikan masyarakat tentang kekayaan intelektual menjadi isu utama di Indonesia, dan isu ini bisa menjadi sumber isu lain. Hadirnya jaminan inovasi yang dilindungi di Indonesia tidak hanya memberikan perasaan bahwa segala sesuatunya baik dan kepastian yang sah bagi pembuat/perancang, namun juga memberikan efek mental dan membangun energi pembuat/kreator untuk terus berkembang.","author":[{"dropping-particle":"","family":"Lukman","given":"Maman","non-dropping-particle":"","parse-names":false,"suffix":""},{"dropping-particle":"","family":"Anggraeni","given":"Happy Yulia","non-dropping-particle":"","parse-names":false,"suffix":""}],"container-title":"Nusantara: Jurnal Ilmu Pengetahuan Sosial","id":"ITEM-1","issue":"6","issued":{"date-parts":[["2023"]]},"page":"2971-2981","title":"Tantangan Penegakan Hukum Hak Kekayaan Intelektual Dalam pengembangan Ekonomi Kreatif di Era Revolusi Industri 4.0","type":"article-journal","volume":"10"},"uris":["http://www.mendeley.com/documents/?uuid=faf6e919-7c1e-4606-ba83-b510b2638d51"]}],"mendeley":{"formattedCitation":"Maman Lukman and Happy Yulia Anggraeni, “Tantangan Penegakan Hukum Hak Kekayaan Intelektual Dalam Pengembangan Ekonomi Kreatif Di Era Revolusi Industri 4.0,” &lt;i&gt;Nusantara: Jurnal Ilmu Pengetahuan Sosial&lt;/i&gt; 10, no. 6 (2023): 2971–81.","plainTextFormattedCitation":"Maman Lukman and Happy Yulia Anggraeni, “Tantangan Penegakan Hukum Hak Kekayaan Intelektual Dalam Pengembangan Ekonomi Kreatif Di Era Revolusi Industri 4.0,” Nusantara: Jurnal Ilmu Pengetahuan Sosial 10, no. 6 (2023): 2971–81.","previouslyFormattedCitation":"Maman Lukman and Happy Yulia Anggraeni, “Tantangan Penegakan Hukum Hak Kekayaan Intelektual Dalam Pengembangan Ekonomi Kreatif Di Era Revolusi Industri 4.0,” &lt;i&gt;Nusantara: Jurnal Ilmu Pengetahuan Sosial&lt;/i&gt; 10, no. 6 (2023): 2971–81."},"properties":{"noteIndex":126},"schema":"https://github.com/citation-style-language/schema/raw/master/csl-citation.json"}</w:instrText>
      </w:r>
      <w:r w:rsidRPr="006A3BAE">
        <w:rPr>
          <w:rFonts w:ascii="Book Antiqua" w:hAnsi="Book Antiqua"/>
          <w:color w:val="000000" w:themeColor="text1"/>
          <w:sz w:val="16"/>
          <w:szCs w:val="16"/>
        </w:rPr>
        <w:fldChar w:fldCharType="separate"/>
      </w:r>
      <w:r w:rsidRPr="006A3BAE">
        <w:rPr>
          <w:rFonts w:ascii="Book Antiqua" w:hAnsi="Book Antiqua"/>
          <w:noProof/>
          <w:color w:val="000000" w:themeColor="text1"/>
          <w:sz w:val="16"/>
          <w:szCs w:val="16"/>
        </w:rPr>
        <w:t xml:space="preserve">Maman Lukman and Happy Yulia Anggraeni, “Tantangan Penegakan Hukum Hak Kekayaan Intelektual Dalam Pengembangan Ekonomi Kreatif Di Era Revolusi Industri 4.0,” </w:t>
      </w:r>
      <w:r w:rsidRPr="006A3BAE">
        <w:rPr>
          <w:rFonts w:ascii="Book Antiqua" w:hAnsi="Book Antiqua"/>
          <w:i/>
          <w:noProof/>
          <w:color w:val="000000" w:themeColor="text1"/>
          <w:sz w:val="16"/>
          <w:szCs w:val="16"/>
        </w:rPr>
        <w:t>Nusantara: Jurnal Ilmu Pengetahuan Sosial</w:t>
      </w:r>
      <w:r w:rsidRPr="006A3BAE">
        <w:rPr>
          <w:rFonts w:ascii="Book Antiqua" w:hAnsi="Book Antiqua"/>
          <w:noProof/>
          <w:color w:val="000000" w:themeColor="text1"/>
          <w:sz w:val="16"/>
          <w:szCs w:val="16"/>
        </w:rPr>
        <w:t xml:space="preserve"> 10, no. 6 (2023): 2971–81.</w:t>
      </w:r>
      <w:r w:rsidRPr="006A3BAE">
        <w:rPr>
          <w:rFonts w:ascii="Book Antiqua" w:hAnsi="Book Antiqua"/>
          <w:color w:val="000000" w:themeColor="text1"/>
          <w:sz w:val="16"/>
          <w:szCs w:val="16"/>
        </w:rPr>
        <w:fldChar w:fldCharType="end"/>
      </w:r>
    </w:p>
  </w:footnote>
  <w:footnote w:id="127">
    <w:p w14:paraId="766ABE82" w14:textId="3832D3D8" w:rsidR="00C04C78" w:rsidRPr="000465A4" w:rsidRDefault="00C04C78" w:rsidP="000465A4">
      <w:pPr>
        <w:pStyle w:val="FootnoteText"/>
        <w:jc w:val="both"/>
        <w:rPr>
          <w:rFonts w:ascii="Book Antiqua" w:hAnsi="Book Antiqua"/>
          <w:sz w:val="16"/>
          <w:szCs w:val="16"/>
        </w:rPr>
      </w:pPr>
      <w:r w:rsidRPr="000465A4">
        <w:rPr>
          <w:rStyle w:val="FootnoteReference"/>
          <w:rFonts w:ascii="Book Antiqua" w:hAnsi="Book Antiqua"/>
          <w:sz w:val="16"/>
          <w:szCs w:val="16"/>
        </w:rPr>
        <w:footnoteRef/>
      </w:r>
      <w:r w:rsidRPr="000465A4">
        <w:rPr>
          <w:rFonts w:ascii="Book Antiqua" w:hAnsi="Book Antiqua"/>
          <w:sz w:val="16"/>
          <w:szCs w:val="16"/>
        </w:rPr>
        <w:t xml:space="preserve"> </w:t>
      </w:r>
      <w:r w:rsidRPr="000465A4">
        <w:rPr>
          <w:rFonts w:ascii="Book Antiqua" w:hAnsi="Book Antiqua"/>
          <w:sz w:val="16"/>
          <w:szCs w:val="16"/>
        </w:rPr>
        <w:fldChar w:fldCharType="begin" w:fldLock="1"/>
      </w:r>
      <w:r w:rsidR="002C142A">
        <w:rPr>
          <w:rFonts w:ascii="Book Antiqua" w:hAnsi="Book Antiqua"/>
          <w:sz w:val="16"/>
          <w:szCs w:val="16"/>
        </w:rPr>
        <w:instrText>ADDIN CSL_CITATION {"citationItems":[{"id":"ITEM-1","itemData":{"author":[{"dropping-particle":"","family":"Anthon Fathanudien","given":"","non-dropping-particle":"","parse-names":false,"suffix":""}],"container-title":"Universitas Kuningan","id":"ITEM-1","issue":"2","issued":{"date-parts":[["2023"]]},"page":"1-16","title":"Peranan Perlindungan Kekayaan Intelektual Dalam Bidang Teknologi Pada Era Revolusi Industri 4.0","type":"article-journal","volume":"XIX"},"uris":["http://www.mendeley.com/documents/?uuid=cc978285-424a-4f39-971a-987e36809021"]}],"mendeley":{"formattedCitation":"Anthon Fathanudien, “Peranan Perlindungan Kekayaan Intelektual Dalam Bidang Teknologi Pada Era Revolusi Industri 4.0,” &lt;i&gt;Universitas Kuningan&lt;/i&gt; XIX, no. 2 (2023): 1–16.","plainTextFormattedCitation":"Anthon Fathanudien, “Peranan Perlindungan Kekayaan Intelektual Dalam Bidang Teknologi Pada Era Revolusi Industri 4.0,” Universitas Kuningan XIX, no. 2 (2023): 1–16.","previouslyFormattedCitation":"Anthon Fathanudien, “Peranan Perlindungan Kekayaan Intelektual Dalam Bidang Teknologi Pada Era Revolusi Industri 4.0,” &lt;i&gt;Universitas Kuningan&lt;/i&gt; XIX, no. 2 (2023): 1–16."},"properties":{"noteIndex":127},"schema":"https://github.com/citation-style-language/schema/raw/master/csl-citation.json"}</w:instrText>
      </w:r>
      <w:r w:rsidRPr="000465A4">
        <w:rPr>
          <w:rFonts w:ascii="Book Antiqua" w:hAnsi="Book Antiqua"/>
          <w:sz w:val="16"/>
          <w:szCs w:val="16"/>
        </w:rPr>
        <w:fldChar w:fldCharType="separate"/>
      </w:r>
      <w:r w:rsidRPr="00C04C78">
        <w:rPr>
          <w:rFonts w:ascii="Book Antiqua" w:hAnsi="Book Antiqua"/>
          <w:noProof/>
          <w:sz w:val="16"/>
          <w:szCs w:val="16"/>
        </w:rPr>
        <w:t xml:space="preserve">Anthon Fathanudien, “Peranan Perlindungan Kekayaan Intelektual Dalam Bidang Teknologi Pada Era Revolusi Industri 4.0,” </w:t>
      </w:r>
      <w:r w:rsidRPr="00C04C78">
        <w:rPr>
          <w:rFonts w:ascii="Book Antiqua" w:hAnsi="Book Antiqua"/>
          <w:i/>
          <w:noProof/>
          <w:sz w:val="16"/>
          <w:szCs w:val="16"/>
        </w:rPr>
        <w:t>Universitas Kuningan</w:t>
      </w:r>
      <w:r w:rsidRPr="00C04C78">
        <w:rPr>
          <w:rFonts w:ascii="Book Antiqua" w:hAnsi="Book Antiqua"/>
          <w:noProof/>
          <w:sz w:val="16"/>
          <w:szCs w:val="16"/>
        </w:rPr>
        <w:t xml:space="preserve"> XIX, no. 2 (2023): 1–16.</w:t>
      </w:r>
      <w:r w:rsidRPr="000465A4">
        <w:rPr>
          <w:rFonts w:ascii="Book Antiqua" w:hAnsi="Book Antiqua"/>
          <w:sz w:val="16"/>
          <w:szCs w:val="16"/>
        </w:rPr>
        <w:fldChar w:fldCharType="end"/>
      </w:r>
    </w:p>
  </w:footnote>
  <w:footnote w:id="128">
    <w:p w14:paraId="53D082E3" w14:textId="66E531E8" w:rsidR="00C04C78" w:rsidRPr="000465A4" w:rsidRDefault="00C04C78" w:rsidP="000465A4">
      <w:pPr>
        <w:pStyle w:val="FootnoteText"/>
        <w:jc w:val="both"/>
        <w:rPr>
          <w:rFonts w:ascii="Book Antiqua" w:hAnsi="Book Antiqua"/>
          <w:sz w:val="16"/>
          <w:szCs w:val="16"/>
        </w:rPr>
      </w:pPr>
      <w:r w:rsidRPr="000465A4">
        <w:rPr>
          <w:rStyle w:val="FootnoteReference"/>
          <w:rFonts w:ascii="Book Antiqua" w:hAnsi="Book Antiqua"/>
          <w:sz w:val="16"/>
          <w:szCs w:val="16"/>
        </w:rPr>
        <w:footnoteRef/>
      </w:r>
      <w:r w:rsidRPr="000465A4">
        <w:rPr>
          <w:rFonts w:ascii="Book Antiqua" w:hAnsi="Book Antiqua"/>
          <w:sz w:val="16"/>
          <w:szCs w:val="16"/>
        </w:rPr>
        <w:t xml:space="preserve"> </w:t>
      </w:r>
      <w:r w:rsidRPr="000465A4">
        <w:rPr>
          <w:rFonts w:ascii="Book Antiqua" w:hAnsi="Book Antiqua"/>
          <w:sz w:val="16"/>
          <w:szCs w:val="16"/>
        </w:rPr>
        <w:fldChar w:fldCharType="begin" w:fldLock="1"/>
      </w:r>
      <w:r w:rsidR="002C142A">
        <w:rPr>
          <w:rFonts w:ascii="Book Antiqua" w:hAnsi="Book Antiqua"/>
          <w:sz w:val="16"/>
          <w:szCs w:val="16"/>
        </w:rPr>
        <w:instrText>ADDIN CSL_CITATION {"citationItems":[{"id":"ITEM-1","itemData":{"DOI":"10.24843/kp.2021.v43.i03.p04","ISSN":"0215-899X","abstract":"Penelitian ini bertujuan untuk mendeskripsikan pentingnyamediasi dalam penyelesaian sengketa Hak Cipta. Penelitian inimenggunakan jenis penelitian yuridis normatif denganpendekatan (statute approach) dan (conceptual approach). Hasilpenelitian menunjukan ada beberapa faktor yang patut untukdipertimbangkan sebagai alasan memilih mediasi dalam sengketaHak Cipta. Faktor tersebut adalah 1) Proses litigasi yangmemakan biaya yang tinggi (2) Mediasi merupakan solusialternatif berbagi hak cipta (3) Mediasi sebagai saranamembangun jejaring dan reputasi Bisnis (4) Sulitnya pembuktian dalam sengketa Hak Cipta (5) Kehendak Pancasiladalam penyelesaian pertikaian secara damai (5) litigasi dapatmerusak hubungan bisnis atau reputasi para pihak; (6) Mediasimemperingan kerja hukum acara; (7) Mediasi sebagai budayahukum di Indonesia. Beberapa konsep yang harus dikembangkanuntuk keberhasilan mediasi yaitu Pertama, seorang mediatoryang handal dalam penyelesaian sengketa Hak Cipta mengingatkompleksitas pengaturan hukum hak cipta. Kedua, HarmonisasiPerma Nomor 1 tahun 2016 Tentang Prosedur Mediasi DiPengadilan dengan UU Hak Cipta dengan mensinkronkanpengecualian kewajiban mediasi di Pengadilan Niaga dengankewajiban mediasi dalam UU Hak Cipta. Ketiga, Proses Mediasiharus bersifat informal agar para pihak yang terlibat merasasaling di hargai dan tidak ada ketegangan yang memacu amarah.Implikasi dari proses informal ini adalah terbangunnya jejaringdan reputasi bisnis para pihak.","author":[{"dropping-particle":"","family":"Praja","given":"Chrisna Bagus Edhita","non-dropping-particle":"","parse-names":false,"suffix":""},{"dropping-particle":"","family":"Riswandi","given":"Budi Agus","non-dropping-particle":"","parse-names":false,"suffix":""},{"dropping-particle":"","family":"Dimyati","given":"Khudzaifah","non-dropping-particle":"","parse-names":false,"suffix":""}],"container-title":"Kertha Patrika","id":"ITEM-1","issue":"3","issued":{"date-parts":[["2021"]]},"page":"275-295","title":"Urgensi Mediasi sebagai Alternatif Penyelesaian Sengketa Hak Cipta","type":"article-journal","volume":"43"},"uris":["http://www.mendeley.com/documents/?uuid=6bb1df3b-8865-4cae-9473-96e7c05547d8"]}],"mendeley":{"formattedCitation":"Praja, Riswandi, and Dimyati, “Urgensi Mediasi Sebagai Alternatif Penyelesaian Sengketa Hak Cipta.”","plainTextFormattedCitation":"Praja, Riswandi, and Dimyati, “Urgensi Mediasi Sebagai Alternatif Penyelesaian Sengketa Hak Cipta.”","previouslyFormattedCitation":"Praja, Riswandi, and Dimyati, “Urgensi Mediasi Sebagai Alternatif Penyelesaian Sengketa Hak Cipta.”"},"properties":{"noteIndex":128},"schema":"https://github.com/citation-style-language/schema/raw/master/csl-citation.json"}</w:instrText>
      </w:r>
      <w:r w:rsidRPr="000465A4">
        <w:rPr>
          <w:rFonts w:ascii="Book Antiqua" w:hAnsi="Book Antiqua"/>
          <w:sz w:val="16"/>
          <w:szCs w:val="16"/>
        </w:rPr>
        <w:fldChar w:fldCharType="separate"/>
      </w:r>
      <w:r w:rsidRPr="000465A4">
        <w:rPr>
          <w:rFonts w:ascii="Book Antiqua" w:hAnsi="Book Antiqua"/>
          <w:noProof/>
          <w:sz w:val="16"/>
          <w:szCs w:val="16"/>
        </w:rPr>
        <w:t>Praja, Riswandi, and Dimyati, “Urgensi Mediasi Sebagai Alternatif Penyelesaian Sengketa Hak Cipta.”</w:t>
      </w:r>
      <w:r w:rsidRPr="000465A4">
        <w:rPr>
          <w:rFonts w:ascii="Book Antiqua" w:hAnsi="Book Antiqua"/>
          <w:sz w:val="16"/>
          <w:szCs w:val="16"/>
        </w:rPr>
        <w:fldChar w:fldCharType="end"/>
      </w:r>
    </w:p>
  </w:footnote>
  <w:footnote w:id="129">
    <w:p w14:paraId="5E78AD41" w14:textId="09282090" w:rsidR="00C04C78" w:rsidRPr="000465A4" w:rsidRDefault="00C04C78" w:rsidP="000465A4">
      <w:pPr>
        <w:pStyle w:val="FootnoteText"/>
        <w:jc w:val="both"/>
        <w:rPr>
          <w:rFonts w:ascii="Book Antiqua" w:hAnsi="Book Antiqua"/>
          <w:sz w:val="16"/>
          <w:szCs w:val="16"/>
        </w:rPr>
      </w:pPr>
      <w:r w:rsidRPr="000465A4">
        <w:rPr>
          <w:rStyle w:val="FootnoteReference"/>
          <w:rFonts w:ascii="Book Antiqua" w:hAnsi="Book Antiqua"/>
          <w:sz w:val="16"/>
          <w:szCs w:val="16"/>
        </w:rPr>
        <w:footnoteRef/>
      </w:r>
      <w:r w:rsidRPr="000465A4">
        <w:rPr>
          <w:rFonts w:ascii="Book Antiqua" w:hAnsi="Book Antiqua"/>
          <w:sz w:val="16"/>
          <w:szCs w:val="16"/>
        </w:rPr>
        <w:t xml:space="preserve"> </w:t>
      </w:r>
      <w:r w:rsidRPr="000465A4">
        <w:rPr>
          <w:rFonts w:ascii="Book Antiqua" w:hAnsi="Book Antiqua"/>
          <w:sz w:val="16"/>
          <w:szCs w:val="16"/>
        </w:rPr>
        <w:fldChar w:fldCharType="begin" w:fldLock="1"/>
      </w:r>
      <w:r w:rsidR="002C142A">
        <w:rPr>
          <w:rFonts w:ascii="Book Antiqua" w:hAnsi="Book Antiqua"/>
          <w:sz w:val="16"/>
          <w:szCs w:val="16"/>
        </w:rPr>
        <w:instrText>ADDIN CSL_CITATION {"citationItems":[{"id":"ITEM-1","itemData":{"ISBN":"9781787284395","author":[{"dropping-particle":"","family":"Suryani","given":"Nuraini Endah","non-dropping-particle":"","parse-names":false,"suffix":""}],"container-title":"Fakultas Hukum Universitas Sebelas Maret Surakarta","id":"ITEM-1","issued":{"date-parts":[["2020"]]},"title":"Perlindungan Hukum Inventor di Bawah Suatu Hubungan Kerja Atas Suatu Invensi Ciptaannya","type":"article-journal"},"uris":["http://www.mendeley.com/documents/?uuid=c415ff23-fb9d-43c5-bc1a-aad40f226b9c"]}],"mendeley":{"formattedCitation":"Nuraini Endah Suryani, “Perlindungan Hukum Inventor Di Bawah Suatu Hubungan Kerja Atas Suatu Invensi Ciptaannya,” &lt;i&gt;Fakultas Hukum Universitas Sebelas Maret Surakarta&lt;/i&gt;, 2020.","plainTextFormattedCitation":"Nuraini Endah Suryani, “Perlindungan Hukum Inventor Di Bawah Suatu Hubungan Kerja Atas Suatu Invensi Ciptaannya,” Fakultas Hukum Universitas Sebelas Maret Surakarta, 2020.","previouslyFormattedCitation":"Nuraini Endah Suryani, “Perlindungan Hukum Inventor Di Bawah Suatu Hubungan Kerja Atas Suatu Invensi Ciptaannya,” &lt;i&gt;Fakultas Hukum Universitas Sebelas Maret Surakarta&lt;/i&gt;, 2020."},"properties":{"noteIndex":129},"schema":"https://github.com/citation-style-language/schema/raw/master/csl-citation.json"}</w:instrText>
      </w:r>
      <w:r w:rsidRPr="000465A4">
        <w:rPr>
          <w:rFonts w:ascii="Book Antiqua" w:hAnsi="Book Antiqua"/>
          <w:sz w:val="16"/>
          <w:szCs w:val="16"/>
        </w:rPr>
        <w:fldChar w:fldCharType="separate"/>
      </w:r>
      <w:r w:rsidRPr="000465A4">
        <w:rPr>
          <w:rFonts w:ascii="Book Antiqua" w:hAnsi="Book Antiqua"/>
          <w:noProof/>
          <w:sz w:val="16"/>
          <w:szCs w:val="16"/>
        </w:rPr>
        <w:t xml:space="preserve">Nuraini Endah Suryani, “Perlindungan Hukum Inventor Di Bawah Suatu Hubungan Kerja Atas Suatu Invensi Ciptaannya,” </w:t>
      </w:r>
      <w:r w:rsidRPr="000465A4">
        <w:rPr>
          <w:rFonts w:ascii="Book Antiqua" w:hAnsi="Book Antiqua"/>
          <w:i/>
          <w:noProof/>
          <w:sz w:val="16"/>
          <w:szCs w:val="16"/>
        </w:rPr>
        <w:t>Fakultas Hukum Universitas Sebelas Maret Surakarta</w:t>
      </w:r>
      <w:r w:rsidRPr="000465A4">
        <w:rPr>
          <w:rFonts w:ascii="Book Antiqua" w:hAnsi="Book Antiqua"/>
          <w:noProof/>
          <w:sz w:val="16"/>
          <w:szCs w:val="16"/>
        </w:rPr>
        <w:t>, 2020.</w:t>
      </w:r>
      <w:r w:rsidRPr="000465A4">
        <w:rPr>
          <w:rFonts w:ascii="Book Antiqua" w:hAnsi="Book Antiqua"/>
          <w:sz w:val="16"/>
          <w:szCs w:val="16"/>
        </w:rPr>
        <w:fldChar w:fldCharType="end"/>
      </w:r>
    </w:p>
  </w:footnote>
  <w:footnote w:id="130">
    <w:p w14:paraId="114B7FB8" w14:textId="1EF24543" w:rsidR="00C04C78" w:rsidRDefault="00C04C78" w:rsidP="000465A4">
      <w:pPr>
        <w:pStyle w:val="FootnoteText"/>
        <w:jc w:val="both"/>
      </w:pPr>
      <w:r w:rsidRPr="000465A4">
        <w:rPr>
          <w:rStyle w:val="FootnoteReference"/>
          <w:rFonts w:ascii="Book Antiqua" w:hAnsi="Book Antiqua"/>
          <w:sz w:val="16"/>
          <w:szCs w:val="16"/>
        </w:rPr>
        <w:footnoteRef/>
      </w:r>
      <w:r w:rsidRPr="000465A4">
        <w:rPr>
          <w:rFonts w:ascii="Book Antiqua" w:hAnsi="Book Antiqua"/>
          <w:sz w:val="16"/>
          <w:szCs w:val="16"/>
        </w:rPr>
        <w:t xml:space="preserve"> </w:t>
      </w:r>
      <w:r w:rsidRPr="000465A4">
        <w:rPr>
          <w:rFonts w:ascii="Book Antiqua" w:hAnsi="Book Antiqua"/>
          <w:sz w:val="16"/>
          <w:szCs w:val="16"/>
        </w:rPr>
        <w:fldChar w:fldCharType="begin" w:fldLock="1"/>
      </w:r>
      <w:r w:rsidR="002C142A">
        <w:rPr>
          <w:rFonts w:ascii="Book Antiqua" w:hAnsi="Book Antiqua"/>
          <w:sz w:val="16"/>
          <w:szCs w:val="16"/>
        </w:rPr>
        <w:instrText>ADDIN CSL_CITATION {"citationItems":[{"id":"ITEM-1","itemData":{"DOI":"10.28946/rpt.v10i2.1432","abstract":"Hak cipta merupakan hak eksklusif pencipta yang timbul secara otomatis berdasarkan prinsip deklaratif. Sebagai salah satu bagian dari Hak Kekayaan Intelektual yang memiliki ruang lingkup objek yang dilindungi paling luas, hak cipta berperan besar dalam perkembangan ekonomi kreatif di Indonesia. Akan tetapi, terdapat permasalahan dalam peraturan hak cipta di Indonesia, yaitu pada Undang-Undang Nomor 28 Tahun 2014 Tentang Hak Cipta. Permasalahan yang dimaksud terdapat pada Pasal 95 ayat 1, norma pada pasal tersebut tidak tepat karena bersifat “mengatur” (aanfullen) dengan ditandai kata “dapat”, sementara norma pada Pasal 95 ayat 4 bersifat “memaksa” (dwingen) dengan ditandai kata “harus”, ketidakseimbangan tersebut mengakibatkan belum mengikatnya Alternatif Dispute Resolution (ADR) atau Alternatif Penyelesaian Sengketa dan menjadi penyebab timbulnya ketidakpastian hukum penyelesaian sengketa pelanggaran hak cipta. Berangkat dari hal tersebut, maka penelitian ini memiliki tujuan untuk menentukan upaya yang tepat untuk mengatasi permasalahan dan dasar atau faktor pendukung dilakukannya upaya tersebut. Selain tujuan penelitian, penelitian ini juga memiliki kegunaan yang terdiri atas kegunaan teoritis dan praktis. Terkait metode penelitian, metode pendekatan yang diterapkan adalah yuridis normative. Kemudian spesifikasi penelitian ini bersifat deskriptif analitis. Terkait data, teknik pengumpulan yang diterapkan adalah studi dokumen dan metode analisis yang diterapkan adalah normatif kualitatif. Hasil dari penelitian adalah berdasarkan asas kepastian hukum, asas peradilan sederhana, cepat, biaya ringan, teori hukum pembangunan, teori negara kesejahteraan dan teori economic analysis of law, upaya yang tepat dilakukan untuk mengatasi permasalahan dalam penelitian ini adalah mengubah sifat norma pada Pasal 95 Ayat 1, dengan mewajibkan melakukan mediasi sebelum melakukan gugatan ganti rugi perdata dalam sengketa hak cipta","author":[{"dropping-particle":"","family":"Mayesha Andriana Yasmine, U. Sudjana","given":"Muhamad Amirulloh","non-dropping-particle":"","parse-names":false,"suffix":""}],"container-title":"Repertorium: Jurnal Ilmiah Hukum Kenotariatan","id":"ITEM-1","issue":"2","issued":{"date-parts":[["2021"]]},"page":"157-172","title":"Kewajiban Mediasi Sebelum Gugatan Ganti Rugi Perdata Atas Pelanggaran Hak Cipta Di Indonesia","type":"article-journal","volume":"10"},"uris":["http://www.mendeley.com/documents/?uuid=6f99092a-6bf0-443b-98a9-4f9268f74d90"]}],"mendeley":{"formattedCitation":"Mayesha Andriana Yasmine, U. Sudjana, “Kewajiban Mediasi Sebelum Gugatan Ganti Rugi Perdata Atas Pelanggaran Hak Cipta Di Indonesia.”","plainTextFormattedCitation":"Mayesha Andriana Yasmine, U. Sudjana, “Kewajiban Mediasi Sebelum Gugatan Ganti Rugi Perdata Atas Pelanggaran Hak Cipta Di Indonesia.”","previouslyFormattedCitation":"Mayesha Andriana Yasmine, U. Sudjana, “Kewajiban Mediasi Sebelum Gugatan Ganti Rugi Perdata Atas Pelanggaran Hak Cipta Di Indonesia.”"},"properties":{"noteIndex":130},"schema":"https://github.com/citation-style-language/schema/raw/master/csl-citation.json"}</w:instrText>
      </w:r>
      <w:r w:rsidRPr="000465A4">
        <w:rPr>
          <w:rFonts w:ascii="Book Antiqua" w:hAnsi="Book Antiqua"/>
          <w:sz w:val="16"/>
          <w:szCs w:val="16"/>
        </w:rPr>
        <w:fldChar w:fldCharType="separate"/>
      </w:r>
      <w:r w:rsidRPr="008E7CFB">
        <w:rPr>
          <w:rFonts w:ascii="Book Antiqua" w:hAnsi="Book Antiqua"/>
          <w:noProof/>
          <w:sz w:val="16"/>
          <w:szCs w:val="16"/>
        </w:rPr>
        <w:t>Mayesha Andriana Yasmine, U. Sudjana, “Kewajiban Mediasi Sebelum Gugatan Ganti Rugi Perdata Atas Pelanggaran Hak Cipta Di Indonesia.”</w:t>
      </w:r>
      <w:r w:rsidRPr="000465A4">
        <w:rPr>
          <w:rFonts w:ascii="Book Antiqua" w:hAnsi="Book Antiqua"/>
          <w:sz w:val="16"/>
          <w:szCs w:val="16"/>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1CC49" w14:textId="77777777" w:rsidR="00C04C78" w:rsidRPr="00285C8E" w:rsidRDefault="00C04C78" w:rsidP="00285C8E">
    <w:pPr>
      <w:pStyle w:val="Header"/>
      <w:rPr>
        <w:rFonts w:ascii="Edwardian Script ITC" w:hAnsi="Edwardian Script ITC"/>
        <w:color w:val="000000" w:themeColor="text1"/>
        <w:sz w:val="56"/>
        <w:lang w:val="id-ID"/>
        <w14:textOutline w14:w="9525" w14:cap="rnd" w14:cmpd="sng" w14:algn="ctr">
          <w14:solidFill>
            <w14:schemeClr w14:val="tx1"/>
          </w14:solidFill>
          <w14:prstDash w14:val="solid"/>
          <w14:bevel/>
        </w14:textOutline>
      </w:rPr>
    </w:pPr>
    <w:bookmarkStart w:id="4" w:name="_Hlk490921290"/>
    <w:bookmarkStart w:id="5" w:name="_Hlk490921291"/>
    <w:bookmarkStart w:id="6" w:name="_Hlk490921292"/>
  </w:p>
  <w:p w14:paraId="4246EE87" w14:textId="77777777" w:rsidR="00C04C78" w:rsidRDefault="00C04C78" w:rsidP="00AF20D0">
    <w:pPr>
      <w:pStyle w:val="Header"/>
      <w:tabs>
        <w:tab w:val="clear" w:pos="9360"/>
      </w:tabs>
      <w:jc w:val="right"/>
      <w:rPr>
        <w:rFonts w:ascii="Book Antiqua" w:hAnsi="Book Antiqua" w:cstheme="majorHAnsi"/>
        <w:color w:val="000000" w:themeColor="text1"/>
        <w:sz w:val="20"/>
        <w:szCs w:val="20"/>
      </w:rPr>
    </w:pPr>
  </w:p>
  <w:bookmarkEnd w:id="4"/>
  <w:bookmarkEnd w:id="5"/>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6.3pt;height:14.25pt;visibility:visible" o:bullet="t">
        <v:imagedata r:id="rId1" o:title="1200px-DOI_logo"/>
      </v:shape>
    </w:pict>
  </w:numPicBullet>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15:restartNumberingAfterBreak="0">
    <w:nsid w:val="0909498D"/>
    <w:multiLevelType w:val="multilevel"/>
    <w:tmpl w:val="13CA7ACA"/>
    <w:lvl w:ilvl="0">
      <w:start w:val="1"/>
      <w:numFmt w:val="decimal"/>
      <w:lvlText w:val="%1."/>
      <w:lvlJc w:val="left"/>
      <w:pPr>
        <w:ind w:left="720" w:hanging="360"/>
      </w:pPr>
      <w:rPr>
        <w:color w:val="4472C4" w:themeColor="accent1"/>
        <w:sz w:val="24"/>
      </w:rPr>
    </w:lvl>
    <w:lvl w:ilvl="1">
      <w:start w:val="1"/>
      <w:numFmt w:val="upperLetter"/>
      <w:lvlText w:val="%2."/>
      <w:lvlJc w:val="left"/>
      <w:pPr>
        <w:ind w:left="720" w:hanging="360"/>
      </w:pPr>
      <w:rPr>
        <w:rFonts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1"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5"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16"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7"/>
  </w:num>
  <w:num w:numId="4">
    <w:abstractNumId w:val="10"/>
  </w:num>
  <w:num w:numId="5">
    <w:abstractNumId w:val="15"/>
  </w:num>
  <w:num w:numId="6">
    <w:abstractNumId w:val="0"/>
  </w:num>
  <w:num w:numId="7">
    <w:abstractNumId w:val="4"/>
  </w:num>
  <w:num w:numId="8">
    <w:abstractNumId w:val="3"/>
  </w:num>
  <w:num w:numId="9">
    <w:abstractNumId w:val="2"/>
  </w:num>
  <w:num w:numId="10">
    <w:abstractNumId w:val="1"/>
  </w:num>
  <w:num w:numId="11">
    <w:abstractNumId w:val="6"/>
  </w:num>
  <w:num w:numId="12">
    <w:abstractNumId w:val="11"/>
  </w:num>
  <w:num w:numId="13">
    <w:abstractNumId w:val="17"/>
  </w:num>
  <w:num w:numId="14">
    <w:abstractNumId w:val="16"/>
  </w:num>
  <w:num w:numId="15">
    <w:abstractNumId w:val="9"/>
  </w:num>
  <w:num w:numId="16">
    <w:abstractNumId w:val="12"/>
  </w:num>
  <w:num w:numId="17">
    <w:abstractNumId w:val="5"/>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73"/>
    <w:rsid w:val="000011ED"/>
    <w:rsid w:val="000020DD"/>
    <w:rsid w:val="00003122"/>
    <w:rsid w:val="00003C43"/>
    <w:rsid w:val="00005A2E"/>
    <w:rsid w:val="00010A71"/>
    <w:rsid w:val="0001120B"/>
    <w:rsid w:val="00012AF6"/>
    <w:rsid w:val="00013A6D"/>
    <w:rsid w:val="00014A2C"/>
    <w:rsid w:val="00014DC2"/>
    <w:rsid w:val="00022DE2"/>
    <w:rsid w:val="00022FB0"/>
    <w:rsid w:val="00023880"/>
    <w:rsid w:val="00023DA6"/>
    <w:rsid w:val="00034068"/>
    <w:rsid w:val="00035FBA"/>
    <w:rsid w:val="00043450"/>
    <w:rsid w:val="00044116"/>
    <w:rsid w:val="000465A4"/>
    <w:rsid w:val="00046A90"/>
    <w:rsid w:val="00046AF5"/>
    <w:rsid w:val="00050546"/>
    <w:rsid w:val="0005128B"/>
    <w:rsid w:val="00052E06"/>
    <w:rsid w:val="00054FC1"/>
    <w:rsid w:val="000554A5"/>
    <w:rsid w:val="00063C82"/>
    <w:rsid w:val="000715EA"/>
    <w:rsid w:val="00071939"/>
    <w:rsid w:val="00075808"/>
    <w:rsid w:val="000775E8"/>
    <w:rsid w:val="000811D2"/>
    <w:rsid w:val="000822BD"/>
    <w:rsid w:val="00087026"/>
    <w:rsid w:val="00087494"/>
    <w:rsid w:val="00087E31"/>
    <w:rsid w:val="0009619F"/>
    <w:rsid w:val="00096CA5"/>
    <w:rsid w:val="0009788A"/>
    <w:rsid w:val="000A05AE"/>
    <w:rsid w:val="000A091C"/>
    <w:rsid w:val="000A5878"/>
    <w:rsid w:val="000B09AB"/>
    <w:rsid w:val="000B14BF"/>
    <w:rsid w:val="000B1CE8"/>
    <w:rsid w:val="000B3752"/>
    <w:rsid w:val="000B5F04"/>
    <w:rsid w:val="000C1F55"/>
    <w:rsid w:val="000C4BFC"/>
    <w:rsid w:val="000C5F58"/>
    <w:rsid w:val="000C62F7"/>
    <w:rsid w:val="000D11E9"/>
    <w:rsid w:val="000D29BA"/>
    <w:rsid w:val="000D41BE"/>
    <w:rsid w:val="000D479C"/>
    <w:rsid w:val="000D6448"/>
    <w:rsid w:val="000D6659"/>
    <w:rsid w:val="000E004E"/>
    <w:rsid w:val="000E018D"/>
    <w:rsid w:val="000E6211"/>
    <w:rsid w:val="000E6D81"/>
    <w:rsid w:val="000F0CE3"/>
    <w:rsid w:val="000F3B4F"/>
    <w:rsid w:val="000F4488"/>
    <w:rsid w:val="000F7008"/>
    <w:rsid w:val="000F7C1D"/>
    <w:rsid w:val="000F7C86"/>
    <w:rsid w:val="001049C6"/>
    <w:rsid w:val="0010657E"/>
    <w:rsid w:val="0010788E"/>
    <w:rsid w:val="001161B0"/>
    <w:rsid w:val="00116CDD"/>
    <w:rsid w:val="00122954"/>
    <w:rsid w:val="00122A05"/>
    <w:rsid w:val="00123CDB"/>
    <w:rsid w:val="001242D9"/>
    <w:rsid w:val="00124D8C"/>
    <w:rsid w:val="00127431"/>
    <w:rsid w:val="001300B6"/>
    <w:rsid w:val="00136A1D"/>
    <w:rsid w:val="00141AEB"/>
    <w:rsid w:val="00141B61"/>
    <w:rsid w:val="001434BF"/>
    <w:rsid w:val="0014772F"/>
    <w:rsid w:val="001520B9"/>
    <w:rsid w:val="001539AC"/>
    <w:rsid w:val="00156465"/>
    <w:rsid w:val="0016095E"/>
    <w:rsid w:val="001610A2"/>
    <w:rsid w:val="001610CC"/>
    <w:rsid w:val="00162C52"/>
    <w:rsid w:val="001678DD"/>
    <w:rsid w:val="00167CC3"/>
    <w:rsid w:val="00170C86"/>
    <w:rsid w:val="00170E34"/>
    <w:rsid w:val="001720AE"/>
    <w:rsid w:val="0017260C"/>
    <w:rsid w:val="0017513F"/>
    <w:rsid w:val="0017598E"/>
    <w:rsid w:val="00176767"/>
    <w:rsid w:val="00177044"/>
    <w:rsid w:val="00182585"/>
    <w:rsid w:val="00183CF8"/>
    <w:rsid w:val="00183EBA"/>
    <w:rsid w:val="00184949"/>
    <w:rsid w:val="00185CD9"/>
    <w:rsid w:val="001862CD"/>
    <w:rsid w:val="00194119"/>
    <w:rsid w:val="00194F4B"/>
    <w:rsid w:val="001A42EB"/>
    <w:rsid w:val="001A55CA"/>
    <w:rsid w:val="001A5B3C"/>
    <w:rsid w:val="001A6431"/>
    <w:rsid w:val="001A6FE1"/>
    <w:rsid w:val="001B027D"/>
    <w:rsid w:val="001B16F3"/>
    <w:rsid w:val="001B212E"/>
    <w:rsid w:val="001B31EE"/>
    <w:rsid w:val="001B3CF0"/>
    <w:rsid w:val="001B4FFE"/>
    <w:rsid w:val="001B7BE7"/>
    <w:rsid w:val="001C13EC"/>
    <w:rsid w:val="001C1A59"/>
    <w:rsid w:val="001C2D0B"/>
    <w:rsid w:val="001C522A"/>
    <w:rsid w:val="001D02FB"/>
    <w:rsid w:val="001D201E"/>
    <w:rsid w:val="001D204F"/>
    <w:rsid w:val="001E0B40"/>
    <w:rsid w:val="001F2BA3"/>
    <w:rsid w:val="001F73E9"/>
    <w:rsid w:val="00200DA7"/>
    <w:rsid w:val="00201A60"/>
    <w:rsid w:val="00201A6E"/>
    <w:rsid w:val="002022E7"/>
    <w:rsid w:val="00203F76"/>
    <w:rsid w:val="00204D8C"/>
    <w:rsid w:val="0020773C"/>
    <w:rsid w:val="002119FE"/>
    <w:rsid w:val="00213935"/>
    <w:rsid w:val="00215AA9"/>
    <w:rsid w:val="00217DDE"/>
    <w:rsid w:val="00222ABB"/>
    <w:rsid w:val="0022358B"/>
    <w:rsid w:val="00223602"/>
    <w:rsid w:val="00224611"/>
    <w:rsid w:val="0023165A"/>
    <w:rsid w:val="002336C4"/>
    <w:rsid w:val="00240054"/>
    <w:rsid w:val="00244694"/>
    <w:rsid w:val="00247B6A"/>
    <w:rsid w:val="0025070C"/>
    <w:rsid w:val="00250FA2"/>
    <w:rsid w:val="00251F9C"/>
    <w:rsid w:val="00256527"/>
    <w:rsid w:val="0025739B"/>
    <w:rsid w:val="002611C9"/>
    <w:rsid w:val="002626D2"/>
    <w:rsid w:val="00263660"/>
    <w:rsid w:val="0026676C"/>
    <w:rsid w:val="00270CF1"/>
    <w:rsid w:val="002724AA"/>
    <w:rsid w:val="002748AA"/>
    <w:rsid w:val="0028034C"/>
    <w:rsid w:val="002810B7"/>
    <w:rsid w:val="00284DA6"/>
    <w:rsid w:val="00285C8E"/>
    <w:rsid w:val="00286846"/>
    <w:rsid w:val="002903F0"/>
    <w:rsid w:val="00292640"/>
    <w:rsid w:val="00292DF3"/>
    <w:rsid w:val="00293E6A"/>
    <w:rsid w:val="0029509B"/>
    <w:rsid w:val="00297E00"/>
    <w:rsid w:val="002A0E6C"/>
    <w:rsid w:val="002B0C1A"/>
    <w:rsid w:val="002B6553"/>
    <w:rsid w:val="002B6B96"/>
    <w:rsid w:val="002C01AB"/>
    <w:rsid w:val="002C02F0"/>
    <w:rsid w:val="002C09E4"/>
    <w:rsid w:val="002C142A"/>
    <w:rsid w:val="002C3A2A"/>
    <w:rsid w:val="002C65DB"/>
    <w:rsid w:val="002D24C0"/>
    <w:rsid w:val="002D252C"/>
    <w:rsid w:val="002D3772"/>
    <w:rsid w:val="002D6A51"/>
    <w:rsid w:val="002E2156"/>
    <w:rsid w:val="002E2A34"/>
    <w:rsid w:val="002E4144"/>
    <w:rsid w:val="002E41B4"/>
    <w:rsid w:val="002E4C0E"/>
    <w:rsid w:val="002E5733"/>
    <w:rsid w:val="002F15D6"/>
    <w:rsid w:val="002F2A28"/>
    <w:rsid w:val="002F4EAC"/>
    <w:rsid w:val="002F5894"/>
    <w:rsid w:val="002F7873"/>
    <w:rsid w:val="003002C8"/>
    <w:rsid w:val="003023F8"/>
    <w:rsid w:val="003028A1"/>
    <w:rsid w:val="00302AAA"/>
    <w:rsid w:val="00303BA8"/>
    <w:rsid w:val="003045DD"/>
    <w:rsid w:val="003045E4"/>
    <w:rsid w:val="00307758"/>
    <w:rsid w:val="00311B81"/>
    <w:rsid w:val="0031227B"/>
    <w:rsid w:val="00315373"/>
    <w:rsid w:val="00315F91"/>
    <w:rsid w:val="00322CC7"/>
    <w:rsid w:val="00323A6E"/>
    <w:rsid w:val="00325946"/>
    <w:rsid w:val="0032739E"/>
    <w:rsid w:val="003317B7"/>
    <w:rsid w:val="00332B9B"/>
    <w:rsid w:val="00332D4B"/>
    <w:rsid w:val="00334F9D"/>
    <w:rsid w:val="00335E88"/>
    <w:rsid w:val="00336B01"/>
    <w:rsid w:val="00337296"/>
    <w:rsid w:val="0033762A"/>
    <w:rsid w:val="00337CB5"/>
    <w:rsid w:val="0034063C"/>
    <w:rsid w:val="00342C78"/>
    <w:rsid w:val="00343DD7"/>
    <w:rsid w:val="00343F50"/>
    <w:rsid w:val="0034471B"/>
    <w:rsid w:val="00351324"/>
    <w:rsid w:val="003524C7"/>
    <w:rsid w:val="00352698"/>
    <w:rsid w:val="0035446F"/>
    <w:rsid w:val="0035562C"/>
    <w:rsid w:val="0035619F"/>
    <w:rsid w:val="00363A61"/>
    <w:rsid w:val="0036504F"/>
    <w:rsid w:val="00365692"/>
    <w:rsid w:val="00365E13"/>
    <w:rsid w:val="00367A11"/>
    <w:rsid w:val="00367A20"/>
    <w:rsid w:val="00374F43"/>
    <w:rsid w:val="00375FE4"/>
    <w:rsid w:val="00381694"/>
    <w:rsid w:val="0038182B"/>
    <w:rsid w:val="00381D74"/>
    <w:rsid w:val="0038264A"/>
    <w:rsid w:val="003836F1"/>
    <w:rsid w:val="003844F8"/>
    <w:rsid w:val="00384A23"/>
    <w:rsid w:val="00385250"/>
    <w:rsid w:val="00385623"/>
    <w:rsid w:val="00385B3D"/>
    <w:rsid w:val="00385BD1"/>
    <w:rsid w:val="00394924"/>
    <w:rsid w:val="003962B0"/>
    <w:rsid w:val="003A0113"/>
    <w:rsid w:val="003A0FB5"/>
    <w:rsid w:val="003A2F07"/>
    <w:rsid w:val="003A57FF"/>
    <w:rsid w:val="003A7091"/>
    <w:rsid w:val="003B3B74"/>
    <w:rsid w:val="003B5D5F"/>
    <w:rsid w:val="003B6B36"/>
    <w:rsid w:val="003B7F17"/>
    <w:rsid w:val="003C2C91"/>
    <w:rsid w:val="003C34DF"/>
    <w:rsid w:val="003C532A"/>
    <w:rsid w:val="003C6CE2"/>
    <w:rsid w:val="003C6E0F"/>
    <w:rsid w:val="003D1CB2"/>
    <w:rsid w:val="003D2586"/>
    <w:rsid w:val="003D3F19"/>
    <w:rsid w:val="003D70E2"/>
    <w:rsid w:val="003E1887"/>
    <w:rsid w:val="003E30F8"/>
    <w:rsid w:val="003E5D47"/>
    <w:rsid w:val="003E62C7"/>
    <w:rsid w:val="003F1A9E"/>
    <w:rsid w:val="003F1E5D"/>
    <w:rsid w:val="003F35CB"/>
    <w:rsid w:val="003F3EE6"/>
    <w:rsid w:val="003F5B2D"/>
    <w:rsid w:val="003F7BC2"/>
    <w:rsid w:val="0040054B"/>
    <w:rsid w:val="0040055E"/>
    <w:rsid w:val="004021A6"/>
    <w:rsid w:val="00405FC2"/>
    <w:rsid w:val="00406AC6"/>
    <w:rsid w:val="00410C32"/>
    <w:rsid w:val="00410D7C"/>
    <w:rsid w:val="00411302"/>
    <w:rsid w:val="0041449D"/>
    <w:rsid w:val="00414A05"/>
    <w:rsid w:val="00417412"/>
    <w:rsid w:val="00420F09"/>
    <w:rsid w:val="004218C6"/>
    <w:rsid w:val="00424F59"/>
    <w:rsid w:val="004254E6"/>
    <w:rsid w:val="004269FF"/>
    <w:rsid w:val="00426A11"/>
    <w:rsid w:val="00427196"/>
    <w:rsid w:val="0042782F"/>
    <w:rsid w:val="004304E3"/>
    <w:rsid w:val="004344BE"/>
    <w:rsid w:val="004369F4"/>
    <w:rsid w:val="00440F28"/>
    <w:rsid w:val="00446AFC"/>
    <w:rsid w:val="00450DBC"/>
    <w:rsid w:val="0045607A"/>
    <w:rsid w:val="0046034D"/>
    <w:rsid w:val="00461F3D"/>
    <w:rsid w:val="00465420"/>
    <w:rsid w:val="00465841"/>
    <w:rsid w:val="00473181"/>
    <w:rsid w:val="0047374A"/>
    <w:rsid w:val="0047619A"/>
    <w:rsid w:val="00481BDC"/>
    <w:rsid w:val="004823D9"/>
    <w:rsid w:val="0048351B"/>
    <w:rsid w:val="00484414"/>
    <w:rsid w:val="00484C66"/>
    <w:rsid w:val="00487496"/>
    <w:rsid w:val="0048786B"/>
    <w:rsid w:val="00487FC8"/>
    <w:rsid w:val="004902FB"/>
    <w:rsid w:val="0049312A"/>
    <w:rsid w:val="004960B9"/>
    <w:rsid w:val="004A088C"/>
    <w:rsid w:val="004A0A02"/>
    <w:rsid w:val="004A273A"/>
    <w:rsid w:val="004A3361"/>
    <w:rsid w:val="004A66B4"/>
    <w:rsid w:val="004A74CE"/>
    <w:rsid w:val="004B0275"/>
    <w:rsid w:val="004B0527"/>
    <w:rsid w:val="004B0D01"/>
    <w:rsid w:val="004B1F20"/>
    <w:rsid w:val="004B3AE2"/>
    <w:rsid w:val="004B420B"/>
    <w:rsid w:val="004B6E3C"/>
    <w:rsid w:val="004C1521"/>
    <w:rsid w:val="004C1DE7"/>
    <w:rsid w:val="004C26B9"/>
    <w:rsid w:val="004D0B7B"/>
    <w:rsid w:val="004D3400"/>
    <w:rsid w:val="004D5479"/>
    <w:rsid w:val="004D5C42"/>
    <w:rsid w:val="004D6FAE"/>
    <w:rsid w:val="004E2BF3"/>
    <w:rsid w:val="004E3A58"/>
    <w:rsid w:val="004E54C2"/>
    <w:rsid w:val="00501798"/>
    <w:rsid w:val="0050336D"/>
    <w:rsid w:val="00503FAE"/>
    <w:rsid w:val="005105AC"/>
    <w:rsid w:val="00521EA6"/>
    <w:rsid w:val="005242C5"/>
    <w:rsid w:val="00526541"/>
    <w:rsid w:val="005270E6"/>
    <w:rsid w:val="00531CD1"/>
    <w:rsid w:val="0053356F"/>
    <w:rsid w:val="00540614"/>
    <w:rsid w:val="005425A6"/>
    <w:rsid w:val="00544531"/>
    <w:rsid w:val="005456C3"/>
    <w:rsid w:val="005458E3"/>
    <w:rsid w:val="00552D17"/>
    <w:rsid w:val="005569BB"/>
    <w:rsid w:val="00560BF3"/>
    <w:rsid w:val="00560E6D"/>
    <w:rsid w:val="005635CE"/>
    <w:rsid w:val="00566C4D"/>
    <w:rsid w:val="00567F9E"/>
    <w:rsid w:val="00570E3D"/>
    <w:rsid w:val="005767DA"/>
    <w:rsid w:val="00576E8E"/>
    <w:rsid w:val="0058396B"/>
    <w:rsid w:val="0058474D"/>
    <w:rsid w:val="00585EE9"/>
    <w:rsid w:val="005878E8"/>
    <w:rsid w:val="00591987"/>
    <w:rsid w:val="00591AE2"/>
    <w:rsid w:val="00594198"/>
    <w:rsid w:val="005958CF"/>
    <w:rsid w:val="00597B07"/>
    <w:rsid w:val="005A08C9"/>
    <w:rsid w:val="005A3EB2"/>
    <w:rsid w:val="005A5D9F"/>
    <w:rsid w:val="005A6549"/>
    <w:rsid w:val="005B7C97"/>
    <w:rsid w:val="005C5C9C"/>
    <w:rsid w:val="005D205A"/>
    <w:rsid w:val="005D316F"/>
    <w:rsid w:val="005D6A36"/>
    <w:rsid w:val="005E1953"/>
    <w:rsid w:val="005E201B"/>
    <w:rsid w:val="005E4573"/>
    <w:rsid w:val="005E53BC"/>
    <w:rsid w:val="005F0112"/>
    <w:rsid w:val="005F2A78"/>
    <w:rsid w:val="005F5543"/>
    <w:rsid w:val="005F6C3A"/>
    <w:rsid w:val="00600021"/>
    <w:rsid w:val="00601209"/>
    <w:rsid w:val="00602006"/>
    <w:rsid w:val="0060246F"/>
    <w:rsid w:val="00606089"/>
    <w:rsid w:val="00606EC3"/>
    <w:rsid w:val="0061194F"/>
    <w:rsid w:val="00613371"/>
    <w:rsid w:val="00613923"/>
    <w:rsid w:val="00613B80"/>
    <w:rsid w:val="00614DFD"/>
    <w:rsid w:val="00620ABC"/>
    <w:rsid w:val="00621958"/>
    <w:rsid w:val="0062202D"/>
    <w:rsid w:val="00622843"/>
    <w:rsid w:val="00622AEE"/>
    <w:rsid w:val="00624D16"/>
    <w:rsid w:val="0063023C"/>
    <w:rsid w:val="00630AD4"/>
    <w:rsid w:val="00636FF5"/>
    <w:rsid w:val="00637392"/>
    <w:rsid w:val="00643BF3"/>
    <w:rsid w:val="0064416D"/>
    <w:rsid w:val="00645A53"/>
    <w:rsid w:val="00645A5E"/>
    <w:rsid w:val="006506F8"/>
    <w:rsid w:val="006520AB"/>
    <w:rsid w:val="006527AF"/>
    <w:rsid w:val="00654158"/>
    <w:rsid w:val="00655D40"/>
    <w:rsid w:val="006629B3"/>
    <w:rsid w:val="00663DC7"/>
    <w:rsid w:val="00667E24"/>
    <w:rsid w:val="0067716A"/>
    <w:rsid w:val="0067723F"/>
    <w:rsid w:val="006804A0"/>
    <w:rsid w:val="00680AA0"/>
    <w:rsid w:val="00683BB0"/>
    <w:rsid w:val="00685074"/>
    <w:rsid w:val="00692FAC"/>
    <w:rsid w:val="00693A54"/>
    <w:rsid w:val="006940A8"/>
    <w:rsid w:val="00694633"/>
    <w:rsid w:val="006A3BAE"/>
    <w:rsid w:val="006A4B4C"/>
    <w:rsid w:val="006A4B9B"/>
    <w:rsid w:val="006A5313"/>
    <w:rsid w:val="006A639D"/>
    <w:rsid w:val="006A66E6"/>
    <w:rsid w:val="006A7CFB"/>
    <w:rsid w:val="006B11D6"/>
    <w:rsid w:val="006B5E6A"/>
    <w:rsid w:val="006B7DF4"/>
    <w:rsid w:val="006C28BB"/>
    <w:rsid w:val="006C41A2"/>
    <w:rsid w:val="006C4CB2"/>
    <w:rsid w:val="006C56C8"/>
    <w:rsid w:val="006D0D57"/>
    <w:rsid w:val="006D0F3F"/>
    <w:rsid w:val="006D2787"/>
    <w:rsid w:val="006D2FAF"/>
    <w:rsid w:val="006D3AF0"/>
    <w:rsid w:val="006D5AB1"/>
    <w:rsid w:val="006D73FC"/>
    <w:rsid w:val="006E0F53"/>
    <w:rsid w:val="006E4145"/>
    <w:rsid w:val="006E4CA1"/>
    <w:rsid w:val="006E5E1E"/>
    <w:rsid w:val="006E6514"/>
    <w:rsid w:val="006E718A"/>
    <w:rsid w:val="006E71ED"/>
    <w:rsid w:val="006E7988"/>
    <w:rsid w:val="006F24E2"/>
    <w:rsid w:val="0070047B"/>
    <w:rsid w:val="00702E17"/>
    <w:rsid w:val="00705CA5"/>
    <w:rsid w:val="00711BA6"/>
    <w:rsid w:val="00713165"/>
    <w:rsid w:val="0071563E"/>
    <w:rsid w:val="0071604D"/>
    <w:rsid w:val="00716F9B"/>
    <w:rsid w:val="00717018"/>
    <w:rsid w:val="00717391"/>
    <w:rsid w:val="00723814"/>
    <w:rsid w:val="00723FF8"/>
    <w:rsid w:val="00725920"/>
    <w:rsid w:val="00726EE8"/>
    <w:rsid w:val="0072728E"/>
    <w:rsid w:val="00727419"/>
    <w:rsid w:val="00730927"/>
    <w:rsid w:val="00731E51"/>
    <w:rsid w:val="007326F3"/>
    <w:rsid w:val="00740136"/>
    <w:rsid w:val="0074339B"/>
    <w:rsid w:val="00744E49"/>
    <w:rsid w:val="00746761"/>
    <w:rsid w:val="00752701"/>
    <w:rsid w:val="0075342D"/>
    <w:rsid w:val="0075523B"/>
    <w:rsid w:val="007553F0"/>
    <w:rsid w:val="00756DB1"/>
    <w:rsid w:val="00763315"/>
    <w:rsid w:val="00764503"/>
    <w:rsid w:val="00767FE4"/>
    <w:rsid w:val="00770387"/>
    <w:rsid w:val="00770909"/>
    <w:rsid w:val="007746A5"/>
    <w:rsid w:val="007757D4"/>
    <w:rsid w:val="007811FE"/>
    <w:rsid w:val="00782257"/>
    <w:rsid w:val="00783571"/>
    <w:rsid w:val="007855DD"/>
    <w:rsid w:val="00786355"/>
    <w:rsid w:val="007872A9"/>
    <w:rsid w:val="00787978"/>
    <w:rsid w:val="00787E5C"/>
    <w:rsid w:val="00790CF1"/>
    <w:rsid w:val="0079118D"/>
    <w:rsid w:val="007916B7"/>
    <w:rsid w:val="00792095"/>
    <w:rsid w:val="007922F9"/>
    <w:rsid w:val="00793043"/>
    <w:rsid w:val="00796396"/>
    <w:rsid w:val="007A1886"/>
    <w:rsid w:val="007A5CA5"/>
    <w:rsid w:val="007B0722"/>
    <w:rsid w:val="007B2B10"/>
    <w:rsid w:val="007B2C6D"/>
    <w:rsid w:val="007B38C2"/>
    <w:rsid w:val="007B6169"/>
    <w:rsid w:val="007C128C"/>
    <w:rsid w:val="007C216D"/>
    <w:rsid w:val="007C24AB"/>
    <w:rsid w:val="007C3937"/>
    <w:rsid w:val="007C6644"/>
    <w:rsid w:val="007C70F8"/>
    <w:rsid w:val="007D0A06"/>
    <w:rsid w:val="007D17F8"/>
    <w:rsid w:val="007D23AE"/>
    <w:rsid w:val="007D45A1"/>
    <w:rsid w:val="007D5770"/>
    <w:rsid w:val="007E163D"/>
    <w:rsid w:val="007E78AA"/>
    <w:rsid w:val="007F0DA0"/>
    <w:rsid w:val="007F1550"/>
    <w:rsid w:val="007F3D52"/>
    <w:rsid w:val="007F3F12"/>
    <w:rsid w:val="007F5BFF"/>
    <w:rsid w:val="00803483"/>
    <w:rsid w:val="008045E5"/>
    <w:rsid w:val="00807993"/>
    <w:rsid w:val="00813270"/>
    <w:rsid w:val="0081346B"/>
    <w:rsid w:val="008134DE"/>
    <w:rsid w:val="008140D3"/>
    <w:rsid w:val="0081695B"/>
    <w:rsid w:val="00820216"/>
    <w:rsid w:val="00820BE9"/>
    <w:rsid w:val="00820DAF"/>
    <w:rsid w:val="008231E2"/>
    <w:rsid w:val="0083043E"/>
    <w:rsid w:val="008315D7"/>
    <w:rsid w:val="00832D3F"/>
    <w:rsid w:val="00837282"/>
    <w:rsid w:val="00840805"/>
    <w:rsid w:val="0084140D"/>
    <w:rsid w:val="00841C49"/>
    <w:rsid w:val="008425BD"/>
    <w:rsid w:val="00842A42"/>
    <w:rsid w:val="008445CA"/>
    <w:rsid w:val="008452E8"/>
    <w:rsid w:val="00846CB2"/>
    <w:rsid w:val="008472FB"/>
    <w:rsid w:val="00852F2E"/>
    <w:rsid w:val="00853D94"/>
    <w:rsid w:val="0085433C"/>
    <w:rsid w:val="0085517E"/>
    <w:rsid w:val="0085741A"/>
    <w:rsid w:val="008575B1"/>
    <w:rsid w:val="00862B71"/>
    <w:rsid w:val="00864789"/>
    <w:rsid w:val="0086548A"/>
    <w:rsid w:val="00865B56"/>
    <w:rsid w:val="00867951"/>
    <w:rsid w:val="00872E6D"/>
    <w:rsid w:val="00873B54"/>
    <w:rsid w:val="00881666"/>
    <w:rsid w:val="00882F6B"/>
    <w:rsid w:val="00884C1F"/>
    <w:rsid w:val="00886166"/>
    <w:rsid w:val="008936AE"/>
    <w:rsid w:val="00893C20"/>
    <w:rsid w:val="0089445D"/>
    <w:rsid w:val="008945DA"/>
    <w:rsid w:val="008949AD"/>
    <w:rsid w:val="0089533E"/>
    <w:rsid w:val="008A0E02"/>
    <w:rsid w:val="008A0EE2"/>
    <w:rsid w:val="008A35A3"/>
    <w:rsid w:val="008A673A"/>
    <w:rsid w:val="008B0476"/>
    <w:rsid w:val="008B27B9"/>
    <w:rsid w:val="008B3548"/>
    <w:rsid w:val="008B5150"/>
    <w:rsid w:val="008B55B8"/>
    <w:rsid w:val="008B6079"/>
    <w:rsid w:val="008C42E8"/>
    <w:rsid w:val="008D2F11"/>
    <w:rsid w:val="008D38CE"/>
    <w:rsid w:val="008E1A8D"/>
    <w:rsid w:val="008E1AF3"/>
    <w:rsid w:val="008E2523"/>
    <w:rsid w:val="008E26EE"/>
    <w:rsid w:val="008E4953"/>
    <w:rsid w:val="008E5645"/>
    <w:rsid w:val="008E6270"/>
    <w:rsid w:val="008E7385"/>
    <w:rsid w:val="008E7C43"/>
    <w:rsid w:val="008E7CFB"/>
    <w:rsid w:val="008F1860"/>
    <w:rsid w:val="008F2DE5"/>
    <w:rsid w:val="008F5045"/>
    <w:rsid w:val="008F593A"/>
    <w:rsid w:val="008F6AD8"/>
    <w:rsid w:val="008F7E8A"/>
    <w:rsid w:val="009001C8"/>
    <w:rsid w:val="00900C57"/>
    <w:rsid w:val="00900C78"/>
    <w:rsid w:val="00901322"/>
    <w:rsid w:val="009031F0"/>
    <w:rsid w:val="00903457"/>
    <w:rsid w:val="0090682F"/>
    <w:rsid w:val="00911ABD"/>
    <w:rsid w:val="00916825"/>
    <w:rsid w:val="00922C06"/>
    <w:rsid w:val="00923DF9"/>
    <w:rsid w:val="00923E68"/>
    <w:rsid w:val="00925A65"/>
    <w:rsid w:val="00925D4D"/>
    <w:rsid w:val="009276F2"/>
    <w:rsid w:val="00927804"/>
    <w:rsid w:val="00932498"/>
    <w:rsid w:val="0093276E"/>
    <w:rsid w:val="0093286C"/>
    <w:rsid w:val="00932B7F"/>
    <w:rsid w:val="00933F07"/>
    <w:rsid w:val="00934130"/>
    <w:rsid w:val="00934385"/>
    <w:rsid w:val="00935655"/>
    <w:rsid w:val="00946D79"/>
    <w:rsid w:val="009538EB"/>
    <w:rsid w:val="00953B88"/>
    <w:rsid w:val="00954C5B"/>
    <w:rsid w:val="00954CC1"/>
    <w:rsid w:val="00956178"/>
    <w:rsid w:val="00956651"/>
    <w:rsid w:val="009571F3"/>
    <w:rsid w:val="00960B18"/>
    <w:rsid w:val="00962DC6"/>
    <w:rsid w:val="009649F5"/>
    <w:rsid w:val="00965143"/>
    <w:rsid w:val="00970FA5"/>
    <w:rsid w:val="00971E13"/>
    <w:rsid w:val="00972AB1"/>
    <w:rsid w:val="00972E25"/>
    <w:rsid w:val="00973DF2"/>
    <w:rsid w:val="00975666"/>
    <w:rsid w:val="00981974"/>
    <w:rsid w:val="00983212"/>
    <w:rsid w:val="00983801"/>
    <w:rsid w:val="009840F8"/>
    <w:rsid w:val="00987674"/>
    <w:rsid w:val="00990023"/>
    <w:rsid w:val="009900A2"/>
    <w:rsid w:val="00991217"/>
    <w:rsid w:val="00994A9F"/>
    <w:rsid w:val="00996760"/>
    <w:rsid w:val="00997229"/>
    <w:rsid w:val="009A28E4"/>
    <w:rsid w:val="009A2E58"/>
    <w:rsid w:val="009A3BE0"/>
    <w:rsid w:val="009B07E0"/>
    <w:rsid w:val="009B0E19"/>
    <w:rsid w:val="009B313A"/>
    <w:rsid w:val="009B586D"/>
    <w:rsid w:val="009C00D6"/>
    <w:rsid w:val="009C15C7"/>
    <w:rsid w:val="009C4E0D"/>
    <w:rsid w:val="009C756F"/>
    <w:rsid w:val="009D187D"/>
    <w:rsid w:val="009D42B9"/>
    <w:rsid w:val="009D5489"/>
    <w:rsid w:val="009E1086"/>
    <w:rsid w:val="009E19B4"/>
    <w:rsid w:val="009E6FFA"/>
    <w:rsid w:val="009F25DA"/>
    <w:rsid w:val="009F4E05"/>
    <w:rsid w:val="009F589D"/>
    <w:rsid w:val="009F7559"/>
    <w:rsid w:val="00A00C6D"/>
    <w:rsid w:val="00A018D9"/>
    <w:rsid w:val="00A03C61"/>
    <w:rsid w:val="00A07F33"/>
    <w:rsid w:val="00A11458"/>
    <w:rsid w:val="00A12DDC"/>
    <w:rsid w:val="00A13D9B"/>
    <w:rsid w:val="00A15029"/>
    <w:rsid w:val="00A173A6"/>
    <w:rsid w:val="00A20BBB"/>
    <w:rsid w:val="00A2185A"/>
    <w:rsid w:val="00A30187"/>
    <w:rsid w:val="00A30694"/>
    <w:rsid w:val="00A338B7"/>
    <w:rsid w:val="00A341DC"/>
    <w:rsid w:val="00A34FD4"/>
    <w:rsid w:val="00A350E6"/>
    <w:rsid w:val="00A355A1"/>
    <w:rsid w:val="00A35CDB"/>
    <w:rsid w:val="00A4291B"/>
    <w:rsid w:val="00A5179E"/>
    <w:rsid w:val="00A557DB"/>
    <w:rsid w:val="00A57BBC"/>
    <w:rsid w:val="00A601F0"/>
    <w:rsid w:val="00A6167A"/>
    <w:rsid w:val="00A64982"/>
    <w:rsid w:val="00A6673E"/>
    <w:rsid w:val="00A6704F"/>
    <w:rsid w:val="00A70BF8"/>
    <w:rsid w:val="00A70EF8"/>
    <w:rsid w:val="00A72D58"/>
    <w:rsid w:val="00A81BFA"/>
    <w:rsid w:val="00A83268"/>
    <w:rsid w:val="00A84BDE"/>
    <w:rsid w:val="00A85FBA"/>
    <w:rsid w:val="00A93A6E"/>
    <w:rsid w:val="00A94285"/>
    <w:rsid w:val="00A946D2"/>
    <w:rsid w:val="00A947DF"/>
    <w:rsid w:val="00AA17B4"/>
    <w:rsid w:val="00AA1A42"/>
    <w:rsid w:val="00AA71C4"/>
    <w:rsid w:val="00AB192A"/>
    <w:rsid w:val="00AB395C"/>
    <w:rsid w:val="00AB3E19"/>
    <w:rsid w:val="00AB5D26"/>
    <w:rsid w:val="00AB6E89"/>
    <w:rsid w:val="00AC017F"/>
    <w:rsid w:val="00AC6163"/>
    <w:rsid w:val="00AC6E2E"/>
    <w:rsid w:val="00AC73C3"/>
    <w:rsid w:val="00AD6AB3"/>
    <w:rsid w:val="00AE0369"/>
    <w:rsid w:val="00AE06C7"/>
    <w:rsid w:val="00AE0A5E"/>
    <w:rsid w:val="00AE4065"/>
    <w:rsid w:val="00AE44B2"/>
    <w:rsid w:val="00AE491D"/>
    <w:rsid w:val="00AF1307"/>
    <w:rsid w:val="00AF20D0"/>
    <w:rsid w:val="00AF2E6D"/>
    <w:rsid w:val="00AF434B"/>
    <w:rsid w:val="00AF45B3"/>
    <w:rsid w:val="00AF4C7B"/>
    <w:rsid w:val="00B00767"/>
    <w:rsid w:val="00B01B42"/>
    <w:rsid w:val="00B03490"/>
    <w:rsid w:val="00B15D99"/>
    <w:rsid w:val="00B17867"/>
    <w:rsid w:val="00B20AE2"/>
    <w:rsid w:val="00B211FB"/>
    <w:rsid w:val="00B21C3D"/>
    <w:rsid w:val="00B27128"/>
    <w:rsid w:val="00B274DB"/>
    <w:rsid w:val="00B27A6A"/>
    <w:rsid w:val="00B310CC"/>
    <w:rsid w:val="00B31F1B"/>
    <w:rsid w:val="00B322EB"/>
    <w:rsid w:val="00B33F01"/>
    <w:rsid w:val="00B362F6"/>
    <w:rsid w:val="00B36F1C"/>
    <w:rsid w:val="00B41D4F"/>
    <w:rsid w:val="00B4626A"/>
    <w:rsid w:val="00B468F5"/>
    <w:rsid w:val="00B51127"/>
    <w:rsid w:val="00B51C6D"/>
    <w:rsid w:val="00B544EB"/>
    <w:rsid w:val="00B54585"/>
    <w:rsid w:val="00B550DD"/>
    <w:rsid w:val="00B55168"/>
    <w:rsid w:val="00B561E6"/>
    <w:rsid w:val="00B63600"/>
    <w:rsid w:val="00B66E85"/>
    <w:rsid w:val="00B67A09"/>
    <w:rsid w:val="00B70955"/>
    <w:rsid w:val="00B72BBC"/>
    <w:rsid w:val="00B73B77"/>
    <w:rsid w:val="00B7604B"/>
    <w:rsid w:val="00B763C9"/>
    <w:rsid w:val="00B76F87"/>
    <w:rsid w:val="00B81674"/>
    <w:rsid w:val="00B85B1E"/>
    <w:rsid w:val="00B85D95"/>
    <w:rsid w:val="00B85F52"/>
    <w:rsid w:val="00B940BC"/>
    <w:rsid w:val="00B96F32"/>
    <w:rsid w:val="00BA4CF3"/>
    <w:rsid w:val="00BA66CC"/>
    <w:rsid w:val="00BA6870"/>
    <w:rsid w:val="00BA7FA9"/>
    <w:rsid w:val="00BB5861"/>
    <w:rsid w:val="00BB77A0"/>
    <w:rsid w:val="00BC00C1"/>
    <w:rsid w:val="00BC1226"/>
    <w:rsid w:val="00BC38E7"/>
    <w:rsid w:val="00BC3AF0"/>
    <w:rsid w:val="00BC46E1"/>
    <w:rsid w:val="00BD26C0"/>
    <w:rsid w:val="00BE28F2"/>
    <w:rsid w:val="00BE3443"/>
    <w:rsid w:val="00BE6424"/>
    <w:rsid w:val="00BF12FC"/>
    <w:rsid w:val="00BF2181"/>
    <w:rsid w:val="00BF340E"/>
    <w:rsid w:val="00BF366D"/>
    <w:rsid w:val="00BF4739"/>
    <w:rsid w:val="00C04C78"/>
    <w:rsid w:val="00C0529B"/>
    <w:rsid w:val="00C05EEA"/>
    <w:rsid w:val="00C0667C"/>
    <w:rsid w:val="00C1367B"/>
    <w:rsid w:val="00C14BB6"/>
    <w:rsid w:val="00C20BBE"/>
    <w:rsid w:val="00C223DA"/>
    <w:rsid w:val="00C30873"/>
    <w:rsid w:val="00C308C1"/>
    <w:rsid w:val="00C319AD"/>
    <w:rsid w:val="00C33797"/>
    <w:rsid w:val="00C34485"/>
    <w:rsid w:val="00C358B6"/>
    <w:rsid w:val="00C37A21"/>
    <w:rsid w:val="00C37AC1"/>
    <w:rsid w:val="00C41EAD"/>
    <w:rsid w:val="00C43AB2"/>
    <w:rsid w:val="00C442B0"/>
    <w:rsid w:val="00C454C6"/>
    <w:rsid w:val="00C46CE8"/>
    <w:rsid w:val="00C50B71"/>
    <w:rsid w:val="00C50E91"/>
    <w:rsid w:val="00C527F5"/>
    <w:rsid w:val="00C55C46"/>
    <w:rsid w:val="00C578CC"/>
    <w:rsid w:val="00C6023D"/>
    <w:rsid w:val="00C61641"/>
    <w:rsid w:val="00C626DB"/>
    <w:rsid w:val="00C63891"/>
    <w:rsid w:val="00C63A86"/>
    <w:rsid w:val="00C64069"/>
    <w:rsid w:val="00C70E91"/>
    <w:rsid w:val="00C71B1D"/>
    <w:rsid w:val="00C72977"/>
    <w:rsid w:val="00C745B3"/>
    <w:rsid w:val="00C75911"/>
    <w:rsid w:val="00C76AB6"/>
    <w:rsid w:val="00C771EA"/>
    <w:rsid w:val="00C77B9B"/>
    <w:rsid w:val="00C848CC"/>
    <w:rsid w:val="00C85CDA"/>
    <w:rsid w:val="00C879E7"/>
    <w:rsid w:val="00C90B9E"/>
    <w:rsid w:val="00C90F41"/>
    <w:rsid w:val="00C917EF"/>
    <w:rsid w:val="00C92ADD"/>
    <w:rsid w:val="00C93980"/>
    <w:rsid w:val="00C95FDD"/>
    <w:rsid w:val="00C96BD0"/>
    <w:rsid w:val="00C97D9F"/>
    <w:rsid w:val="00C97F4C"/>
    <w:rsid w:val="00CA3468"/>
    <w:rsid w:val="00CA38F6"/>
    <w:rsid w:val="00CA47C1"/>
    <w:rsid w:val="00CA64E6"/>
    <w:rsid w:val="00CB19BE"/>
    <w:rsid w:val="00CB3F24"/>
    <w:rsid w:val="00CB5F2C"/>
    <w:rsid w:val="00CB7B3F"/>
    <w:rsid w:val="00CC2C92"/>
    <w:rsid w:val="00CD77F5"/>
    <w:rsid w:val="00CE1163"/>
    <w:rsid w:val="00CE215C"/>
    <w:rsid w:val="00CE2C80"/>
    <w:rsid w:val="00CE3571"/>
    <w:rsid w:val="00CE57D3"/>
    <w:rsid w:val="00CE5F58"/>
    <w:rsid w:val="00CF1AB1"/>
    <w:rsid w:val="00CF2604"/>
    <w:rsid w:val="00CF5F60"/>
    <w:rsid w:val="00D002CF"/>
    <w:rsid w:val="00D01DEE"/>
    <w:rsid w:val="00D021FB"/>
    <w:rsid w:val="00D048C4"/>
    <w:rsid w:val="00D067DD"/>
    <w:rsid w:val="00D069F4"/>
    <w:rsid w:val="00D14CE1"/>
    <w:rsid w:val="00D16FE3"/>
    <w:rsid w:val="00D25477"/>
    <w:rsid w:val="00D26AC0"/>
    <w:rsid w:val="00D34927"/>
    <w:rsid w:val="00D34C69"/>
    <w:rsid w:val="00D35BE1"/>
    <w:rsid w:val="00D35CCA"/>
    <w:rsid w:val="00D372C4"/>
    <w:rsid w:val="00D41AF6"/>
    <w:rsid w:val="00D44A7F"/>
    <w:rsid w:val="00D44E17"/>
    <w:rsid w:val="00D50F76"/>
    <w:rsid w:val="00D5120C"/>
    <w:rsid w:val="00D5381E"/>
    <w:rsid w:val="00D571BD"/>
    <w:rsid w:val="00D57DFC"/>
    <w:rsid w:val="00D61910"/>
    <w:rsid w:val="00D6469D"/>
    <w:rsid w:val="00D7018B"/>
    <w:rsid w:val="00D71B71"/>
    <w:rsid w:val="00D71E4F"/>
    <w:rsid w:val="00D7217F"/>
    <w:rsid w:val="00D73A48"/>
    <w:rsid w:val="00D751F7"/>
    <w:rsid w:val="00D77BBE"/>
    <w:rsid w:val="00D815C4"/>
    <w:rsid w:val="00D87DA2"/>
    <w:rsid w:val="00D945C6"/>
    <w:rsid w:val="00D950D2"/>
    <w:rsid w:val="00D96084"/>
    <w:rsid w:val="00D962C2"/>
    <w:rsid w:val="00D97188"/>
    <w:rsid w:val="00D976FC"/>
    <w:rsid w:val="00D9789A"/>
    <w:rsid w:val="00DA4B6A"/>
    <w:rsid w:val="00DB2A2F"/>
    <w:rsid w:val="00DB55AC"/>
    <w:rsid w:val="00DB6AC0"/>
    <w:rsid w:val="00DC2876"/>
    <w:rsid w:val="00DC293C"/>
    <w:rsid w:val="00DC2EA0"/>
    <w:rsid w:val="00DC3199"/>
    <w:rsid w:val="00DC3AA9"/>
    <w:rsid w:val="00DC61EA"/>
    <w:rsid w:val="00DE233D"/>
    <w:rsid w:val="00DE3CDB"/>
    <w:rsid w:val="00DE67E9"/>
    <w:rsid w:val="00DF0E65"/>
    <w:rsid w:val="00DF126A"/>
    <w:rsid w:val="00DF541A"/>
    <w:rsid w:val="00DF6A76"/>
    <w:rsid w:val="00DF7785"/>
    <w:rsid w:val="00E0061D"/>
    <w:rsid w:val="00E05A73"/>
    <w:rsid w:val="00E05BDD"/>
    <w:rsid w:val="00E067BD"/>
    <w:rsid w:val="00E07E37"/>
    <w:rsid w:val="00E17D65"/>
    <w:rsid w:val="00E21F2F"/>
    <w:rsid w:val="00E23A5F"/>
    <w:rsid w:val="00E2583E"/>
    <w:rsid w:val="00E34FAC"/>
    <w:rsid w:val="00E35133"/>
    <w:rsid w:val="00E37C01"/>
    <w:rsid w:val="00E37C5D"/>
    <w:rsid w:val="00E37E40"/>
    <w:rsid w:val="00E42395"/>
    <w:rsid w:val="00E439B4"/>
    <w:rsid w:val="00E45738"/>
    <w:rsid w:val="00E47044"/>
    <w:rsid w:val="00E51531"/>
    <w:rsid w:val="00E54694"/>
    <w:rsid w:val="00E54AD5"/>
    <w:rsid w:val="00E54E28"/>
    <w:rsid w:val="00E55074"/>
    <w:rsid w:val="00E55367"/>
    <w:rsid w:val="00E56FA1"/>
    <w:rsid w:val="00E640E9"/>
    <w:rsid w:val="00E6553F"/>
    <w:rsid w:val="00E71049"/>
    <w:rsid w:val="00E72F6A"/>
    <w:rsid w:val="00E754EB"/>
    <w:rsid w:val="00E76685"/>
    <w:rsid w:val="00E77F00"/>
    <w:rsid w:val="00E80CBA"/>
    <w:rsid w:val="00E81A0A"/>
    <w:rsid w:val="00E822E0"/>
    <w:rsid w:val="00E9032F"/>
    <w:rsid w:val="00E95FB9"/>
    <w:rsid w:val="00E969B0"/>
    <w:rsid w:val="00EA63B5"/>
    <w:rsid w:val="00EA684F"/>
    <w:rsid w:val="00EA706C"/>
    <w:rsid w:val="00EA7773"/>
    <w:rsid w:val="00EA7F74"/>
    <w:rsid w:val="00EB0E10"/>
    <w:rsid w:val="00EB14D6"/>
    <w:rsid w:val="00EB319A"/>
    <w:rsid w:val="00EB46BA"/>
    <w:rsid w:val="00EB6864"/>
    <w:rsid w:val="00EC610A"/>
    <w:rsid w:val="00EC69E5"/>
    <w:rsid w:val="00ED00F7"/>
    <w:rsid w:val="00ED3A3F"/>
    <w:rsid w:val="00ED5C56"/>
    <w:rsid w:val="00ED74BD"/>
    <w:rsid w:val="00EE0A92"/>
    <w:rsid w:val="00EE3327"/>
    <w:rsid w:val="00EE7040"/>
    <w:rsid w:val="00EF0E1A"/>
    <w:rsid w:val="00EF1670"/>
    <w:rsid w:val="00EF26FE"/>
    <w:rsid w:val="00EF297A"/>
    <w:rsid w:val="00EF357F"/>
    <w:rsid w:val="00EF5FC1"/>
    <w:rsid w:val="00EF6CAC"/>
    <w:rsid w:val="00F005E2"/>
    <w:rsid w:val="00F02D26"/>
    <w:rsid w:val="00F03107"/>
    <w:rsid w:val="00F049D3"/>
    <w:rsid w:val="00F061E1"/>
    <w:rsid w:val="00F109D2"/>
    <w:rsid w:val="00F11C7E"/>
    <w:rsid w:val="00F14211"/>
    <w:rsid w:val="00F14EDE"/>
    <w:rsid w:val="00F20B78"/>
    <w:rsid w:val="00F21C42"/>
    <w:rsid w:val="00F25005"/>
    <w:rsid w:val="00F25CC6"/>
    <w:rsid w:val="00F2670C"/>
    <w:rsid w:val="00F331EF"/>
    <w:rsid w:val="00F334E2"/>
    <w:rsid w:val="00F3415C"/>
    <w:rsid w:val="00F34468"/>
    <w:rsid w:val="00F35C49"/>
    <w:rsid w:val="00F35F99"/>
    <w:rsid w:val="00F445FD"/>
    <w:rsid w:val="00F47F06"/>
    <w:rsid w:val="00F505F5"/>
    <w:rsid w:val="00F5480D"/>
    <w:rsid w:val="00F553F0"/>
    <w:rsid w:val="00F5692C"/>
    <w:rsid w:val="00F60DA9"/>
    <w:rsid w:val="00F6117F"/>
    <w:rsid w:val="00F67626"/>
    <w:rsid w:val="00F70955"/>
    <w:rsid w:val="00F70D71"/>
    <w:rsid w:val="00F7535E"/>
    <w:rsid w:val="00F774C4"/>
    <w:rsid w:val="00F808B8"/>
    <w:rsid w:val="00F81CDC"/>
    <w:rsid w:val="00F84226"/>
    <w:rsid w:val="00F921AE"/>
    <w:rsid w:val="00F93B76"/>
    <w:rsid w:val="00F95C39"/>
    <w:rsid w:val="00FA0B62"/>
    <w:rsid w:val="00FA1981"/>
    <w:rsid w:val="00FA77AA"/>
    <w:rsid w:val="00FB3E87"/>
    <w:rsid w:val="00FC3C56"/>
    <w:rsid w:val="00FC55B3"/>
    <w:rsid w:val="00FC5CD6"/>
    <w:rsid w:val="00FC68CF"/>
    <w:rsid w:val="00FC7368"/>
    <w:rsid w:val="00FC7AE1"/>
    <w:rsid w:val="00FD0140"/>
    <w:rsid w:val="00FD223B"/>
    <w:rsid w:val="00FE00F0"/>
    <w:rsid w:val="00FE0143"/>
    <w:rsid w:val="00FE5251"/>
    <w:rsid w:val="00FE6814"/>
    <w:rsid w:val="00FF16BF"/>
    <w:rsid w:val="00FF28AC"/>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573BD"/>
  <w15:docId w15:val="{667FF2F4-8555-4E4B-A6C4-6703BB4B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qFormat/>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styleId="HTMLPreformatted">
    <w:name w:val="HTML Preformatted"/>
    <w:basedOn w:val="Normal"/>
    <w:link w:val="HTMLPreformattedChar"/>
    <w:uiPriority w:val="99"/>
    <w:semiHidden/>
    <w:unhideWhenUsed/>
    <w:rsid w:val="00C5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C50B71"/>
    <w:rPr>
      <w:rFonts w:ascii="Courier New" w:eastAsia="Times New Roman" w:hAnsi="Courier New" w:cs="Courier New"/>
      <w:lang w:val="en-US"/>
    </w:rPr>
  </w:style>
  <w:style w:type="character" w:customStyle="1" w:styleId="y2iqfc">
    <w:name w:val="y2iqfc"/>
    <w:basedOn w:val="DefaultParagraphFont"/>
    <w:rsid w:val="00C50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0539">
      <w:bodyDiv w:val="1"/>
      <w:marLeft w:val="0"/>
      <w:marRight w:val="0"/>
      <w:marTop w:val="0"/>
      <w:marBottom w:val="0"/>
      <w:divBdr>
        <w:top w:val="none" w:sz="0" w:space="0" w:color="auto"/>
        <w:left w:val="none" w:sz="0" w:space="0" w:color="auto"/>
        <w:bottom w:val="none" w:sz="0" w:space="0" w:color="auto"/>
        <w:right w:val="none" w:sz="0" w:space="0" w:color="auto"/>
      </w:divBdr>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49903">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06123876">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20018571">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52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ossmark.crossref.org/dialog/?doi=10.47268/sasi.v26i3.247&amp;domain=pdf"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dx.doi.org/10.47268/ballrev.v4i2.XXXX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dx.doi.org/10.47268/ballrev.v4i2.XXXX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44FEA050-F361-494E-86FE-D317BC650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2021.dotx</Template>
  <TotalTime>4</TotalTime>
  <Pages>26</Pages>
  <Words>10980</Words>
  <Characters>62592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73426</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Moehammad Mahastar Ritonga</cp:lastModifiedBy>
  <cp:revision>3</cp:revision>
  <cp:lastPrinted>2024-01-08T15:09:00Z</cp:lastPrinted>
  <dcterms:created xsi:type="dcterms:W3CDTF">2024-06-03T10:54:00Z</dcterms:created>
  <dcterms:modified xsi:type="dcterms:W3CDTF">2024-06-03T10:58:00Z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764ae297-5de8-37f8-af06-9f631ea30231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12th edition - Harvard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9th edition</vt:lpwstr>
  </property>
  <property fmtid="{D5CDD505-2E9C-101B-9397-08002B2CF9AE}" pid="24" name="Mendeley Citation Style_1">
    <vt:lpwstr>http://www.zotero.org/styles/chicago-fullnote-bibliography</vt:lpwstr>
  </property>
</Properties>
</file>