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68DA15B2" w14:textId="77777777" w:rsidR="00F81CDC" w:rsidRDefault="00426A11" w:rsidP="00F81CDC">
      <w:pPr>
        <w:pStyle w:val="Header"/>
        <w:tabs>
          <w:tab w:val="clear" w:pos="9360"/>
        </w:tabs>
        <w:jc w:val="right"/>
        <w:rPr>
          <w:rFonts w:ascii="Edwardian Script ITC" w:hAnsi="Edwardian Script ITC"/>
          <w:color w:val="000000" w:themeColor="text1"/>
          <w:sz w:val="18"/>
          <w:szCs w:val="62"/>
          <w:lang w:val="id-ID"/>
          <w14:textOutline w14:w="9525" w14:cap="rnd" w14:cmpd="sng" w14:algn="ctr">
            <w14:solidFill>
              <w14:schemeClr w14:val="tx1"/>
            </w14:solidFill>
            <w14:prstDash w14:val="solid"/>
            <w14:bevel/>
          </w14:textOutline>
        </w:rPr>
      </w:pPr>
      <w:bookmarkStart w:id="0" w:name="_Toc292564709"/>
      <w:bookmarkStart w:id="1" w:name="_Toc1"/>
      <w:r w:rsidRPr="00F81CDC">
        <w:rPr>
          <w:rFonts w:ascii="Book Antiqua" w:hAnsi="Book Antiqua" w:cs="Calibri"/>
          <w:b/>
          <w:iCs/>
          <w:noProof/>
          <w:color w:val="000000" w:themeColor="text1"/>
          <w:sz w:val="4"/>
          <w:lang w:bidi="ar-SA"/>
        </w:rPr>
        <w:drawing>
          <wp:anchor distT="0" distB="0" distL="114300" distR="114300" simplePos="0" relativeHeight="251685888" behindDoc="0" locked="0" layoutInCell="1" allowOverlap="1" wp14:anchorId="11EC7F13" wp14:editId="38D3AE7B">
            <wp:simplePos x="0" y="0"/>
            <wp:positionH relativeFrom="column">
              <wp:posOffset>-729615</wp:posOffset>
            </wp:positionH>
            <wp:positionV relativeFrom="paragraph">
              <wp:posOffset>-381635</wp:posOffset>
            </wp:positionV>
            <wp:extent cx="7809865" cy="563857"/>
            <wp:effectExtent l="0" t="0" r="635" b="8255"/>
            <wp:wrapNone/>
            <wp:docPr id="3" name="Picture 3" descr="E:\FileKu\JURNAL FH UNPATTI\BALLREV\Cover Template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BALLREV\Cover Template BALL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9865" cy="563857"/>
                    </a:xfrm>
                    <a:prstGeom prst="rect">
                      <a:avLst/>
                    </a:prstGeom>
                    <a:noFill/>
                    <a:ln>
                      <a:noFill/>
                    </a:ln>
                  </pic:spPr>
                </pic:pic>
              </a:graphicData>
            </a:graphic>
            <wp14:sizeRelH relativeFrom="page">
              <wp14:pctWidth>0</wp14:pctWidth>
            </wp14:sizeRelH>
            <wp14:sizeRelV relativeFrom="page">
              <wp14:pctHeight>0</wp14:pctHeight>
            </wp14:sizeRelV>
          </wp:anchor>
        </w:drawing>
      </w:r>
      <w:r w:rsidR="008B27B9" w:rsidRPr="00F81CDC">
        <w:rPr>
          <w:rFonts w:ascii="Edwardian Script ITC" w:hAnsi="Edwardian Script ITC"/>
          <w:color w:val="000000" w:themeColor="text1"/>
          <w:sz w:val="18"/>
          <w:szCs w:val="62"/>
          <w:lang w:val="id-ID"/>
          <w14:textOutline w14:w="9525" w14:cap="rnd" w14:cmpd="sng" w14:algn="ctr">
            <w14:solidFill>
              <w14:schemeClr w14:val="tx1"/>
            </w14:solidFill>
            <w14:prstDash w14:val="solid"/>
            <w14:bevel/>
          </w14:textOutline>
        </w:rPr>
        <w:tab/>
      </w:r>
    </w:p>
    <w:p w14:paraId="117F2E40" w14:textId="77777777" w:rsidR="00D34C69" w:rsidRDefault="00A2185A" w:rsidP="00F81CDC">
      <w:pPr>
        <w:pStyle w:val="Header"/>
        <w:tabs>
          <w:tab w:val="clear" w:pos="9360"/>
        </w:tabs>
        <w:spacing w:before="120"/>
        <w:jc w:val="right"/>
        <w:rPr>
          <w:rFonts w:ascii="Book Antiqua" w:hAnsi="Book Antiqua" w:cstheme="majorHAnsi"/>
          <w:color w:val="000000" w:themeColor="text1"/>
          <w:sz w:val="20"/>
          <w:szCs w:val="20"/>
        </w:rPr>
      </w:pPr>
      <w:r>
        <w:rPr>
          <w:rFonts w:ascii="Book Antiqua" w:hAnsi="Book Antiqua" w:cstheme="majorHAnsi"/>
          <w:color w:val="000000" w:themeColor="text1"/>
          <w:sz w:val="20"/>
          <w:szCs w:val="20"/>
        </w:rPr>
        <w:t xml:space="preserve">Volume </w:t>
      </w:r>
      <w:r w:rsidR="000B76DE">
        <w:rPr>
          <w:rFonts w:ascii="Book Antiqua" w:hAnsi="Book Antiqua" w:cstheme="majorHAnsi"/>
          <w:color w:val="000000" w:themeColor="text1"/>
          <w:sz w:val="20"/>
          <w:szCs w:val="20"/>
        </w:rPr>
        <w:t>5</w:t>
      </w:r>
      <w:r w:rsidR="001C2D0B">
        <w:rPr>
          <w:rFonts w:ascii="Book Antiqua" w:hAnsi="Book Antiqua" w:cstheme="majorHAnsi"/>
          <w:color w:val="000000" w:themeColor="text1"/>
          <w:sz w:val="20"/>
          <w:szCs w:val="20"/>
        </w:rPr>
        <w:t xml:space="preserve"> Issue</w:t>
      </w:r>
      <w:r w:rsidR="00637392">
        <w:rPr>
          <w:rFonts w:ascii="Book Antiqua" w:hAnsi="Book Antiqua" w:cstheme="majorHAnsi"/>
          <w:color w:val="000000" w:themeColor="text1"/>
          <w:sz w:val="20"/>
          <w:szCs w:val="20"/>
        </w:rPr>
        <w:t xml:space="preserve"> </w:t>
      </w:r>
      <w:r w:rsidR="000B76DE">
        <w:rPr>
          <w:rFonts w:ascii="Book Antiqua" w:hAnsi="Book Antiqua" w:cstheme="majorHAnsi"/>
          <w:color w:val="000000" w:themeColor="text1"/>
          <w:sz w:val="20"/>
          <w:szCs w:val="20"/>
        </w:rPr>
        <w:t>2, November</w:t>
      </w:r>
      <w:r w:rsidR="00637392">
        <w:rPr>
          <w:rFonts w:ascii="Book Antiqua" w:hAnsi="Book Antiqua" w:cstheme="majorHAnsi"/>
          <w:color w:val="000000" w:themeColor="text1"/>
          <w:sz w:val="20"/>
          <w:szCs w:val="20"/>
        </w:rPr>
        <w:t xml:space="preserve"> </w:t>
      </w:r>
      <w:r w:rsidR="000B76DE">
        <w:rPr>
          <w:rFonts w:ascii="Book Antiqua" w:hAnsi="Book Antiqua" w:cstheme="majorHAnsi"/>
          <w:color w:val="000000" w:themeColor="text1"/>
          <w:sz w:val="20"/>
          <w:szCs w:val="20"/>
        </w:rPr>
        <w:t>2024</w:t>
      </w:r>
      <w:r>
        <w:rPr>
          <w:rFonts w:ascii="Book Antiqua" w:hAnsi="Book Antiqua" w:cstheme="majorHAnsi"/>
          <w:color w:val="000000" w:themeColor="text1"/>
          <w:sz w:val="20"/>
          <w:szCs w:val="20"/>
        </w:rPr>
        <w:t>: p. XX-XX</w:t>
      </w:r>
    </w:p>
    <w:p w14:paraId="571E05E5" w14:textId="77777777" w:rsidR="00D34C69" w:rsidRPr="00637392" w:rsidRDefault="00F921AE" w:rsidP="00D34C69">
      <w:pPr>
        <w:pStyle w:val="Header"/>
        <w:tabs>
          <w:tab w:val="clear" w:pos="9360"/>
        </w:tabs>
        <w:jc w:val="right"/>
        <w:rPr>
          <w:rFonts w:ascii="Book Antiqua" w:hAnsi="Book Antiqua" w:cstheme="majorHAnsi"/>
          <w:color w:val="000000" w:themeColor="text1"/>
          <w:sz w:val="20"/>
          <w:szCs w:val="20"/>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77696" behindDoc="0" locked="0" layoutInCell="1" allowOverlap="1" wp14:anchorId="2BD98677" wp14:editId="53085EA4">
                <wp:simplePos x="0" y="0"/>
                <wp:positionH relativeFrom="column">
                  <wp:posOffset>-90805</wp:posOffset>
                </wp:positionH>
                <wp:positionV relativeFrom="paragraph">
                  <wp:posOffset>119380</wp:posOffset>
                </wp:positionV>
                <wp:extent cx="2915285" cy="502920"/>
                <wp:effectExtent l="0" t="0" r="0" b="0"/>
                <wp:wrapNone/>
                <wp:docPr id="16" name="Rectangle 16"/>
                <wp:cNvGraphicFramePr/>
                <a:graphic xmlns:a="http://schemas.openxmlformats.org/drawingml/2006/main">
                  <a:graphicData uri="http://schemas.microsoft.com/office/word/2010/wordprocessingShape">
                    <wps:wsp>
                      <wps:cNvSpPr/>
                      <wps:spPr>
                        <a:xfrm>
                          <a:off x="0" y="0"/>
                          <a:ext cx="2915285" cy="502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C7B43" w14:textId="77777777" w:rsidR="0009619F" w:rsidRPr="00975666" w:rsidRDefault="00F921AE" w:rsidP="00975666">
                            <w:pPr>
                              <w:pStyle w:val="Header"/>
                              <w:spacing w:after="60"/>
                              <w:jc w:val="both"/>
                              <w:rPr>
                                <w:rFonts w:ascii="Book Antiqua" w:hAnsi="Book Antiqua" w:cs="Helvetica"/>
                                <w:b/>
                                <w:color w:val="000000" w:themeColor="text1"/>
                                <w:sz w:val="16"/>
                                <w:szCs w:val="16"/>
                              </w:rPr>
                            </w:pPr>
                            <w:proofErr w:type="spellStart"/>
                            <w:r w:rsidRPr="00F921AE">
                              <w:rPr>
                                <w:rFonts w:ascii="Book Antiqua" w:hAnsi="Book Antiqua" w:cs="Helvetica"/>
                                <w:b/>
                                <w:color w:val="000000" w:themeColor="text1"/>
                                <w:sz w:val="20"/>
                                <w:szCs w:val="16"/>
                              </w:rPr>
                              <w:t>Batulis</w:t>
                            </w:r>
                            <w:proofErr w:type="spellEnd"/>
                            <w:r w:rsidR="00637392" w:rsidRPr="00F921AE">
                              <w:rPr>
                                <w:rFonts w:ascii="Book Antiqua" w:hAnsi="Book Antiqua" w:cs="Helvetica"/>
                                <w:b/>
                                <w:color w:val="000000" w:themeColor="text1"/>
                                <w:sz w:val="20"/>
                                <w:szCs w:val="16"/>
                              </w:rPr>
                              <w:t xml:space="preserve"> Civil Law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98677" id="Rectangle 16" o:spid="_x0000_s1026" style="position:absolute;left:0;text-align:left;margin-left:-7.15pt;margin-top:9.4pt;width:229.55pt;height:3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" filled="f" stroked="f" strokeweight="1pt">
                <v:textbox>
                  <w:txbxContent>
                    <w:p w14:paraId="3A9C7B43" w14:textId="77777777" w:rsidR="0009619F" w:rsidRPr="00975666" w:rsidRDefault="00F921AE" w:rsidP="00975666">
                      <w:pPr>
                        <w:pStyle w:val="Header"/>
                        <w:spacing w:after="60"/>
                        <w:jc w:val="both"/>
                        <w:rPr>
                          <w:rFonts w:ascii="Book Antiqua" w:hAnsi="Book Antiqua" w:cs="Helvetica"/>
                          <w:b/>
                          <w:color w:val="000000" w:themeColor="text1"/>
                          <w:sz w:val="16"/>
                          <w:szCs w:val="16"/>
                        </w:rPr>
                      </w:pPr>
                      <w:proofErr w:type="spellStart"/>
                      <w:r w:rsidRPr="00F921AE">
                        <w:rPr>
                          <w:rFonts w:ascii="Book Antiqua" w:hAnsi="Book Antiqua" w:cs="Helvetica"/>
                          <w:b/>
                          <w:color w:val="000000" w:themeColor="text1"/>
                          <w:sz w:val="20"/>
                          <w:szCs w:val="16"/>
                        </w:rPr>
                        <w:t>Batulis</w:t>
                      </w:r>
                      <w:proofErr w:type="spellEnd"/>
                      <w:r w:rsidR="00637392" w:rsidRPr="00F921AE">
                        <w:rPr>
                          <w:rFonts w:ascii="Book Antiqua" w:hAnsi="Book Antiqua" w:cs="Helvetica"/>
                          <w:b/>
                          <w:color w:val="000000" w:themeColor="text1"/>
                          <w:sz w:val="20"/>
                          <w:szCs w:val="16"/>
                        </w:rPr>
                        <w:t xml:space="preserve"> Civil Law Review</w:t>
                      </w:r>
                    </w:p>
                  </w:txbxContent>
                </v:textbox>
              </v:rect>
            </w:pict>
          </mc:Fallback>
        </mc:AlternateContent>
      </w:r>
      <w:r w:rsidR="00A2185A" w:rsidRPr="00A2185A">
        <w:rPr>
          <w:rFonts w:ascii="Book Antiqua" w:hAnsi="Book Antiqua" w:cstheme="majorHAnsi"/>
          <w:color w:val="000000" w:themeColor="text1"/>
          <w:sz w:val="20"/>
          <w:szCs w:val="20"/>
        </w:rPr>
        <w:t xml:space="preserve"> </w:t>
      </w:r>
      <w:r w:rsidR="00637392" w:rsidRPr="00637392">
        <w:rPr>
          <w:rFonts w:ascii="Book Antiqua" w:hAnsi="Book Antiqua"/>
          <w:sz w:val="20"/>
          <w:lang w:val="id-ID"/>
        </w:rPr>
        <w:t>P-ISSN: 27</w:t>
      </w:r>
      <w:r w:rsidR="00637392" w:rsidRPr="00637392">
        <w:rPr>
          <w:rFonts w:ascii="Book Antiqua" w:hAnsi="Book Antiqua"/>
          <w:sz w:val="20"/>
        </w:rPr>
        <w:t>22</w:t>
      </w:r>
      <w:r w:rsidR="00637392" w:rsidRPr="00637392">
        <w:rPr>
          <w:rFonts w:ascii="Book Antiqua" w:hAnsi="Book Antiqua"/>
          <w:sz w:val="20"/>
          <w:lang w:val="id-ID"/>
        </w:rPr>
        <w:t>-4465, E-ISSN: 2746-8151</w:t>
      </w:r>
    </w:p>
    <w:p w14:paraId="35D50852" w14:textId="77777777" w:rsidR="00637392" w:rsidRPr="004A088C" w:rsidRDefault="00637392" w:rsidP="00D34C69">
      <w:pPr>
        <w:pStyle w:val="Header"/>
        <w:tabs>
          <w:tab w:val="clear" w:pos="9360"/>
        </w:tabs>
        <w:jc w:val="right"/>
        <w:rPr>
          <w:rFonts w:ascii="Book Antiqua" w:hAnsi="Book Antiqua" w:cstheme="majorHAnsi"/>
          <w:color w:val="000000" w:themeColor="text1"/>
          <w:sz w:val="18"/>
          <w:szCs w:val="18"/>
        </w:rPr>
      </w:pPr>
      <w:r w:rsidRPr="004A088C">
        <w:rPr>
          <w:rFonts w:ascii="Book Antiqua" w:hAnsi="Book Antiqua"/>
          <w:noProof/>
          <w:sz w:val="18"/>
          <w:szCs w:val="18"/>
          <w:lang w:bidi="ar-SA"/>
        </w:rPr>
        <w:drawing>
          <wp:anchor distT="0" distB="0" distL="114300" distR="114300" simplePos="0" relativeHeight="251669504" behindDoc="0" locked="0" layoutInCell="1" allowOverlap="1" wp14:anchorId="0323AA80" wp14:editId="0A5099B7">
            <wp:simplePos x="0" y="0"/>
            <wp:positionH relativeFrom="column">
              <wp:posOffset>4378960</wp:posOffset>
            </wp:positionH>
            <wp:positionV relativeFrom="paragraph">
              <wp:posOffset>128270</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4A088C">
        <w:rPr>
          <w:rFonts w:ascii="Book Antiqua" w:hAnsi="Book Antiqua" w:cstheme="majorHAnsi"/>
          <w:color w:val="000000" w:themeColor="text1"/>
          <w:sz w:val="18"/>
          <w:szCs w:val="18"/>
        </w:rPr>
        <w:t>https://</w:t>
      </w:r>
      <w:proofErr w:type="spellStart"/>
      <w:r w:rsidRPr="004A088C">
        <w:rPr>
          <w:rFonts w:ascii="Book Antiqua" w:hAnsi="Book Antiqua" w:cstheme="majorHAnsi"/>
          <w:color w:val="000000" w:themeColor="text1"/>
          <w:sz w:val="18"/>
          <w:szCs w:val="18"/>
        </w:rPr>
        <w:t>fhukum.unpatti.ac.id</w:t>
      </w:r>
      <w:proofErr w:type="spellEnd"/>
      <w:r w:rsidRPr="004A088C">
        <w:rPr>
          <w:rFonts w:ascii="Book Antiqua" w:hAnsi="Book Antiqua" w:cstheme="majorHAnsi"/>
          <w:color w:val="000000" w:themeColor="text1"/>
          <w:sz w:val="18"/>
          <w:szCs w:val="18"/>
        </w:rPr>
        <w:t>/</w:t>
      </w:r>
      <w:proofErr w:type="spellStart"/>
      <w:r w:rsidRPr="004A088C">
        <w:rPr>
          <w:rFonts w:ascii="Book Antiqua" w:hAnsi="Book Antiqua" w:cstheme="majorHAnsi"/>
          <w:color w:val="000000" w:themeColor="text1"/>
          <w:sz w:val="18"/>
          <w:szCs w:val="18"/>
        </w:rPr>
        <w:t>jurnal</w:t>
      </w:r>
      <w:proofErr w:type="spellEnd"/>
      <w:r w:rsidRPr="004A088C">
        <w:rPr>
          <w:rFonts w:ascii="Book Antiqua" w:hAnsi="Book Antiqua" w:cstheme="majorHAnsi"/>
          <w:color w:val="000000" w:themeColor="text1"/>
          <w:sz w:val="18"/>
          <w:szCs w:val="18"/>
        </w:rPr>
        <w:t>/</w:t>
      </w:r>
      <w:proofErr w:type="spellStart"/>
      <w:r w:rsidRPr="004A088C">
        <w:rPr>
          <w:rFonts w:ascii="Book Antiqua" w:hAnsi="Book Antiqua" w:cstheme="majorHAnsi"/>
          <w:color w:val="000000" w:themeColor="text1"/>
          <w:sz w:val="18"/>
          <w:szCs w:val="18"/>
        </w:rPr>
        <w:t>ballrev</w:t>
      </w:r>
      <w:proofErr w:type="spellEnd"/>
    </w:p>
    <w:p w14:paraId="48ACFB5E" w14:textId="77777777" w:rsidR="00D34C69" w:rsidRPr="005A3EB2" w:rsidRDefault="003836F1" w:rsidP="005A3EB2">
      <w:pPr>
        <w:spacing w:after="0" w:line="240" w:lineRule="auto"/>
        <w:jc w:val="right"/>
        <w:rPr>
          <w:rFonts w:ascii="Book Antiqua" w:hAnsi="Book Antiqua"/>
          <w:color w:val="2F5496" w:themeColor="accent1" w:themeShade="BF"/>
          <w:sz w:val="18"/>
          <w:szCs w:val="18"/>
        </w:rPr>
      </w:pPr>
      <w:r w:rsidRPr="003836F1">
        <w:rPr>
          <w:rFonts w:ascii="Book Antiqua" w:hAnsi="Book Antiqua" w:cstheme="majorHAnsi"/>
          <w:color w:val="4472C4" w:themeColor="accent1"/>
          <w:sz w:val="18"/>
          <w:szCs w:val="18"/>
        </w:rPr>
        <w:t>:</w:t>
      </w:r>
      <w:r>
        <w:rPr>
          <w:rFonts w:ascii="Book Antiqua" w:hAnsi="Book Antiqua" w:cstheme="majorHAnsi"/>
          <w:color w:val="4472C4" w:themeColor="accent1"/>
          <w:sz w:val="18"/>
          <w:szCs w:val="18"/>
        </w:rPr>
        <w:t xml:space="preserve"> </w:t>
      </w:r>
      <w:hyperlink r:id="rId10" w:history="1">
        <w:r w:rsidRPr="00692FAC">
          <w:rPr>
            <w:rStyle w:val="Hyperlink"/>
            <w:rFonts w:ascii="Book Antiqua" w:hAnsi="Book Antiqua" w:cstheme="majorHAnsi"/>
            <w:sz w:val="18"/>
            <w:szCs w:val="18"/>
            <w:u w:val="none"/>
          </w:rPr>
          <w:t>10.47268/</w:t>
        </w:r>
        <w:proofErr w:type="spellStart"/>
        <w:r w:rsidRPr="00692FAC">
          <w:rPr>
            <w:rStyle w:val="Hyperlink"/>
            <w:rFonts w:ascii="Book Antiqua" w:hAnsi="Book Antiqua" w:cstheme="majorHAnsi"/>
            <w:sz w:val="18"/>
            <w:szCs w:val="18"/>
            <w:u w:val="none"/>
          </w:rPr>
          <w:t>ballrev.v</w:t>
        </w:r>
        <w:r w:rsidR="002D6A51">
          <w:rPr>
            <w:rStyle w:val="Hyperlink"/>
            <w:rFonts w:ascii="Book Antiqua" w:hAnsi="Book Antiqua" w:cstheme="majorHAnsi"/>
            <w:sz w:val="18"/>
            <w:szCs w:val="18"/>
            <w:u w:val="none"/>
          </w:rPr>
          <w:t>X</w:t>
        </w:r>
        <w:r w:rsidRPr="00692FAC">
          <w:rPr>
            <w:rStyle w:val="Hyperlink"/>
            <w:rFonts w:ascii="Book Antiqua" w:hAnsi="Book Antiqua" w:cstheme="majorHAnsi"/>
            <w:sz w:val="18"/>
            <w:szCs w:val="18"/>
            <w:u w:val="none"/>
          </w:rPr>
          <w:t>.i</w:t>
        </w:r>
        <w:r w:rsidR="002D6A51">
          <w:rPr>
            <w:rStyle w:val="Hyperlink"/>
            <w:rFonts w:ascii="Book Antiqua" w:hAnsi="Book Antiqua" w:cstheme="majorHAnsi"/>
            <w:sz w:val="18"/>
            <w:szCs w:val="18"/>
            <w:u w:val="none"/>
          </w:rPr>
          <w:t>X</w:t>
        </w:r>
        <w:r w:rsidRPr="00692FAC">
          <w:rPr>
            <w:rStyle w:val="Hyperlink"/>
            <w:rFonts w:ascii="Book Antiqua" w:hAnsi="Book Antiqua" w:cstheme="majorHAnsi"/>
            <w:sz w:val="18"/>
            <w:szCs w:val="18"/>
            <w:u w:val="none"/>
          </w:rPr>
          <w:t>.XXXX</w:t>
        </w:r>
        <w:proofErr w:type="spellEnd"/>
      </w:hyperlink>
    </w:p>
    <w:p w14:paraId="2F342D3A" w14:textId="77777777" w:rsidR="0071563E" w:rsidRDefault="00A2185A" w:rsidP="0071563E">
      <w:pPr>
        <w:pStyle w:val="ListParagraph"/>
        <w:spacing w:after="0" w:line="240" w:lineRule="auto"/>
        <w:ind w:left="0"/>
        <w:contextualSpacing w:val="0"/>
        <w:rPr>
          <w:rFonts w:ascii="Book Antiqua" w:hAnsi="Book Antiqua" w:cs="Calibri"/>
          <w:b/>
          <w:iCs/>
          <w:color w:val="000000" w:themeColor="text1"/>
          <w:sz w:val="32"/>
        </w:rPr>
      </w:pPr>
      <w:r>
        <w:rPr>
          <w:noProof/>
          <w:lang w:bidi="ar-SA"/>
        </w:rPr>
        <mc:AlternateContent>
          <mc:Choice Requires="wps">
            <w:drawing>
              <wp:anchor distT="0" distB="0" distL="114300" distR="114300" simplePos="0" relativeHeight="251679744" behindDoc="0" locked="0" layoutInCell="1" allowOverlap="1" wp14:anchorId="5125B136" wp14:editId="2E0C4A23">
                <wp:simplePos x="0" y="0"/>
                <wp:positionH relativeFrom="column">
                  <wp:posOffset>-9525</wp:posOffset>
                </wp:positionH>
                <wp:positionV relativeFrom="paragraph">
                  <wp:posOffset>64135</wp:posOffset>
                </wp:positionV>
                <wp:extent cx="6156000" cy="0"/>
                <wp:effectExtent l="0" t="38100" r="54610" b="38100"/>
                <wp:wrapNone/>
                <wp:docPr id="14" name="Straight Connector 14"/>
                <wp:cNvGraphicFramePr/>
                <a:graphic xmlns:a="http://schemas.openxmlformats.org/drawingml/2006/main">
                  <a:graphicData uri="http://schemas.microsoft.com/office/word/2010/wordprocessingShape">
                    <wps:wsp>
                      <wps:cNvCnPr/>
                      <wps:spPr>
                        <a:xfrm>
                          <a:off x="0" y="0"/>
                          <a:ext cx="615600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DE366"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05pt" to="483.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" strokecolor="#aeaaaa [2414]" strokeweight="6pt">
                <v:stroke linestyle="thinThin" joinstyle="miter"/>
              </v:line>
            </w:pict>
          </mc:Fallback>
        </mc:AlternateContent>
      </w:r>
    </w:p>
    <w:p w14:paraId="7FB7C902" w14:textId="77777777" w:rsidR="00AF20D0" w:rsidRPr="00B27128" w:rsidRDefault="000B76DE" w:rsidP="001B212E">
      <w:pPr>
        <w:pStyle w:val="ListParagraph"/>
        <w:spacing w:after="120" w:line="240" w:lineRule="auto"/>
        <w:ind w:left="0"/>
        <w:contextualSpacing w:val="0"/>
        <w:rPr>
          <w:rFonts w:ascii="Book Antiqua" w:hAnsi="Book Antiqua" w:cs="Calibri"/>
          <w:b/>
          <w:iCs/>
          <w:color w:val="000000" w:themeColor="text1"/>
          <w:sz w:val="28"/>
        </w:rPr>
      </w:pPr>
      <w:r w:rsidRPr="000B76DE">
        <w:rPr>
          <w:rFonts w:ascii="Book Antiqua" w:hAnsi="Book Antiqua" w:cs="Calibri"/>
          <w:b/>
          <w:iCs/>
          <w:color w:val="000000" w:themeColor="text1"/>
          <w:sz w:val="32"/>
        </w:rPr>
        <w:t>Renewal of Implementing Regulations in Minimizing Control in Limited Liability Companies Outside of Acquisitions</w:t>
      </w:r>
    </w:p>
    <w:p w14:paraId="48A741BF" w14:textId="150EF3C0" w:rsidR="004B1F20" w:rsidRPr="002022E7" w:rsidRDefault="00BA3A97" w:rsidP="002022E7">
      <w:pPr>
        <w:spacing w:after="120" w:line="240" w:lineRule="auto"/>
        <w:rPr>
          <w:rFonts w:ascii="Book Antiqua" w:hAnsi="Book Antiqua"/>
          <w:b/>
          <w:bCs/>
          <w:sz w:val="24"/>
          <w:szCs w:val="24"/>
          <w:vertAlign w:val="superscript"/>
        </w:rPr>
      </w:pPr>
      <w:proofErr w:type="spellStart"/>
      <w:r w:rsidRPr="00BA3A97">
        <w:rPr>
          <w:rFonts w:ascii="Book Antiqua" w:hAnsi="Book Antiqua"/>
          <w:b/>
          <w:bCs/>
          <w:sz w:val="24"/>
          <w:szCs w:val="24"/>
        </w:rPr>
        <w:t>Kartina</w:t>
      </w:r>
      <w:proofErr w:type="spellEnd"/>
      <w:r w:rsidRPr="00BA3A97">
        <w:rPr>
          <w:rFonts w:ascii="Book Antiqua" w:hAnsi="Book Antiqua"/>
          <w:b/>
          <w:bCs/>
          <w:sz w:val="24"/>
          <w:szCs w:val="24"/>
        </w:rPr>
        <w:t xml:space="preserve"> </w:t>
      </w:r>
      <w:proofErr w:type="spellStart"/>
      <w:r w:rsidRPr="00BA3A97">
        <w:rPr>
          <w:rFonts w:ascii="Book Antiqua" w:hAnsi="Book Antiqua"/>
          <w:b/>
          <w:bCs/>
          <w:sz w:val="24"/>
          <w:szCs w:val="24"/>
        </w:rPr>
        <w:t>Pakpahan</w:t>
      </w:r>
      <w:proofErr w:type="spellEnd"/>
      <w:r w:rsidR="00E2182B" w:rsidRPr="00E2182B">
        <w:rPr>
          <w:rFonts w:ascii="Book Antiqua" w:hAnsi="Book Antiqua"/>
          <w:b/>
          <w:bCs/>
          <w:sz w:val="24"/>
          <w:szCs w:val="24"/>
        </w:rPr>
        <w:t xml:space="preserve"> </w:t>
      </w:r>
      <w:r w:rsidR="004B1F20" w:rsidRPr="009001C8">
        <w:rPr>
          <w:rFonts w:ascii="Book Antiqua" w:hAnsi="Book Antiqua"/>
          <w:bCs/>
          <w:sz w:val="24"/>
          <w:szCs w:val="24"/>
          <w:vertAlign w:val="superscript"/>
        </w:rPr>
        <w:t>1</w:t>
      </w:r>
      <w:r w:rsidR="004B1F20" w:rsidRPr="00AF20D0">
        <w:rPr>
          <w:rFonts w:ascii="Book Antiqua" w:hAnsi="Book Antiqua"/>
          <w:b/>
          <w:bCs/>
          <w:sz w:val="24"/>
          <w:szCs w:val="24"/>
        </w:rPr>
        <w:t xml:space="preserve">, </w:t>
      </w:r>
      <w:proofErr w:type="spellStart"/>
      <w:r w:rsidRPr="00BA3A97">
        <w:rPr>
          <w:rFonts w:ascii="Book Antiqua" w:hAnsi="Book Antiqua"/>
          <w:b/>
          <w:bCs/>
          <w:sz w:val="24"/>
          <w:szCs w:val="24"/>
        </w:rPr>
        <w:t>willytanjaya@unprimdn.ac.id</w:t>
      </w:r>
      <w:r w:rsidR="004B1F20" w:rsidRPr="00AF20D0">
        <w:rPr>
          <w:rFonts w:ascii="Book Antiqua" w:hAnsi="Book Antiqua"/>
          <w:b/>
          <w:bCs/>
          <w:sz w:val="24"/>
          <w:szCs w:val="24"/>
          <w:vertAlign w:val="superscript"/>
        </w:rPr>
        <w:t>2</w:t>
      </w:r>
      <w:proofErr w:type="spellEnd"/>
      <w:r w:rsidR="00695B3E" w:rsidRPr="00695B3E">
        <w:rPr>
          <w:rFonts w:ascii="Book Antiqua" w:hAnsi="Book Antiqua"/>
          <w:b/>
          <w:bCs/>
          <w:sz w:val="24"/>
          <w:szCs w:val="24"/>
        </w:rPr>
        <w:t>,</w:t>
      </w:r>
      <w:r w:rsidR="00695B3E" w:rsidRPr="00695B3E">
        <w:t xml:space="preserve"> </w:t>
      </w:r>
      <w:proofErr w:type="spellStart"/>
      <w:r w:rsidR="00695B3E" w:rsidRPr="00695B3E">
        <w:rPr>
          <w:rFonts w:ascii="Book Antiqua" w:hAnsi="Book Antiqua"/>
          <w:b/>
          <w:bCs/>
          <w:sz w:val="24"/>
          <w:szCs w:val="24"/>
        </w:rPr>
        <w:t>Wulan</w:t>
      </w:r>
      <w:proofErr w:type="spellEnd"/>
      <w:r w:rsidR="00695B3E" w:rsidRPr="00695B3E">
        <w:rPr>
          <w:rFonts w:ascii="Book Antiqua" w:hAnsi="Book Antiqua"/>
          <w:b/>
          <w:bCs/>
          <w:sz w:val="24"/>
          <w:szCs w:val="24"/>
        </w:rPr>
        <w:t xml:space="preserve"> Mei </w:t>
      </w:r>
      <w:proofErr w:type="spellStart"/>
      <w:r w:rsidR="00695B3E" w:rsidRPr="00695B3E">
        <w:rPr>
          <w:rFonts w:ascii="Book Antiqua" w:hAnsi="Book Antiqua"/>
          <w:b/>
          <w:bCs/>
          <w:sz w:val="24"/>
          <w:szCs w:val="24"/>
        </w:rPr>
        <w:t>Firina</w:t>
      </w:r>
      <w:r w:rsidR="00695B3E" w:rsidRPr="00695B3E">
        <w:rPr>
          <w:rFonts w:ascii="Book Antiqua" w:hAnsi="Book Antiqua"/>
          <w:b/>
          <w:bCs/>
          <w:sz w:val="24"/>
          <w:szCs w:val="24"/>
          <w:vertAlign w:val="superscript"/>
        </w:rPr>
        <w:t>3</w:t>
      </w:r>
      <w:proofErr w:type="spellEnd"/>
      <w:r w:rsidR="006A639D">
        <w:rPr>
          <w:rFonts w:ascii="Book Antiqua" w:hAnsi="Book Antiqua"/>
          <w:b/>
          <w:bCs/>
          <w:sz w:val="24"/>
          <w:szCs w:val="24"/>
          <w:vertAlign w:val="superscript"/>
        </w:rPr>
        <w:t>*</w:t>
      </w:r>
      <w:r w:rsidR="00990023">
        <w:rPr>
          <w:rFonts w:ascii="Book Antiqua" w:hAnsi="Book Antiqua"/>
          <w:b/>
          <w:bCs/>
          <w:sz w:val="24"/>
          <w:szCs w:val="24"/>
          <w:vertAlign w:val="superscript"/>
        </w:rPr>
        <w:t xml:space="preserve"> </w:t>
      </w:r>
    </w:p>
    <w:p w14:paraId="53920524" w14:textId="77777777" w:rsidR="004B1F20" w:rsidRPr="00912A35" w:rsidRDefault="004B1F20" w:rsidP="004B1F20">
      <w:pPr>
        <w:spacing w:after="0" w:line="240" w:lineRule="auto"/>
        <w:rPr>
          <w:rFonts w:ascii="Book Antiqua" w:hAnsi="Book Antiqua"/>
          <w:bCs/>
          <w:sz w:val="18"/>
          <w:szCs w:val="24"/>
        </w:rPr>
      </w:pPr>
      <w:r w:rsidRPr="00F14211">
        <w:rPr>
          <w:rFonts w:ascii="Book Antiqua" w:hAnsi="Book Antiqua"/>
          <w:bCs/>
          <w:szCs w:val="24"/>
          <w:vertAlign w:val="superscript"/>
        </w:rPr>
        <w:t>1,2</w:t>
      </w:r>
      <w:r w:rsidR="00343F50">
        <w:rPr>
          <w:rFonts w:ascii="Book Antiqua" w:hAnsi="Book Antiqua"/>
          <w:bCs/>
          <w:szCs w:val="24"/>
          <w:vertAlign w:val="superscript"/>
        </w:rPr>
        <w:t>,</w:t>
      </w:r>
      <w:r w:rsidRPr="00F14211">
        <w:rPr>
          <w:rFonts w:ascii="Book Antiqua" w:hAnsi="Book Antiqua"/>
          <w:bCs/>
          <w:szCs w:val="24"/>
          <w:vertAlign w:val="superscript"/>
        </w:rPr>
        <w:t xml:space="preserve"> </w:t>
      </w:r>
      <w:r w:rsidR="00B27128">
        <w:rPr>
          <w:rFonts w:ascii="Book Antiqua" w:hAnsi="Book Antiqua"/>
          <w:bCs/>
          <w:szCs w:val="24"/>
        </w:rPr>
        <w:t>Faculty of Law</w:t>
      </w:r>
      <w:r w:rsidR="00E37E40">
        <w:rPr>
          <w:rFonts w:ascii="Book Antiqua" w:hAnsi="Book Antiqua"/>
          <w:bCs/>
          <w:szCs w:val="24"/>
        </w:rPr>
        <w:t>, Universitas</w:t>
      </w:r>
      <w:r w:rsidR="00B27128">
        <w:rPr>
          <w:rFonts w:ascii="Book Antiqua" w:hAnsi="Book Antiqua"/>
          <w:bCs/>
          <w:szCs w:val="24"/>
        </w:rPr>
        <w:t xml:space="preserve"> </w:t>
      </w:r>
      <w:r w:rsidR="00695B3E">
        <w:rPr>
          <w:rFonts w:ascii="Book Antiqua" w:hAnsi="Book Antiqua"/>
          <w:bCs/>
          <w:szCs w:val="24"/>
        </w:rPr>
        <w:t>Prima Indonesia</w:t>
      </w:r>
      <w:r w:rsidRPr="00F14211">
        <w:rPr>
          <w:rFonts w:ascii="Book Antiqua" w:hAnsi="Book Antiqua"/>
          <w:bCs/>
          <w:szCs w:val="24"/>
          <w:lang w:val="id-ID"/>
        </w:rPr>
        <w:t>,</w:t>
      </w:r>
      <w:r w:rsidR="00695B3E">
        <w:rPr>
          <w:rFonts w:ascii="Book Antiqua" w:hAnsi="Book Antiqua"/>
          <w:bCs/>
          <w:szCs w:val="24"/>
        </w:rPr>
        <w:t xml:space="preserve"> Medan</w:t>
      </w:r>
      <w:r w:rsidRPr="00F14211">
        <w:rPr>
          <w:rFonts w:ascii="Book Antiqua" w:hAnsi="Book Antiqua"/>
          <w:bCs/>
          <w:szCs w:val="24"/>
        </w:rPr>
        <w:t>, Indonesia.</w:t>
      </w:r>
      <w:r w:rsidR="007746A5" w:rsidRPr="007746A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23DC1E3B" w14:textId="77777777" w:rsidR="009001C8" w:rsidRPr="00023DA6" w:rsidRDefault="00602006" w:rsidP="004B3AE2">
      <w:pPr>
        <w:spacing w:after="0" w:line="240" w:lineRule="auto"/>
        <w:rPr>
          <w:rStyle w:val="Hyperlink"/>
          <w:rFonts w:ascii="Book Antiqua" w:hAnsi="Book Antiqua"/>
          <w:bCs/>
          <w:color w:val="000000" w:themeColor="text1"/>
          <w:szCs w:val="24"/>
          <w:u w:val="none"/>
        </w:rPr>
      </w:pPr>
      <w:r w:rsidRPr="001D6CFF">
        <w:rPr>
          <w:bCs/>
          <w:i/>
          <w:iCs/>
          <w:noProof/>
          <w:color w:val="000000" w:themeColor="text1"/>
          <w:lang w:bidi="ar-SA"/>
        </w:rPr>
        <w:drawing>
          <wp:anchor distT="0" distB="0" distL="114300" distR="114300" simplePos="0" relativeHeight="251660288" behindDoc="1" locked="0" layoutInCell="1" allowOverlap="1" wp14:anchorId="2884EFFE" wp14:editId="0EF79D7F">
            <wp:simplePos x="0" y="0"/>
            <wp:positionH relativeFrom="margin">
              <wp:posOffset>5818505</wp:posOffset>
            </wp:positionH>
            <wp:positionV relativeFrom="paragraph">
              <wp:posOffset>13970</wp:posOffset>
            </wp:positionV>
            <wp:extent cx="324000" cy="338727"/>
            <wp:effectExtent l="0" t="0" r="0" b="4445"/>
            <wp:wrapNone/>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4C61C9C8" wp14:editId="5E86E3C8">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F14211">
        <w:rPr>
          <w:rFonts w:ascii="Book Antiqua" w:hAnsi="Book Antiqua"/>
          <w:bCs/>
          <w:szCs w:val="24"/>
        </w:rPr>
        <w:t>:</w:t>
      </w:r>
      <w:r w:rsidR="004B1F20" w:rsidRPr="00F14211">
        <w:rPr>
          <w:rFonts w:ascii="Book Antiqua" w:hAnsi="Book Antiqua"/>
          <w:bCs/>
          <w:szCs w:val="24"/>
          <w:vertAlign w:val="superscript"/>
        </w:rPr>
        <w:t xml:space="preserve"> </w:t>
      </w:r>
      <w:proofErr w:type="spellStart"/>
      <w:r w:rsidR="00695B3E" w:rsidRPr="00695B3E">
        <w:rPr>
          <w:rStyle w:val="Hyperlink"/>
          <w:rFonts w:ascii="Book Antiqua" w:hAnsi="Book Antiqua"/>
          <w:color w:val="000000" w:themeColor="text1"/>
          <w:sz w:val="20"/>
          <w:u w:val="none"/>
        </w:rPr>
        <w:t>wulanawj@gmail.com</w:t>
      </w:r>
      <w:proofErr w:type="spellEnd"/>
    </w:p>
    <w:p w14:paraId="4E808357" w14:textId="77777777"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Style w:val="TableGrid"/>
        <w:tblW w:w="9642" w:type="dxa"/>
        <w:tblLook w:val="04A0" w:firstRow="1" w:lastRow="0" w:firstColumn="1" w:lastColumn="0" w:noHBand="0" w:noVBand="1"/>
      </w:tblPr>
      <w:tblGrid>
        <w:gridCol w:w="2381"/>
        <w:gridCol w:w="2300"/>
        <w:gridCol w:w="2410"/>
        <w:gridCol w:w="2551"/>
      </w:tblGrid>
      <w:tr w:rsidR="00A2185A" w14:paraId="0E89F9EC" w14:textId="77777777" w:rsidTr="00C93980">
        <w:tc>
          <w:tcPr>
            <w:tcW w:w="9639" w:type="dxa"/>
            <w:gridSpan w:val="4"/>
            <w:tcBorders>
              <w:top w:val="single" w:sz="4" w:space="0" w:color="auto"/>
              <w:left w:val="nil"/>
              <w:bottom w:val="nil"/>
              <w:right w:val="nil"/>
            </w:tcBorders>
            <w:shd w:val="clear" w:color="auto" w:fill="FFF2CC" w:themeFill="accent4" w:themeFillTint="33"/>
            <w:vAlign w:val="center"/>
          </w:tcPr>
          <w:p w14:paraId="333B8C81" w14:textId="77777777" w:rsidR="00A2185A" w:rsidRPr="004418A3" w:rsidRDefault="00183EBA" w:rsidP="003B3B74">
            <w:pPr>
              <w:spacing w:after="0" w:line="240" w:lineRule="auto"/>
              <w:jc w:val="center"/>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285C8E" w14:paraId="0D5C313B" w14:textId="77777777" w:rsidTr="005A3EB2">
        <w:tc>
          <w:tcPr>
            <w:tcW w:w="9639" w:type="dxa"/>
            <w:gridSpan w:val="4"/>
            <w:tcBorders>
              <w:top w:val="nil"/>
              <w:left w:val="nil"/>
              <w:bottom w:val="single" w:sz="4" w:space="0" w:color="auto"/>
              <w:right w:val="nil"/>
            </w:tcBorders>
            <w:shd w:val="clear" w:color="auto" w:fill="auto"/>
            <w:vAlign w:val="center"/>
          </w:tcPr>
          <w:p w14:paraId="5E458A08" w14:textId="77777777" w:rsidR="00183EBA" w:rsidRDefault="00183EBA" w:rsidP="00183EBA">
            <w:pPr>
              <w:spacing w:after="0" w:line="240" w:lineRule="auto"/>
              <w:ind w:left="-108" w:right="-108"/>
              <w:jc w:val="both"/>
              <w:rPr>
                <w:rFonts w:ascii="Book Antiqua" w:hAnsi="Book Antiqua"/>
                <w:b/>
                <w:i/>
                <w:sz w:val="20"/>
              </w:rPr>
            </w:pPr>
            <w:r w:rsidRPr="00B27128">
              <w:rPr>
                <w:rFonts w:ascii="Book Antiqua" w:hAnsi="Book Antiqua"/>
                <w:b/>
                <w:i/>
                <w:color w:val="4472C4" w:themeColor="accent1"/>
                <w:sz w:val="20"/>
              </w:rPr>
              <w:t>Introduction:</w:t>
            </w:r>
            <w:r>
              <w:rPr>
                <w:rFonts w:ascii="Book Antiqua" w:hAnsi="Book Antiqua"/>
                <w:b/>
                <w:i/>
                <w:color w:val="2F5496" w:themeColor="accent1" w:themeShade="BF"/>
                <w:sz w:val="20"/>
              </w:rPr>
              <w:t xml:space="preserve"> </w:t>
            </w:r>
            <w:r w:rsidR="00FA2EF9" w:rsidRPr="00FA2EF9">
              <w:rPr>
                <w:rFonts w:ascii="Book Antiqua" w:hAnsi="Book Antiqua"/>
                <w:bCs/>
                <w:i/>
                <w:sz w:val="20"/>
              </w:rPr>
              <w:t>The problem is that the definition of "control" of a company is not found explicitly in the Company Law, resulting in the emergence of practices of "control" of companies which are carried out not in accordance with the provisions as stipulated in the provisions of Article 1 point 11 and Article 125 paragraph (3) of the Company Law. A company takeover can be carried out in 2 (two) ways, namely (1) through the company's directors or (2) from direct shareholders. When taking over company shares, it does not always result in a change in control of the company if the number of shares taken over does not exceed 50% of the company's shares. If the takeover of shares exceeds 50% of the company's shares, the party taking over a company will become the controller of the party being taken over</w:t>
            </w:r>
            <w:r w:rsidR="007F6E04" w:rsidRPr="007F6E04">
              <w:rPr>
                <w:rFonts w:ascii="Book Antiqua" w:hAnsi="Book Antiqua"/>
                <w:bCs/>
                <w:i/>
                <w:sz w:val="20"/>
              </w:rPr>
              <w:t>.</w:t>
            </w:r>
          </w:p>
          <w:p w14:paraId="2CCD30B2" w14:textId="77777777" w:rsidR="00183EBA" w:rsidRDefault="00183EBA" w:rsidP="00183EBA">
            <w:pPr>
              <w:spacing w:after="0" w:line="240" w:lineRule="auto"/>
              <w:ind w:left="-108" w:right="-108"/>
              <w:jc w:val="both"/>
              <w:rPr>
                <w:rFonts w:ascii="Book Antiqua" w:hAnsi="Book Antiqua"/>
                <w:bCs/>
                <w:i/>
                <w:sz w:val="20"/>
              </w:rPr>
            </w:pPr>
            <w:r w:rsidRPr="00B27128">
              <w:rPr>
                <w:rFonts w:ascii="Book Antiqua" w:hAnsi="Book Antiqua"/>
                <w:b/>
                <w:i/>
                <w:color w:val="4472C4" w:themeColor="accent1"/>
                <w:sz w:val="20"/>
              </w:rPr>
              <w:t>Purposes of the Research</w:t>
            </w:r>
            <w:r w:rsidRPr="00B27128">
              <w:rPr>
                <w:rFonts w:ascii="Book Antiqua" w:hAnsi="Book Antiqua"/>
                <w:b/>
                <w:bCs/>
                <w:i/>
                <w:color w:val="4472C4" w:themeColor="accent1"/>
                <w:sz w:val="20"/>
              </w:rPr>
              <w:t>:</w:t>
            </w:r>
            <w:r>
              <w:rPr>
                <w:rFonts w:ascii="Book Antiqua" w:hAnsi="Book Antiqua"/>
                <w:b/>
                <w:bCs/>
                <w:i/>
                <w:color w:val="2F5496" w:themeColor="accent1" w:themeShade="BF"/>
                <w:sz w:val="20"/>
              </w:rPr>
              <w:t xml:space="preserve"> </w:t>
            </w:r>
            <w:r>
              <w:rPr>
                <w:rFonts w:ascii="Book Antiqua" w:hAnsi="Book Antiqua"/>
                <w:b/>
                <w:bCs/>
                <w:i/>
                <w:sz w:val="20"/>
              </w:rPr>
              <w:t xml:space="preserve"> </w:t>
            </w:r>
            <w:r w:rsidR="00FA2EF9" w:rsidRPr="00FA2EF9">
              <w:rPr>
                <w:rFonts w:ascii="Book Antiqua" w:hAnsi="Book Antiqua"/>
                <w:i/>
                <w:sz w:val="20"/>
              </w:rPr>
              <w:t xml:space="preserve">The control intended by </w:t>
            </w:r>
            <w:proofErr w:type="spellStart"/>
            <w:r w:rsidR="00FA2EF9" w:rsidRPr="00FA2EF9">
              <w:rPr>
                <w:rFonts w:ascii="Book Antiqua" w:hAnsi="Book Antiqua"/>
                <w:i/>
                <w:sz w:val="20"/>
              </w:rPr>
              <w:t>UUPT</w:t>
            </w:r>
            <w:proofErr w:type="spellEnd"/>
            <w:r w:rsidR="00FA2EF9" w:rsidRPr="00FA2EF9">
              <w:rPr>
                <w:rFonts w:ascii="Book Antiqua" w:hAnsi="Book Antiqua"/>
                <w:i/>
                <w:sz w:val="20"/>
              </w:rPr>
              <w:t xml:space="preserve"> is very limited and cannot be interpreted more broadly</w:t>
            </w:r>
            <w:r>
              <w:rPr>
                <w:rFonts w:ascii="Book Antiqua" w:hAnsi="Book Antiqua"/>
                <w:i/>
                <w:sz w:val="20"/>
              </w:rPr>
              <w:t>.</w:t>
            </w:r>
            <w:r w:rsidR="007F6E04">
              <w:rPr>
                <w:rFonts w:ascii="Book Antiqua" w:hAnsi="Book Antiqua"/>
                <w:bCs/>
                <w:i/>
                <w:sz w:val="20"/>
              </w:rPr>
              <w:t xml:space="preserve"> </w:t>
            </w:r>
          </w:p>
          <w:p w14:paraId="56D1E3B2" w14:textId="77777777" w:rsidR="00183EBA" w:rsidRDefault="00183EBA" w:rsidP="00183EBA">
            <w:pPr>
              <w:spacing w:after="0" w:line="240" w:lineRule="auto"/>
              <w:ind w:left="-108" w:right="-108"/>
              <w:jc w:val="both"/>
              <w:rPr>
                <w:rFonts w:ascii="Book Antiqua" w:hAnsi="Book Antiqua"/>
                <w:bCs/>
                <w:i/>
                <w:sz w:val="20"/>
              </w:rPr>
            </w:pPr>
            <w:r w:rsidRPr="00B27128">
              <w:rPr>
                <w:rFonts w:ascii="Book Antiqua" w:hAnsi="Book Antiqua"/>
                <w:b/>
                <w:i/>
                <w:color w:val="4472C4" w:themeColor="accent1"/>
                <w:sz w:val="20"/>
              </w:rPr>
              <w:t>Methods of the Research</w:t>
            </w:r>
            <w:r w:rsidRPr="00B27128">
              <w:rPr>
                <w:rFonts w:ascii="Book Antiqua" w:hAnsi="Book Antiqua"/>
                <w:b/>
                <w:bCs/>
                <w:i/>
                <w:color w:val="4472C4" w:themeColor="accent1"/>
                <w:sz w:val="20"/>
              </w:rPr>
              <w:t>:</w:t>
            </w:r>
            <w:r>
              <w:rPr>
                <w:rFonts w:ascii="Book Antiqua" w:hAnsi="Book Antiqua"/>
                <w:b/>
                <w:bCs/>
                <w:i/>
                <w:color w:val="2F5496" w:themeColor="accent1" w:themeShade="BF"/>
                <w:sz w:val="20"/>
              </w:rPr>
              <w:t xml:space="preserve"> </w:t>
            </w:r>
            <w:r w:rsidR="001D4CAA" w:rsidRPr="001D4CAA">
              <w:rPr>
                <w:rFonts w:ascii="Book Antiqua" w:hAnsi="Book Antiqua"/>
                <w:i/>
                <w:sz w:val="20"/>
              </w:rPr>
              <w:t xml:space="preserve">The research method used in this research is Empirical Legal Research, which uses a sociological legal approach focusing on reality by examining the application of law, in this case the PT </w:t>
            </w:r>
            <w:proofErr w:type="spellStart"/>
            <w:r w:rsidR="001D4CAA" w:rsidRPr="001D4CAA">
              <w:rPr>
                <w:rFonts w:ascii="Book Antiqua" w:hAnsi="Book Antiqua"/>
                <w:i/>
                <w:sz w:val="20"/>
              </w:rPr>
              <w:t>UU</w:t>
            </w:r>
            <w:proofErr w:type="spellEnd"/>
            <w:r w:rsidR="001D4CAA" w:rsidRPr="001D4CAA">
              <w:rPr>
                <w:rFonts w:ascii="Book Antiqua" w:hAnsi="Book Antiqua"/>
                <w:i/>
                <w:sz w:val="20"/>
              </w:rPr>
              <w:t>, which is used as a basis for the formation and implementation of a Legal Entity (limited liability company)</w:t>
            </w:r>
            <w:r w:rsidR="001D4CAA">
              <w:rPr>
                <w:rFonts w:ascii="Book Antiqua" w:hAnsi="Book Antiqua"/>
                <w:i/>
                <w:sz w:val="20"/>
              </w:rPr>
              <w:t>.</w:t>
            </w:r>
          </w:p>
          <w:p w14:paraId="4D1904FF" w14:textId="77777777" w:rsidR="00285C8E" w:rsidRDefault="00183EBA" w:rsidP="00183EBA">
            <w:pPr>
              <w:spacing w:after="120" w:line="240" w:lineRule="auto"/>
              <w:ind w:left="-108" w:right="-108"/>
              <w:jc w:val="both"/>
              <w:rPr>
                <w:rFonts w:ascii="Book Antiqua" w:hAnsi="Book Antiqua"/>
                <w:bCs/>
                <w:sz w:val="20"/>
              </w:rPr>
            </w:pPr>
            <w:r w:rsidRPr="00B27128">
              <w:rPr>
                <w:rFonts w:ascii="Book Antiqua" w:hAnsi="Book Antiqua"/>
                <w:b/>
                <w:i/>
                <w:color w:val="4472C4" w:themeColor="accent1"/>
                <w:sz w:val="20"/>
              </w:rPr>
              <w:t>Results / Main Findings / Novelty/Originality of the Research</w:t>
            </w:r>
            <w:r w:rsidRPr="00B27128">
              <w:rPr>
                <w:rFonts w:ascii="Book Antiqua" w:hAnsi="Book Antiqua"/>
                <w:b/>
                <w:bCs/>
                <w:i/>
                <w:color w:val="4472C4" w:themeColor="accent1"/>
                <w:sz w:val="20"/>
              </w:rPr>
              <w:t>:</w:t>
            </w:r>
            <w:r>
              <w:rPr>
                <w:rFonts w:ascii="Book Antiqua" w:hAnsi="Book Antiqua"/>
                <w:b/>
                <w:bCs/>
                <w:i/>
                <w:sz w:val="20"/>
              </w:rPr>
              <w:t xml:space="preserve"> </w:t>
            </w:r>
            <w:r w:rsidR="001D4CAA" w:rsidRPr="001D4CAA">
              <w:rPr>
                <w:rFonts w:ascii="Book Antiqua" w:hAnsi="Book Antiqua"/>
                <w:i/>
                <w:color w:val="000000" w:themeColor="text1"/>
                <w:sz w:val="20"/>
              </w:rPr>
              <w:t xml:space="preserve">The results of the research found the first fact that there were actions to control limited liability companies that were not in accordance with the provisions of Article 1 number 11 and Article 125 paragraph (3) of the Company Law and the aims and objectives of the Articles of Association of the Deed of Establishment were not achieved. These findings occurred at PT. </w:t>
            </w:r>
            <w:proofErr w:type="spellStart"/>
            <w:r w:rsidR="001D4CAA" w:rsidRPr="001D4CAA">
              <w:rPr>
                <w:rFonts w:ascii="Book Antiqua" w:hAnsi="Book Antiqua"/>
                <w:i/>
                <w:color w:val="000000" w:themeColor="text1"/>
                <w:sz w:val="20"/>
              </w:rPr>
              <w:t>ESG</w:t>
            </w:r>
            <w:proofErr w:type="spellEnd"/>
            <w:r w:rsidR="001D4CAA" w:rsidRPr="001D4CAA">
              <w:rPr>
                <w:rFonts w:ascii="Book Antiqua" w:hAnsi="Book Antiqua"/>
                <w:i/>
                <w:color w:val="000000" w:themeColor="text1"/>
                <w:sz w:val="20"/>
              </w:rPr>
              <w:t xml:space="preserve">. Second, there is the involvement of a Notary in legalizing the actions of the Commissioner of PT. </w:t>
            </w:r>
            <w:proofErr w:type="spellStart"/>
            <w:r w:rsidR="001D4CAA" w:rsidRPr="001D4CAA">
              <w:rPr>
                <w:rFonts w:ascii="Book Antiqua" w:hAnsi="Book Antiqua"/>
                <w:i/>
                <w:color w:val="000000" w:themeColor="text1"/>
                <w:sz w:val="20"/>
              </w:rPr>
              <w:t>ESG</w:t>
            </w:r>
            <w:proofErr w:type="spellEnd"/>
            <w:r w:rsidR="001D4CAA" w:rsidRPr="001D4CAA">
              <w:rPr>
                <w:rFonts w:ascii="Book Antiqua" w:hAnsi="Book Antiqua"/>
                <w:i/>
                <w:color w:val="000000" w:themeColor="text1"/>
                <w:sz w:val="20"/>
              </w:rPr>
              <w:t xml:space="preserve"> to control PT. </w:t>
            </w:r>
            <w:proofErr w:type="spellStart"/>
            <w:r w:rsidR="001D4CAA" w:rsidRPr="001D4CAA">
              <w:rPr>
                <w:rFonts w:ascii="Book Antiqua" w:hAnsi="Book Antiqua"/>
                <w:i/>
                <w:color w:val="000000" w:themeColor="text1"/>
                <w:sz w:val="20"/>
              </w:rPr>
              <w:t>ESG</w:t>
            </w:r>
            <w:proofErr w:type="spellEnd"/>
            <w:r w:rsidR="001D4CAA" w:rsidRPr="001D4CAA">
              <w:rPr>
                <w:rFonts w:ascii="Book Antiqua" w:hAnsi="Book Antiqua"/>
                <w:i/>
                <w:color w:val="000000" w:themeColor="text1"/>
                <w:sz w:val="20"/>
              </w:rPr>
              <w:t xml:space="preserve"> Beyond Acquisitions. Third, there is a conflict between the norms of Article 102 paragraph 1 of the Company Law with Article 102 paragraph 4 of the Company Law regarding the "Requirement to seek approval from the GMS" to transfer assets, but the entire assets of PT. </w:t>
            </w:r>
            <w:proofErr w:type="spellStart"/>
            <w:r w:rsidR="001D4CAA" w:rsidRPr="001D4CAA">
              <w:rPr>
                <w:rFonts w:ascii="Book Antiqua" w:hAnsi="Book Antiqua"/>
                <w:i/>
                <w:color w:val="000000" w:themeColor="text1"/>
                <w:sz w:val="20"/>
              </w:rPr>
              <w:t>ESG</w:t>
            </w:r>
            <w:proofErr w:type="spellEnd"/>
            <w:r w:rsidR="001D4CAA" w:rsidRPr="001D4CAA">
              <w:rPr>
                <w:rFonts w:ascii="Book Antiqua" w:hAnsi="Book Antiqua"/>
                <w:i/>
                <w:color w:val="000000" w:themeColor="text1"/>
                <w:sz w:val="20"/>
              </w:rPr>
              <w:t xml:space="preserve"> has been transferred without asking for approval from the GMS and a Deed of Sale and Purchase Agreement and Transfer of Rights has been issued by a Notary</w:t>
            </w:r>
            <w:r>
              <w:rPr>
                <w:rFonts w:ascii="Book Antiqua" w:hAnsi="Book Antiqua"/>
                <w:bCs/>
                <w:i/>
                <w:sz w:val="20"/>
              </w:rPr>
              <w:t>.</w:t>
            </w:r>
          </w:p>
          <w:p w14:paraId="53E1829A" w14:textId="77777777" w:rsidR="00FC5CD6" w:rsidRPr="00FC5CD6" w:rsidRDefault="00183EBA" w:rsidP="004C1521">
            <w:pPr>
              <w:spacing w:after="120" w:line="240" w:lineRule="auto"/>
              <w:ind w:left="-108" w:right="-108"/>
              <w:jc w:val="both"/>
              <w:rPr>
                <w:rFonts w:ascii="Book Antiqua" w:hAnsi="Book Antiqua"/>
                <w:b/>
                <w:bCs/>
                <w:i/>
                <w:iCs/>
                <w:color w:val="000000"/>
                <w:sz w:val="20"/>
                <w:szCs w:val="24"/>
              </w:rPr>
            </w:pPr>
            <w:r w:rsidRPr="003B3B74">
              <w:rPr>
                <w:rFonts w:ascii="Book Antiqua" w:hAnsi="Book Antiqua"/>
                <w:b/>
                <w:bCs/>
                <w:i/>
                <w:iCs/>
                <w:color w:val="000000" w:themeColor="text1"/>
                <w:sz w:val="20"/>
                <w:szCs w:val="20"/>
                <w:lang w:val="id-ID"/>
              </w:rPr>
              <w:t>Keywords:</w:t>
            </w:r>
            <w:r>
              <w:rPr>
                <w:rFonts w:ascii="Book Antiqua" w:hAnsi="Book Antiqua"/>
                <w:b/>
                <w:bCs/>
                <w:i/>
                <w:iCs/>
                <w:color w:val="FFC000" w:themeColor="accent4"/>
                <w:sz w:val="20"/>
                <w:szCs w:val="20"/>
              </w:rPr>
              <w:t xml:space="preserve"> </w:t>
            </w:r>
            <w:proofErr w:type="spellStart"/>
            <w:r w:rsidR="007F6E04" w:rsidRPr="007F6E04">
              <w:rPr>
                <w:rFonts w:ascii="Book Antiqua" w:hAnsi="Book Antiqua"/>
                <w:b/>
                <w:i/>
                <w:sz w:val="20"/>
                <w:szCs w:val="20"/>
              </w:rPr>
              <w:t>Pengendalian</w:t>
            </w:r>
            <w:proofErr w:type="spellEnd"/>
            <w:r w:rsidR="007F6E04">
              <w:rPr>
                <w:rFonts w:ascii="Book Antiqua" w:hAnsi="Book Antiqua"/>
                <w:b/>
                <w:i/>
                <w:sz w:val="20"/>
                <w:szCs w:val="20"/>
              </w:rPr>
              <w:t xml:space="preserve">; </w:t>
            </w:r>
            <w:proofErr w:type="spellStart"/>
            <w:r w:rsidR="007F6E04" w:rsidRPr="007F6E04">
              <w:rPr>
                <w:rFonts w:ascii="Book Antiqua" w:hAnsi="Book Antiqua"/>
                <w:b/>
                <w:i/>
                <w:sz w:val="20"/>
                <w:szCs w:val="20"/>
              </w:rPr>
              <w:t>Pengambilalihan</w:t>
            </w:r>
            <w:proofErr w:type="spellEnd"/>
            <w:r w:rsidR="007F6E04" w:rsidRPr="007F6E04">
              <w:rPr>
                <w:rFonts w:ascii="Book Antiqua" w:hAnsi="Book Antiqua"/>
                <w:b/>
                <w:i/>
                <w:sz w:val="20"/>
                <w:szCs w:val="20"/>
              </w:rPr>
              <w:t xml:space="preserve"> Perseroan</w:t>
            </w:r>
            <w:r w:rsidRPr="003B3B74">
              <w:rPr>
                <w:rFonts w:ascii="Book Antiqua" w:hAnsi="Book Antiqua"/>
                <w:b/>
                <w:i/>
                <w:sz w:val="20"/>
                <w:szCs w:val="20"/>
              </w:rPr>
              <w:t>;</w:t>
            </w:r>
            <w:r w:rsidRPr="003B3B74">
              <w:rPr>
                <w:rFonts w:ascii="Book Antiqua" w:hAnsi="Book Antiqua"/>
                <w:b/>
                <w:i/>
                <w:sz w:val="20"/>
                <w:szCs w:val="20"/>
                <w:lang w:val="id-ID"/>
              </w:rPr>
              <w:t xml:space="preserve"> </w:t>
            </w:r>
            <w:proofErr w:type="spellStart"/>
            <w:r w:rsidR="007F6E04" w:rsidRPr="007F6E04">
              <w:rPr>
                <w:rFonts w:ascii="Book Antiqua" w:hAnsi="Book Antiqua"/>
                <w:b/>
                <w:i/>
                <w:sz w:val="20"/>
                <w:szCs w:val="20"/>
              </w:rPr>
              <w:t>Akuisisi</w:t>
            </w:r>
            <w:proofErr w:type="spellEnd"/>
          </w:p>
        </w:tc>
      </w:tr>
      <w:tr w:rsidR="005A3EB2" w:rsidRPr="009B3C8A" w14:paraId="1ED75460" w14:textId="77777777" w:rsidTr="00C93980">
        <w:tc>
          <w:tcPr>
            <w:tcW w:w="2378" w:type="dxa"/>
            <w:tcBorders>
              <w:left w:val="nil"/>
              <w:bottom w:val="single" w:sz="4" w:space="0" w:color="auto"/>
              <w:right w:val="nil"/>
            </w:tcBorders>
            <w:shd w:val="clear" w:color="auto" w:fill="FFF2CC" w:themeFill="accent4" w:themeFillTint="33"/>
            <w:vAlign w:val="center"/>
          </w:tcPr>
          <w:p w14:paraId="24D94B66" w14:textId="77777777" w:rsidR="005A3EB2" w:rsidRPr="009B3C8A" w:rsidRDefault="005A3EB2" w:rsidP="007E1A77">
            <w:pPr>
              <w:spacing w:after="0" w:line="240" w:lineRule="auto"/>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Submitted: Year-Month-Date</w:t>
            </w:r>
          </w:p>
        </w:tc>
        <w:tc>
          <w:tcPr>
            <w:tcW w:w="2300" w:type="dxa"/>
            <w:tcBorders>
              <w:left w:val="nil"/>
              <w:bottom w:val="single" w:sz="4" w:space="0" w:color="auto"/>
              <w:right w:val="nil"/>
            </w:tcBorders>
            <w:shd w:val="clear" w:color="auto" w:fill="FFF2CC" w:themeFill="accent4" w:themeFillTint="33"/>
            <w:vAlign w:val="center"/>
          </w:tcPr>
          <w:p w14:paraId="3F2E4CEA" w14:textId="77777777" w:rsidR="005A3EB2" w:rsidRPr="009B3C8A" w:rsidRDefault="005A3EB2" w:rsidP="007E1A77">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Revised: Year-Month-Date</w:t>
            </w:r>
          </w:p>
        </w:tc>
        <w:tc>
          <w:tcPr>
            <w:tcW w:w="2410" w:type="dxa"/>
            <w:tcBorders>
              <w:left w:val="nil"/>
              <w:bottom w:val="single" w:sz="4" w:space="0" w:color="auto"/>
              <w:right w:val="nil"/>
            </w:tcBorders>
            <w:shd w:val="clear" w:color="auto" w:fill="FFF2CC" w:themeFill="accent4" w:themeFillTint="33"/>
            <w:vAlign w:val="center"/>
          </w:tcPr>
          <w:p w14:paraId="6E498412" w14:textId="77777777" w:rsidR="005A3EB2" w:rsidRPr="009B3C8A" w:rsidRDefault="005A3EB2" w:rsidP="007E1A77">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Accepted: Year-Month-Date</w:t>
            </w:r>
          </w:p>
        </w:tc>
        <w:tc>
          <w:tcPr>
            <w:tcW w:w="2551" w:type="dxa"/>
            <w:tcBorders>
              <w:left w:val="nil"/>
              <w:bottom w:val="single" w:sz="4" w:space="0" w:color="auto"/>
              <w:right w:val="nil"/>
            </w:tcBorders>
            <w:shd w:val="clear" w:color="auto" w:fill="FFF2CC" w:themeFill="accent4" w:themeFillTint="33"/>
            <w:vAlign w:val="center"/>
          </w:tcPr>
          <w:p w14:paraId="155CA94B" w14:textId="77777777" w:rsidR="005A3EB2" w:rsidRPr="009B3C8A" w:rsidRDefault="005A3EB2" w:rsidP="007E1A77">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Published: Year-Month-Date</w:t>
            </w:r>
          </w:p>
        </w:tc>
      </w:tr>
      <w:tr w:rsidR="005A3EB2" w:rsidRPr="009B3C8A" w14:paraId="5843FE18" w14:textId="77777777" w:rsidTr="00C93980">
        <w:trPr>
          <w:trHeight w:val="521"/>
        </w:trPr>
        <w:tc>
          <w:tcPr>
            <w:tcW w:w="9639" w:type="dxa"/>
            <w:gridSpan w:val="4"/>
            <w:tcBorders>
              <w:top w:val="single" w:sz="4" w:space="0" w:color="auto"/>
              <w:left w:val="nil"/>
              <w:bottom w:val="single" w:sz="4" w:space="0" w:color="auto"/>
              <w:right w:val="nil"/>
            </w:tcBorders>
            <w:shd w:val="clear" w:color="auto" w:fill="FFF2CC" w:themeFill="accent4" w:themeFillTint="33"/>
            <w:vAlign w:val="center"/>
          </w:tcPr>
          <w:p w14:paraId="45CCAE35" w14:textId="77777777" w:rsidR="005A3EB2" w:rsidRPr="009B3C8A" w:rsidRDefault="005A3EB2" w:rsidP="005A3EB2">
            <w:pPr>
              <w:spacing w:after="0" w:line="240" w:lineRule="auto"/>
              <w:ind w:left="-108"/>
              <w:jc w:val="both"/>
              <w:rPr>
                <w:rFonts w:ascii="Book Antiqua" w:hAnsi="Book Antiqua"/>
                <w:color w:val="4472C4" w:themeColor="accent1"/>
                <w:sz w:val="16"/>
                <w:szCs w:val="16"/>
              </w:rPr>
            </w:pPr>
            <w:r w:rsidRPr="009807F2">
              <w:rPr>
                <w:rFonts w:ascii="Book Antiqua" w:hAnsi="Book Antiqua"/>
                <w:sz w:val="16"/>
                <w:szCs w:val="16"/>
              </w:rPr>
              <w:t>How To Cite:</w:t>
            </w:r>
            <w:r w:rsidR="008575B1">
              <w:rPr>
                <w:rFonts w:ascii="Book Antiqua" w:hAnsi="Book Antiqua"/>
                <w:sz w:val="16"/>
                <w:szCs w:val="16"/>
              </w:rPr>
              <w:t xml:space="preserve"> </w:t>
            </w:r>
            <w:r w:rsidR="000B76DE" w:rsidRPr="000B76DE">
              <w:rPr>
                <w:rFonts w:ascii="Book Antiqua" w:hAnsi="Book Antiqua" w:cstheme="majorHAnsi"/>
                <w:color w:val="000000" w:themeColor="text1"/>
                <w:sz w:val="16"/>
                <w:szCs w:val="16"/>
              </w:rPr>
              <w:t xml:space="preserve">Elvira </w:t>
            </w:r>
            <w:proofErr w:type="spellStart"/>
            <w:r w:rsidR="000B76DE" w:rsidRPr="000B76DE">
              <w:rPr>
                <w:rFonts w:ascii="Book Antiqua" w:hAnsi="Book Antiqua" w:cstheme="majorHAnsi"/>
                <w:color w:val="000000" w:themeColor="text1"/>
                <w:sz w:val="16"/>
                <w:szCs w:val="16"/>
              </w:rPr>
              <w:t>Fitriyani</w:t>
            </w:r>
            <w:proofErr w:type="spellEnd"/>
            <w:r w:rsidR="000B76DE" w:rsidRPr="000B76DE">
              <w:rPr>
                <w:rFonts w:ascii="Book Antiqua" w:hAnsi="Book Antiqua" w:cstheme="majorHAnsi"/>
                <w:color w:val="000000" w:themeColor="text1"/>
                <w:sz w:val="16"/>
                <w:szCs w:val="16"/>
              </w:rPr>
              <w:t xml:space="preserve"> </w:t>
            </w:r>
            <w:proofErr w:type="spellStart"/>
            <w:r w:rsidR="000B76DE" w:rsidRPr="000B76DE">
              <w:rPr>
                <w:rFonts w:ascii="Book Antiqua" w:hAnsi="Book Antiqua" w:cstheme="majorHAnsi"/>
                <w:color w:val="000000" w:themeColor="text1"/>
                <w:sz w:val="16"/>
                <w:szCs w:val="16"/>
              </w:rPr>
              <w:t>Pakpahan</w:t>
            </w:r>
            <w:proofErr w:type="spellEnd"/>
            <w:r w:rsidR="000B76DE" w:rsidRPr="000B76DE">
              <w:rPr>
                <w:rFonts w:ascii="Book Antiqua" w:hAnsi="Book Antiqua" w:cstheme="majorHAnsi"/>
                <w:color w:val="000000" w:themeColor="text1"/>
                <w:sz w:val="16"/>
                <w:szCs w:val="16"/>
              </w:rPr>
              <w:t xml:space="preserve">, </w:t>
            </w:r>
            <w:proofErr w:type="spellStart"/>
            <w:r w:rsidR="000B76DE" w:rsidRPr="000B76DE">
              <w:rPr>
                <w:rFonts w:ascii="Book Antiqua" w:hAnsi="Book Antiqua" w:cstheme="majorHAnsi"/>
                <w:color w:val="000000" w:themeColor="text1"/>
                <w:sz w:val="16"/>
                <w:szCs w:val="16"/>
              </w:rPr>
              <w:t>Kartina</w:t>
            </w:r>
            <w:proofErr w:type="spellEnd"/>
            <w:r w:rsidR="000B76DE" w:rsidRPr="000B76DE">
              <w:rPr>
                <w:rFonts w:ascii="Book Antiqua" w:hAnsi="Book Antiqua" w:cstheme="majorHAnsi"/>
                <w:color w:val="000000" w:themeColor="text1"/>
                <w:sz w:val="16"/>
                <w:szCs w:val="16"/>
              </w:rPr>
              <w:t xml:space="preserve"> </w:t>
            </w:r>
            <w:proofErr w:type="spellStart"/>
            <w:r w:rsidR="000B76DE" w:rsidRPr="000B76DE">
              <w:rPr>
                <w:rFonts w:ascii="Book Antiqua" w:hAnsi="Book Antiqua" w:cstheme="majorHAnsi"/>
                <w:color w:val="000000" w:themeColor="text1"/>
                <w:sz w:val="16"/>
                <w:szCs w:val="16"/>
              </w:rPr>
              <w:t>Pakpahan</w:t>
            </w:r>
            <w:proofErr w:type="spellEnd"/>
            <w:r w:rsidR="000B76DE" w:rsidRPr="000B76DE">
              <w:rPr>
                <w:rFonts w:ascii="Book Antiqua" w:hAnsi="Book Antiqua" w:cstheme="majorHAnsi"/>
                <w:color w:val="000000" w:themeColor="text1"/>
                <w:sz w:val="16"/>
                <w:szCs w:val="16"/>
              </w:rPr>
              <w:t xml:space="preserve">, and </w:t>
            </w:r>
            <w:proofErr w:type="spellStart"/>
            <w:r w:rsidR="000B76DE" w:rsidRPr="000B76DE">
              <w:rPr>
                <w:rFonts w:ascii="Book Antiqua" w:hAnsi="Book Antiqua" w:cstheme="majorHAnsi"/>
                <w:color w:val="000000" w:themeColor="text1"/>
                <w:sz w:val="16"/>
                <w:szCs w:val="16"/>
              </w:rPr>
              <w:t>Wulan</w:t>
            </w:r>
            <w:proofErr w:type="spellEnd"/>
            <w:r w:rsidR="000B76DE" w:rsidRPr="000B76DE">
              <w:rPr>
                <w:rFonts w:ascii="Book Antiqua" w:hAnsi="Book Antiqua" w:cstheme="majorHAnsi"/>
                <w:color w:val="000000" w:themeColor="text1"/>
                <w:sz w:val="16"/>
                <w:szCs w:val="16"/>
              </w:rPr>
              <w:t xml:space="preserve"> Mei </w:t>
            </w:r>
            <w:proofErr w:type="spellStart"/>
            <w:r w:rsidR="000B76DE" w:rsidRPr="000B76DE">
              <w:rPr>
                <w:rFonts w:ascii="Book Antiqua" w:hAnsi="Book Antiqua" w:cstheme="majorHAnsi"/>
                <w:color w:val="000000" w:themeColor="text1"/>
                <w:sz w:val="16"/>
                <w:szCs w:val="16"/>
              </w:rPr>
              <w:t>Firina</w:t>
            </w:r>
            <w:proofErr w:type="spellEnd"/>
            <w:r w:rsidR="000B76DE" w:rsidRPr="000B76DE">
              <w:rPr>
                <w:rFonts w:ascii="Book Antiqua" w:hAnsi="Book Antiqua" w:cstheme="majorHAnsi"/>
                <w:color w:val="000000" w:themeColor="text1"/>
                <w:sz w:val="16"/>
                <w:szCs w:val="16"/>
              </w:rPr>
              <w:t>. “Renewal of Implementing Regulations in Minimizing Control in Limited Liability Companies Outside of Acquisitions”</w:t>
            </w:r>
            <w:r w:rsidRPr="009807F2">
              <w:rPr>
                <w:rFonts w:ascii="Book Antiqua" w:hAnsi="Book Antiqua" w:cstheme="majorHAnsi"/>
                <w:color w:val="000000" w:themeColor="text1"/>
                <w:sz w:val="16"/>
                <w:szCs w:val="16"/>
              </w:rPr>
              <w:t xml:space="preserve">.” </w:t>
            </w:r>
            <w:proofErr w:type="spellStart"/>
            <w:r w:rsidR="000011ED">
              <w:rPr>
                <w:rFonts w:ascii="Book Antiqua" w:hAnsi="Book Antiqua" w:cstheme="majorHAnsi"/>
                <w:i/>
                <w:color w:val="000000" w:themeColor="text1"/>
                <w:sz w:val="16"/>
                <w:szCs w:val="16"/>
              </w:rPr>
              <w:t>Batulis</w:t>
            </w:r>
            <w:proofErr w:type="spellEnd"/>
            <w:r>
              <w:rPr>
                <w:rFonts w:ascii="Book Antiqua" w:hAnsi="Book Antiqua" w:cstheme="majorHAnsi"/>
                <w:i/>
                <w:color w:val="000000" w:themeColor="text1"/>
                <w:sz w:val="16"/>
                <w:szCs w:val="16"/>
              </w:rPr>
              <w:t xml:space="preserve"> Civil Law Review</w:t>
            </w:r>
            <w:r>
              <w:rPr>
                <w:rFonts w:ascii="Book Antiqua" w:hAnsi="Book Antiqua" w:cstheme="majorHAnsi"/>
                <w:color w:val="000000" w:themeColor="text1"/>
                <w:sz w:val="16"/>
                <w:szCs w:val="16"/>
              </w:rPr>
              <w:t xml:space="preserve"> 4 no. 2</w:t>
            </w:r>
            <w:r w:rsidRPr="009807F2">
              <w:rPr>
                <w:rFonts w:ascii="Book Antiqua" w:hAnsi="Book Antiqua" w:cstheme="majorHAnsi"/>
                <w:color w:val="000000" w:themeColor="text1"/>
                <w:sz w:val="16"/>
                <w:szCs w:val="16"/>
              </w:rPr>
              <w:t xml:space="preserve"> (202</w:t>
            </w:r>
            <w:r w:rsidR="000B76DE">
              <w:rPr>
                <w:rFonts w:ascii="Book Antiqua" w:hAnsi="Book Antiqua" w:cstheme="majorHAnsi"/>
                <w:color w:val="000000" w:themeColor="text1"/>
                <w:sz w:val="16"/>
                <w:szCs w:val="16"/>
              </w:rPr>
              <w:t>4</w:t>
            </w:r>
            <w:r w:rsidRPr="009807F2">
              <w:rPr>
                <w:rFonts w:ascii="Book Antiqua" w:hAnsi="Book Antiqua" w:cstheme="majorHAnsi"/>
                <w:color w:val="000000" w:themeColor="text1"/>
                <w:sz w:val="16"/>
                <w:szCs w:val="16"/>
              </w:rPr>
              <w:t>): XXX-</w:t>
            </w:r>
            <w:proofErr w:type="spellStart"/>
            <w:r w:rsidRPr="009807F2">
              <w:rPr>
                <w:rFonts w:ascii="Book Antiqua" w:hAnsi="Book Antiqua" w:cstheme="majorHAnsi"/>
                <w:color w:val="000000" w:themeColor="text1"/>
                <w:sz w:val="16"/>
                <w:szCs w:val="16"/>
              </w:rPr>
              <w:t>XXX.</w:t>
            </w:r>
            <w:r w:rsidRPr="009807F2">
              <w:rPr>
                <w:rFonts w:ascii="Book Antiqua" w:hAnsi="Book Antiqua"/>
                <w:noProof/>
                <w:sz w:val="16"/>
                <w:szCs w:val="16"/>
              </w:rPr>
              <w:t>https</w:t>
            </w:r>
            <w:proofErr w:type="spellEnd"/>
            <w:r w:rsidRPr="009807F2">
              <w:rPr>
                <w:rFonts w:ascii="Book Antiqua" w:hAnsi="Book Antiqua"/>
                <w:noProof/>
                <w:sz w:val="16"/>
                <w:szCs w:val="16"/>
              </w:rPr>
              <w:t>://doi.org/</w:t>
            </w:r>
            <w:hyperlink r:id="rId14" w:history="1">
              <w:r>
                <w:rPr>
                  <w:rFonts w:ascii="Book Antiqua" w:hAnsi="Book Antiqua"/>
                  <w:color w:val="4472C4" w:themeColor="accent1"/>
                  <w:sz w:val="16"/>
                  <w:szCs w:val="16"/>
                </w:rPr>
                <w:t>10.47268/</w:t>
              </w:r>
              <w:proofErr w:type="spellStart"/>
              <w:r>
                <w:rPr>
                  <w:rFonts w:ascii="Book Antiqua" w:hAnsi="Book Antiqua"/>
                  <w:color w:val="4472C4" w:themeColor="accent1"/>
                  <w:sz w:val="16"/>
                  <w:szCs w:val="16"/>
                </w:rPr>
                <w:t>ballrev.v4i2</w:t>
              </w:r>
              <w:r w:rsidRPr="009807F2">
                <w:rPr>
                  <w:rFonts w:ascii="Book Antiqua" w:hAnsi="Book Antiqua"/>
                  <w:color w:val="4472C4" w:themeColor="accent1"/>
                  <w:sz w:val="16"/>
                  <w:szCs w:val="16"/>
                </w:rPr>
                <w:t>.XXXXX</w:t>
              </w:r>
              <w:proofErr w:type="spellEnd"/>
              <w:r w:rsidRPr="009807F2">
                <w:rPr>
                  <w:rFonts w:ascii="Book Antiqua" w:hAnsi="Book Antiqua"/>
                  <w:color w:val="4472C4" w:themeColor="accent1"/>
                  <w:sz w:val="16"/>
                  <w:szCs w:val="16"/>
                </w:rPr>
                <w:t xml:space="preserve"> </w:t>
              </w:r>
            </w:hyperlink>
          </w:p>
        </w:tc>
      </w:tr>
      <w:tr w:rsidR="005A3EB2" w:rsidRPr="00DE1590" w14:paraId="333778F6" w14:textId="77777777" w:rsidTr="00C93980">
        <w:tc>
          <w:tcPr>
            <w:tcW w:w="2381" w:type="dxa"/>
            <w:tcBorders>
              <w:top w:val="single" w:sz="4" w:space="0" w:color="auto"/>
              <w:left w:val="nil"/>
              <w:bottom w:val="single" w:sz="4" w:space="0" w:color="auto"/>
              <w:right w:val="nil"/>
            </w:tcBorders>
            <w:shd w:val="clear" w:color="auto" w:fill="FFF2CC" w:themeFill="accent4" w:themeFillTint="33"/>
            <w:vAlign w:val="center"/>
          </w:tcPr>
          <w:p w14:paraId="4377CC90" w14:textId="77777777" w:rsidR="005A3EB2" w:rsidRPr="00DE1590" w:rsidRDefault="005A3EB2" w:rsidP="007E1A77">
            <w:pPr>
              <w:spacing w:before="120" w:after="0" w:line="240" w:lineRule="auto"/>
              <w:ind w:left="-108"/>
              <w:jc w:val="both"/>
              <w:rPr>
                <w:noProof/>
                <w:color w:val="4472C4" w:themeColor="accent1"/>
                <w:sz w:val="18"/>
                <w:szCs w:val="18"/>
                <w:lang w:bidi="ar-SA"/>
              </w:rPr>
            </w:pPr>
            <w:r w:rsidRPr="00DE1590">
              <w:rPr>
                <w:noProof/>
                <w:color w:val="4472C4" w:themeColor="accent1"/>
                <w:sz w:val="18"/>
                <w:szCs w:val="18"/>
                <w:lang w:bidi="ar-SA"/>
              </w:rPr>
              <w:drawing>
                <wp:anchor distT="0" distB="0" distL="114300" distR="114300" simplePos="0" relativeHeight="251692032" behindDoc="0" locked="0" layoutInCell="1" allowOverlap="1" wp14:anchorId="77DD5F99" wp14:editId="02A958A9">
                  <wp:simplePos x="0" y="0"/>
                  <wp:positionH relativeFrom="column">
                    <wp:posOffset>1365885</wp:posOffset>
                  </wp:positionH>
                  <wp:positionV relativeFrom="paragraph">
                    <wp:posOffset>635</wp:posOffset>
                  </wp:positionV>
                  <wp:extent cx="424180" cy="211455"/>
                  <wp:effectExtent l="0" t="0" r="0" b="0"/>
                  <wp:wrapNone/>
                  <wp:docPr id="1" name="Picture 1"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C8A">
              <w:rPr>
                <w:rFonts w:ascii="Book Antiqua" w:hAnsi="Book Antiqua"/>
                <w:sz w:val="16"/>
                <w:szCs w:val="16"/>
              </w:rPr>
              <w:t>Copyright</w:t>
            </w:r>
            <w:r w:rsidRPr="009B3C8A">
              <w:rPr>
                <w:rFonts w:ascii="Book Antiqua" w:hAnsi="Book Antiqua"/>
                <w:sz w:val="18"/>
                <w:szCs w:val="16"/>
              </w:rPr>
              <w:t xml:space="preserve"> © 2023 Author(s)</w:t>
            </w:r>
          </w:p>
        </w:tc>
        <w:tc>
          <w:tcPr>
            <w:tcW w:w="7261" w:type="dxa"/>
            <w:gridSpan w:val="3"/>
            <w:tcBorders>
              <w:top w:val="single" w:sz="4" w:space="0" w:color="auto"/>
              <w:left w:val="nil"/>
              <w:bottom w:val="single" w:sz="4" w:space="0" w:color="auto"/>
              <w:right w:val="nil"/>
            </w:tcBorders>
            <w:shd w:val="clear" w:color="auto" w:fill="FFF2CC" w:themeFill="accent4" w:themeFillTint="33"/>
            <w:vAlign w:val="center"/>
          </w:tcPr>
          <w:p w14:paraId="65EF9517" w14:textId="77777777" w:rsidR="005A3EB2" w:rsidRPr="00DE1590" w:rsidRDefault="00AE640B" w:rsidP="007E1A77">
            <w:pPr>
              <w:spacing w:before="120" w:after="0" w:line="240" w:lineRule="auto"/>
              <w:ind w:left="491"/>
              <w:jc w:val="both"/>
              <w:rPr>
                <w:noProof/>
                <w:color w:val="4472C4" w:themeColor="accent1"/>
                <w:sz w:val="18"/>
                <w:szCs w:val="18"/>
                <w:lang w:bidi="ar-SA"/>
              </w:rPr>
            </w:pPr>
            <w:hyperlink r:id="rId16" w:history="1">
              <w:r w:rsidR="005A3EB2" w:rsidRPr="007E1A77">
                <w:t xml:space="preserve"> </w:t>
              </w:r>
              <w:r w:rsidR="005A3EB2" w:rsidRPr="009C7D1C">
                <w:rPr>
                  <w:rStyle w:val="Hyperlink"/>
                  <w:rFonts w:ascii="Book Antiqua" w:hAnsi="Book Antiqua"/>
                  <w:color w:val="000000" w:themeColor="text1"/>
                  <w:sz w:val="18"/>
                  <w:szCs w:val="18"/>
                  <w:u w:val="none"/>
                </w:rPr>
                <w:t>Creative Commons Attribution-</w:t>
              </w:r>
              <w:proofErr w:type="spellStart"/>
              <w:r w:rsidR="005A3EB2" w:rsidRPr="009C7D1C">
                <w:rPr>
                  <w:rStyle w:val="Hyperlink"/>
                  <w:rFonts w:ascii="Book Antiqua" w:hAnsi="Book Antiqua"/>
                  <w:color w:val="000000" w:themeColor="text1"/>
                  <w:sz w:val="18"/>
                  <w:szCs w:val="18"/>
                  <w:u w:val="none"/>
                </w:rPr>
                <w:t>NonCommercial</w:t>
              </w:r>
              <w:proofErr w:type="spellEnd"/>
              <w:r w:rsidR="005A3EB2" w:rsidRPr="009C7D1C">
                <w:rPr>
                  <w:rStyle w:val="Hyperlink"/>
                  <w:rFonts w:ascii="Book Antiqua" w:hAnsi="Book Antiqua"/>
                  <w:color w:val="000000" w:themeColor="text1"/>
                  <w:sz w:val="18"/>
                  <w:szCs w:val="18"/>
                  <w:u w:val="none"/>
                </w:rPr>
                <w:t xml:space="preserve"> 4.0 </w:t>
              </w:r>
              <w:proofErr w:type="spellStart"/>
              <w:r w:rsidR="005A3EB2" w:rsidRPr="009C7D1C">
                <w:rPr>
                  <w:rStyle w:val="Hyperlink"/>
                  <w:rFonts w:ascii="Book Antiqua" w:hAnsi="Book Antiqua"/>
                  <w:color w:val="000000" w:themeColor="text1"/>
                  <w:sz w:val="18"/>
                  <w:szCs w:val="18"/>
                  <w:u w:val="none"/>
                </w:rPr>
                <w:t>Internasional</w:t>
              </w:r>
              <w:proofErr w:type="spellEnd"/>
              <w:r w:rsidR="005A3EB2" w:rsidRPr="00011808">
                <w:rPr>
                  <w:rStyle w:val="Hyperlink"/>
                  <w:rFonts w:ascii="Book Antiqua" w:hAnsi="Book Antiqua"/>
                  <w:color w:val="000000" w:themeColor="text1"/>
                  <w:sz w:val="18"/>
                  <w:szCs w:val="18"/>
                  <w:u w:val="none"/>
                </w:rPr>
                <w:t xml:space="preserve"> License</w:t>
              </w:r>
            </w:hyperlink>
          </w:p>
        </w:tc>
      </w:tr>
    </w:tbl>
    <w:p w14:paraId="72283487"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0B7423F8" w14:textId="77777777" w:rsidR="00763315" w:rsidRPr="003608B8" w:rsidRDefault="00636FF5" w:rsidP="003608B8">
      <w:pPr>
        <w:spacing w:after="120" w:line="240" w:lineRule="auto"/>
        <w:rPr>
          <w:rFonts w:ascii="Book Antiqua" w:hAnsi="Book Antiqua"/>
          <w:b/>
          <w:bCs/>
          <w:color w:val="FF0000"/>
          <w:sz w:val="24"/>
          <w:szCs w:val="22"/>
          <w:lang w:val="id-ID"/>
        </w:rPr>
      </w:pPr>
      <w:r w:rsidRPr="00436951">
        <w:rPr>
          <w:rFonts w:ascii="Book Antiqua" w:hAnsi="Book Antiqua"/>
          <w:b/>
          <w:bCs/>
          <w:color w:val="2F5496" w:themeColor="accent1" w:themeShade="BF"/>
          <w:sz w:val="24"/>
          <w:szCs w:val="24"/>
        </w:rPr>
        <w:t>INTRODUCTION</w:t>
      </w:r>
      <w:r w:rsidR="00325946">
        <w:rPr>
          <w:rFonts w:ascii="Book Antiqua" w:hAnsi="Book Antiqua"/>
          <w:sz w:val="24"/>
        </w:rPr>
        <w:t xml:space="preserve"> </w:t>
      </w:r>
    </w:p>
    <w:p w14:paraId="01949D91" w14:textId="77777777" w:rsidR="003608B8" w:rsidRDefault="001D4CAA" w:rsidP="003608B8">
      <w:pPr>
        <w:spacing w:after="0" w:line="240" w:lineRule="auto"/>
        <w:ind w:firstLine="450"/>
        <w:jc w:val="both"/>
        <w:rPr>
          <w:rFonts w:ascii="Book Antiqua" w:hAnsi="Book Antiqua"/>
          <w:sz w:val="24"/>
        </w:rPr>
      </w:pPr>
      <w:r w:rsidRPr="001D4CAA">
        <w:rPr>
          <w:rFonts w:ascii="Book Antiqua" w:hAnsi="Book Antiqua"/>
          <w:sz w:val="24"/>
        </w:rPr>
        <w:t xml:space="preserve">As an embodiment of the constitution, Article 33 of the 1945 Constitution of the Republic of Indonesia (1945 Constitution of the Republic of Indonesia) states that the establishment of civil legal entities, in this case limited liability companies (hereinafter referred to as "companies"), is reviewed philosophically and is intended as one of the pillars of national economic development carried out based on Economic democracy, based on the principles of unity, efficiency, justice, sustainability, respect for the environment, independence, balance between progress and national economic unity, so that the achievement of the common good must be supported by strong economic </w:t>
      </w:r>
      <w:r w:rsidRPr="001D4CAA">
        <w:rPr>
          <w:rFonts w:ascii="Book Antiqua" w:hAnsi="Book Antiqua"/>
          <w:sz w:val="24"/>
        </w:rPr>
        <w:lastRenderedPageBreak/>
        <w:t>institutions. Limited liability companies are very attractive for investors and investors to invest their capital. In fact, in recent years, with the development of limited liability companies in the economic life of many countries, limited liability companies have attracted almost all the attention of the business world. Limited liability companies that have large control in Indonesia have contributed to improving the standard of living of the Indonesian people both through foreign investment (PMA) and domestic investment (</w:t>
      </w:r>
      <w:proofErr w:type="spellStart"/>
      <w:r w:rsidRPr="001D4CAA">
        <w:rPr>
          <w:rFonts w:ascii="Book Antiqua" w:hAnsi="Book Antiqua"/>
          <w:sz w:val="24"/>
        </w:rPr>
        <w:t>PMDN</w:t>
      </w:r>
      <w:proofErr w:type="spellEnd"/>
      <w:r w:rsidRPr="001D4CAA">
        <w:rPr>
          <w:rFonts w:ascii="Book Antiqua" w:hAnsi="Book Antiqua"/>
          <w:sz w:val="24"/>
        </w:rPr>
        <w:t>). Therefore, limited liability companies are one of the pillars of the national economy</w:t>
      </w:r>
      <w:r w:rsidR="003608B8" w:rsidRPr="003608B8">
        <w:rPr>
          <w:rFonts w:ascii="Book Antiqua" w:hAnsi="Book Antiqua"/>
          <w:sz w:val="24"/>
        </w:rPr>
        <w:t>.</w:t>
      </w:r>
    </w:p>
    <w:p w14:paraId="3D6D6731" w14:textId="77777777" w:rsidR="003608B8" w:rsidRDefault="001D4CAA" w:rsidP="00695B3E">
      <w:pPr>
        <w:spacing w:before="160" w:after="0" w:line="240" w:lineRule="auto"/>
        <w:ind w:firstLine="450"/>
        <w:jc w:val="both"/>
        <w:rPr>
          <w:rFonts w:ascii="Book Antiqua" w:hAnsi="Book Antiqua"/>
          <w:sz w:val="24"/>
        </w:rPr>
      </w:pPr>
      <w:r w:rsidRPr="001D4CAA">
        <w:rPr>
          <w:rFonts w:ascii="Book Antiqua" w:hAnsi="Book Antiqua"/>
          <w:sz w:val="24"/>
        </w:rPr>
        <w:t xml:space="preserve">To establish a company, an authentic deed of establishment must be drawn up by a Notary in Indonesian, as required by Article 7 Paragraph (1) of the Company Law. Notary is a position mandated by law and society, therefore the Notary must accept all risks to carry out the mandate given to him. Submitting a notarial deed is not only a means of evidence, but is also a requirement for establishing a company, and without a notarial deed the establishment of a company will be invalid. Without a deed of establishment, a company cannot obtain approval from the Minister of Justice. The </w:t>
      </w:r>
      <w:proofErr w:type="spellStart"/>
      <w:r w:rsidRPr="001D4CAA">
        <w:rPr>
          <w:rFonts w:ascii="Book Antiqua" w:hAnsi="Book Antiqua"/>
          <w:sz w:val="24"/>
        </w:rPr>
        <w:t>UUPT</w:t>
      </w:r>
      <w:proofErr w:type="spellEnd"/>
      <w:r w:rsidRPr="001D4CAA">
        <w:rPr>
          <w:rFonts w:ascii="Book Antiqua" w:hAnsi="Book Antiqua"/>
          <w:sz w:val="24"/>
        </w:rPr>
        <w:t xml:space="preserve"> itself does not explicitly provide the definition of "control" of a company. However, Article 1 Number 11 of the Limited Liability Company Law implicitly recognizes that "acquisition" is a legal act carried out by a corporation or individual who acquires shares in a company and as a result control of the company is transferred. Furthermore, Article 125 Paragraph 3 (</w:t>
      </w:r>
      <w:proofErr w:type="spellStart"/>
      <w:r w:rsidRPr="001D4CAA">
        <w:rPr>
          <w:rFonts w:ascii="Book Antiqua" w:hAnsi="Book Antiqua"/>
          <w:sz w:val="24"/>
        </w:rPr>
        <w:t>UUPT</w:t>
      </w:r>
      <w:proofErr w:type="spellEnd"/>
      <w:r w:rsidRPr="001D4CAA">
        <w:rPr>
          <w:rFonts w:ascii="Book Antiqua" w:hAnsi="Book Antiqua"/>
          <w:sz w:val="24"/>
        </w:rPr>
        <w:t xml:space="preserve">) regulates that ``Acquisition within the meaning of Paragraph 1 means the takeover of shares which involves the transfer of control over a company.'' So, according to the Company Law, this "control" only occurs when there is a "takeover" or acquisition of shares. The </w:t>
      </w:r>
      <w:proofErr w:type="spellStart"/>
      <w:r w:rsidRPr="001D4CAA">
        <w:rPr>
          <w:rFonts w:ascii="Book Antiqua" w:hAnsi="Book Antiqua"/>
          <w:sz w:val="24"/>
        </w:rPr>
        <w:t>UUPT</w:t>
      </w:r>
      <w:proofErr w:type="spellEnd"/>
      <w:r w:rsidRPr="001D4CAA">
        <w:rPr>
          <w:rFonts w:ascii="Book Antiqua" w:hAnsi="Book Antiqua"/>
          <w:sz w:val="24"/>
        </w:rPr>
        <w:t xml:space="preserve"> does not explain further what "control" means, and in practice the meaning has actually been broadened</w:t>
      </w:r>
      <w:r w:rsidR="003608B8" w:rsidRPr="003608B8">
        <w:rPr>
          <w:rFonts w:ascii="Book Antiqua" w:hAnsi="Book Antiqua"/>
          <w:sz w:val="24"/>
        </w:rPr>
        <w:t>.</w:t>
      </w:r>
    </w:p>
    <w:p w14:paraId="291CA064" w14:textId="77777777" w:rsidR="003608B8" w:rsidRDefault="001D4CAA" w:rsidP="001D4CAA">
      <w:pPr>
        <w:spacing w:before="160" w:after="0" w:line="240" w:lineRule="auto"/>
        <w:ind w:firstLine="450"/>
        <w:jc w:val="both"/>
        <w:rPr>
          <w:rFonts w:ascii="Book Antiqua" w:hAnsi="Book Antiqua"/>
          <w:sz w:val="24"/>
        </w:rPr>
      </w:pPr>
      <w:r w:rsidRPr="001D4CAA">
        <w:rPr>
          <w:rFonts w:ascii="Book Antiqua" w:hAnsi="Book Antiqua"/>
          <w:sz w:val="24"/>
        </w:rPr>
        <w:t xml:space="preserve">It often happens that other parties control the company from outside the company's organs, while the directors and commissioners are only tools or puppets. Usually, shares in companies like this are controlled by certain people, while the shareholders in the deed of establishment are fictitious.  In other cases, all company operations are controlled by the commissioners, the directors are only figureheads. This means that the commissioner does whatever is the director's job. Furthermore, there are quite a few cases where a company is in practice fully controlled by the board of directors, without the supervisory role of its commissioners. One form of control in this research study is related to the company's operational control carried out by the Commissioner, this happened at PT. </w:t>
      </w:r>
      <w:proofErr w:type="spellStart"/>
      <w:r w:rsidRPr="001D4CAA">
        <w:rPr>
          <w:rFonts w:ascii="Book Antiqua" w:hAnsi="Book Antiqua"/>
          <w:sz w:val="24"/>
        </w:rPr>
        <w:t>ESG</w:t>
      </w:r>
      <w:proofErr w:type="spellEnd"/>
      <w:r w:rsidRPr="001D4CAA">
        <w:rPr>
          <w:rFonts w:ascii="Book Antiqua" w:hAnsi="Book Antiqua"/>
          <w:sz w:val="24"/>
        </w:rPr>
        <w:t xml:space="preserve">, where the hidden aim of establishing the PT is to obtain land allocation from the </w:t>
      </w:r>
      <w:proofErr w:type="spellStart"/>
      <w:r w:rsidRPr="001D4CAA">
        <w:rPr>
          <w:rFonts w:ascii="Book Antiqua" w:hAnsi="Book Antiqua"/>
          <w:sz w:val="24"/>
        </w:rPr>
        <w:t>Batam</w:t>
      </w:r>
      <w:proofErr w:type="spellEnd"/>
      <w:r w:rsidRPr="001D4CAA">
        <w:rPr>
          <w:rFonts w:ascii="Book Antiqua" w:hAnsi="Book Antiqua"/>
          <w:sz w:val="24"/>
        </w:rPr>
        <w:t xml:space="preserve"> Free Trade Zone and Free Port Concession Agency (BP </w:t>
      </w:r>
      <w:proofErr w:type="spellStart"/>
      <w:r w:rsidRPr="001D4CAA">
        <w:rPr>
          <w:rFonts w:ascii="Book Antiqua" w:hAnsi="Book Antiqua"/>
          <w:sz w:val="24"/>
        </w:rPr>
        <w:t>Batam</w:t>
      </w:r>
      <w:proofErr w:type="spellEnd"/>
      <w:r w:rsidRPr="001D4CAA">
        <w:rPr>
          <w:rFonts w:ascii="Book Antiqua" w:hAnsi="Book Antiqua"/>
          <w:sz w:val="24"/>
        </w:rPr>
        <w:t>), which was initiated by civil servants (</w:t>
      </w:r>
      <w:proofErr w:type="spellStart"/>
      <w:r w:rsidRPr="001D4CAA">
        <w:rPr>
          <w:rFonts w:ascii="Book Antiqua" w:hAnsi="Book Antiqua"/>
          <w:sz w:val="24"/>
        </w:rPr>
        <w:t>PNS</w:t>
      </w:r>
      <w:proofErr w:type="spellEnd"/>
      <w:r w:rsidRPr="001D4CAA">
        <w:rPr>
          <w:rFonts w:ascii="Book Antiqua" w:hAnsi="Book Antiqua"/>
          <w:sz w:val="24"/>
        </w:rPr>
        <w:t xml:space="preserve">) at BP </w:t>
      </w:r>
      <w:proofErr w:type="spellStart"/>
      <w:r w:rsidRPr="001D4CAA">
        <w:rPr>
          <w:rFonts w:ascii="Book Antiqua" w:hAnsi="Book Antiqua"/>
          <w:sz w:val="24"/>
        </w:rPr>
        <w:t>Batam</w:t>
      </w:r>
      <w:proofErr w:type="spellEnd"/>
      <w:r w:rsidRPr="001D4CAA">
        <w:rPr>
          <w:rFonts w:ascii="Book Antiqua" w:hAnsi="Book Antiqua"/>
          <w:sz w:val="24"/>
        </w:rPr>
        <w:t xml:space="preserve">, this started from information related to the plan land allocation by BP </w:t>
      </w:r>
      <w:proofErr w:type="spellStart"/>
      <w:r w:rsidRPr="001D4CAA">
        <w:rPr>
          <w:rFonts w:ascii="Book Antiqua" w:hAnsi="Book Antiqua"/>
          <w:sz w:val="24"/>
        </w:rPr>
        <w:t>Batam</w:t>
      </w:r>
      <w:proofErr w:type="spellEnd"/>
      <w:r w:rsidRPr="001D4CAA">
        <w:rPr>
          <w:rFonts w:ascii="Book Antiqua" w:hAnsi="Book Antiqua"/>
          <w:sz w:val="24"/>
        </w:rPr>
        <w:t xml:space="preserve">, known to Mr. BDS as a BP </w:t>
      </w:r>
      <w:proofErr w:type="spellStart"/>
      <w:r w:rsidRPr="001D4CAA">
        <w:rPr>
          <w:rFonts w:ascii="Book Antiqua" w:hAnsi="Book Antiqua"/>
          <w:sz w:val="24"/>
        </w:rPr>
        <w:t>Batam</w:t>
      </w:r>
      <w:proofErr w:type="spellEnd"/>
      <w:r w:rsidRPr="001D4CAA">
        <w:rPr>
          <w:rFonts w:ascii="Book Antiqua" w:hAnsi="Book Antiqua"/>
          <w:sz w:val="24"/>
        </w:rPr>
        <w:t xml:space="preserve"> civil servant, then Mr. BDS established a PT with the name PT. </w:t>
      </w:r>
      <w:proofErr w:type="spellStart"/>
      <w:r w:rsidRPr="001D4CAA">
        <w:rPr>
          <w:rFonts w:ascii="Book Antiqua" w:hAnsi="Book Antiqua"/>
          <w:sz w:val="24"/>
        </w:rPr>
        <w:t>ESG</w:t>
      </w:r>
      <w:proofErr w:type="spellEnd"/>
      <w:r w:rsidRPr="001D4CAA">
        <w:rPr>
          <w:rFonts w:ascii="Book Antiqua" w:hAnsi="Book Antiqua"/>
          <w:sz w:val="24"/>
        </w:rPr>
        <w:t xml:space="preserve">, based on the Deed of Establishment of the Limited Liability Company PT. </w:t>
      </w:r>
      <w:proofErr w:type="spellStart"/>
      <w:r w:rsidRPr="001D4CAA">
        <w:rPr>
          <w:rFonts w:ascii="Book Antiqua" w:hAnsi="Book Antiqua"/>
          <w:sz w:val="24"/>
        </w:rPr>
        <w:t>ESG</w:t>
      </w:r>
      <w:proofErr w:type="spellEnd"/>
      <w:r w:rsidRPr="001D4CAA">
        <w:rPr>
          <w:rFonts w:ascii="Book Antiqua" w:hAnsi="Book Antiqua"/>
          <w:sz w:val="24"/>
        </w:rPr>
        <w:t xml:space="preserve"> Number 40 issued by </w:t>
      </w:r>
      <w:proofErr w:type="spellStart"/>
      <w:r w:rsidRPr="001D4CAA">
        <w:rPr>
          <w:rFonts w:ascii="Book Antiqua" w:hAnsi="Book Antiqua"/>
          <w:sz w:val="24"/>
        </w:rPr>
        <w:t>WRM</w:t>
      </w:r>
      <w:proofErr w:type="spellEnd"/>
      <w:r w:rsidRPr="001D4CAA">
        <w:rPr>
          <w:rFonts w:ascii="Book Antiqua" w:hAnsi="Book Antiqua"/>
          <w:sz w:val="24"/>
        </w:rPr>
        <w:t xml:space="preserve">, S.H., Notary and </w:t>
      </w:r>
      <w:proofErr w:type="spellStart"/>
      <w:r w:rsidRPr="001D4CAA">
        <w:rPr>
          <w:rFonts w:ascii="Book Antiqua" w:hAnsi="Book Antiqua"/>
          <w:sz w:val="24"/>
        </w:rPr>
        <w:t>PPAT</w:t>
      </w:r>
      <w:proofErr w:type="spellEnd"/>
      <w:r w:rsidRPr="001D4CAA">
        <w:rPr>
          <w:rFonts w:ascii="Book Antiqua" w:hAnsi="Book Antiqua"/>
          <w:sz w:val="24"/>
        </w:rPr>
        <w:t>, Decree of the Minister of Law and Human Rights Number AHU-</w:t>
      </w:r>
      <w:proofErr w:type="spellStart"/>
      <w:r w:rsidRPr="001D4CAA">
        <w:rPr>
          <w:rFonts w:ascii="Book Antiqua" w:hAnsi="Book Antiqua"/>
          <w:sz w:val="24"/>
        </w:rPr>
        <w:t>09913.AH.01.01.Year</w:t>
      </w:r>
      <w:proofErr w:type="spellEnd"/>
      <w:r w:rsidRPr="001D4CAA">
        <w:rPr>
          <w:rFonts w:ascii="Book Antiqua" w:hAnsi="Book Antiqua"/>
          <w:sz w:val="24"/>
        </w:rPr>
        <w:t xml:space="preserve"> 2012 issued by the Minister of Law and Human Rights of the Republic of Indonesia, where the organs within the PT consist of Director </w:t>
      </w:r>
      <w:proofErr w:type="spellStart"/>
      <w:r w:rsidRPr="001D4CAA">
        <w:rPr>
          <w:rFonts w:ascii="Book Antiqua" w:hAnsi="Book Antiqua"/>
          <w:sz w:val="24"/>
        </w:rPr>
        <w:t>Nyoya</w:t>
      </w:r>
      <w:proofErr w:type="spellEnd"/>
      <w:r w:rsidRPr="001D4CAA">
        <w:rPr>
          <w:rFonts w:ascii="Book Antiqua" w:hAnsi="Book Antiqua"/>
          <w:sz w:val="24"/>
        </w:rPr>
        <w:t xml:space="preserve"> </w:t>
      </w:r>
      <w:proofErr w:type="spellStart"/>
      <w:r w:rsidRPr="001D4CAA">
        <w:rPr>
          <w:rFonts w:ascii="Book Antiqua" w:hAnsi="Book Antiqua"/>
          <w:sz w:val="24"/>
        </w:rPr>
        <w:t>EDM</w:t>
      </w:r>
      <w:proofErr w:type="spellEnd"/>
      <w:r w:rsidRPr="001D4CAA">
        <w:rPr>
          <w:rFonts w:ascii="Book Antiqua" w:hAnsi="Book Antiqua"/>
          <w:sz w:val="24"/>
        </w:rPr>
        <w:t xml:space="preserve">, Commissioner </w:t>
      </w:r>
      <w:proofErr w:type="spellStart"/>
      <w:r w:rsidRPr="001D4CAA">
        <w:rPr>
          <w:rFonts w:ascii="Book Antiqua" w:hAnsi="Book Antiqua"/>
          <w:sz w:val="24"/>
        </w:rPr>
        <w:t>Mr</w:t>
      </w:r>
      <w:proofErr w:type="spellEnd"/>
      <w:r w:rsidRPr="001D4CAA">
        <w:rPr>
          <w:rFonts w:ascii="Book Antiqua" w:hAnsi="Book Antiqua"/>
          <w:sz w:val="24"/>
        </w:rPr>
        <w:t xml:space="preserve"> BDS (Husband and Wife), from the board of directors listed in the Deed of Establishment of the PT only borrows the name, while the one who exercises control over the PT is the Commissioner namely </w:t>
      </w:r>
      <w:proofErr w:type="spellStart"/>
      <w:r w:rsidRPr="001D4CAA">
        <w:rPr>
          <w:rFonts w:ascii="Book Antiqua" w:hAnsi="Book Antiqua"/>
          <w:sz w:val="24"/>
        </w:rPr>
        <w:t>Mr</w:t>
      </w:r>
      <w:proofErr w:type="spellEnd"/>
      <w:r w:rsidRPr="001D4CAA">
        <w:rPr>
          <w:rFonts w:ascii="Book Antiqua" w:hAnsi="Book Antiqua"/>
          <w:sz w:val="24"/>
        </w:rPr>
        <w:t xml:space="preserve"> BDS (</w:t>
      </w:r>
      <w:proofErr w:type="spellStart"/>
      <w:r w:rsidRPr="001D4CAA">
        <w:rPr>
          <w:rFonts w:ascii="Book Antiqua" w:hAnsi="Book Antiqua"/>
          <w:sz w:val="24"/>
        </w:rPr>
        <w:t>PNS</w:t>
      </w:r>
      <w:proofErr w:type="spellEnd"/>
      <w:r w:rsidRPr="001D4CAA">
        <w:rPr>
          <w:rFonts w:ascii="Book Antiqua" w:hAnsi="Book Antiqua"/>
          <w:sz w:val="24"/>
        </w:rPr>
        <w:t xml:space="preserve"> BP </w:t>
      </w:r>
      <w:proofErr w:type="spellStart"/>
      <w:r w:rsidRPr="001D4CAA">
        <w:rPr>
          <w:rFonts w:ascii="Book Antiqua" w:hAnsi="Book Antiqua"/>
          <w:sz w:val="24"/>
        </w:rPr>
        <w:t>Batam</w:t>
      </w:r>
      <w:proofErr w:type="spellEnd"/>
      <w:r w:rsidRPr="001D4CAA">
        <w:rPr>
          <w:rFonts w:ascii="Book Antiqua" w:hAnsi="Book Antiqua"/>
          <w:sz w:val="24"/>
        </w:rPr>
        <w:t>)</w:t>
      </w:r>
      <w:r w:rsidR="003608B8">
        <w:rPr>
          <w:rFonts w:ascii="Book Antiqua" w:hAnsi="Book Antiqua"/>
          <w:sz w:val="24"/>
        </w:rPr>
        <w:t>.</w:t>
      </w:r>
    </w:p>
    <w:p w14:paraId="4A41D63F" w14:textId="77777777" w:rsidR="003608B8" w:rsidRDefault="001D4CAA" w:rsidP="001D4CAA">
      <w:pPr>
        <w:spacing w:before="120" w:after="0" w:line="240" w:lineRule="auto"/>
        <w:ind w:firstLine="446"/>
        <w:jc w:val="both"/>
        <w:rPr>
          <w:rFonts w:ascii="Book Antiqua" w:hAnsi="Book Antiqua"/>
          <w:sz w:val="24"/>
        </w:rPr>
      </w:pPr>
      <w:r w:rsidRPr="001D4CAA">
        <w:rPr>
          <w:rFonts w:ascii="Book Antiqua" w:hAnsi="Book Antiqua"/>
          <w:sz w:val="24"/>
        </w:rPr>
        <w:lastRenderedPageBreak/>
        <w:t xml:space="preserve">Control practices outside of what is intended in the PT </w:t>
      </w:r>
      <w:proofErr w:type="spellStart"/>
      <w:r w:rsidRPr="001D4CAA">
        <w:rPr>
          <w:rFonts w:ascii="Book Antiqua" w:hAnsi="Book Antiqua"/>
          <w:sz w:val="24"/>
        </w:rPr>
        <w:t>UUPT</w:t>
      </w:r>
      <w:proofErr w:type="spellEnd"/>
      <w:r w:rsidRPr="001D4CAA">
        <w:rPr>
          <w:rFonts w:ascii="Book Antiqua" w:hAnsi="Book Antiqua"/>
          <w:sz w:val="24"/>
        </w:rPr>
        <w:t xml:space="preserve"> occur at PT. </w:t>
      </w:r>
      <w:proofErr w:type="spellStart"/>
      <w:r w:rsidRPr="001D4CAA">
        <w:rPr>
          <w:rFonts w:ascii="Book Antiqua" w:hAnsi="Book Antiqua"/>
          <w:sz w:val="24"/>
        </w:rPr>
        <w:t>ESG</w:t>
      </w:r>
      <w:proofErr w:type="spellEnd"/>
      <w:r w:rsidRPr="001D4CAA">
        <w:rPr>
          <w:rFonts w:ascii="Book Antiqua" w:hAnsi="Book Antiqua"/>
          <w:sz w:val="24"/>
        </w:rPr>
        <w:t xml:space="preserve"> was discovered after a criminal law problem occurred based on the </w:t>
      </w:r>
      <w:proofErr w:type="spellStart"/>
      <w:r w:rsidRPr="001D4CAA">
        <w:rPr>
          <w:rFonts w:ascii="Book Antiqua" w:hAnsi="Book Antiqua"/>
          <w:sz w:val="24"/>
        </w:rPr>
        <w:t>Batam</w:t>
      </w:r>
      <w:proofErr w:type="spellEnd"/>
      <w:r w:rsidRPr="001D4CAA">
        <w:rPr>
          <w:rFonts w:ascii="Book Antiqua" w:hAnsi="Book Antiqua"/>
          <w:sz w:val="24"/>
        </w:rPr>
        <w:t xml:space="preserve"> District Court Decision Number: 813/</w:t>
      </w:r>
      <w:proofErr w:type="spellStart"/>
      <w:r w:rsidRPr="001D4CAA">
        <w:rPr>
          <w:rFonts w:ascii="Book Antiqua" w:hAnsi="Book Antiqua"/>
          <w:sz w:val="24"/>
        </w:rPr>
        <w:t>Pid.B</w:t>
      </w:r>
      <w:proofErr w:type="spellEnd"/>
      <w:r w:rsidRPr="001D4CAA">
        <w:rPr>
          <w:rFonts w:ascii="Book Antiqua" w:hAnsi="Book Antiqua"/>
          <w:sz w:val="24"/>
        </w:rPr>
        <w:t>/2023/</w:t>
      </w:r>
      <w:proofErr w:type="spellStart"/>
      <w:r w:rsidRPr="001D4CAA">
        <w:rPr>
          <w:rFonts w:ascii="Book Antiqua" w:hAnsi="Book Antiqua"/>
          <w:sz w:val="24"/>
        </w:rPr>
        <w:t>PN</w:t>
      </w:r>
      <w:proofErr w:type="spellEnd"/>
      <w:r w:rsidRPr="001D4CAA">
        <w:rPr>
          <w:rFonts w:ascii="Book Antiqua" w:hAnsi="Book Antiqua"/>
          <w:sz w:val="24"/>
        </w:rPr>
        <w:t xml:space="preserve"> </w:t>
      </w:r>
      <w:proofErr w:type="spellStart"/>
      <w:r w:rsidRPr="001D4CAA">
        <w:rPr>
          <w:rFonts w:ascii="Book Antiqua" w:hAnsi="Book Antiqua"/>
          <w:sz w:val="24"/>
        </w:rPr>
        <w:t>Btm</w:t>
      </w:r>
      <w:proofErr w:type="spellEnd"/>
      <w:r w:rsidRPr="001D4CAA">
        <w:rPr>
          <w:rFonts w:ascii="Book Antiqua" w:hAnsi="Book Antiqua"/>
          <w:sz w:val="24"/>
        </w:rPr>
        <w:t xml:space="preserve"> dated 22 January 2024 in conjunction with the Riau Islands High Court Decision Number: 35/</w:t>
      </w:r>
      <w:proofErr w:type="spellStart"/>
      <w:r w:rsidRPr="001D4CAA">
        <w:rPr>
          <w:rFonts w:ascii="Book Antiqua" w:hAnsi="Book Antiqua"/>
          <w:sz w:val="24"/>
        </w:rPr>
        <w:t>PID</w:t>
      </w:r>
      <w:proofErr w:type="spellEnd"/>
      <w:r w:rsidRPr="001D4CAA">
        <w:rPr>
          <w:rFonts w:ascii="Book Antiqua" w:hAnsi="Book Antiqua"/>
          <w:sz w:val="24"/>
        </w:rPr>
        <w:t xml:space="preserve">/2024/PT </w:t>
      </w:r>
      <w:r w:rsidRPr="001D4CAA">
        <w:rPr>
          <w:rFonts w:ascii="Times New Roman" w:hAnsi="Times New Roman"/>
          <w:sz w:val="24"/>
        </w:rPr>
        <w:t>​​</w:t>
      </w:r>
      <w:proofErr w:type="spellStart"/>
      <w:r w:rsidRPr="001D4CAA">
        <w:rPr>
          <w:rFonts w:ascii="Book Antiqua" w:hAnsi="Book Antiqua"/>
          <w:sz w:val="24"/>
        </w:rPr>
        <w:t>TPG</w:t>
      </w:r>
      <w:proofErr w:type="spellEnd"/>
      <w:r w:rsidRPr="001D4CAA">
        <w:rPr>
          <w:rFonts w:ascii="Book Antiqua" w:hAnsi="Book Antiqua"/>
          <w:sz w:val="24"/>
        </w:rPr>
        <w:t xml:space="preserve"> dated 27 March 2024, which The focus of this study is "the actions of the Commissioner who sold the assets of PT. </w:t>
      </w:r>
      <w:proofErr w:type="spellStart"/>
      <w:r w:rsidRPr="001D4CAA">
        <w:rPr>
          <w:rFonts w:ascii="Book Antiqua" w:hAnsi="Book Antiqua"/>
          <w:sz w:val="24"/>
        </w:rPr>
        <w:t>ESG</w:t>
      </w:r>
      <w:proofErr w:type="spellEnd"/>
      <w:r w:rsidRPr="001D4CAA">
        <w:rPr>
          <w:rFonts w:ascii="Book Antiqua" w:hAnsi="Book Antiqua"/>
          <w:sz w:val="24"/>
        </w:rPr>
        <w:t xml:space="preserve">" based on the Deed of Sale and Purchase Agreement and Transfer of Rights Number 01 dated March 2 2015. In carrying out this action the commissioner has a Power of Attorney from the Director while it is known that the Director is domiciled in </w:t>
      </w:r>
      <w:proofErr w:type="spellStart"/>
      <w:r w:rsidRPr="001D4CAA">
        <w:rPr>
          <w:rFonts w:ascii="Book Antiqua" w:hAnsi="Book Antiqua"/>
          <w:sz w:val="24"/>
        </w:rPr>
        <w:t>Batam</w:t>
      </w:r>
      <w:proofErr w:type="spellEnd"/>
      <w:r w:rsidRPr="001D4CAA">
        <w:rPr>
          <w:rFonts w:ascii="Book Antiqua" w:hAnsi="Book Antiqua"/>
          <w:sz w:val="24"/>
        </w:rPr>
        <w:t xml:space="preserve"> and is also in good health, so it can be said that the Director is able to act to sell company assets without grant power of attorney to the Commissioner. Using the meaning of "control" outside the actual portion is certainly very contrary to the intent and spirit contained in the philosophical review and general explanation of the </w:t>
      </w:r>
      <w:proofErr w:type="spellStart"/>
      <w:r w:rsidRPr="001D4CAA">
        <w:rPr>
          <w:rFonts w:ascii="Book Antiqua" w:hAnsi="Book Antiqua"/>
          <w:sz w:val="24"/>
        </w:rPr>
        <w:t>UUPT</w:t>
      </w:r>
      <w:proofErr w:type="spellEnd"/>
      <w:r w:rsidRPr="001D4CAA">
        <w:rPr>
          <w:rFonts w:ascii="Book Antiqua" w:hAnsi="Book Antiqua"/>
          <w:sz w:val="24"/>
        </w:rPr>
        <w:t>. With this background, it is important for this research to be carried out for the sake of conduciveness and harmonization of all organs involved in the company, so that healthy and fair business practices are achieved</w:t>
      </w:r>
      <w:r w:rsidR="003608B8">
        <w:rPr>
          <w:rFonts w:ascii="Book Antiqua" w:hAnsi="Book Antiqua"/>
          <w:sz w:val="24"/>
        </w:rPr>
        <w:t>.</w:t>
      </w:r>
    </w:p>
    <w:p w14:paraId="5AC51862" w14:textId="77777777" w:rsidR="00692FAC" w:rsidRPr="00763315" w:rsidRDefault="00692FAC" w:rsidP="00692FAC">
      <w:pPr>
        <w:spacing w:after="0" w:line="240" w:lineRule="auto"/>
        <w:jc w:val="both"/>
        <w:rPr>
          <w:rFonts w:ascii="Book Antiqua" w:hAnsi="Book Antiqua"/>
          <w:sz w:val="24"/>
        </w:rPr>
      </w:pPr>
    </w:p>
    <w:p w14:paraId="56455E36" w14:textId="77777777" w:rsidR="004B1F20" w:rsidRPr="00436951" w:rsidRDefault="000011ED" w:rsidP="00645A5E">
      <w:pPr>
        <w:spacing w:after="120" w:line="240" w:lineRule="auto"/>
        <w:rPr>
          <w:rFonts w:ascii="Book Antiqua" w:hAnsi="Book Antiqua"/>
          <w:b/>
          <w:bCs/>
          <w:color w:val="4472C4" w:themeColor="accent1"/>
          <w:sz w:val="28"/>
          <w:szCs w:val="22"/>
          <w:lang w:val="id-ID"/>
        </w:rPr>
      </w:pPr>
      <w:r w:rsidRPr="000011ED">
        <w:rPr>
          <w:rFonts w:ascii="Book Antiqua" w:hAnsi="Book Antiqua"/>
          <w:b/>
          <w:color w:val="4472C4" w:themeColor="accent1"/>
          <w:sz w:val="24"/>
          <w:szCs w:val="24"/>
        </w:rPr>
        <w:t>METHODS OF THE RESEARCH</w:t>
      </w:r>
    </w:p>
    <w:p w14:paraId="3E3C2C10" w14:textId="77777777" w:rsidR="00AB192A" w:rsidRDefault="001D4CAA" w:rsidP="00692FAC">
      <w:pPr>
        <w:spacing w:after="0" w:line="240" w:lineRule="auto"/>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 xml:space="preserve">The method that researchers use in this research is Empirical Legal Research, namely using a sociological legal approach focusing on reality by examining the application of law (Das </w:t>
      </w:r>
      <w:proofErr w:type="spellStart"/>
      <w:r w:rsidRPr="001D4CAA">
        <w:rPr>
          <w:rFonts w:ascii="Book Antiqua" w:hAnsi="Book Antiqua" w:cs="Calibri"/>
          <w:color w:val="000000" w:themeColor="text1"/>
          <w:sz w:val="24"/>
          <w:szCs w:val="24"/>
        </w:rPr>
        <w:t>Sollen</w:t>
      </w:r>
      <w:proofErr w:type="spellEnd"/>
      <w:r w:rsidRPr="001D4CAA">
        <w:rPr>
          <w:rFonts w:ascii="Book Antiqua" w:hAnsi="Book Antiqua" w:cs="Calibri"/>
          <w:color w:val="000000" w:themeColor="text1"/>
          <w:sz w:val="24"/>
          <w:szCs w:val="24"/>
        </w:rPr>
        <w:t xml:space="preserve">), in this case the PT </w:t>
      </w:r>
      <w:proofErr w:type="spellStart"/>
      <w:r w:rsidRPr="001D4CAA">
        <w:rPr>
          <w:rFonts w:ascii="Book Antiqua" w:hAnsi="Book Antiqua" w:cs="Calibri"/>
          <w:color w:val="000000" w:themeColor="text1"/>
          <w:sz w:val="24"/>
          <w:szCs w:val="24"/>
        </w:rPr>
        <w:t>UU</w:t>
      </w:r>
      <w:proofErr w:type="spellEnd"/>
      <w:r w:rsidRPr="001D4CAA">
        <w:rPr>
          <w:rFonts w:ascii="Book Antiqua" w:hAnsi="Book Antiqua" w:cs="Calibri"/>
          <w:color w:val="000000" w:themeColor="text1"/>
          <w:sz w:val="24"/>
          <w:szCs w:val="24"/>
        </w:rPr>
        <w:t>, which is used as a basis for the formation and implementation of Legal Entities (limited liability companies). The researcher chose this type of legal investigation because there is a gap between the desired legal norms ("should") and the reality that surrounds people's lives at the time of committing a criminal act ("which"), the act of forming a Legal Entity (limited liability company) which is carried out/implemented inappropriately. with the provisions of the Legislative Regulations</w:t>
      </w:r>
      <w:r w:rsidR="003608B8">
        <w:rPr>
          <w:rFonts w:ascii="Book Antiqua" w:hAnsi="Book Antiqua" w:cs="Calibri"/>
          <w:color w:val="000000" w:themeColor="text1"/>
          <w:sz w:val="24"/>
          <w:szCs w:val="24"/>
        </w:rPr>
        <w:t>.</w:t>
      </w:r>
    </w:p>
    <w:p w14:paraId="2573319D" w14:textId="77777777" w:rsidR="00692FAC" w:rsidRPr="0090682F" w:rsidRDefault="00692FAC" w:rsidP="00692FAC">
      <w:pPr>
        <w:spacing w:after="0" w:line="240" w:lineRule="auto"/>
        <w:jc w:val="both"/>
        <w:rPr>
          <w:rFonts w:ascii="Book Antiqua" w:hAnsi="Book Antiqua" w:cs="Calibri"/>
          <w:color w:val="000000" w:themeColor="text1"/>
          <w:sz w:val="24"/>
          <w:szCs w:val="24"/>
        </w:rPr>
      </w:pPr>
    </w:p>
    <w:p w14:paraId="4F4318AB" w14:textId="77777777" w:rsidR="00AB192A" w:rsidRPr="003608B8" w:rsidRDefault="004B1F20" w:rsidP="003608B8">
      <w:pPr>
        <w:spacing w:after="120" w:line="240" w:lineRule="auto"/>
        <w:rPr>
          <w:rFonts w:ascii="Book Antiqua" w:hAnsi="Book Antiqua"/>
          <w:b/>
          <w:color w:val="2F5496" w:themeColor="accent1" w:themeShade="BF"/>
          <w:sz w:val="24"/>
          <w:szCs w:val="24"/>
        </w:rPr>
      </w:pPr>
      <w:r w:rsidRPr="00636FF5">
        <w:rPr>
          <w:rFonts w:ascii="Book Antiqua" w:hAnsi="Book Antiqua"/>
          <w:b/>
          <w:color w:val="4472C4" w:themeColor="accent1"/>
          <w:sz w:val="24"/>
          <w:szCs w:val="24"/>
        </w:rPr>
        <w:t>RESULTS AND DISCUSSION</w:t>
      </w:r>
    </w:p>
    <w:p w14:paraId="5C1640A5" w14:textId="77777777" w:rsidR="00695B3E" w:rsidRDefault="001D4CAA" w:rsidP="007F6E04">
      <w:pPr>
        <w:spacing w:after="120" w:line="240" w:lineRule="auto"/>
        <w:ind w:firstLine="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Law Number 40 of 2007 concerning Limited Liability Companies states, according to Article 1 paragraph 11, a takeover is a legal act carried out by a legal entity or individual to take over the shares of a company, which includes the transfer of control over the company. Government Regulation Number 57 of 2010 concerning Mergers or Consolidations and Takeovers of Business Entities Which Can Give rise to Monopoly Practices and Unfair Competition stated in Article 1 paragraph 3 that a takeover is a legal act carried out by an economic actor to take over a business entity that this is an action wicked. Every legal entity is free to develop and establish an individual economic entity according to certain procedures, with or without permission</w:t>
      </w:r>
      <w:r w:rsidR="00695B3E">
        <w:rPr>
          <w:rFonts w:ascii="Book Antiqua" w:hAnsi="Book Antiqua" w:cs="Calibri"/>
          <w:color w:val="000000" w:themeColor="text1"/>
          <w:sz w:val="24"/>
          <w:szCs w:val="24"/>
        </w:rPr>
        <w:t>.</w:t>
      </w:r>
    </w:p>
    <w:p w14:paraId="5CBAE2B1" w14:textId="77777777" w:rsidR="003608B8" w:rsidRPr="003608B8" w:rsidRDefault="001D4CAA" w:rsidP="007F6E04">
      <w:pPr>
        <w:spacing w:after="120" w:line="240" w:lineRule="auto"/>
        <w:ind w:firstLine="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 xml:space="preserve">When making an acquisition, the company's interests must be considered. The interests of minority shareholders must also be considered because they have rights. Because in a company, profits are not only the profits of the main shareholders, but also the profits of the employees. Legal certainty regarding the use of share purchase certificates when acquiring shares. However, this only applies if there are no provisions regarding these provisions. In the Company Law, provisions regarding the sale and purchase of shares are regulated in Article 56 of the Company Law concerning the transfer of rights to shares, and provisions regarding the takeover of shares are regulated separately in Article 125 of </w:t>
      </w:r>
      <w:r w:rsidRPr="001D4CAA">
        <w:rPr>
          <w:rFonts w:ascii="Book Antiqua" w:hAnsi="Book Antiqua" w:cs="Calibri"/>
          <w:color w:val="000000" w:themeColor="text1"/>
          <w:sz w:val="24"/>
          <w:szCs w:val="24"/>
        </w:rPr>
        <w:lastRenderedPageBreak/>
        <w:t>the Company Law. From here we can see that the rules for every legal action, whether buying and selling shares or withdrawing shares, are separate rules and each has its own status</w:t>
      </w:r>
      <w:r w:rsidR="003608B8">
        <w:rPr>
          <w:rFonts w:ascii="Book Antiqua" w:hAnsi="Book Antiqua" w:cs="Calibri"/>
          <w:color w:val="000000" w:themeColor="text1"/>
          <w:sz w:val="24"/>
          <w:szCs w:val="24"/>
        </w:rPr>
        <w:t>.</w:t>
      </w:r>
    </w:p>
    <w:p w14:paraId="08977799" w14:textId="77777777" w:rsidR="003608B8" w:rsidRDefault="001D4CAA" w:rsidP="003608B8">
      <w:pPr>
        <w:spacing w:after="120" w:line="240" w:lineRule="auto"/>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The acquisition steps are as follows</w:t>
      </w:r>
      <w:r w:rsidR="003608B8">
        <w:rPr>
          <w:rFonts w:ascii="Book Antiqua" w:hAnsi="Book Antiqua" w:cs="Calibri"/>
          <w:color w:val="000000" w:themeColor="text1"/>
          <w:sz w:val="24"/>
          <w:szCs w:val="24"/>
        </w:rPr>
        <w:t xml:space="preserve">: </w:t>
      </w:r>
    </w:p>
    <w:p w14:paraId="35D3CD26" w14:textId="77777777" w:rsidR="001D4CAA" w:rsidRPr="001D4CAA" w:rsidRDefault="001D4CAA" w:rsidP="001D4CAA">
      <w:pPr>
        <w:pStyle w:val="ListParagraph"/>
        <w:numPr>
          <w:ilvl w:val="0"/>
          <w:numId w:val="22"/>
        </w:numPr>
        <w:spacing w:after="120" w:line="240" w:lineRule="auto"/>
        <w:ind w:left="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The party acquiring the PT will inform the directors of the acquired PT of its objectives. The acquirer can be a solopreneur, cooperative, foundation, resume, company, or individual</w:t>
      </w:r>
      <w:r w:rsidR="003608B8" w:rsidRPr="001D4CAA">
        <w:rPr>
          <w:rFonts w:ascii="Book Antiqua" w:hAnsi="Book Antiqua" w:cs="Calibri"/>
          <w:color w:val="000000" w:themeColor="text1"/>
          <w:sz w:val="24"/>
          <w:szCs w:val="24"/>
        </w:rPr>
        <w:t>.</w:t>
      </w:r>
    </w:p>
    <w:p w14:paraId="1971F6DC" w14:textId="77777777" w:rsidR="001D4CAA" w:rsidRPr="001D4CAA" w:rsidRDefault="001D4CAA" w:rsidP="001D4CAA">
      <w:pPr>
        <w:pStyle w:val="ListParagraph"/>
        <w:numPr>
          <w:ilvl w:val="0"/>
          <w:numId w:val="22"/>
        </w:numPr>
        <w:spacing w:after="120" w:line="240" w:lineRule="auto"/>
        <w:ind w:left="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The directors of the acquired PT and the acquiring party each prepare a draft acquisition plan</w:t>
      </w:r>
      <w:r w:rsidR="003608B8" w:rsidRPr="001D4CAA">
        <w:rPr>
          <w:rFonts w:ascii="Book Antiqua" w:hAnsi="Book Antiqua" w:cs="Calibri"/>
          <w:color w:val="000000" w:themeColor="text1"/>
          <w:sz w:val="24"/>
          <w:szCs w:val="24"/>
        </w:rPr>
        <w:t>.</w:t>
      </w:r>
    </w:p>
    <w:p w14:paraId="44181769" w14:textId="77777777" w:rsidR="003608B8" w:rsidRPr="001D4CAA" w:rsidRDefault="001D4CAA" w:rsidP="001D4CAA">
      <w:pPr>
        <w:pStyle w:val="ListParagraph"/>
        <w:numPr>
          <w:ilvl w:val="0"/>
          <w:numId w:val="22"/>
        </w:numPr>
        <w:spacing w:after="120" w:line="240" w:lineRule="auto"/>
        <w:ind w:left="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The proposed acquisition plan must obtain approval from the commissioner of the acquired public transportation company or a similar official from the acquiring party. The proposed acquisition plan is material for preparing an acquisition plan that is prepared jointly by the directors of the company being acquired and the acquirer</w:t>
      </w:r>
      <w:r w:rsidR="003608B8" w:rsidRPr="001D4CAA">
        <w:rPr>
          <w:rFonts w:ascii="Book Antiqua" w:hAnsi="Book Antiqua" w:cs="Calibri"/>
          <w:color w:val="000000" w:themeColor="text1"/>
          <w:sz w:val="24"/>
          <w:szCs w:val="24"/>
        </w:rPr>
        <w:t>.</w:t>
      </w:r>
    </w:p>
    <w:p w14:paraId="6B46E78A" w14:textId="77777777" w:rsidR="003608B8" w:rsidRPr="001D4CAA" w:rsidRDefault="001D4CAA" w:rsidP="001D4CAA">
      <w:pPr>
        <w:pStyle w:val="ListParagraph"/>
        <w:numPr>
          <w:ilvl w:val="0"/>
          <w:numId w:val="22"/>
        </w:numPr>
        <w:spacing w:after="120" w:line="240" w:lineRule="auto"/>
        <w:ind w:left="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A summary of the takeover plan must be announced in two daily newspapers by the board of directors of the acquiring public vehicle and notified in writing to employees of the acquiring public vehicle no later than 14 days before the GMS is held</w:t>
      </w:r>
      <w:r w:rsidR="003608B8" w:rsidRPr="001D4CAA">
        <w:rPr>
          <w:rFonts w:ascii="Book Antiqua" w:hAnsi="Book Antiqua" w:cs="Calibri"/>
          <w:color w:val="000000" w:themeColor="text1"/>
          <w:sz w:val="24"/>
          <w:szCs w:val="24"/>
        </w:rPr>
        <w:t>.</w:t>
      </w:r>
    </w:p>
    <w:p w14:paraId="1A2D9584" w14:textId="77777777" w:rsidR="003608B8" w:rsidRPr="001D4CAA" w:rsidRDefault="001D4CAA" w:rsidP="001D4CAA">
      <w:pPr>
        <w:pStyle w:val="ListParagraph"/>
        <w:numPr>
          <w:ilvl w:val="0"/>
          <w:numId w:val="22"/>
        </w:numPr>
        <w:spacing w:after="120" w:line="240" w:lineRule="auto"/>
        <w:ind w:left="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The acquisition plan must obtain approval from the GMS of PT. The acquisition plan must also receive approval from the acquiring party's authorities. If the acquirer is a private entrepreneur, the takeover plan must obtain approval from the GMS</w:t>
      </w:r>
      <w:r w:rsidR="003608B8" w:rsidRPr="001D4CAA">
        <w:rPr>
          <w:rFonts w:ascii="Book Antiqua" w:hAnsi="Book Antiqua" w:cs="Calibri"/>
          <w:color w:val="000000" w:themeColor="text1"/>
          <w:sz w:val="24"/>
          <w:szCs w:val="24"/>
        </w:rPr>
        <w:t>.</w:t>
      </w:r>
    </w:p>
    <w:p w14:paraId="61CDB082" w14:textId="77777777" w:rsidR="003608B8" w:rsidRPr="001D4CAA" w:rsidRDefault="001D4CAA" w:rsidP="001D4CAA">
      <w:pPr>
        <w:pStyle w:val="ListParagraph"/>
        <w:numPr>
          <w:ilvl w:val="0"/>
          <w:numId w:val="22"/>
        </w:numPr>
        <w:spacing w:after="120" w:line="240" w:lineRule="auto"/>
        <w:ind w:left="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If the buyer is a cooperative, the takeover plan must be approved by the general meeting of the cooperative. If the acquirer is a foundation, the takeover plan must be approved at a foundation board meeting</w:t>
      </w:r>
      <w:r w:rsidR="003608B8" w:rsidRPr="001D4CAA">
        <w:rPr>
          <w:rFonts w:ascii="Book Antiqua" w:hAnsi="Book Antiqua" w:cs="Calibri"/>
          <w:color w:val="000000" w:themeColor="text1"/>
          <w:sz w:val="24"/>
          <w:szCs w:val="24"/>
        </w:rPr>
        <w:t>.</w:t>
      </w:r>
    </w:p>
    <w:p w14:paraId="2AF956FA" w14:textId="77777777" w:rsidR="001D4CAA" w:rsidRPr="001D4CAA" w:rsidRDefault="001D4CAA" w:rsidP="001D4CAA">
      <w:pPr>
        <w:pStyle w:val="ListParagraph"/>
        <w:numPr>
          <w:ilvl w:val="0"/>
          <w:numId w:val="22"/>
        </w:numPr>
        <w:spacing w:after="120" w:line="240" w:lineRule="auto"/>
        <w:ind w:left="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For CV and the acquiring company, the acquisition plan must obtain approval from CV and the company's partners or owners. The approved takeover plan is drawn up before a notary and recorded in a takeover deed written in Indonesian</w:t>
      </w:r>
      <w:r w:rsidR="003608B8" w:rsidRPr="001D4CAA">
        <w:rPr>
          <w:rFonts w:ascii="Book Antiqua" w:hAnsi="Book Antiqua" w:cs="Calibri"/>
          <w:color w:val="000000" w:themeColor="text1"/>
          <w:sz w:val="24"/>
          <w:szCs w:val="24"/>
        </w:rPr>
        <w:t>.</w:t>
      </w:r>
    </w:p>
    <w:p w14:paraId="3A8A6FF0" w14:textId="77777777" w:rsidR="003608B8" w:rsidRPr="001D4CAA" w:rsidRDefault="001D4CAA" w:rsidP="001D4CAA">
      <w:pPr>
        <w:pStyle w:val="ListParagraph"/>
        <w:numPr>
          <w:ilvl w:val="0"/>
          <w:numId w:val="22"/>
        </w:numPr>
        <w:spacing w:after="120" w:line="240" w:lineRule="auto"/>
        <w:ind w:left="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The legalized purchase deed is then registered with the Minister of Law and Human Rights. If changes to the Articles of Association (AD) that require approval from the Minister of Law and Human Rights are made after the takeover of the PT, then the takeover is deemed to be effective from the date of approval of the AD by the Minister</w:t>
      </w:r>
      <w:r w:rsidR="003608B8" w:rsidRPr="001D4CAA">
        <w:rPr>
          <w:rFonts w:ascii="Book Antiqua" w:hAnsi="Book Antiqua" w:cs="Calibri"/>
          <w:color w:val="000000" w:themeColor="text1"/>
          <w:sz w:val="24"/>
          <w:szCs w:val="24"/>
        </w:rPr>
        <w:t>.</w:t>
      </w:r>
    </w:p>
    <w:p w14:paraId="6BF53016" w14:textId="77777777" w:rsidR="003608B8" w:rsidRPr="001D4CAA" w:rsidRDefault="001D4CAA" w:rsidP="001D4CAA">
      <w:pPr>
        <w:pStyle w:val="ListParagraph"/>
        <w:numPr>
          <w:ilvl w:val="0"/>
          <w:numId w:val="22"/>
        </w:numPr>
        <w:spacing w:after="120" w:line="240" w:lineRule="auto"/>
        <w:ind w:left="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If the takeover of a PT requires changes to the articles of association that do not require approval from the Minister of Law and Human Rights, then the takeover is deemed to have been legally recorded in the company from the date of registration of the deed of takeover</w:t>
      </w:r>
      <w:r w:rsidR="003608B8" w:rsidRPr="001D4CAA">
        <w:rPr>
          <w:rFonts w:ascii="Book Antiqua" w:hAnsi="Book Antiqua" w:cs="Calibri"/>
          <w:color w:val="000000" w:themeColor="text1"/>
          <w:sz w:val="24"/>
          <w:szCs w:val="24"/>
        </w:rPr>
        <w:t>.</w:t>
      </w:r>
    </w:p>
    <w:p w14:paraId="3842BD65" w14:textId="77777777" w:rsidR="003608B8" w:rsidRPr="001D4CAA" w:rsidRDefault="001D4CAA" w:rsidP="001D4CAA">
      <w:pPr>
        <w:pStyle w:val="ListParagraph"/>
        <w:numPr>
          <w:ilvl w:val="0"/>
          <w:numId w:val="22"/>
        </w:numPr>
        <w:spacing w:after="120" w:line="240" w:lineRule="auto"/>
        <w:ind w:left="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However, if the takeover of the PT does not result in changes to the AD, then the takeover is deemed to take effect on the date of signing the notarized deed of takeover</w:t>
      </w:r>
      <w:r w:rsidR="003608B8" w:rsidRPr="001D4CAA">
        <w:rPr>
          <w:rFonts w:ascii="Book Antiqua" w:hAnsi="Book Antiqua" w:cs="Calibri"/>
          <w:color w:val="000000" w:themeColor="text1"/>
          <w:sz w:val="24"/>
          <w:szCs w:val="24"/>
        </w:rPr>
        <w:t>.</w:t>
      </w:r>
    </w:p>
    <w:p w14:paraId="736899D7" w14:textId="77777777" w:rsidR="003608B8" w:rsidRPr="00AF20D0" w:rsidRDefault="001D4CAA" w:rsidP="007F6E04">
      <w:pPr>
        <w:spacing w:after="120" w:line="240" w:lineRule="auto"/>
        <w:ind w:firstLine="360"/>
        <w:jc w:val="both"/>
        <w:rPr>
          <w:rFonts w:ascii="Book Antiqua" w:hAnsi="Book Antiqua" w:cs="Calibri"/>
          <w:color w:val="000000" w:themeColor="text1"/>
          <w:sz w:val="24"/>
          <w:szCs w:val="24"/>
        </w:rPr>
      </w:pPr>
      <w:r w:rsidRPr="001D4CAA">
        <w:rPr>
          <w:rFonts w:ascii="Book Antiqua" w:hAnsi="Book Antiqua" w:cs="Calibri"/>
          <w:color w:val="000000" w:themeColor="text1"/>
          <w:sz w:val="24"/>
          <w:szCs w:val="24"/>
        </w:rPr>
        <w:t xml:space="preserve">The transfer of rights to shares through buying and selling shares is a legal act that must be supervised by a notary and requires the use of authentic documents such as a share sale deed, </w:t>
      </w:r>
      <w:proofErr w:type="spellStart"/>
      <w:r w:rsidRPr="001D4CAA">
        <w:rPr>
          <w:rFonts w:ascii="Book Antiqua" w:hAnsi="Book Antiqua" w:cs="Calibri"/>
          <w:color w:val="000000" w:themeColor="text1"/>
          <w:sz w:val="24"/>
          <w:szCs w:val="24"/>
        </w:rPr>
        <w:t>UUPT</w:t>
      </w:r>
      <w:proofErr w:type="spellEnd"/>
      <w:r w:rsidRPr="001D4CAA">
        <w:rPr>
          <w:rFonts w:ascii="Book Antiqua" w:hAnsi="Book Antiqua" w:cs="Calibri"/>
          <w:color w:val="000000" w:themeColor="text1"/>
          <w:sz w:val="24"/>
          <w:szCs w:val="24"/>
        </w:rPr>
        <w:t>: Article 56 Paragraph 1 ``Transfer'' Concerning Rights to Shares'' carried out by means of a property rights deed'</w:t>
      </w:r>
      <w:proofErr w:type="gramStart"/>
      <w:r w:rsidRPr="001D4CAA">
        <w:rPr>
          <w:rFonts w:ascii="Book Antiqua" w:hAnsi="Book Antiqua" w:cs="Calibri"/>
          <w:color w:val="000000" w:themeColor="text1"/>
          <w:sz w:val="24"/>
          <w:szCs w:val="24"/>
        </w:rPr>
        <w:t>' ,</w:t>
      </w:r>
      <w:proofErr w:type="gramEnd"/>
      <w:r w:rsidRPr="001D4CAA">
        <w:rPr>
          <w:rFonts w:ascii="Book Antiqua" w:hAnsi="Book Antiqua" w:cs="Calibri"/>
          <w:color w:val="000000" w:themeColor="text1"/>
          <w:sz w:val="24"/>
          <w:szCs w:val="24"/>
        </w:rPr>
        <w:t xml:space="preserve"> explains the meaning of ``deed'', whether in the form of a deed made before a notary or a private deed. For this reason, it is important for a notary to understand the company's articles of association when transferring rights to shares through the sale of shares. The parties who make a sale and purchase agreement obtain rights and obligations for the agreement that has been agreed to be stated in the agreement made by the parties and made before a Notary</w:t>
      </w:r>
      <w:r w:rsidR="003608B8" w:rsidRPr="003608B8">
        <w:rPr>
          <w:rFonts w:ascii="Book Antiqua" w:hAnsi="Book Antiqua" w:cs="Calibri"/>
          <w:color w:val="000000" w:themeColor="text1"/>
          <w:sz w:val="24"/>
          <w:szCs w:val="24"/>
        </w:rPr>
        <w:t>.</w:t>
      </w:r>
    </w:p>
    <w:p w14:paraId="0EE2B842" w14:textId="77777777" w:rsidR="00D01DEE" w:rsidRDefault="003608B8" w:rsidP="00E2182B">
      <w:pPr>
        <w:pStyle w:val="ListParagraph"/>
        <w:numPr>
          <w:ilvl w:val="1"/>
          <w:numId w:val="18"/>
        </w:numPr>
        <w:spacing w:after="120" w:line="240" w:lineRule="auto"/>
        <w:ind w:left="450" w:hanging="450"/>
        <w:contextualSpacing w:val="0"/>
        <w:jc w:val="both"/>
        <w:rPr>
          <w:rFonts w:ascii="Book Antiqua" w:eastAsia="Arial Unicode MS" w:hAnsi="Book Antiqua" w:cstheme="majorHAnsi"/>
          <w:b/>
          <w:color w:val="000000" w:themeColor="text1"/>
          <w:sz w:val="24"/>
          <w:szCs w:val="24"/>
        </w:rPr>
      </w:pPr>
      <w:r w:rsidRPr="003608B8">
        <w:rPr>
          <w:rFonts w:ascii="Book Antiqua" w:eastAsia="Arial Unicode MS" w:hAnsi="Book Antiqua" w:cstheme="majorHAnsi"/>
          <w:b/>
          <w:color w:val="000000" w:themeColor="text1"/>
          <w:sz w:val="24"/>
          <w:szCs w:val="24"/>
        </w:rPr>
        <w:lastRenderedPageBreak/>
        <w:t xml:space="preserve">PERAN </w:t>
      </w:r>
      <w:proofErr w:type="spellStart"/>
      <w:r w:rsidRPr="003608B8">
        <w:rPr>
          <w:rFonts w:ascii="Book Antiqua" w:eastAsia="Arial Unicode MS" w:hAnsi="Book Antiqua" w:cstheme="majorHAnsi"/>
          <w:b/>
          <w:color w:val="000000" w:themeColor="text1"/>
          <w:sz w:val="24"/>
          <w:szCs w:val="24"/>
        </w:rPr>
        <w:t>NOTARIS</w:t>
      </w:r>
      <w:proofErr w:type="spellEnd"/>
      <w:r w:rsidRPr="003608B8">
        <w:rPr>
          <w:rFonts w:ascii="Book Antiqua" w:eastAsia="Arial Unicode MS" w:hAnsi="Book Antiqua" w:cstheme="majorHAnsi"/>
          <w:b/>
          <w:color w:val="000000" w:themeColor="text1"/>
          <w:sz w:val="24"/>
          <w:szCs w:val="24"/>
        </w:rPr>
        <w:t xml:space="preserve"> </w:t>
      </w:r>
      <w:proofErr w:type="spellStart"/>
      <w:r w:rsidRPr="003608B8">
        <w:rPr>
          <w:rFonts w:ascii="Book Antiqua" w:eastAsia="Arial Unicode MS" w:hAnsi="Book Antiqua" w:cstheme="majorHAnsi"/>
          <w:b/>
          <w:color w:val="000000" w:themeColor="text1"/>
          <w:sz w:val="24"/>
          <w:szCs w:val="24"/>
        </w:rPr>
        <w:t>UNTUK</w:t>
      </w:r>
      <w:proofErr w:type="spellEnd"/>
      <w:r w:rsidRPr="003608B8">
        <w:rPr>
          <w:rFonts w:ascii="Book Antiqua" w:eastAsia="Arial Unicode MS" w:hAnsi="Book Antiqua" w:cstheme="majorHAnsi"/>
          <w:b/>
          <w:color w:val="000000" w:themeColor="text1"/>
          <w:sz w:val="24"/>
          <w:szCs w:val="24"/>
        </w:rPr>
        <w:t xml:space="preserve"> </w:t>
      </w:r>
      <w:proofErr w:type="spellStart"/>
      <w:r w:rsidRPr="003608B8">
        <w:rPr>
          <w:rFonts w:ascii="Book Antiqua" w:eastAsia="Arial Unicode MS" w:hAnsi="Book Antiqua" w:cstheme="majorHAnsi"/>
          <w:b/>
          <w:color w:val="000000" w:themeColor="text1"/>
          <w:sz w:val="24"/>
          <w:szCs w:val="24"/>
        </w:rPr>
        <w:t>MEMINIMALISIR</w:t>
      </w:r>
      <w:proofErr w:type="spellEnd"/>
      <w:r w:rsidRPr="003608B8">
        <w:rPr>
          <w:rFonts w:ascii="Book Antiqua" w:eastAsia="Arial Unicode MS" w:hAnsi="Book Antiqua" w:cstheme="majorHAnsi"/>
          <w:b/>
          <w:color w:val="000000" w:themeColor="text1"/>
          <w:sz w:val="24"/>
          <w:szCs w:val="24"/>
        </w:rPr>
        <w:t xml:space="preserve"> </w:t>
      </w:r>
      <w:proofErr w:type="spellStart"/>
      <w:r w:rsidRPr="003608B8">
        <w:rPr>
          <w:rFonts w:ascii="Book Antiqua" w:eastAsia="Arial Unicode MS" w:hAnsi="Book Antiqua" w:cstheme="majorHAnsi"/>
          <w:b/>
          <w:color w:val="000000" w:themeColor="text1"/>
          <w:sz w:val="24"/>
          <w:szCs w:val="24"/>
        </w:rPr>
        <w:t>PENGENDALIAN</w:t>
      </w:r>
      <w:proofErr w:type="spellEnd"/>
      <w:r w:rsidRPr="003608B8">
        <w:rPr>
          <w:rFonts w:ascii="Book Antiqua" w:eastAsia="Arial Unicode MS" w:hAnsi="Book Antiqua" w:cstheme="majorHAnsi"/>
          <w:b/>
          <w:color w:val="000000" w:themeColor="text1"/>
          <w:sz w:val="24"/>
          <w:szCs w:val="24"/>
        </w:rPr>
        <w:t xml:space="preserve"> PERSEROAN </w:t>
      </w:r>
      <w:proofErr w:type="spellStart"/>
      <w:r w:rsidRPr="003608B8">
        <w:rPr>
          <w:rFonts w:ascii="Book Antiqua" w:eastAsia="Arial Unicode MS" w:hAnsi="Book Antiqua" w:cstheme="majorHAnsi"/>
          <w:b/>
          <w:color w:val="000000" w:themeColor="text1"/>
          <w:sz w:val="24"/>
          <w:szCs w:val="24"/>
        </w:rPr>
        <w:t>TERBATAS</w:t>
      </w:r>
      <w:proofErr w:type="spellEnd"/>
      <w:r w:rsidRPr="003608B8">
        <w:rPr>
          <w:rFonts w:ascii="Book Antiqua" w:eastAsia="Arial Unicode MS" w:hAnsi="Book Antiqua" w:cstheme="majorHAnsi"/>
          <w:b/>
          <w:color w:val="000000" w:themeColor="text1"/>
          <w:sz w:val="24"/>
          <w:szCs w:val="24"/>
        </w:rPr>
        <w:t xml:space="preserve"> DI </w:t>
      </w:r>
      <w:proofErr w:type="spellStart"/>
      <w:r w:rsidRPr="003608B8">
        <w:rPr>
          <w:rFonts w:ascii="Book Antiqua" w:eastAsia="Arial Unicode MS" w:hAnsi="Book Antiqua" w:cstheme="majorHAnsi"/>
          <w:b/>
          <w:color w:val="000000" w:themeColor="text1"/>
          <w:sz w:val="24"/>
          <w:szCs w:val="24"/>
        </w:rPr>
        <w:t>LUAR</w:t>
      </w:r>
      <w:proofErr w:type="spellEnd"/>
      <w:r w:rsidRPr="003608B8">
        <w:rPr>
          <w:rFonts w:ascii="Book Antiqua" w:eastAsia="Arial Unicode MS" w:hAnsi="Book Antiqua" w:cstheme="majorHAnsi"/>
          <w:b/>
          <w:color w:val="000000" w:themeColor="text1"/>
          <w:sz w:val="24"/>
          <w:szCs w:val="24"/>
        </w:rPr>
        <w:t xml:space="preserve"> </w:t>
      </w:r>
      <w:proofErr w:type="spellStart"/>
      <w:r w:rsidRPr="003608B8">
        <w:rPr>
          <w:rFonts w:ascii="Book Antiqua" w:eastAsia="Arial Unicode MS" w:hAnsi="Book Antiqua" w:cstheme="majorHAnsi"/>
          <w:b/>
          <w:color w:val="000000" w:themeColor="text1"/>
          <w:sz w:val="24"/>
          <w:szCs w:val="24"/>
        </w:rPr>
        <w:t>AKUISISI</w:t>
      </w:r>
      <w:proofErr w:type="spellEnd"/>
    </w:p>
    <w:p w14:paraId="2AC365DD" w14:textId="77777777" w:rsidR="00E2182B" w:rsidRPr="00E2182B" w:rsidRDefault="001D4CAA" w:rsidP="007F6E04">
      <w:pPr>
        <w:spacing w:after="120" w:line="240" w:lineRule="auto"/>
        <w:ind w:firstLine="450"/>
        <w:jc w:val="both"/>
        <w:rPr>
          <w:rFonts w:ascii="Book Antiqua" w:hAnsi="Book Antiqua" w:cstheme="majorHAnsi"/>
          <w:color w:val="000000" w:themeColor="text1"/>
          <w:sz w:val="24"/>
          <w:szCs w:val="24"/>
        </w:rPr>
      </w:pPr>
      <w:r w:rsidRPr="001D4CAA">
        <w:rPr>
          <w:rFonts w:ascii="Book Antiqua" w:hAnsi="Book Antiqua" w:cstheme="majorHAnsi"/>
          <w:color w:val="000000" w:themeColor="text1"/>
          <w:sz w:val="24"/>
          <w:szCs w:val="24"/>
        </w:rPr>
        <w:t xml:space="preserve">Notary is a profession that in carrying out its duties must comply with statutory regulations and professional norms which form the rules of its procedures. Every society needs people whose information can be trusted and whose signatures and seals can be strong guarantees and evidence. In making the original deed, the Notary will make every effort to ensure that the deed is free from defects and errors. However, as humans, we definitely make mistakes. According to </w:t>
      </w:r>
      <w:proofErr w:type="spellStart"/>
      <w:r w:rsidRPr="001D4CAA">
        <w:rPr>
          <w:rFonts w:ascii="Book Antiqua" w:hAnsi="Book Antiqua" w:cstheme="majorHAnsi"/>
          <w:color w:val="000000" w:themeColor="text1"/>
          <w:sz w:val="24"/>
          <w:szCs w:val="24"/>
        </w:rPr>
        <w:t>Supriadi</w:t>
      </w:r>
      <w:proofErr w:type="spellEnd"/>
      <w:r w:rsidRPr="001D4CAA">
        <w:rPr>
          <w:rFonts w:ascii="Book Antiqua" w:hAnsi="Book Antiqua" w:cstheme="majorHAnsi"/>
          <w:color w:val="000000" w:themeColor="text1"/>
          <w:sz w:val="24"/>
          <w:szCs w:val="24"/>
        </w:rPr>
        <w:t xml:space="preserve">, it is human nature for notaries to make mistakes. Additionally, adding or deleting documents can cause problems. Therefore, Article 48 </w:t>
      </w:r>
      <w:proofErr w:type="spellStart"/>
      <w:r w:rsidRPr="001D4CAA">
        <w:rPr>
          <w:rFonts w:ascii="Book Antiqua" w:hAnsi="Book Antiqua" w:cstheme="majorHAnsi"/>
          <w:color w:val="000000" w:themeColor="text1"/>
          <w:sz w:val="24"/>
          <w:szCs w:val="24"/>
        </w:rPr>
        <w:t>UUJN</w:t>
      </w:r>
      <w:proofErr w:type="spellEnd"/>
      <w:r w:rsidRPr="001D4CAA">
        <w:rPr>
          <w:rFonts w:ascii="Book Antiqua" w:hAnsi="Book Antiqua" w:cstheme="majorHAnsi"/>
          <w:color w:val="000000" w:themeColor="text1"/>
          <w:sz w:val="24"/>
          <w:szCs w:val="24"/>
        </w:rPr>
        <w:t xml:space="preserve"> stipulates that the contents of the instrument may not be changed or added to by overwriting, inserting, deleting, or deleting and replacing it by someone else. Changes to a deed in the form of additions, replacements or deletions in the deed are only valid if the changes are initiated by the presenter, witnesses and notary, or if there are other signs of confirmation. Notaries always act in accordance with the legal rules that underlie their authority and can avoid abuse of the authority and trust given to them</w:t>
      </w:r>
      <w:r w:rsidR="00E2182B" w:rsidRPr="00E2182B">
        <w:rPr>
          <w:rFonts w:ascii="Book Antiqua" w:hAnsi="Book Antiqua" w:cstheme="majorHAnsi"/>
          <w:color w:val="000000" w:themeColor="text1"/>
          <w:sz w:val="24"/>
          <w:szCs w:val="24"/>
        </w:rPr>
        <w:t>.</w:t>
      </w:r>
    </w:p>
    <w:p w14:paraId="2527975E" w14:textId="77777777" w:rsidR="007F6E04" w:rsidRDefault="001D4CAA" w:rsidP="007F6E04">
      <w:pPr>
        <w:spacing w:after="120" w:line="240" w:lineRule="auto"/>
        <w:ind w:firstLine="360"/>
        <w:jc w:val="both"/>
        <w:rPr>
          <w:rFonts w:ascii="Book Antiqua" w:hAnsi="Book Antiqua" w:cstheme="majorHAnsi"/>
          <w:color w:val="000000" w:themeColor="text1"/>
          <w:sz w:val="24"/>
          <w:szCs w:val="24"/>
        </w:rPr>
      </w:pPr>
      <w:r w:rsidRPr="001D4CAA">
        <w:rPr>
          <w:rFonts w:ascii="Book Antiqua" w:hAnsi="Book Antiqua" w:cstheme="majorHAnsi"/>
          <w:color w:val="000000" w:themeColor="text1"/>
          <w:sz w:val="24"/>
          <w:szCs w:val="24"/>
        </w:rPr>
        <w:t xml:space="preserve">Pay attention to criminal law issues related to participating in criminal acts of embezzlement and/or fraud committed by the Commissioner of PT. </w:t>
      </w:r>
      <w:proofErr w:type="spellStart"/>
      <w:r w:rsidRPr="001D4CAA">
        <w:rPr>
          <w:rFonts w:ascii="Book Antiqua" w:hAnsi="Book Antiqua" w:cstheme="majorHAnsi"/>
          <w:color w:val="000000" w:themeColor="text1"/>
          <w:sz w:val="24"/>
          <w:szCs w:val="24"/>
        </w:rPr>
        <w:t>ESG</w:t>
      </w:r>
      <w:proofErr w:type="spellEnd"/>
      <w:r w:rsidRPr="001D4CAA">
        <w:rPr>
          <w:rFonts w:ascii="Book Antiqua" w:hAnsi="Book Antiqua" w:cstheme="majorHAnsi"/>
          <w:color w:val="000000" w:themeColor="text1"/>
          <w:sz w:val="24"/>
          <w:szCs w:val="24"/>
        </w:rPr>
        <w:t xml:space="preserve">, for the actions of the Commissioner of PT. </w:t>
      </w:r>
      <w:proofErr w:type="spellStart"/>
      <w:r w:rsidRPr="001D4CAA">
        <w:rPr>
          <w:rFonts w:ascii="Book Antiqua" w:hAnsi="Book Antiqua" w:cstheme="majorHAnsi"/>
          <w:color w:val="000000" w:themeColor="text1"/>
          <w:sz w:val="24"/>
          <w:szCs w:val="24"/>
        </w:rPr>
        <w:t>ESG</w:t>
      </w:r>
      <w:proofErr w:type="spellEnd"/>
      <w:r w:rsidRPr="001D4CAA">
        <w:rPr>
          <w:rFonts w:ascii="Book Antiqua" w:hAnsi="Book Antiqua" w:cstheme="majorHAnsi"/>
          <w:color w:val="000000" w:themeColor="text1"/>
          <w:sz w:val="24"/>
          <w:szCs w:val="24"/>
        </w:rPr>
        <w:t xml:space="preserve"> sold land assets measuring ± 10,000 </w:t>
      </w:r>
      <w:proofErr w:type="spellStart"/>
      <w:r w:rsidRPr="001D4CAA">
        <w:rPr>
          <w:rFonts w:ascii="Book Antiqua" w:hAnsi="Book Antiqua" w:cstheme="majorHAnsi"/>
          <w:color w:val="000000" w:themeColor="text1"/>
          <w:sz w:val="24"/>
          <w:szCs w:val="24"/>
        </w:rPr>
        <w:t>m2</w:t>
      </w:r>
      <w:proofErr w:type="spellEnd"/>
      <w:r w:rsidRPr="001D4CAA">
        <w:rPr>
          <w:rFonts w:ascii="Book Antiqua" w:hAnsi="Book Antiqua" w:cstheme="majorHAnsi"/>
          <w:color w:val="000000" w:themeColor="text1"/>
          <w:sz w:val="24"/>
          <w:szCs w:val="24"/>
        </w:rPr>
        <w:t xml:space="preserve"> (approximately ten thousand square meters) belonging to PT. </w:t>
      </w:r>
      <w:proofErr w:type="spellStart"/>
      <w:r w:rsidRPr="001D4CAA">
        <w:rPr>
          <w:rFonts w:ascii="Book Antiqua" w:hAnsi="Book Antiqua" w:cstheme="majorHAnsi"/>
          <w:color w:val="000000" w:themeColor="text1"/>
          <w:sz w:val="24"/>
          <w:szCs w:val="24"/>
        </w:rPr>
        <w:t>ESG</w:t>
      </w:r>
      <w:proofErr w:type="spellEnd"/>
      <w:r w:rsidRPr="001D4CAA">
        <w:rPr>
          <w:rFonts w:ascii="Book Antiqua" w:hAnsi="Book Antiqua" w:cstheme="majorHAnsi"/>
          <w:color w:val="000000" w:themeColor="text1"/>
          <w:sz w:val="24"/>
          <w:szCs w:val="24"/>
        </w:rPr>
        <w:t xml:space="preserve">, the sale of these assets is stated in the Deed of Sale and Purchase Agreement and Transfer of Rights Number 1 dated 02 March 2015 which was issued by Notary and </w:t>
      </w:r>
      <w:proofErr w:type="spellStart"/>
      <w:r w:rsidRPr="001D4CAA">
        <w:rPr>
          <w:rFonts w:ascii="Book Antiqua" w:hAnsi="Book Antiqua" w:cstheme="majorHAnsi"/>
          <w:color w:val="000000" w:themeColor="text1"/>
          <w:sz w:val="24"/>
          <w:szCs w:val="24"/>
        </w:rPr>
        <w:t>PPAT</w:t>
      </w:r>
      <w:proofErr w:type="spellEnd"/>
      <w:r w:rsidRPr="001D4CAA">
        <w:rPr>
          <w:rFonts w:ascii="Book Antiqua" w:hAnsi="Book Antiqua" w:cstheme="majorHAnsi"/>
          <w:color w:val="000000" w:themeColor="text1"/>
          <w:sz w:val="24"/>
          <w:szCs w:val="24"/>
        </w:rPr>
        <w:t xml:space="preserve"> </w:t>
      </w:r>
      <w:proofErr w:type="spellStart"/>
      <w:r w:rsidRPr="001D4CAA">
        <w:rPr>
          <w:rFonts w:ascii="Book Antiqua" w:hAnsi="Book Antiqua" w:cstheme="majorHAnsi"/>
          <w:color w:val="000000" w:themeColor="text1"/>
          <w:sz w:val="24"/>
          <w:szCs w:val="24"/>
        </w:rPr>
        <w:t>AYM</w:t>
      </w:r>
      <w:proofErr w:type="spellEnd"/>
      <w:r w:rsidRPr="001D4CAA">
        <w:rPr>
          <w:rFonts w:ascii="Book Antiqua" w:hAnsi="Book Antiqua" w:cstheme="majorHAnsi"/>
          <w:color w:val="000000" w:themeColor="text1"/>
          <w:sz w:val="24"/>
          <w:szCs w:val="24"/>
        </w:rPr>
        <w:t xml:space="preserve">, S.H. domiciled in </w:t>
      </w:r>
      <w:proofErr w:type="spellStart"/>
      <w:r w:rsidRPr="001D4CAA">
        <w:rPr>
          <w:rFonts w:ascii="Book Antiqua" w:hAnsi="Book Antiqua" w:cstheme="majorHAnsi"/>
          <w:color w:val="000000" w:themeColor="text1"/>
          <w:sz w:val="24"/>
          <w:szCs w:val="24"/>
        </w:rPr>
        <w:t>Batam</w:t>
      </w:r>
      <w:proofErr w:type="spellEnd"/>
      <w:r w:rsidRPr="001D4CAA">
        <w:rPr>
          <w:rFonts w:ascii="Book Antiqua" w:hAnsi="Book Antiqua" w:cstheme="majorHAnsi"/>
          <w:color w:val="000000" w:themeColor="text1"/>
          <w:sz w:val="24"/>
          <w:szCs w:val="24"/>
        </w:rPr>
        <w:t xml:space="preserve"> City. The Notary and </w:t>
      </w:r>
      <w:proofErr w:type="spellStart"/>
      <w:r w:rsidRPr="001D4CAA">
        <w:rPr>
          <w:rFonts w:ascii="Book Antiqua" w:hAnsi="Book Antiqua" w:cstheme="majorHAnsi"/>
          <w:color w:val="000000" w:themeColor="text1"/>
          <w:sz w:val="24"/>
          <w:szCs w:val="24"/>
        </w:rPr>
        <w:t>PPAT</w:t>
      </w:r>
      <w:proofErr w:type="spellEnd"/>
      <w:r w:rsidRPr="001D4CAA">
        <w:rPr>
          <w:rFonts w:ascii="Book Antiqua" w:hAnsi="Book Antiqua" w:cstheme="majorHAnsi"/>
          <w:color w:val="000000" w:themeColor="text1"/>
          <w:sz w:val="24"/>
          <w:szCs w:val="24"/>
        </w:rPr>
        <w:t xml:space="preserve"> were questioned as witnesses at the Riau Islands Regional Police, the person concerned was questioned regarding the Deed of Sale and Purchase Agreement and Transfer of Rights that had been issued, as well as regarding the object promised in the Deed, in this interview it was also mentioned by </w:t>
      </w:r>
      <w:proofErr w:type="spellStart"/>
      <w:r w:rsidRPr="001D4CAA">
        <w:rPr>
          <w:rFonts w:ascii="Book Antiqua" w:hAnsi="Book Antiqua" w:cstheme="majorHAnsi"/>
          <w:color w:val="000000" w:themeColor="text1"/>
          <w:sz w:val="24"/>
          <w:szCs w:val="24"/>
        </w:rPr>
        <w:t>AYM</w:t>
      </w:r>
      <w:proofErr w:type="spellEnd"/>
      <w:r w:rsidRPr="001D4CAA">
        <w:rPr>
          <w:rFonts w:ascii="Book Antiqua" w:hAnsi="Book Antiqua" w:cstheme="majorHAnsi"/>
          <w:color w:val="000000" w:themeColor="text1"/>
          <w:sz w:val="24"/>
          <w:szCs w:val="24"/>
        </w:rPr>
        <w:t xml:space="preserve"> , S.H. that this problem should not be a criminal problem but a civil problem where a number of actions or obligations outlined in the Deed have been implemented by the Commissioner of PT. </w:t>
      </w:r>
      <w:proofErr w:type="spellStart"/>
      <w:r w:rsidRPr="001D4CAA">
        <w:rPr>
          <w:rFonts w:ascii="Book Antiqua" w:hAnsi="Book Antiqua" w:cstheme="majorHAnsi"/>
          <w:color w:val="000000" w:themeColor="text1"/>
          <w:sz w:val="24"/>
          <w:szCs w:val="24"/>
        </w:rPr>
        <w:t>ESG</w:t>
      </w:r>
      <w:proofErr w:type="spellEnd"/>
      <w:r w:rsidRPr="001D4CAA">
        <w:rPr>
          <w:rFonts w:ascii="Book Antiqua" w:hAnsi="Book Antiqua" w:cstheme="majorHAnsi"/>
          <w:color w:val="000000" w:themeColor="text1"/>
          <w:sz w:val="24"/>
          <w:szCs w:val="24"/>
        </w:rPr>
        <w:t xml:space="preserve">, as a form of professional responsibility, </w:t>
      </w:r>
      <w:proofErr w:type="spellStart"/>
      <w:r w:rsidRPr="001D4CAA">
        <w:rPr>
          <w:rFonts w:ascii="Book Antiqua" w:hAnsi="Book Antiqua" w:cstheme="majorHAnsi"/>
          <w:color w:val="000000" w:themeColor="text1"/>
          <w:sz w:val="24"/>
          <w:szCs w:val="24"/>
        </w:rPr>
        <w:t>AYM</w:t>
      </w:r>
      <w:proofErr w:type="spellEnd"/>
      <w:r w:rsidRPr="001D4CAA">
        <w:rPr>
          <w:rFonts w:ascii="Book Antiqua" w:hAnsi="Book Antiqua" w:cstheme="majorHAnsi"/>
          <w:color w:val="000000" w:themeColor="text1"/>
          <w:sz w:val="24"/>
          <w:szCs w:val="24"/>
        </w:rPr>
        <w:t>, S.H., is willing to undergo an examination at the Riau Islands Regional Police</w:t>
      </w:r>
      <w:r w:rsidR="00E2182B" w:rsidRPr="00E2182B">
        <w:rPr>
          <w:rFonts w:ascii="Book Antiqua" w:hAnsi="Book Antiqua" w:cstheme="majorHAnsi"/>
          <w:color w:val="000000" w:themeColor="text1"/>
          <w:sz w:val="24"/>
          <w:szCs w:val="24"/>
        </w:rPr>
        <w:t xml:space="preserve">. </w:t>
      </w:r>
    </w:p>
    <w:p w14:paraId="7AE6C0F2" w14:textId="77777777" w:rsidR="004B1F20" w:rsidRDefault="001D4CAA" w:rsidP="007F6E04">
      <w:pPr>
        <w:spacing w:after="120" w:line="240" w:lineRule="auto"/>
        <w:ind w:firstLine="360"/>
        <w:jc w:val="both"/>
        <w:rPr>
          <w:rFonts w:ascii="Book Antiqua" w:hAnsi="Book Antiqua" w:cstheme="majorHAnsi"/>
          <w:color w:val="000000" w:themeColor="text1"/>
          <w:sz w:val="24"/>
          <w:szCs w:val="24"/>
        </w:rPr>
      </w:pPr>
      <w:r w:rsidRPr="001D4CAA">
        <w:rPr>
          <w:rFonts w:ascii="Book Antiqua" w:hAnsi="Book Antiqua" w:cstheme="majorHAnsi"/>
          <w:color w:val="000000" w:themeColor="text1"/>
          <w:sz w:val="24"/>
          <w:szCs w:val="24"/>
        </w:rPr>
        <w:t xml:space="preserve">To provide a strong legal foundation for business actors in Indonesia and to fulfill legal needs for business activities that can spur national development and guarantee legal certainty for business actors, in this case PT. It is absolutely necessary for </w:t>
      </w:r>
      <w:proofErr w:type="spellStart"/>
      <w:r w:rsidRPr="001D4CAA">
        <w:rPr>
          <w:rFonts w:ascii="Book Antiqua" w:hAnsi="Book Antiqua" w:cstheme="majorHAnsi"/>
          <w:color w:val="000000" w:themeColor="text1"/>
          <w:sz w:val="24"/>
          <w:szCs w:val="24"/>
        </w:rPr>
        <w:t>ESG</w:t>
      </w:r>
      <w:proofErr w:type="spellEnd"/>
      <w:r w:rsidRPr="001D4CAA">
        <w:rPr>
          <w:rFonts w:ascii="Book Antiqua" w:hAnsi="Book Antiqua" w:cstheme="majorHAnsi"/>
          <w:color w:val="000000" w:themeColor="text1"/>
          <w:sz w:val="24"/>
          <w:szCs w:val="24"/>
        </w:rPr>
        <w:t xml:space="preserve"> and notary publics to update legal instruments as the basis for legal instruments for entrepreneurs and notaries. The reform in question can be carried out from the perspective of Lawrence's legal system theory. M. Friedman covers structural aspects, namely institutions and mechanisms, material aspects, namely the regulation of authority and procedures/mechanisms, and cultural aspects, namely the aims and objectives of providing advice to entrepreneurs and notaries. Basically, legal development includes material development (material), institutional (structural) and cultural development (cultural). When these factors interact with each other, legislation needs to be developed in an integrated, sustainable manner and with a global perspective</w:t>
      </w:r>
      <w:r w:rsidR="00E2182B" w:rsidRPr="00E2182B">
        <w:rPr>
          <w:rFonts w:ascii="Book Antiqua" w:hAnsi="Book Antiqua" w:cstheme="majorHAnsi"/>
          <w:color w:val="000000" w:themeColor="text1"/>
          <w:sz w:val="24"/>
          <w:szCs w:val="24"/>
        </w:rPr>
        <w:t>.</w:t>
      </w:r>
    </w:p>
    <w:p w14:paraId="0184EEEA" w14:textId="77777777" w:rsidR="000B76DE" w:rsidRDefault="000B76DE" w:rsidP="007F6E04">
      <w:pPr>
        <w:spacing w:after="120" w:line="240" w:lineRule="auto"/>
        <w:ind w:firstLine="360"/>
        <w:jc w:val="both"/>
        <w:rPr>
          <w:rFonts w:ascii="Book Antiqua" w:hAnsi="Book Antiqua" w:cstheme="majorHAnsi"/>
          <w:color w:val="000000" w:themeColor="text1"/>
          <w:sz w:val="24"/>
          <w:szCs w:val="24"/>
        </w:rPr>
      </w:pPr>
    </w:p>
    <w:p w14:paraId="63CE492B" w14:textId="77777777" w:rsidR="000B76DE" w:rsidRPr="00645A5E" w:rsidRDefault="000B76DE" w:rsidP="007F6E04">
      <w:pPr>
        <w:spacing w:after="120" w:line="240" w:lineRule="auto"/>
        <w:ind w:firstLine="360"/>
        <w:jc w:val="both"/>
        <w:rPr>
          <w:rFonts w:ascii="Book Antiqua" w:eastAsia="Arial Unicode MS" w:hAnsi="Book Antiqua" w:cstheme="majorHAnsi"/>
          <w:b/>
          <w:color w:val="000000" w:themeColor="text1"/>
          <w:sz w:val="24"/>
          <w:szCs w:val="24"/>
        </w:rPr>
      </w:pPr>
    </w:p>
    <w:p w14:paraId="7BD9DF5E" w14:textId="77777777" w:rsidR="004B1F20" w:rsidRPr="00E2182B" w:rsidRDefault="00E2182B" w:rsidP="00E2182B">
      <w:pPr>
        <w:pStyle w:val="ListParagraph"/>
        <w:numPr>
          <w:ilvl w:val="1"/>
          <w:numId w:val="18"/>
        </w:numPr>
        <w:spacing w:after="120" w:line="240" w:lineRule="auto"/>
        <w:ind w:left="360"/>
        <w:contextualSpacing w:val="0"/>
        <w:jc w:val="both"/>
        <w:rPr>
          <w:rFonts w:ascii="Book Antiqua" w:hAnsi="Book Antiqua" w:cs="Calibri"/>
          <w:b/>
          <w:color w:val="000000" w:themeColor="text1"/>
          <w:sz w:val="24"/>
          <w:szCs w:val="24"/>
          <w:lang w:val="id-ID"/>
        </w:rPr>
      </w:pPr>
      <w:r w:rsidRPr="00E2182B">
        <w:rPr>
          <w:rFonts w:ascii="Book Antiqua" w:hAnsi="Book Antiqua" w:cs="Calibri"/>
          <w:b/>
          <w:color w:val="000000" w:themeColor="text1"/>
          <w:sz w:val="24"/>
          <w:szCs w:val="24"/>
          <w:lang w:val="id-ID"/>
        </w:rPr>
        <w:lastRenderedPageBreak/>
        <w:t>PEMBAHARUAN PERATURAN PELAKSANAAN UNTUK MEMINIMALISIR PENGENDALIAN PERSEROAN TERBATAS DI LUAR AKUISISI</w:t>
      </w:r>
    </w:p>
    <w:p w14:paraId="705B2244" w14:textId="77777777" w:rsidR="00E2182B" w:rsidRPr="00083AAE" w:rsidRDefault="001D4CAA" w:rsidP="00083AAE">
      <w:pPr>
        <w:spacing w:after="120" w:line="240" w:lineRule="auto"/>
        <w:ind w:firstLine="360"/>
        <w:jc w:val="both"/>
        <w:rPr>
          <w:rFonts w:ascii="Book Antiqua" w:hAnsi="Book Antiqua" w:cstheme="majorHAnsi"/>
          <w:color w:val="000000" w:themeColor="text1"/>
          <w:sz w:val="24"/>
          <w:szCs w:val="24"/>
        </w:rPr>
      </w:pPr>
      <w:r w:rsidRPr="001D4CAA">
        <w:rPr>
          <w:rFonts w:ascii="Book Antiqua" w:hAnsi="Book Antiqua" w:cstheme="majorHAnsi"/>
          <w:color w:val="000000" w:themeColor="text1"/>
          <w:sz w:val="24"/>
          <w:szCs w:val="24"/>
        </w:rPr>
        <w:t xml:space="preserve">Based on an analysis of the problems of PT. </w:t>
      </w:r>
      <w:proofErr w:type="spellStart"/>
      <w:r w:rsidRPr="001D4CAA">
        <w:rPr>
          <w:rFonts w:ascii="Book Antiqua" w:hAnsi="Book Antiqua" w:cstheme="majorHAnsi"/>
          <w:color w:val="000000" w:themeColor="text1"/>
          <w:sz w:val="24"/>
          <w:szCs w:val="24"/>
        </w:rPr>
        <w:t>ESG</w:t>
      </w:r>
      <w:proofErr w:type="spellEnd"/>
      <w:r w:rsidRPr="001D4CAA">
        <w:rPr>
          <w:rFonts w:ascii="Book Antiqua" w:hAnsi="Book Antiqua" w:cstheme="majorHAnsi"/>
          <w:color w:val="000000" w:themeColor="text1"/>
          <w:sz w:val="24"/>
          <w:szCs w:val="24"/>
        </w:rPr>
        <w:t xml:space="preserve"> as explained previously needs to be conveyed to entrepreneurs who will carry out sales of company assets or asset acquisitions, so it would be necessary to discuss the responsibilities of the Board of Directors in carrying out the acquisition of Company assets, as regulated in the provisions of Article 1 Paragraph (5) </w:t>
      </w:r>
      <w:proofErr w:type="spellStart"/>
      <w:r w:rsidRPr="001D4CAA">
        <w:rPr>
          <w:rFonts w:ascii="Book Antiqua" w:hAnsi="Book Antiqua" w:cstheme="majorHAnsi"/>
          <w:color w:val="000000" w:themeColor="text1"/>
          <w:sz w:val="24"/>
          <w:szCs w:val="24"/>
        </w:rPr>
        <w:t>UUPT</w:t>
      </w:r>
      <w:proofErr w:type="spellEnd"/>
      <w:r w:rsidRPr="001D4CAA">
        <w:rPr>
          <w:rFonts w:ascii="Book Antiqua" w:hAnsi="Book Antiqua" w:cstheme="majorHAnsi"/>
          <w:color w:val="000000" w:themeColor="text1"/>
          <w:sz w:val="24"/>
          <w:szCs w:val="24"/>
        </w:rPr>
        <w:t xml:space="preserve"> which confirms that the Board of Directors is "a company organ that has full power and responsibility to manage the company in accordance with the company's aims and objectives and for the interests of the company, as well as representing the company inside and outside the court". If there is a change to the articles of association, the sole shareholder's decision is only used by a notary. In such a position, the company's Directors have the task of running the company, including representing the company to carry out tasks in achieving the company's goals and objectives. This is in line with the theory of fiduciary duties/fiduciary responsibility. The responsibilities of Directors can essentially cover private law and public law, in this case a </w:t>
      </w:r>
      <w:proofErr w:type="gramStart"/>
      <w:r w:rsidRPr="001D4CAA">
        <w:rPr>
          <w:rFonts w:ascii="Book Antiqua" w:hAnsi="Book Antiqua" w:cstheme="majorHAnsi"/>
          <w:color w:val="000000" w:themeColor="text1"/>
          <w:sz w:val="24"/>
          <w:szCs w:val="24"/>
        </w:rPr>
        <w:t>Director</w:t>
      </w:r>
      <w:proofErr w:type="gramEnd"/>
      <w:r w:rsidRPr="001D4CAA">
        <w:rPr>
          <w:rFonts w:ascii="Book Antiqua" w:hAnsi="Book Antiqua" w:cstheme="majorHAnsi"/>
          <w:color w:val="000000" w:themeColor="text1"/>
          <w:sz w:val="24"/>
          <w:szCs w:val="24"/>
        </w:rPr>
        <w:t xml:space="preserve"> may violate private law as well as public law. Directors must also pay attention to the principles of good corporate governance (guidelines for managing a good corporation). In line with the definition of PT based on the provisions of </w:t>
      </w:r>
      <w:proofErr w:type="spellStart"/>
      <w:r w:rsidRPr="001D4CAA">
        <w:rPr>
          <w:rFonts w:ascii="Book Antiqua" w:hAnsi="Book Antiqua" w:cstheme="majorHAnsi"/>
          <w:color w:val="000000" w:themeColor="text1"/>
          <w:sz w:val="24"/>
          <w:szCs w:val="24"/>
        </w:rPr>
        <w:t>UUPT</w:t>
      </w:r>
      <w:proofErr w:type="spellEnd"/>
      <w:r w:rsidRPr="001D4CAA">
        <w:rPr>
          <w:rFonts w:ascii="Book Antiqua" w:hAnsi="Book Antiqua" w:cstheme="majorHAnsi"/>
          <w:color w:val="000000" w:themeColor="text1"/>
          <w:sz w:val="24"/>
          <w:szCs w:val="24"/>
        </w:rPr>
        <w:t xml:space="preserve"> Article 1 Paragraph (1), the theory that is in accordance with the provisions of </w:t>
      </w:r>
      <w:proofErr w:type="spellStart"/>
      <w:r w:rsidRPr="001D4CAA">
        <w:rPr>
          <w:rFonts w:ascii="Book Antiqua" w:hAnsi="Book Antiqua" w:cstheme="majorHAnsi"/>
          <w:color w:val="000000" w:themeColor="text1"/>
          <w:sz w:val="24"/>
          <w:szCs w:val="24"/>
        </w:rPr>
        <w:t>UUPT</w:t>
      </w:r>
      <w:proofErr w:type="spellEnd"/>
      <w:r w:rsidRPr="001D4CAA">
        <w:rPr>
          <w:rFonts w:ascii="Book Antiqua" w:hAnsi="Book Antiqua" w:cstheme="majorHAnsi"/>
          <w:color w:val="000000" w:themeColor="text1"/>
          <w:sz w:val="24"/>
          <w:szCs w:val="24"/>
        </w:rPr>
        <w:t xml:space="preserve"> is the Organ Theory put forward by Otto Von </w:t>
      </w:r>
      <w:proofErr w:type="spellStart"/>
      <w:r w:rsidRPr="001D4CAA">
        <w:rPr>
          <w:rFonts w:ascii="Book Antiqua" w:hAnsi="Book Antiqua" w:cstheme="majorHAnsi"/>
          <w:color w:val="000000" w:themeColor="text1"/>
          <w:sz w:val="24"/>
          <w:szCs w:val="24"/>
        </w:rPr>
        <w:t>Gierke</w:t>
      </w:r>
      <w:proofErr w:type="spellEnd"/>
      <w:r w:rsidRPr="001D4CAA">
        <w:rPr>
          <w:rFonts w:ascii="Book Antiqua" w:hAnsi="Book Antiqua" w:cstheme="majorHAnsi"/>
          <w:color w:val="000000" w:themeColor="text1"/>
          <w:sz w:val="24"/>
          <w:szCs w:val="24"/>
        </w:rPr>
        <w:t>, namely that PT is a legal subject created by law and is the bearer of the same rights and obligations as legal subjects of natural persons. However, PT as an artificial person requires an organ to achieve its goals and objectives</w:t>
      </w:r>
      <w:r w:rsidR="00E2182B" w:rsidRPr="00E2182B">
        <w:rPr>
          <w:rFonts w:ascii="Book Antiqua" w:hAnsi="Book Antiqua" w:cstheme="majorHAnsi"/>
          <w:color w:val="000000" w:themeColor="text1"/>
          <w:sz w:val="24"/>
          <w:szCs w:val="24"/>
        </w:rPr>
        <w:t>.</w:t>
      </w:r>
    </w:p>
    <w:p w14:paraId="733E7420" w14:textId="77777777" w:rsidR="000F7C86" w:rsidRPr="007F6E04" w:rsidRDefault="00083AAE" w:rsidP="007F6E04">
      <w:pPr>
        <w:spacing w:after="120" w:line="240" w:lineRule="auto"/>
        <w:ind w:firstLine="360"/>
        <w:jc w:val="both"/>
        <w:rPr>
          <w:rFonts w:ascii="Book Antiqua" w:hAnsi="Book Antiqua" w:cs="Calibri"/>
          <w:color w:val="000000" w:themeColor="text1"/>
        </w:rPr>
      </w:pPr>
      <w:r w:rsidRPr="00083AAE">
        <w:rPr>
          <w:rFonts w:ascii="Book Antiqua" w:hAnsi="Book Antiqua" w:cstheme="majorHAnsi"/>
          <w:color w:val="000000" w:themeColor="text1"/>
          <w:sz w:val="24"/>
          <w:szCs w:val="24"/>
        </w:rPr>
        <w:t xml:space="preserve">In connection with research conducted on PT. </w:t>
      </w:r>
      <w:proofErr w:type="spellStart"/>
      <w:r w:rsidRPr="00083AAE">
        <w:rPr>
          <w:rFonts w:ascii="Book Antiqua" w:hAnsi="Book Antiqua" w:cstheme="majorHAnsi"/>
          <w:color w:val="000000" w:themeColor="text1"/>
          <w:sz w:val="24"/>
          <w:szCs w:val="24"/>
        </w:rPr>
        <w:t>ESG</w:t>
      </w:r>
      <w:proofErr w:type="spellEnd"/>
      <w:r w:rsidRPr="00083AAE">
        <w:rPr>
          <w:rFonts w:ascii="Book Antiqua" w:hAnsi="Book Antiqua" w:cstheme="majorHAnsi"/>
          <w:color w:val="000000" w:themeColor="text1"/>
          <w:sz w:val="24"/>
          <w:szCs w:val="24"/>
        </w:rPr>
        <w:t xml:space="preserve"> is related to the existence of "control" within the company, it was discovered that there had been control at PT. </w:t>
      </w:r>
      <w:proofErr w:type="spellStart"/>
      <w:r w:rsidRPr="00083AAE">
        <w:rPr>
          <w:rFonts w:ascii="Book Antiqua" w:hAnsi="Book Antiqua" w:cstheme="majorHAnsi"/>
          <w:color w:val="000000" w:themeColor="text1"/>
          <w:sz w:val="24"/>
          <w:szCs w:val="24"/>
        </w:rPr>
        <w:t>ESG</w:t>
      </w:r>
      <w:proofErr w:type="spellEnd"/>
      <w:r w:rsidRPr="00083AAE">
        <w:rPr>
          <w:rFonts w:ascii="Book Antiqua" w:hAnsi="Book Antiqua" w:cstheme="majorHAnsi"/>
          <w:color w:val="000000" w:themeColor="text1"/>
          <w:sz w:val="24"/>
          <w:szCs w:val="24"/>
        </w:rPr>
        <w:t xml:space="preserve"> is outside the provisions of company control as intended in Article 1 Number 11 </w:t>
      </w:r>
      <w:proofErr w:type="spellStart"/>
      <w:r w:rsidRPr="00083AAE">
        <w:rPr>
          <w:rFonts w:ascii="Book Antiqua" w:hAnsi="Book Antiqua" w:cstheme="majorHAnsi"/>
          <w:color w:val="000000" w:themeColor="text1"/>
          <w:sz w:val="24"/>
          <w:szCs w:val="24"/>
        </w:rPr>
        <w:t>UUPT</w:t>
      </w:r>
      <w:proofErr w:type="spellEnd"/>
      <w:r w:rsidRPr="00083AAE">
        <w:rPr>
          <w:rFonts w:ascii="Book Antiqua" w:hAnsi="Book Antiqua" w:cstheme="majorHAnsi"/>
          <w:color w:val="000000" w:themeColor="text1"/>
          <w:sz w:val="24"/>
          <w:szCs w:val="24"/>
        </w:rPr>
        <w:t xml:space="preserve"> and also the control that occurs at PT. </w:t>
      </w:r>
      <w:proofErr w:type="spellStart"/>
      <w:r w:rsidRPr="00083AAE">
        <w:rPr>
          <w:rFonts w:ascii="Book Antiqua" w:hAnsi="Book Antiqua" w:cstheme="majorHAnsi"/>
          <w:color w:val="000000" w:themeColor="text1"/>
          <w:sz w:val="24"/>
          <w:szCs w:val="24"/>
        </w:rPr>
        <w:t>ESG</w:t>
      </w:r>
      <w:proofErr w:type="spellEnd"/>
      <w:r w:rsidRPr="00083AAE">
        <w:rPr>
          <w:rFonts w:ascii="Book Antiqua" w:hAnsi="Book Antiqua" w:cstheme="majorHAnsi"/>
          <w:color w:val="000000" w:themeColor="text1"/>
          <w:sz w:val="24"/>
          <w:szCs w:val="24"/>
        </w:rPr>
        <w:t xml:space="preserve"> is carried out outside of acquisitions as regulated in Article 125 Paragraph (3) of the Company Law. The control in question is the use of a Power of Attorney from the Main Directorate of PT. </w:t>
      </w:r>
      <w:proofErr w:type="spellStart"/>
      <w:r w:rsidRPr="00083AAE">
        <w:rPr>
          <w:rFonts w:ascii="Book Antiqua" w:hAnsi="Book Antiqua" w:cstheme="majorHAnsi"/>
          <w:color w:val="000000" w:themeColor="text1"/>
          <w:sz w:val="24"/>
          <w:szCs w:val="24"/>
        </w:rPr>
        <w:t>ESG</w:t>
      </w:r>
      <w:proofErr w:type="spellEnd"/>
      <w:r w:rsidRPr="00083AAE">
        <w:rPr>
          <w:rFonts w:ascii="Book Antiqua" w:hAnsi="Book Antiqua" w:cstheme="majorHAnsi"/>
          <w:color w:val="000000" w:themeColor="text1"/>
          <w:sz w:val="24"/>
          <w:szCs w:val="24"/>
        </w:rPr>
        <w:t xml:space="preserve"> to the Commissioner of PT. </w:t>
      </w:r>
      <w:proofErr w:type="spellStart"/>
      <w:r w:rsidRPr="00083AAE">
        <w:rPr>
          <w:rFonts w:ascii="Book Antiqua" w:hAnsi="Book Antiqua" w:cstheme="majorHAnsi"/>
          <w:color w:val="000000" w:themeColor="text1"/>
          <w:sz w:val="24"/>
          <w:szCs w:val="24"/>
        </w:rPr>
        <w:t>ESG</w:t>
      </w:r>
      <w:proofErr w:type="spellEnd"/>
      <w:r w:rsidRPr="00083AAE">
        <w:rPr>
          <w:rFonts w:ascii="Book Antiqua" w:hAnsi="Book Antiqua" w:cstheme="majorHAnsi"/>
          <w:color w:val="000000" w:themeColor="text1"/>
          <w:sz w:val="24"/>
          <w:szCs w:val="24"/>
        </w:rPr>
        <w:t xml:space="preserve"> which has received legislation from the Notary, is then used to carry out legal actions for and on behalf of PT. </w:t>
      </w:r>
      <w:proofErr w:type="spellStart"/>
      <w:r w:rsidRPr="00083AAE">
        <w:rPr>
          <w:rFonts w:ascii="Book Antiqua" w:hAnsi="Book Antiqua" w:cstheme="majorHAnsi"/>
          <w:color w:val="000000" w:themeColor="text1"/>
          <w:sz w:val="24"/>
          <w:szCs w:val="24"/>
        </w:rPr>
        <w:t>ESG</w:t>
      </w:r>
      <w:proofErr w:type="spellEnd"/>
      <w:r w:rsidRPr="00083AAE">
        <w:rPr>
          <w:rFonts w:ascii="Book Antiqua" w:hAnsi="Book Antiqua" w:cstheme="majorHAnsi"/>
          <w:color w:val="000000" w:themeColor="text1"/>
          <w:sz w:val="24"/>
          <w:szCs w:val="24"/>
        </w:rPr>
        <w:t xml:space="preserve">. Mistakes in exercising control at PT. </w:t>
      </w:r>
      <w:proofErr w:type="spellStart"/>
      <w:r w:rsidRPr="00083AAE">
        <w:rPr>
          <w:rFonts w:ascii="Book Antiqua" w:hAnsi="Book Antiqua" w:cstheme="majorHAnsi"/>
          <w:color w:val="000000" w:themeColor="text1"/>
          <w:sz w:val="24"/>
          <w:szCs w:val="24"/>
        </w:rPr>
        <w:t>ESG</w:t>
      </w:r>
      <w:proofErr w:type="spellEnd"/>
      <w:r w:rsidRPr="00083AAE">
        <w:rPr>
          <w:rFonts w:ascii="Book Antiqua" w:hAnsi="Book Antiqua" w:cstheme="majorHAnsi"/>
          <w:color w:val="000000" w:themeColor="text1"/>
          <w:sz w:val="24"/>
          <w:szCs w:val="24"/>
        </w:rPr>
        <w:t xml:space="preserve"> continued with the actions of the Commissioner of PT. </w:t>
      </w:r>
      <w:proofErr w:type="spellStart"/>
      <w:r w:rsidRPr="00083AAE">
        <w:rPr>
          <w:rFonts w:ascii="Book Antiqua" w:hAnsi="Book Antiqua" w:cstheme="majorHAnsi"/>
          <w:color w:val="000000" w:themeColor="text1"/>
          <w:sz w:val="24"/>
          <w:szCs w:val="24"/>
        </w:rPr>
        <w:t>ESG</w:t>
      </w:r>
      <w:proofErr w:type="spellEnd"/>
      <w:r w:rsidRPr="00083AAE">
        <w:rPr>
          <w:rFonts w:ascii="Book Antiqua" w:hAnsi="Book Antiqua" w:cstheme="majorHAnsi"/>
          <w:color w:val="000000" w:themeColor="text1"/>
          <w:sz w:val="24"/>
          <w:szCs w:val="24"/>
        </w:rPr>
        <w:t xml:space="preserve"> went to a Notary to make a Deed of Sale and Purchase Agreement and Transfer of Rights for the only asset owned by PT. </w:t>
      </w:r>
      <w:proofErr w:type="spellStart"/>
      <w:r w:rsidRPr="00083AAE">
        <w:rPr>
          <w:rFonts w:ascii="Book Antiqua" w:hAnsi="Book Antiqua" w:cstheme="majorHAnsi"/>
          <w:color w:val="000000" w:themeColor="text1"/>
          <w:sz w:val="24"/>
          <w:szCs w:val="24"/>
        </w:rPr>
        <w:t>ESG</w:t>
      </w:r>
      <w:proofErr w:type="spellEnd"/>
      <w:r w:rsidRPr="00083AAE">
        <w:rPr>
          <w:rFonts w:ascii="Book Antiqua" w:hAnsi="Book Antiqua" w:cstheme="majorHAnsi"/>
          <w:color w:val="000000" w:themeColor="text1"/>
          <w:sz w:val="24"/>
          <w:szCs w:val="24"/>
        </w:rPr>
        <w:t xml:space="preserve"> without GMS approval. Actions taken by the Commissioner of PT. </w:t>
      </w:r>
      <w:proofErr w:type="spellStart"/>
      <w:r w:rsidRPr="00083AAE">
        <w:rPr>
          <w:rFonts w:ascii="Book Antiqua" w:hAnsi="Book Antiqua" w:cstheme="majorHAnsi"/>
          <w:color w:val="000000" w:themeColor="text1"/>
          <w:sz w:val="24"/>
          <w:szCs w:val="24"/>
        </w:rPr>
        <w:t>ESG</w:t>
      </w:r>
      <w:proofErr w:type="spellEnd"/>
      <w:r w:rsidRPr="00083AAE">
        <w:rPr>
          <w:rFonts w:ascii="Book Antiqua" w:hAnsi="Book Antiqua" w:cstheme="majorHAnsi"/>
          <w:color w:val="000000" w:themeColor="text1"/>
          <w:sz w:val="24"/>
          <w:szCs w:val="24"/>
        </w:rPr>
        <w:t xml:space="preserve"> of course conflicts with the provisions of Article 102 Paragraph (1) of the Company Law which requires a GMS as a mandatory condition</w:t>
      </w:r>
      <w:r>
        <w:rPr>
          <w:rFonts w:ascii="Book Antiqua" w:hAnsi="Book Antiqua" w:cstheme="majorHAnsi"/>
          <w:color w:val="000000" w:themeColor="text1"/>
          <w:sz w:val="24"/>
          <w:szCs w:val="24"/>
        </w:rPr>
        <w:t xml:space="preserve"> for the transfer of PT </w:t>
      </w:r>
      <w:proofErr w:type="spellStart"/>
      <w:r w:rsidRPr="00083AAE">
        <w:rPr>
          <w:rFonts w:ascii="Book Antiqua" w:hAnsi="Book Antiqua" w:cstheme="majorHAnsi"/>
          <w:color w:val="000000" w:themeColor="text1"/>
          <w:sz w:val="24"/>
          <w:szCs w:val="24"/>
        </w:rPr>
        <w:t>ESG</w:t>
      </w:r>
      <w:proofErr w:type="spellEnd"/>
      <w:r>
        <w:rPr>
          <w:rFonts w:ascii="Book Antiqua" w:hAnsi="Book Antiqua" w:cstheme="majorHAnsi"/>
          <w:color w:val="000000" w:themeColor="text1"/>
          <w:sz w:val="24"/>
          <w:szCs w:val="24"/>
        </w:rPr>
        <w:t xml:space="preserve"> </w:t>
      </w:r>
      <w:r w:rsidRPr="00083AAE">
        <w:rPr>
          <w:rFonts w:ascii="Book Antiqua" w:hAnsi="Book Antiqua" w:cstheme="majorHAnsi"/>
          <w:color w:val="000000" w:themeColor="text1"/>
          <w:sz w:val="24"/>
          <w:szCs w:val="24"/>
        </w:rPr>
        <w:t>assets.</w:t>
      </w:r>
    </w:p>
    <w:p w14:paraId="3DF9DF58" w14:textId="77777777" w:rsidR="00645A5E" w:rsidRPr="00645A5E" w:rsidRDefault="00645A5E" w:rsidP="00645A5E">
      <w:pPr>
        <w:spacing w:after="0" w:line="240" w:lineRule="auto"/>
        <w:jc w:val="both"/>
        <w:rPr>
          <w:rFonts w:ascii="Book Antiqua" w:hAnsi="Book Antiqua" w:cs="Calibri"/>
          <w:b/>
          <w:color w:val="000000" w:themeColor="text1"/>
          <w:sz w:val="24"/>
        </w:rPr>
      </w:pPr>
    </w:p>
    <w:p w14:paraId="35FA0637" w14:textId="77777777" w:rsidR="004B1F20" w:rsidRPr="00EE6288" w:rsidRDefault="00636FF5" w:rsidP="00645A5E">
      <w:pPr>
        <w:spacing w:after="120" w:line="240" w:lineRule="auto"/>
        <w:jc w:val="both"/>
        <w:rPr>
          <w:rFonts w:ascii="Book Antiqua" w:hAnsi="Book Antiqua"/>
          <w:b/>
          <w:bCs/>
          <w:color w:val="FFC000" w:themeColor="accent4"/>
          <w:szCs w:val="22"/>
          <w:lang w:val="id-ID"/>
        </w:rPr>
      </w:pPr>
      <w:r w:rsidRPr="00636FF5">
        <w:rPr>
          <w:rFonts w:ascii="Book Antiqua" w:hAnsi="Book Antiqua"/>
          <w:b/>
          <w:color w:val="4472C4" w:themeColor="accent1"/>
          <w:sz w:val="24"/>
          <w:szCs w:val="24"/>
        </w:rPr>
        <w:t>CONCLUSION</w:t>
      </w:r>
    </w:p>
    <w:p w14:paraId="53CD3E40" w14:textId="77777777" w:rsidR="00D01DEE" w:rsidRDefault="00083AAE" w:rsidP="00AA1A42">
      <w:pPr>
        <w:spacing w:after="0" w:line="240" w:lineRule="auto"/>
        <w:jc w:val="both"/>
        <w:rPr>
          <w:rFonts w:ascii="Book Antiqua" w:hAnsi="Book Antiqua" w:cs="Calibri"/>
          <w:color w:val="000000" w:themeColor="text1"/>
        </w:rPr>
      </w:pPr>
      <w:r w:rsidRPr="00083AAE">
        <w:rPr>
          <w:rFonts w:ascii="Book Antiqua" w:hAnsi="Book Antiqua" w:cs="Calibri"/>
          <w:color w:val="000000" w:themeColor="text1"/>
          <w:sz w:val="24"/>
        </w:rPr>
        <w:t xml:space="preserve">The first stage is control of limited liability companies which is contained in the provisions of Article 1 Number 11 and Article 125 Paragraph (3) of the Company Law, namely "Share Acquisition", in practice control of limited liability companies can be carried out without any Share Acquisition, so that the Aims and Objectives in the Articles of Association of the Deed of Establishment and also </w:t>
      </w:r>
      <w:proofErr w:type="spellStart"/>
      <w:r w:rsidRPr="00083AAE">
        <w:rPr>
          <w:rFonts w:ascii="Book Antiqua" w:hAnsi="Book Antiqua" w:cs="Calibri"/>
          <w:color w:val="000000" w:themeColor="text1"/>
          <w:sz w:val="24"/>
        </w:rPr>
        <w:t>UUPT</w:t>
      </w:r>
      <w:proofErr w:type="spellEnd"/>
      <w:r w:rsidRPr="00083AAE">
        <w:rPr>
          <w:rFonts w:ascii="Book Antiqua" w:hAnsi="Book Antiqua" w:cs="Calibri"/>
          <w:color w:val="000000" w:themeColor="text1"/>
          <w:sz w:val="24"/>
        </w:rPr>
        <w:t xml:space="preserve"> is not implemented by PT. </w:t>
      </w:r>
      <w:proofErr w:type="spellStart"/>
      <w:r w:rsidRPr="00083AAE">
        <w:rPr>
          <w:rFonts w:ascii="Book Antiqua" w:hAnsi="Book Antiqua" w:cs="Calibri"/>
          <w:color w:val="000000" w:themeColor="text1"/>
          <w:sz w:val="24"/>
        </w:rPr>
        <w:t>ESG</w:t>
      </w:r>
      <w:proofErr w:type="spellEnd"/>
      <w:r w:rsidRPr="00083AAE">
        <w:rPr>
          <w:rFonts w:ascii="Book Antiqua" w:hAnsi="Book Antiqua" w:cs="Calibri"/>
          <w:color w:val="000000" w:themeColor="text1"/>
          <w:sz w:val="24"/>
        </w:rPr>
        <w:t xml:space="preserve"> in carrying out its business activities. The second stage is the Deed of Establishment of PT. </w:t>
      </w:r>
      <w:proofErr w:type="spellStart"/>
      <w:r w:rsidRPr="00083AAE">
        <w:rPr>
          <w:rFonts w:ascii="Book Antiqua" w:hAnsi="Book Antiqua" w:cs="Calibri"/>
          <w:color w:val="000000" w:themeColor="text1"/>
          <w:sz w:val="24"/>
        </w:rPr>
        <w:t>ESG</w:t>
      </w:r>
      <w:proofErr w:type="spellEnd"/>
      <w:r w:rsidRPr="00083AAE">
        <w:rPr>
          <w:rFonts w:ascii="Book Antiqua" w:hAnsi="Book Antiqua" w:cs="Calibri"/>
          <w:color w:val="000000" w:themeColor="text1"/>
          <w:sz w:val="24"/>
        </w:rPr>
        <w:t xml:space="preserve"> is made at the request of the party(s), however, this does not mean that the Notary is not responsible </w:t>
      </w:r>
      <w:r w:rsidRPr="00083AAE">
        <w:rPr>
          <w:rFonts w:ascii="Book Antiqua" w:hAnsi="Book Antiqua" w:cs="Calibri"/>
          <w:color w:val="000000" w:themeColor="text1"/>
          <w:sz w:val="24"/>
        </w:rPr>
        <w:lastRenderedPageBreak/>
        <w:t xml:space="preserve">for the contents or reasons for the deed. “It was the parties' wish to include that in the document. The Notary is obliged to carry out his position with full responsibility, including Moral Responsibility, Responsibility for the Code of Ethics, and Legal Responsibility, in this case the Notary has legalized the Power of Attorney of the President Director to the Commissioner to control PT. </w:t>
      </w:r>
      <w:proofErr w:type="spellStart"/>
      <w:r w:rsidRPr="00083AAE">
        <w:rPr>
          <w:rFonts w:ascii="Book Antiqua" w:hAnsi="Book Antiqua" w:cs="Calibri"/>
          <w:color w:val="000000" w:themeColor="text1"/>
          <w:sz w:val="24"/>
        </w:rPr>
        <w:t>ESG</w:t>
      </w:r>
      <w:proofErr w:type="spellEnd"/>
      <w:r w:rsidRPr="00083AAE">
        <w:rPr>
          <w:rFonts w:ascii="Book Antiqua" w:hAnsi="Book Antiqua" w:cs="Calibri"/>
          <w:color w:val="000000" w:themeColor="text1"/>
          <w:sz w:val="24"/>
        </w:rPr>
        <w:t xml:space="preserve"> Beyond Acquisitions. The third stage is the action of a Limited Liability Company which will transfer its assets as regulated in the provisions of Article 102 Paragraph 1 </w:t>
      </w:r>
      <w:proofErr w:type="spellStart"/>
      <w:r w:rsidRPr="00083AAE">
        <w:rPr>
          <w:rFonts w:ascii="Book Antiqua" w:hAnsi="Book Antiqua" w:cs="Calibri"/>
          <w:color w:val="000000" w:themeColor="text1"/>
          <w:sz w:val="24"/>
        </w:rPr>
        <w:t>UUPT</w:t>
      </w:r>
      <w:proofErr w:type="spellEnd"/>
      <w:r w:rsidRPr="00083AAE">
        <w:rPr>
          <w:rFonts w:ascii="Book Antiqua" w:hAnsi="Book Antiqua" w:cs="Calibri"/>
          <w:color w:val="000000" w:themeColor="text1"/>
          <w:sz w:val="24"/>
        </w:rPr>
        <w:t xml:space="preserve">, where the mandatory condition for transferring assets is to request approval from the GMS, however this provision conflicts with the provisions of Article 102 Paragraph (4) </w:t>
      </w:r>
      <w:proofErr w:type="spellStart"/>
      <w:r w:rsidRPr="00083AAE">
        <w:rPr>
          <w:rFonts w:ascii="Book Antiqua" w:hAnsi="Book Antiqua" w:cs="Calibri"/>
          <w:color w:val="000000" w:themeColor="text1"/>
          <w:sz w:val="24"/>
        </w:rPr>
        <w:t>UUPT</w:t>
      </w:r>
      <w:proofErr w:type="spellEnd"/>
      <w:r w:rsidRPr="00083AAE">
        <w:rPr>
          <w:rFonts w:ascii="Book Antiqua" w:hAnsi="Book Antiqua" w:cs="Calibri"/>
          <w:color w:val="000000" w:themeColor="text1"/>
          <w:sz w:val="24"/>
        </w:rPr>
        <w:t xml:space="preserve">, so that in practice it is found that the Power of Attorney is under the hand of the Director/Main Director to the Commissioner of PT. </w:t>
      </w:r>
      <w:proofErr w:type="spellStart"/>
      <w:r w:rsidRPr="00083AAE">
        <w:rPr>
          <w:rFonts w:ascii="Book Antiqua" w:hAnsi="Book Antiqua" w:cs="Calibri"/>
          <w:color w:val="000000" w:themeColor="text1"/>
          <w:sz w:val="24"/>
        </w:rPr>
        <w:t>ESG</w:t>
      </w:r>
      <w:proofErr w:type="spellEnd"/>
      <w:r w:rsidRPr="00083AAE">
        <w:rPr>
          <w:rFonts w:ascii="Book Antiqua" w:hAnsi="Book Antiqua" w:cs="Calibri"/>
          <w:color w:val="000000" w:themeColor="text1"/>
          <w:sz w:val="24"/>
        </w:rPr>
        <w:t xml:space="preserve"> is used as a legal basis by a Notary to issue a Deed of Sale and Purchase Agreement and Transfer of Rights (All Assets Owned by PT. </w:t>
      </w:r>
      <w:proofErr w:type="spellStart"/>
      <w:r w:rsidRPr="00083AAE">
        <w:rPr>
          <w:rFonts w:ascii="Book Antiqua" w:hAnsi="Book Antiqua" w:cs="Calibri"/>
          <w:color w:val="000000" w:themeColor="text1"/>
          <w:sz w:val="24"/>
        </w:rPr>
        <w:t>ESG</w:t>
      </w:r>
      <w:proofErr w:type="spellEnd"/>
      <w:r w:rsidRPr="00083AAE">
        <w:rPr>
          <w:rFonts w:ascii="Book Antiqua" w:hAnsi="Book Antiqua" w:cs="Calibri"/>
          <w:color w:val="000000" w:themeColor="text1"/>
          <w:sz w:val="24"/>
        </w:rPr>
        <w:t>) without asking for GMS approval</w:t>
      </w:r>
      <w:r w:rsidR="00560BF3" w:rsidRPr="00560BF3">
        <w:rPr>
          <w:rFonts w:ascii="Book Antiqua" w:hAnsi="Book Antiqua" w:cs="Calibri"/>
          <w:color w:val="000000" w:themeColor="text1"/>
          <w:sz w:val="24"/>
        </w:rPr>
        <w:t>.</w:t>
      </w:r>
    </w:p>
    <w:p w14:paraId="03DA0807" w14:textId="77777777" w:rsidR="00746761" w:rsidRPr="00EE6288" w:rsidRDefault="00746761" w:rsidP="00AA1A42">
      <w:pPr>
        <w:spacing w:after="0" w:line="240" w:lineRule="auto"/>
        <w:jc w:val="both"/>
        <w:rPr>
          <w:rFonts w:ascii="Book Antiqua" w:hAnsi="Book Antiqua" w:cs="Calibri"/>
          <w:bCs/>
          <w:color w:val="333333"/>
        </w:rPr>
      </w:pPr>
    </w:p>
    <w:p w14:paraId="5E72A1CC" w14:textId="77777777" w:rsidR="003A7091" w:rsidRPr="007F6E04" w:rsidRDefault="00636FF5" w:rsidP="003A7091">
      <w:pPr>
        <w:spacing w:after="120" w:line="240" w:lineRule="auto"/>
        <w:jc w:val="both"/>
        <w:rPr>
          <w:rFonts w:ascii="Book Antiqua" w:eastAsia="Arial Unicode MS" w:hAnsi="Book Antiqua" w:cstheme="majorHAnsi"/>
          <w:b/>
          <w:color w:val="2F5496" w:themeColor="accent1" w:themeShade="BF"/>
          <w:sz w:val="24"/>
          <w:szCs w:val="24"/>
          <w:lang w:val="en-GB"/>
        </w:rPr>
      </w:pPr>
      <w:r w:rsidRPr="00636FF5">
        <w:rPr>
          <w:rFonts w:ascii="Book Antiqua" w:eastAsia="Arial Unicode MS" w:hAnsi="Book Antiqua" w:cstheme="majorHAnsi"/>
          <w:b/>
          <w:color w:val="4472C4" w:themeColor="accent1"/>
          <w:sz w:val="24"/>
          <w:szCs w:val="24"/>
          <w:lang w:val="en-GB"/>
        </w:rPr>
        <w:t>REFERENCES</w:t>
      </w:r>
      <w:bookmarkEnd w:id="0"/>
      <w:bookmarkEnd w:id="1"/>
    </w:p>
    <w:p w14:paraId="6EB60438" w14:textId="77777777" w:rsidR="003A7091" w:rsidRDefault="003A7091" w:rsidP="00F2670C">
      <w:pPr>
        <w:pStyle w:val="ListParagraph"/>
        <w:spacing w:after="120" w:line="240" w:lineRule="auto"/>
        <w:ind w:left="0"/>
        <w:contextualSpacing w:val="0"/>
        <w:jc w:val="both"/>
        <w:rPr>
          <w:rFonts w:ascii="Book Antiqua" w:hAnsi="Book Antiqua" w:cstheme="majorHAnsi"/>
          <w:b/>
          <w:i/>
          <w:color w:val="000000" w:themeColor="text1"/>
          <w:sz w:val="24"/>
        </w:rPr>
      </w:pPr>
      <w:r w:rsidRPr="001610A2">
        <w:rPr>
          <w:rFonts w:ascii="Book Antiqua" w:hAnsi="Book Antiqua" w:cstheme="majorHAnsi"/>
          <w:b/>
          <w:i/>
          <w:color w:val="000000" w:themeColor="text1"/>
          <w:sz w:val="24"/>
        </w:rPr>
        <w:t>Journal A</w:t>
      </w:r>
      <w:r w:rsidR="007D0A06" w:rsidRPr="001610A2">
        <w:rPr>
          <w:rFonts w:ascii="Book Antiqua" w:hAnsi="Book Antiqua" w:cstheme="majorHAnsi"/>
          <w:b/>
          <w:i/>
          <w:color w:val="000000" w:themeColor="text1"/>
          <w:sz w:val="24"/>
        </w:rPr>
        <w:t>rticle</w:t>
      </w:r>
    </w:p>
    <w:p w14:paraId="57CCD4E0" w14:textId="77777777" w:rsidR="00E2182B" w:rsidRPr="007F6E04" w:rsidRDefault="00E2182B" w:rsidP="00F2670C">
      <w:pPr>
        <w:pStyle w:val="ListParagraph"/>
        <w:spacing w:after="120" w:line="240" w:lineRule="auto"/>
        <w:ind w:left="0"/>
        <w:contextualSpacing w:val="0"/>
        <w:jc w:val="both"/>
        <w:rPr>
          <w:rFonts w:ascii="Book Antiqua" w:eastAsia="Palatino Linotype" w:hAnsi="Book Antiqua" w:cs="Palatino Linotype"/>
          <w:color w:val="000000"/>
          <w:sz w:val="24"/>
          <w:szCs w:val="24"/>
          <w:lang w:val="en-ID"/>
        </w:rPr>
      </w:pPr>
      <w:r w:rsidRPr="007F6E04">
        <w:rPr>
          <w:rFonts w:ascii="Book Antiqua" w:eastAsia="Palatino Linotype" w:hAnsi="Book Antiqua" w:cs="Palatino Linotype"/>
          <w:color w:val="000000"/>
          <w:sz w:val="24"/>
          <w:szCs w:val="24"/>
          <w:lang w:val="en-ID"/>
        </w:rPr>
        <w:t xml:space="preserve">Azharuddin. (2021). Responsibility Of Notary </w:t>
      </w:r>
      <w:proofErr w:type="gramStart"/>
      <w:r w:rsidRPr="007F6E04">
        <w:rPr>
          <w:rFonts w:ascii="Book Antiqua" w:eastAsia="Palatino Linotype" w:hAnsi="Book Antiqua" w:cs="Palatino Linotype"/>
          <w:color w:val="000000"/>
          <w:sz w:val="24"/>
          <w:szCs w:val="24"/>
          <w:lang w:val="en-ID"/>
        </w:rPr>
        <w:t>For</w:t>
      </w:r>
      <w:proofErr w:type="gramEnd"/>
      <w:r w:rsidRPr="007F6E04">
        <w:rPr>
          <w:rFonts w:ascii="Book Antiqua" w:eastAsia="Palatino Linotype" w:hAnsi="Book Antiqua" w:cs="Palatino Linotype"/>
          <w:color w:val="000000"/>
          <w:sz w:val="24"/>
          <w:szCs w:val="24"/>
          <w:lang w:val="en-ID"/>
        </w:rPr>
        <w:t xml:space="preserve"> Unlawful Action In Annulment Of </w:t>
      </w:r>
      <w:r w:rsidR="00FA2EF9">
        <w:rPr>
          <w:rFonts w:ascii="Book Antiqua" w:eastAsia="Palatino Linotype" w:hAnsi="Book Antiqua" w:cs="Palatino Linotype"/>
          <w:color w:val="000000"/>
          <w:sz w:val="24"/>
          <w:szCs w:val="24"/>
          <w:lang w:val="en-ID"/>
        </w:rPr>
        <w:br/>
        <w:t xml:space="preserve">        </w:t>
      </w:r>
      <w:r w:rsidRPr="007F6E04">
        <w:rPr>
          <w:rFonts w:ascii="Book Antiqua" w:eastAsia="Palatino Linotype" w:hAnsi="Book Antiqua" w:cs="Palatino Linotype"/>
          <w:color w:val="000000"/>
          <w:sz w:val="24"/>
          <w:szCs w:val="24"/>
          <w:lang w:val="en-ID"/>
        </w:rPr>
        <w:t>Selling Authority. International Journal of Business, Economics and Law, 24(3), 201–</w:t>
      </w:r>
      <w:r w:rsidR="00FA2EF9">
        <w:rPr>
          <w:rFonts w:ascii="Book Antiqua" w:eastAsia="Palatino Linotype" w:hAnsi="Book Antiqua" w:cs="Palatino Linotype"/>
          <w:color w:val="000000"/>
          <w:sz w:val="24"/>
          <w:szCs w:val="24"/>
          <w:lang w:val="en-ID"/>
        </w:rPr>
        <w:br/>
        <w:t xml:space="preserve">        </w:t>
      </w:r>
      <w:r w:rsidRPr="007F6E04">
        <w:rPr>
          <w:rFonts w:ascii="Book Antiqua" w:eastAsia="Palatino Linotype" w:hAnsi="Book Antiqua" w:cs="Palatino Linotype"/>
          <w:color w:val="000000"/>
          <w:sz w:val="24"/>
          <w:szCs w:val="24"/>
          <w:lang w:val="en-ID"/>
        </w:rPr>
        <w:t>205</w:t>
      </w:r>
    </w:p>
    <w:p w14:paraId="680F6B04" w14:textId="77777777" w:rsidR="00E2182B" w:rsidRPr="007F6E04" w:rsidRDefault="00E2182B" w:rsidP="00F2670C">
      <w:pPr>
        <w:pStyle w:val="ListParagraph"/>
        <w:spacing w:after="120" w:line="240" w:lineRule="auto"/>
        <w:ind w:left="0"/>
        <w:contextualSpacing w:val="0"/>
        <w:jc w:val="both"/>
        <w:rPr>
          <w:rFonts w:ascii="Book Antiqua" w:eastAsia="Palatino Linotype" w:hAnsi="Book Antiqua" w:cs="Palatino Linotype"/>
          <w:color w:val="000000"/>
          <w:sz w:val="24"/>
          <w:szCs w:val="24"/>
          <w:lang w:val="en-ID"/>
        </w:rPr>
      </w:pPr>
      <w:r w:rsidRPr="007F6E04">
        <w:rPr>
          <w:rFonts w:ascii="Book Antiqua" w:eastAsia="Palatino Linotype" w:hAnsi="Book Antiqua" w:cs="Palatino Linotype"/>
          <w:color w:val="000000"/>
          <w:sz w:val="24"/>
          <w:szCs w:val="24"/>
          <w:lang w:val="en-ID"/>
        </w:rPr>
        <w:t xml:space="preserve">Elvira </w:t>
      </w:r>
      <w:proofErr w:type="spellStart"/>
      <w:r w:rsidRPr="007F6E04">
        <w:rPr>
          <w:rFonts w:ascii="Book Antiqua" w:eastAsia="Palatino Linotype" w:hAnsi="Book Antiqua" w:cs="Palatino Linotype"/>
          <w:color w:val="000000"/>
          <w:sz w:val="24"/>
          <w:szCs w:val="24"/>
          <w:lang w:val="en-ID"/>
        </w:rPr>
        <w:t>Fitriani</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Pakpahan</w:t>
      </w:r>
      <w:proofErr w:type="spellEnd"/>
      <w:r w:rsidRPr="007F6E04">
        <w:rPr>
          <w:rFonts w:ascii="Book Antiqua" w:eastAsia="Palatino Linotype" w:hAnsi="Book Antiqua" w:cs="Palatino Linotype"/>
          <w:color w:val="000000"/>
          <w:sz w:val="24"/>
          <w:szCs w:val="24"/>
          <w:lang w:val="en-ID"/>
        </w:rPr>
        <w:t xml:space="preserve">. (2021). Juridic Analysis </w:t>
      </w:r>
      <w:proofErr w:type="gramStart"/>
      <w:r w:rsidRPr="007F6E04">
        <w:rPr>
          <w:rFonts w:ascii="Book Antiqua" w:eastAsia="Palatino Linotype" w:hAnsi="Book Antiqua" w:cs="Palatino Linotype"/>
          <w:color w:val="000000"/>
          <w:sz w:val="24"/>
          <w:szCs w:val="24"/>
          <w:lang w:val="en-ID"/>
        </w:rPr>
        <w:t>Of</w:t>
      </w:r>
      <w:proofErr w:type="gramEnd"/>
      <w:r w:rsidRPr="007F6E04">
        <w:rPr>
          <w:rFonts w:ascii="Book Antiqua" w:eastAsia="Palatino Linotype" w:hAnsi="Book Antiqua" w:cs="Palatino Linotype"/>
          <w:color w:val="000000"/>
          <w:sz w:val="24"/>
          <w:szCs w:val="24"/>
          <w:lang w:val="en-ID"/>
        </w:rPr>
        <w:t xml:space="preserve"> Independent Company Establishment </w:t>
      </w:r>
      <w:r w:rsidR="00FA2EF9">
        <w:rPr>
          <w:rFonts w:ascii="Book Antiqua" w:eastAsia="Palatino Linotype" w:hAnsi="Book Antiqua" w:cs="Palatino Linotype"/>
          <w:color w:val="000000"/>
          <w:sz w:val="24"/>
          <w:szCs w:val="24"/>
          <w:lang w:val="en-ID"/>
        </w:rPr>
        <w:br/>
        <w:t xml:space="preserve">        </w:t>
      </w:r>
      <w:r w:rsidRPr="007F6E04">
        <w:rPr>
          <w:rFonts w:ascii="Book Antiqua" w:eastAsia="Palatino Linotype" w:hAnsi="Book Antiqua" w:cs="Palatino Linotype"/>
          <w:color w:val="000000"/>
          <w:sz w:val="24"/>
          <w:szCs w:val="24"/>
          <w:lang w:val="en-ID"/>
        </w:rPr>
        <w:t xml:space="preserve">Post Government Regulation Number 8 Year 2021. International Journal of Latin </w:t>
      </w:r>
      <w:r w:rsidR="00FA2EF9">
        <w:rPr>
          <w:rFonts w:ascii="Book Antiqua" w:eastAsia="Palatino Linotype" w:hAnsi="Book Antiqua" w:cs="Palatino Linotype"/>
          <w:color w:val="000000"/>
          <w:sz w:val="24"/>
          <w:szCs w:val="24"/>
          <w:lang w:val="en-ID"/>
        </w:rPr>
        <w:br/>
        <w:t xml:space="preserve">        </w:t>
      </w:r>
      <w:r w:rsidRPr="007F6E04">
        <w:rPr>
          <w:rFonts w:ascii="Book Antiqua" w:eastAsia="Palatino Linotype" w:hAnsi="Book Antiqua" w:cs="Palatino Linotype"/>
          <w:color w:val="000000"/>
          <w:sz w:val="24"/>
          <w:szCs w:val="24"/>
          <w:lang w:val="en-ID"/>
        </w:rPr>
        <w:t>Notary, 1(2), 150–157.</w:t>
      </w:r>
    </w:p>
    <w:p w14:paraId="328969E5" w14:textId="77777777" w:rsidR="00E2182B" w:rsidRPr="007F6E04" w:rsidRDefault="00E2182B" w:rsidP="00F2670C">
      <w:pPr>
        <w:pStyle w:val="ListParagraph"/>
        <w:spacing w:after="120" w:line="240" w:lineRule="auto"/>
        <w:ind w:left="0"/>
        <w:contextualSpacing w:val="0"/>
        <w:jc w:val="both"/>
        <w:rPr>
          <w:rFonts w:ascii="Book Antiqua" w:eastAsia="Palatino Linotype" w:hAnsi="Book Antiqua" w:cs="Palatino Linotype"/>
          <w:color w:val="000000"/>
          <w:sz w:val="24"/>
          <w:szCs w:val="24"/>
          <w:lang w:val="en-ID"/>
        </w:rPr>
      </w:pPr>
      <w:proofErr w:type="spellStart"/>
      <w:r w:rsidRPr="007F6E04">
        <w:rPr>
          <w:rFonts w:ascii="Book Antiqua" w:eastAsia="Palatino Linotype" w:hAnsi="Book Antiqua" w:cs="Palatino Linotype"/>
          <w:color w:val="000000"/>
          <w:sz w:val="24"/>
          <w:szCs w:val="24"/>
          <w:lang w:val="en-ID"/>
        </w:rPr>
        <w:t>Heriyanti</w:t>
      </w:r>
      <w:proofErr w:type="spellEnd"/>
      <w:r w:rsidRPr="007F6E04">
        <w:rPr>
          <w:rFonts w:ascii="Book Antiqua" w:eastAsia="Palatino Linotype" w:hAnsi="Book Antiqua" w:cs="Palatino Linotype"/>
          <w:color w:val="000000"/>
          <w:sz w:val="24"/>
          <w:szCs w:val="24"/>
          <w:lang w:val="en-ID"/>
        </w:rPr>
        <w:t xml:space="preserve">. (2022). Effectiveness Of Registration </w:t>
      </w:r>
      <w:proofErr w:type="gramStart"/>
      <w:r w:rsidRPr="007F6E04">
        <w:rPr>
          <w:rFonts w:ascii="Book Antiqua" w:eastAsia="Palatino Linotype" w:hAnsi="Book Antiqua" w:cs="Palatino Linotype"/>
          <w:color w:val="000000"/>
          <w:sz w:val="24"/>
          <w:szCs w:val="24"/>
          <w:lang w:val="en-ID"/>
        </w:rPr>
        <w:t>Of</w:t>
      </w:r>
      <w:proofErr w:type="gramEnd"/>
      <w:r w:rsidRPr="007F6E04">
        <w:rPr>
          <w:rFonts w:ascii="Book Antiqua" w:eastAsia="Palatino Linotype" w:hAnsi="Book Antiqua" w:cs="Palatino Linotype"/>
          <w:color w:val="000000"/>
          <w:sz w:val="24"/>
          <w:szCs w:val="24"/>
          <w:lang w:val="en-ID"/>
        </w:rPr>
        <w:t xml:space="preserve"> Micro And Small Business Limited </w:t>
      </w:r>
      <w:r w:rsidR="00FA2EF9">
        <w:rPr>
          <w:rFonts w:ascii="Book Antiqua" w:eastAsia="Palatino Linotype" w:hAnsi="Book Antiqua" w:cs="Palatino Linotype"/>
          <w:color w:val="000000"/>
          <w:sz w:val="24"/>
          <w:szCs w:val="24"/>
          <w:lang w:val="en-ID"/>
        </w:rPr>
        <w:br/>
        <w:t xml:space="preserve">        </w:t>
      </w:r>
      <w:r w:rsidRPr="007F6E04">
        <w:rPr>
          <w:rFonts w:ascii="Book Antiqua" w:eastAsia="Palatino Linotype" w:hAnsi="Book Antiqua" w:cs="Palatino Linotype"/>
          <w:color w:val="000000"/>
          <w:sz w:val="24"/>
          <w:szCs w:val="24"/>
          <w:lang w:val="en-ID"/>
        </w:rPr>
        <w:t xml:space="preserve">Liability Companies After The Entry Into Force Of Government Regulation Number 8 </w:t>
      </w:r>
      <w:r w:rsidR="00FA2EF9">
        <w:rPr>
          <w:rFonts w:ascii="Book Antiqua" w:eastAsia="Palatino Linotype" w:hAnsi="Book Antiqua" w:cs="Palatino Linotype"/>
          <w:color w:val="000000"/>
          <w:sz w:val="24"/>
          <w:szCs w:val="24"/>
          <w:lang w:val="en-ID"/>
        </w:rPr>
        <w:br/>
        <w:t xml:space="preserve">        </w:t>
      </w:r>
      <w:r w:rsidRPr="007F6E04">
        <w:rPr>
          <w:rFonts w:ascii="Book Antiqua" w:eastAsia="Palatino Linotype" w:hAnsi="Book Antiqua" w:cs="Palatino Linotype"/>
          <w:color w:val="000000"/>
          <w:sz w:val="24"/>
          <w:szCs w:val="24"/>
          <w:lang w:val="en-ID"/>
        </w:rPr>
        <w:t>Of 2021. International Journal of Latin Notary, 2(2), 152–158.</w:t>
      </w:r>
    </w:p>
    <w:p w14:paraId="5CB0502E" w14:textId="77777777" w:rsidR="00E2182B" w:rsidRPr="007F6E04" w:rsidRDefault="00E2182B" w:rsidP="00F2670C">
      <w:pPr>
        <w:pStyle w:val="ListParagraph"/>
        <w:spacing w:after="120" w:line="240" w:lineRule="auto"/>
        <w:ind w:left="0"/>
        <w:contextualSpacing w:val="0"/>
        <w:jc w:val="both"/>
        <w:rPr>
          <w:rFonts w:ascii="Book Antiqua" w:eastAsia="Palatino Linotype" w:hAnsi="Book Antiqua" w:cs="Palatino Linotype"/>
          <w:color w:val="000000"/>
          <w:sz w:val="24"/>
          <w:szCs w:val="24"/>
          <w:lang w:val="en-ID"/>
        </w:rPr>
      </w:pPr>
      <w:proofErr w:type="spellStart"/>
      <w:r w:rsidRPr="007F6E04">
        <w:rPr>
          <w:rFonts w:ascii="Book Antiqua" w:eastAsia="Palatino Linotype" w:hAnsi="Book Antiqua" w:cs="Palatino Linotype"/>
          <w:color w:val="000000"/>
          <w:sz w:val="24"/>
          <w:szCs w:val="24"/>
          <w:lang w:val="en-ID"/>
        </w:rPr>
        <w:t>Roswita</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Sitompul</w:t>
      </w:r>
      <w:proofErr w:type="spellEnd"/>
      <w:r w:rsidRPr="007F6E04">
        <w:rPr>
          <w:rFonts w:ascii="Book Antiqua" w:eastAsia="Palatino Linotype" w:hAnsi="Book Antiqua" w:cs="Palatino Linotype"/>
          <w:color w:val="000000"/>
          <w:sz w:val="24"/>
          <w:szCs w:val="24"/>
          <w:lang w:val="en-ID"/>
        </w:rPr>
        <w:t xml:space="preserve">. (2022). The Role </w:t>
      </w:r>
      <w:proofErr w:type="gramStart"/>
      <w:r w:rsidRPr="007F6E04">
        <w:rPr>
          <w:rFonts w:ascii="Book Antiqua" w:eastAsia="Palatino Linotype" w:hAnsi="Book Antiqua" w:cs="Palatino Linotype"/>
          <w:color w:val="000000"/>
          <w:sz w:val="24"/>
          <w:szCs w:val="24"/>
          <w:lang w:val="en-ID"/>
        </w:rPr>
        <w:t>Of</w:t>
      </w:r>
      <w:proofErr w:type="gramEnd"/>
      <w:r w:rsidRPr="007F6E04">
        <w:rPr>
          <w:rFonts w:ascii="Book Antiqua" w:eastAsia="Palatino Linotype" w:hAnsi="Book Antiqua" w:cs="Palatino Linotype"/>
          <w:color w:val="000000"/>
          <w:sz w:val="24"/>
          <w:szCs w:val="24"/>
          <w:lang w:val="en-ID"/>
        </w:rPr>
        <w:t xml:space="preserve"> Notaries In Making Deeds Of Agreement To Buy </w:t>
      </w:r>
      <w:r w:rsidR="00FA2EF9">
        <w:rPr>
          <w:rFonts w:ascii="Book Antiqua" w:eastAsia="Palatino Linotype" w:hAnsi="Book Antiqua" w:cs="Palatino Linotype"/>
          <w:color w:val="000000"/>
          <w:sz w:val="24"/>
          <w:szCs w:val="24"/>
          <w:lang w:val="en-ID"/>
        </w:rPr>
        <w:br/>
        <w:t xml:space="preserve">        </w:t>
      </w:r>
      <w:r w:rsidRPr="007F6E04">
        <w:rPr>
          <w:rFonts w:ascii="Book Antiqua" w:eastAsia="Palatino Linotype" w:hAnsi="Book Antiqua" w:cs="Palatino Linotype"/>
          <w:color w:val="000000"/>
          <w:sz w:val="24"/>
          <w:szCs w:val="24"/>
          <w:lang w:val="en-ID"/>
        </w:rPr>
        <w:t xml:space="preserve">And Sell Shop Houses In Deli Serdang Regency. South East Asia Journal of </w:t>
      </w:r>
      <w:r w:rsidR="00FA2EF9">
        <w:rPr>
          <w:rFonts w:ascii="Book Antiqua" w:eastAsia="Palatino Linotype" w:hAnsi="Book Antiqua" w:cs="Palatino Linotype"/>
          <w:color w:val="000000"/>
          <w:sz w:val="24"/>
          <w:szCs w:val="24"/>
          <w:lang w:val="en-ID"/>
        </w:rPr>
        <w:br/>
        <w:t xml:space="preserve">        </w:t>
      </w:r>
      <w:r w:rsidRPr="007F6E04">
        <w:rPr>
          <w:rFonts w:ascii="Book Antiqua" w:eastAsia="Palatino Linotype" w:hAnsi="Book Antiqua" w:cs="Palatino Linotype"/>
          <w:color w:val="000000"/>
          <w:sz w:val="24"/>
          <w:szCs w:val="24"/>
          <w:lang w:val="en-ID"/>
        </w:rPr>
        <w:t>Contemporary Business, Economics and Law, 26(1), 360–362</w:t>
      </w:r>
    </w:p>
    <w:p w14:paraId="7300D451" w14:textId="77777777" w:rsidR="003A7091" w:rsidRPr="007F6E04" w:rsidRDefault="00E2182B" w:rsidP="007F6E04">
      <w:pPr>
        <w:pStyle w:val="ListParagraph"/>
        <w:spacing w:after="120" w:line="240" w:lineRule="auto"/>
        <w:ind w:left="0"/>
        <w:contextualSpacing w:val="0"/>
        <w:jc w:val="both"/>
        <w:rPr>
          <w:rFonts w:ascii="Book Antiqua" w:hAnsi="Book Antiqua" w:cstheme="majorHAnsi"/>
          <w:b/>
          <w:i/>
          <w:color w:val="000000" w:themeColor="text1"/>
          <w:sz w:val="24"/>
          <w:szCs w:val="24"/>
        </w:rPr>
      </w:pPr>
      <w:r w:rsidRPr="007F6E04">
        <w:rPr>
          <w:rFonts w:ascii="Book Antiqua" w:eastAsia="Palatino Linotype" w:hAnsi="Book Antiqua" w:cs="Palatino Linotype"/>
          <w:color w:val="000000"/>
          <w:sz w:val="24"/>
          <w:szCs w:val="24"/>
          <w:lang w:val="en-ID"/>
        </w:rPr>
        <w:t xml:space="preserve">Tommy Leonard. (2023). </w:t>
      </w:r>
      <w:proofErr w:type="spellStart"/>
      <w:r w:rsidRPr="007F6E04">
        <w:rPr>
          <w:rFonts w:ascii="Book Antiqua" w:eastAsia="Palatino Linotype" w:hAnsi="Book Antiqua" w:cs="Palatino Linotype"/>
          <w:color w:val="000000"/>
          <w:sz w:val="24"/>
          <w:szCs w:val="24"/>
          <w:lang w:val="en-ID"/>
        </w:rPr>
        <w:t>Tinjauan</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Pelanggaran</w:t>
      </w:r>
      <w:proofErr w:type="spellEnd"/>
      <w:r w:rsidRPr="007F6E04">
        <w:rPr>
          <w:rFonts w:ascii="Book Antiqua" w:eastAsia="Palatino Linotype" w:hAnsi="Book Antiqua" w:cs="Palatino Linotype"/>
          <w:color w:val="000000"/>
          <w:sz w:val="24"/>
          <w:szCs w:val="24"/>
          <w:lang w:val="en-ID"/>
        </w:rPr>
        <w:t xml:space="preserve"> Kode </w:t>
      </w:r>
      <w:proofErr w:type="spellStart"/>
      <w:r w:rsidRPr="007F6E04">
        <w:rPr>
          <w:rFonts w:ascii="Book Antiqua" w:eastAsia="Palatino Linotype" w:hAnsi="Book Antiqua" w:cs="Palatino Linotype"/>
          <w:color w:val="000000"/>
          <w:sz w:val="24"/>
          <w:szCs w:val="24"/>
          <w:lang w:val="en-ID"/>
        </w:rPr>
        <w:t>Etik</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Notaris</w:t>
      </w:r>
      <w:proofErr w:type="spellEnd"/>
      <w:r w:rsidRPr="007F6E04">
        <w:rPr>
          <w:rFonts w:ascii="Book Antiqua" w:eastAsia="Palatino Linotype" w:hAnsi="Book Antiqua" w:cs="Palatino Linotype"/>
          <w:color w:val="000000"/>
          <w:sz w:val="24"/>
          <w:szCs w:val="24"/>
          <w:lang w:val="en-ID"/>
        </w:rPr>
        <w:t xml:space="preserve"> Kota Medan </w:t>
      </w:r>
      <w:proofErr w:type="spellStart"/>
      <w:r w:rsidRPr="007F6E04">
        <w:rPr>
          <w:rFonts w:ascii="Book Antiqua" w:eastAsia="Palatino Linotype" w:hAnsi="Book Antiqua" w:cs="Palatino Linotype"/>
          <w:color w:val="000000"/>
          <w:sz w:val="24"/>
          <w:szCs w:val="24"/>
          <w:lang w:val="en-ID"/>
        </w:rPr>
        <w:t>Menurut</w:t>
      </w:r>
      <w:proofErr w:type="spellEnd"/>
      <w:r w:rsidRPr="007F6E04">
        <w:rPr>
          <w:rFonts w:ascii="Book Antiqua" w:eastAsia="Palatino Linotype" w:hAnsi="Book Antiqua" w:cs="Palatino Linotype"/>
          <w:color w:val="000000"/>
          <w:sz w:val="24"/>
          <w:szCs w:val="24"/>
          <w:lang w:val="en-ID"/>
        </w:rPr>
        <w:t xml:space="preserve"> </w:t>
      </w:r>
      <w:r w:rsidR="00FA2EF9">
        <w:rPr>
          <w:rFonts w:ascii="Book Antiqua" w:eastAsia="Palatino Linotype" w:hAnsi="Book Antiqua" w:cs="Palatino Linotype"/>
          <w:color w:val="000000"/>
          <w:sz w:val="24"/>
          <w:szCs w:val="24"/>
          <w:lang w:val="en-ID"/>
        </w:rPr>
        <w:br/>
        <w:t xml:space="preserve">         </w:t>
      </w:r>
      <w:proofErr w:type="spellStart"/>
      <w:r w:rsidRPr="007F6E04">
        <w:rPr>
          <w:rFonts w:ascii="Book Antiqua" w:eastAsia="Palatino Linotype" w:hAnsi="Book Antiqua" w:cs="Palatino Linotype"/>
          <w:color w:val="000000"/>
          <w:sz w:val="24"/>
          <w:szCs w:val="24"/>
          <w:lang w:val="en-ID"/>
        </w:rPr>
        <w:t>Perspektif</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Pengawasan</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Majelis</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Pengawas</w:t>
      </w:r>
      <w:proofErr w:type="spellEnd"/>
      <w:r w:rsidRPr="007F6E04">
        <w:rPr>
          <w:rFonts w:ascii="Book Antiqua" w:eastAsia="Palatino Linotype" w:hAnsi="Book Antiqua" w:cs="Palatino Linotype"/>
          <w:color w:val="000000"/>
          <w:sz w:val="24"/>
          <w:szCs w:val="24"/>
          <w:lang w:val="en-ID"/>
        </w:rPr>
        <w:t xml:space="preserve"> Daerah </w:t>
      </w:r>
      <w:proofErr w:type="spellStart"/>
      <w:r w:rsidRPr="007F6E04">
        <w:rPr>
          <w:rFonts w:ascii="Book Antiqua" w:eastAsia="Palatino Linotype" w:hAnsi="Book Antiqua" w:cs="Palatino Linotype"/>
          <w:color w:val="000000"/>
          <w:sz w:val="24"/>
          <w:szCs w:val="24"/>
          <w:lang w:val="en-ID"/>
        </w:rPr>
        <w:t>Notaris</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Jurnal</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Suara</w:t>
      </w:r>
      <w:proofErr w:type="spellEnd"/>
      <w:r w:rsidRPr="007F6E04">
        <w:rPr>
          <w:rFonts w:ascii="Book Antiqua" w:eastAsia="Palatino Linotype" w:hAnsi="Book Antiqua" w:cs="Palatino Linotype"/>
          <w:color w:val="000000"/>
          <w:sz w:val="24"/>
          <w:szCs w:val="24"/>
          <w:lang w:val="en-ID"/>
        </w:rPr>
        <w:t xml:space="preserve"> Hukum, 5(2), </w:t>
      </w:r>
      <w:r w:rsidR="00FA2EF9">
        <w:rPr>
          <w:rFonts w:ascii="Book Antiqua" w:eastAsia="Palatino Linotype" w:hAnsi="Book Antiqua" w:cs="Palatino Linotype"/>
          <w:color w:val="000000"/>
          <w:sz w:val="24"/>
          <w:szCs w:val="24"/>
          <w:lang w:val="en-ID"/>
        </w:rPr>
        <w:br/>
        <w:t xml:space="preserve">         </w:t>
      </w:r>
      <w:r w:rsidRPr="007F6E04">
        <w:rPr>
          <w:rFonts w:ascii="Book Antiqua" w:eastAsia="Palatino Linotype" w:hAnsi="Book Antiqua" w:cs="Palatino Linotype"/>
          <w:color w:val="000000"/>
          <w:sz w:val="24"/>
          <w:szCs w:val="24"/>
          <w:lang w:val="en-ID"/>
        </w:rPr>
        <w:t>177–199.</w:t>
      </w:r>
    </w:p>
    <w:p w14:paraId="01DE1EF1" w14:textId="77777777" w:rsidR="003A7091" w:rsidRPr="007F6E04" w:rsidRDefault="007D0A06" w:rsidP="00746761">
      <w:pPr>
        <w:pStyle w:val="ListParagraph"/>
        <w:spacing w:after="120" w:line="240" w:lineRule="auto"/>
        <w:ind w:left="0"/>
        <w:contextualSpacing w:val="0"/>
        <w:jc w:val="both"/>
        <w:rPr>
          <w:rFonts w:ascii="Book Antiqua" w:hAnsi="Book Antiqua" w:cstheme="majorHAnsi"/>
          <w:b/>
          <w:i/>
          <w:color w:val="000000" w:themeColor="text1"/>
          <w:sz w:val="24"/>
          <w:szCs w:val="24"/>
        </w:rPr>
      </w:pPr>
      <w:r w:rsidRPr="007F6E04">
        <w:rPr>
          <w:rFonts w:ascii="Book Antiqua" w:hAnsi="Book Antiqua" w:cstheme="majorHAnsi"/>
          <w:b/>
          <w:i/>
          <w:color w:val="000000" w:themeColor="text1"/>
          <w:sz w:val="24"/>
          <w:szCs w:val="24"/>
        </w:rPr>
        <w:t>Book</w:t>
      </w:r>
    </w:p>
    <w:p w14:paraId="4155AC3D" w14:textId="77777777" w:rsidR="00E2182B" w:rsidRPr="007F6E04" w:rsidRDefault="00E2182B" w:rsidP="00FA2EF9">
      <w:pPr>
        <w:autoSpaceDE w:val="0"/>
        <w:autoSpaceDN w:val="0"/>
        <w:adjustRightInd w:val="0"/>
        <w:spacing w:before="120" w:after="0" w:line="240" w:lineRule="auto"/>
        <w:ind w:left="562" w:hanging="562"/>
        <w:jc w:val="both"/>
        <w:rPr>
          <w:rFonts w:ascii="Book Antiqua" w:eastAsia="Palatino Linotype" w:hAnsi="Book Antiqua" w:cs="Palatino Linotype"/>
          <w:color w:val="000000"/>
          <w:sz w:val="24"/>
          <w:szCs w:val="24"/>
          <w:lang w:val="en-ID"/>
        </w:rPr>
      </w:pPr>
      <w:r w:rsidRPr="007F6E04">
        <w:rPr>
          <w:rFonts w:ascii="Book Antiqua" w:eastAsia="Palatino Linotype" w:hAnsi="Book Antiqua" w:cs="Palatino Linotype"/>
          <w:color w:val="000000"/>
          <w:sz w:val="24"/>
          <w:szCs w:val="24"/>
          <w:lang w:val="en-ID"/>
        </w:rPr>
        <w:t xml:space="preserve">Abdul Kadir Muhammad, Hukum Perusahaan Indonesia, Bandung, PT. Citra Aditya </w:t>
      </w:r>
      <w:proofErr w:type="spellStart"/>
      <w:r w:rsidRPr="007F6E04">
        <w:rPr>
          <w:rFonts w:ascii="Book Antiqua" w:eastAsia="Palatino Linotype" w:hAnsi="Book Antiqua" w:cs="Palatino Linotype"/>
          <w:color w:val="000000"/>
          <w:sz w:val="24"/>
          <w:szCs w:val="24"/>
          <w:lang w:val="en-ID"/>
        </w:rPr>
        <w:t>Bakti</w:t>
      </w:r>
      <w:proofErr w:type="spellEnd"/>
      <w:r w:rsidRPr="007F6E04">
        <w:rPr>
          <w:rFonts w:ascii="Book Antiqua" w:eastAsia="Palatino Linotype" w:hAnsi="Book Antiqua" w:cs="Palatino Linotype"/>
          <w:color w:val="000000"/>
          <w:sz w:val="24"/>
          <w:szCs w:val="24"/>
          <w:lang w:val="en-ID"/>
        </w:rPr>
        <w:t>, 2010.</w:t>
      </w:r>
    </w:p>
    <w:p w14:paraId="0EBD6BD8" w14:textId="77777777" w:rsidR="00E2182B" w:rsidRPr="007F6E04" w:rsidRDefault="00E2182B" w:rsidP="00FA2EF9">
      <w:pPr>
        <w:autoSpaceDE w:val="0"/>
        <w:autoSpaceDN w:val="0"/>
        <w:adjustRightInd w:val="0"/>
        <w:spacing w:before="120" w:after="0" w:line="240" w:lineRule="auto"/>
        <w:ind w:left="562" w:hanging="562"/>
        <w:jc w:val="both"/>
        <w:rPr>
          <w:rFonts w:ascii="Book Antiqua" w:eastAsia="Palatino Linotype" w:hAnsi="Book Antiqua" w:cs="Palatino Linotype"/>
          <w:color w:val="000000"/>
          <w:sz w:val="24"/>
          <w:szCs w:val="24"/>
          <w:lang w:val="en-ID"/>
        </w:rPr>
      </w:pPr>
      <w:r w:rsidRPr="007F6E04">
        <w:rPr>
          <w:rFonts w:ascii="Book Antiqua" w:eastAsia="Palatino Linotype" w:hAnsi="Book Antiqua" w:cs="Palatino Linotype"/>
          <w:color w:val="000000"/>
          <w:sz w:val="24"/>
          <w:szCs w:val="24"/>
          <w:lang w:val="en-ID"/>
        </w:rPr>
        <w:t xml:space="preserve">Ahmad </w:t>
      </w:r>
      <w:proofErr w:type="spellStart"/>
      <w:r w:rsidRPr="007F6E04">
        <w:rPr>
          <w:rFonts w:ascii="Book Antiqua" w:eastAsia="Palatino Linotype" w:hAnsi="Book Antiqua" w:cs="Palatino Linotype"/>
          <w:color w:val="000000"/>
          <w:sz w:val="24"/>
          <w:szCs w:val="24"/>
          <w:lang w:val="en-ID"/>
        </w:rPr>
        <w:t>Yani</w:t>
      </w:r>
      <w:proofErr w:type="spellEnd"/>
      <w:r w:rsidRPr="007F6E04">
        <w:rPr>
          <w:rFonts w:ascii="Book Antiqua" w:eastAsia="Palatino Linotype" w:hAnsi="Book Antiqua" w:cs="Palatino Linotype"/>
          <w:color w:val="000000"/>
          <w:sz w:val="24"/>
          <w:szCs w:val="24"/>
          <w:lang w:val="en-ID"/>
        </w:rPr>
        <w:t xml:space="preserve"> dan </w:t>
      </w:r>
      <w:proofErr w:type="spellStart"/>
      <w:r w:rsidRPr="007F6E04">
        <w:rPr>
          <w:rFonts w:ascii="Book Antiqua" w:eastAsia="Palatino Linotype" w:hAnsi="Book Antiqua" w:cs="Palatino Linotype"/>
          <w:color w:val="000000"/>
          <w:sz w:val="24"/>
          <w:szCs w:val="24"/>
          <w:lang w:val="en-ID"/>
        </w:rPr>
        <w:t>Gunawan</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Widjaja</w:t>
      </w:r>
      <w:proofErr w:type="spellEnd"/>
      <w:r w:rsidRPr="007F6E04">
        <w:rPr>
          <w:rFonts w:ascii="Book Antiqua" w:eastAsia="Palatino Linotype" w:hAnsi="Book Antiqua" w:cs="Palatino Linotype"/>
          <w:color w:val="000000"/>
          <w:sz w:val="24"/>
          <w:szCs w:val="24"/>
          <w:lang w:val="en-ID"/>
        </w:rPr>
        <w:t xml:space="preserve">, Perseroan </w:t>
      </w:r>
      <w:proofErr w:type="spellStart"/>
      <w:r w:rsidRPr="007F6E04">
        <w:rPr>
          <w:rFonts w:ascii="Book Antiqua" w:eastAsia="Palatino Linotype" w:hAnsi="Book Antiqua" w:cs="Palatino Linotype"/>
          <w:color w:val="000000"/>
          <w:sz w:val="24"/>
          <w:szCs w:val="24"/>
          <w:lang w:val="en-ID"/>
        </w:rPr>
        <w:t>Terbatas</w:t>
      </w:r>
      <w:proofErr w:type="spellEnd"/>
      <w:r w:rsidRPr="007F6E04">
        <w:rPr>
          <w:rFonts w:ascii="Book Antiqua" w:eastAsia="Palatino Linotype" w:hAnsi="Book Antiqua" w:cs="Palatino Linotype"/>
          <w:color w:val="000000"/>
          <w:sz w:val="24"/>
          <w:szCs w:val="24"/>
          <w:lang w:val="en-ID"/>
        </w:rPr>
        <w:t xml:space="preserve">, Raja </w:t>
      </w:r>
      <w:proofErr w:type="spellStart"/>
      <w:r w:rsidRPr="007F6E04">
        <w:rPr>
          <w:rFonts w:ascii="Book Antiqua" w:eastAsia="Palatino Linotype" w:hAnsi="Book Antiqua" w:cs="Palatino Linotype"/>
          <w:color w:val="000000"/>
          <w:sz w:val="24"/>
          <w:szCs w:val="24"/>
          <w:lang w:val="en-ID"/>
        </w:rPr>
        <w:t>Grafindo</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Persada</w:t>
      </w:r>
      <w:proofErr w:type="spellEnd"/>
      <w:r w:rsidRPr="007F6E04">
        <w:rPr>
          <w:rFonts w:ascii="Book Antiqua" w:eastAsia="Palatino Linotype" w:hAnsi="Book Antiqua" w:cs="Palatino Linotype"/>
          <w:color w:val="000000"/>
          <w:sz w:val="24"/>
          <w:szCs w:val="24"/>
          <w:lang w:val="en-ID"/>
        </w:rPr>
        <w:t>, Jakarta, 2003.</w:t>
      </w:r>
    </w:p>
    <w:p w14:paraId="13DEF31F" w14:textId="77777777" w:rsidR="00E2182B" w:rsidRPr="007F6E04" w:rsidRDefault="00E2182B" w:rsidP="00FA2EF9">
      <w:pPr>
        <w:pStyle w:val="ListParagraph"/>
        <w:spacing w:after="0" w:line="240" w:lineRule="auto"/>
        <w:ind w:left="0"/>
        <w:contextualSpacing w:val="0"/>
        <w:jc w:val="both"/>
        <w:rPr>
          <w:rFonts w:ascii="Book Antiqua" w:eastAsia="Palatino Linotype" w:hAnsi="Book Antiqua" w:cs="Palatino Linotype"/>
          <w:color w:val="000000"/>
          <w:sz w:val="24"/>
          <w:szCs w:val="24"/>
          <w:lang w:val="en-ID"/>
        </w:rPr>
      </w:pPr>
      <w:proofErr w:type="spellStart"/>
      <w:r w:rsidRPr="007F6E04">
        <w:rPr>
          <w:rFonts w:ascii="Book Antiqua" w:eastAsia="Palatino Linotype" w:hAnsi="Book Antiqua" w:cs="Palatino Linotype"/>
          <w:color w:val="000000"/>
          <w:sz w:val="24"/>
          <w:szCs w:val="24"/>
          <w:lang w:val="en-ID"/>
        </w:rPr>
        <w:t>Andrian</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Sutedi</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Buku</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Pintar</w:t>
      </w:r>
      <w:proofErr w:type="spellEnd"/>
      <w:r w:rsidRPr="007F6E04">
        <w:rPr>
          <w:rFonts w:ascii="Book Antiqua" w:eastAsia="Palatino Linotype" w:hAnsi="Book Antiqua" w:cs="Palatino Linotype"/>
          <w:color w:val="000000"/>
          <w:sz w:val="24"/>
          <w:szCs w:val="24"/>
          <w:lang w:val="en-ID"/>
        </w:rPr>
        <w:t xml:space="preserve"> Hukum Perseroan </w:t>
      </w:r>
      <w:proofErr w:type="spellStart"/>
      <w:r w:rsidRPr="007F6E04">
        <w:rPr>
          <w:rFonts w:ascii="Book Antiqua" w:eastAsia="Palatino Linotype" w:hAnsi="Book Antiqua" w:cs="Palatino Linotype"/>
          <w:color w:val="000000"/>
          <w:sz w:val="24"/>
          <w:szCs w:val="24"/>
          <w:lang w:val="en-ID"/>
        </w:rPr>
        <w:t>Terbatas</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Cetakan</w:t>
      </w:r>
      <w:proofErr w:type="spellEnd"/>
      <w:r w:rsidRPr="007F6E04">
        <w:rPr>
          <w:rFonts w:ascii="Book Antiqua" w:eastAsia="Palatino Linotype" w:hAnsi="Book Antiqua" w:cs="Palatino Linotype"/>
          <w:color w:val="000000"/>
          <w:sz w:val="24"/>
          <w:szCs w:val="24"/>
          <w:lang w:val="en-ID"/>
        </w:rPr>
        <w:t xml:space="preserve"> 1, Jakarta, </w:t>
      </w:r>
      <w:proofErr w:type="spellStart"/>
      <w:r w:rsidRPr="007F6E04">
        <w:rPr>
          <w:rFonts w:ascii="Book Antiqua" w:eastAsia="Palatino Linotype" w:hAnsi="Book Antiqua" w:cs="Palatino Linotype"/>
          <w:color w:val="000000"/>
          <w:sz w:val="24"/>
          <w:szCs w:val="24"/>
          <w:lang w:val="en-ID"/>
        </w:rPr>
        <w:t>Raih</w:t>
      </w:r>
      <w:proofErr w:type="spellEnd"/>
      <w:r w:rsidRPr="007F6E04">
        <w:rPr>
          <w:rFonts w:ascii="Book Antiqua" w:eastAsia="Palatino Linotype" w:hAnsi="Book Antiqua" w:cs="Palatino Linotype"/>
          <w:color w:val="000000"/>
          <w:sz w:val="24"/>
          <w:szCs w:val="24"/>
          <w:lang w:val="en-ID"/>
        </w:rPr>
        <w:t xml:space="preserve"> Asa </w:t>
      </w:r>
      <w:r w:rsidR="00FA2EF9">
        <w:rPr>
          <w:rFonts w:ascii="Book Antiqua" w:eastAsia="Palatino Linotype" w:hAnsi="Book Antiqua" w:cs="Palatino Linotype"/>
          <w:color w:val="000000"/>
          <w:sz w:val="24"/>
          <w:szCs w:val="24"/>
          <w:lang w:val="en-ID"/>
        </w:rPr>
        <w:br/>
        <w:t xml:space="preserve">         </w:t>
      </w:r>
      <w:proofErr w:type="spellStart"/>
      <w:r w:rsidRPr="007F6E04">
        <w:rPr>
          <w:rFonts w:ascii="Book Antiqua" w:eastAsia="Palatino Linotype" w:hAnsi="Book Antiqua" w:cs="Palatino Linotype"/>
          <w:color w:val="000000"/>
          <w:sz w:val="24"/>
          <w:szCs w:val="24"/>
          <w:lang w:val="en-ID"/>
        </w:rPr>
        <w:t>Sukses</w:t>
      </w:r>
      <w:proofErr w:type="spellEnd"/>
      <w:r w:rsidRPr="007F6E04">
        <w:rPr>
          <w:rFonts w:ascii="Book Antiqua" w:eastAsia="Palatino Linotype" w:hAnsi="Book Antiqua" w:cs="Palatino Linotype"/>
          <w:color w:val="000000"/>
          <w:sz w:val="24"/>
          <w:szCs w:val="24"/>
          <w:lang w:val="en-ID"/>
        </w:rPr>
        <w:t>, 2015.</w:t>
      </w:r>
    </w:p>
    <w:p w14:paraId="6B21A1D5" w14:textId="77777777" w:rsidR="00E2182B" w:rsidRPr="007F6E04" w:rsidRDefault="00E2182B" w:rsidP="00FA2EF9">
      <w:pPr>
        <w:autoSpaceDE w:val="0"/>
        <w:autoSpaceDN w:val="0"/>
        <w:adjustRightInd w:val="0"/>
        <w:spacing w:before="120" w:after="0" w:line="240" w:lineRule="auto"/>
        <w:ind w:left="562" w:hanging="562"/>
        <w:jc w:val="both"/>
        <w:rPr>
          <w:rFonts w:ascii="Book Antiqua" w:eastAsia="Palatino Linotype" w:hAnsi="Book Antiqua" w:cs="Palatino Linotype"/>
          <w:color w:val="000000"/>
          <w:sz w:val="24"/>
          <w:szCs w:val="24"/>
          <w:lang w:val="en-ID"/>
        </w:rPr>
      </w:pPr>
      <w:proofErr w:type="spellStart"/>
      <w:r w:rsidRPr="007F6E04">
        <w:rPr>
          <w:rFonts w:ascii="Book Antiqua" w:eastAsia="Palatino Linotype" w:hAnsi="Book Antiqua" w:cs="Palatino Linotype"/>
          <w:color w:val="000000"/>
          <w:sz w:val="24"/>
          <w:szCs w:val="24"/>
          <w:lang w:val="en-ID"/>
        </w:rPr>
        <w:t>Gatot</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Supramono</w:t>
      </w:r>
      <w:proofErr w:type="spellEnd"/>
      <w:r w:rsidRPr="007F6E04">
        <w:rPr>
          <w:rFonts w:ascii="Book Antiqua" w:eastAsia="Palatino Linotype" w:hAnsi="Book Antiqua" w:cs="Palatino Linotype"/>
          <w:color w:val="000000"/>
          <w:sz w:val="24"/>
          <w:szCs w:val="24"/>
          <w:lang w:val="en-ID"/>
        </w:rPr>
        <w:t xml:space="preserve">, Hukum Perseroan </w:t>
      </w:r>
      <w:proofErr w:type="spellStart"/>
      <w:r w:rsidRPr="007F6E04">
        <w:rPr>
          <w:rFonts w:ascii="Book Antiqua" w:eastAsia="Palatino Linotype" w:hAnsi="Book Antiqua" w:cs="Palatino Linotype"/>
          <w:color w:val="000000"/>
          <w:sz w:val="24"/>
          <w:szCs w:val="24"/>
          <w:lang w:val="en-ID"/>
        </w:rPr>
        <w:t>Terbatas</w:t>
      </w:r>
      <w:proofErr w:type="spellEnd"/>
      <w:r w:rsidRPr="007F6E04">
        <w:rPr>
          <w:rFonts w:ascii="Book Antiqua" w:eastAsia="Palatino Linotype" w:hAnsi="Book Antiqua" w:cs="Palatino Linotype"/>
          <w:color w:val="000000"/>
          <w:sz w:val="24"/>
          <w:szCs w:val="24"/>
          <w:lang w:val="en-ID"/>
        </w:rPr>
        <w:t xml:space="preserve"> yang </w:t>
      </w:r>
      <w:proofErr w:type="spellStart"/>
      <w:r w:rsidRPr="007F6E04">
        <w:rPr>
          <w:rFonts w:ascii="Book Antiqua" w:eastAsia="Palatino Linotype" w:hAnsi="Book Antiqua" w:cs="Palatino Linotype"/>
          <w:color w:val="000000"/>
          <w:sz w:val="24"/>
          <w:szCs w:val="24"/>
          <w:lang w:val="en-ID"/>
        </w:rPr>
        <w:t>Baru</w:t>
      </w:r>
      <w:proofErr w:type="spellEnd"/>
      <w:r w:rsidRPr="007F6E04">
        <w:rPr>
          <w:rFonts w:ascii="Book Antiqua" w:eastAsia="Palatino Linotype" w:hAnsi="Book Antiqua" w:cs="Palatino Linotype"/>
          <w:color w:val="000000"/>
          <w:sz w:val="24"/>
          <w:szCs w:val="24"/>
          <w:lang w:val="en-ID"/>
        </w:rPr>
        <w:t xml:space="preserve">, Jakarta, </w:t>
      </w:r>
      <w:proofErr w:type="spellStart"/>
      <w:r w:rsidRPr="007F6E04">
        <w:rPr>
          <w:rFonts w:ascii="Book Antiqua" w:eastAsia="Palatino Linotype" w:hAnsi="Book Antiqua" w:cs="Palatino Linotype"/>
          <w:color w:val="000000"/>
          <w:sz w:val="24"/>
          <w:szCs w:val="24"/>
          <w:lang w:val="en-ID"/>
        </w:rPr>
        <w:t>Djambatan</w:t>
      </w:r>
      <w:proofErr w:type="spellEnd"/>
      <w:r w:rsidRPr="007F6E04">
        <w:rPr>
          <w:rFonts w:ascii="Book Antiqua" w:eastAsia="Palatino Linotype" w:hAnsi="Book Antiqua" w:cs="Palatino Linotype"/>
          <w:color w:val="000000"/>
          <w:sz w:val="24"/>
          <w:szCs w:val="24"/>
          <w:lang w:val="en-ID"/>
        </w:rPr>
        <w:t>, 1999.</w:t>
      </w:r>
    </w:p>
    <w:p w14:paraId="044A63B7" w14:textId="77777777" w:rsidR="00E2182B" w:rsidRPr="007F6E04" w:rsidRDefault="00E2182B" w:rsidP="00FA2EF9">
      <w:pPr>
        <w:autoSpaceDE w:val="0"/>
        <w:autoSpaceDN w:val="0"/>
        <w:adjustRightInd w:val="0"/>
        <w:spacing w:after="0" w:line="240" w:lineRule="auto"/>
        <w:ind w:left="567" w:hanging="567"/>
        <w:jc w:val="both"/>
        <w:rPr>
          <w:rFonts w:ascii="Book Antiqua" w:eastAsia="Palatino Linotype" w:hAnsi="Book Antiqua" w:cs="Palatino Linotype"/>
          <w:color w:val="000000"/>
          <w:sz w:val="24"/>
          <w:szCs w:val="24"/>
          <w:lang w:val="en-ID"/>
        </w:rPr>
      </w:pPr>
      <w:r w:rsidRPr="007F6E04">
        <w:rPr>
          <w:rFonts w:ascii="Book Antiqua" w:eastAsia="Palatino Linotype" w:hAnsi="Book Antiqua" w:cs="Palatino Linotype"/>
          <w:color w:val="000000"/>
          <w:sz w:val="24"/>
          <w:szCs w:val="24"/>
          <w:lang w:val="en-ID"/>
        </w:rPr>
        <w:t xml:space="preserve">H. </w:t>
      </w:r>
      <w:proofErr w:type="spellStart"/>
      <w:r w:rsidRPr="007F6E04">
        <w:rPr>
          <w:rFonts w:ascii="Book Antiqua" w:eastAsia="Palatino Linotype" w:hAnsi="Book Antiqua" w:cs="Palatino Linotype"/>
          <w:color w:val="000000"/>
          <w:sz w:val="24"/>
          <w:szCs w:val="24"/>
          <w:lang w:val="en-ID"/>
        </w:rPr>
        <w:t>Zaeni</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Asyhadie</w:t>
      </w:r>
      <w:proofErr w:type="spellEnd"/>
      <w:r w:rsidRPr="007F6E04">
        <w:rPr>
          <w:rFonts w:ascii="Book Antiqua" w:eastAsia="Palatino Linotype" w:hAnsi="Book Antiqua" w:cs="Palatino Linotype"/>
          <w:color w:val="000000"/>
          <w:sz w:val="24"/>
          <w:szCs w:val="24"/>
          <w:lang w:val="en-ID"/>
        </w:rPr>
        <w:t xml:space="preserve"> dan Budi </w:t>
      </w:r>
      <w:proofErr w:type="spellStart"/>
      <w:r w:rsidRPr="007F6E04">
        <w:rPr>
          <w:rFonts w:ascii="Book Antiqua" w:eastAsia="Palatino Linotype" w:hAnsi="Book Antiqua" w:cs="Palatino Linotype"/>
          <w:color w:val="000000"/>
          <w:sz w:val="24"/>
          <w:szCs w:val="24"/>
          <w:lang w:val="en-ID"/>
        </w:rPr>
        <w:t>Sutrisno</w:t>
      </w:r>
      <w:proofErr w:type="spellEnd"/>
      <w:r w:rsidRPr="007F6E04">
        <w:rPr>
          <w:rFonts w:ascii="Book Antiqua" w:eastAsia="Palatino Linotype" w:hAnsi="Book Antiqua" w:cs="Palatino Linotype"/>
          <w:color w:val="000000"/>
          <w:sz w:val="24"/>
          <w:szCs w:val="24"/>
          <w:lang w:val="en-ID"/>
        </w:rPr>
        <w:t xml:space="preserve">, Hukum Perusahaan dan </w:t>
      </w:r>
      <w:proofErr w:type="spellStart"/>
      <w:r w:rsidRPr="007F6E04">
        <w:rPr>
          <w:rFonts w:ascii="Book Antiqua" w:eastAsia="Palatino Linotype" w:hAnsi="Book Antiqua" w:cs="Palatino Linotype"/>
          <w:color w:val="000000"/>
          <w:sz w:val="24"/>
          <w:szCs w:val="24"/>
          <w:lang w:val="en-ID"/>
        </w:rPr>
        <w:t>Kepailitan</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Erlangga</w:t>
      </w:r>
      <w:proofErr w:type="spellEnd"/>
      <w:r w:rsidRPr="007F6E04">
        <w:rPr>
          <w:rFonts w:ascii="Book Antiqua" w:eastAsia="Palatino Linotype" w:hAnsi="Book Antiqua" w:cs="Palatino Linotype"/>
          <w:color w:val="000000"/>
          <w:sz w:val="24"/>
          <w:szCs w:val="24"/>
          <w:lang w:val="en-ID"/>
        </w:rPr>
        <w:t>, Jakarta, 2012.</w:t>
      </w:r>
    </w:p>
    <w:p w14:paraId="34E0165C" w14:textId="77777777" w:rsidR="00E2182B" w:rsidRPr="007F6E04" w:rsidRDefault="00E2182B" w:rsidP="00FA2EF9">
      <w:pPr>
        <w:pStyle w:val="ListParagraph"/>
        <w:spacing w:before="120" w:after="0" w:line="240" w:lineRule="auto"/>
        <w:ind w:left="0"/>
        <w:contextualSpacing w:val="0"/>
        <w:jc w:val="both"/>
        <w:rPr>
          <w:rFonts w:ascii="Book Antiqua" w:eastAsia="Palatino Linotype" w:hAnsi="Book Antiqua" w:cs="Palatino Linotype"/>
          <w:color w:val="000000"/>
          <w:sz w:val="24"/>
          <w:szCs w:val="24"/>
          <w:lang w:val="en-ID"/>
        </w:rPr>
      </w:pPr>
      <w:r w:rsidRPr="007F6E04">
        <w:rPr>
          <w:rFonts w:ascii="Book Antiqua" w:eastAsia="Palatino Linotype" w:hAnsi="Book Antiqua" w:cs="Palatino Linotype"/>
          <w:color w:val="000000"/>
          <w:sz w:val="24"/>
          <w:szCs w:val="24"/>
          <w:lang w:val="en-ID"/>
        </w:rPr>
        <w:lastRenderedPageBreak/>
        <w:t xml:space="preserve">Habib </w:t>
      </w:r>
      <w:proofErr w:type="spellStart"/>
      <w:r w:rsidRPr="007F6E04">
        <w:rPr>
          <w:rFonts w:ascii="Book Antiqua" w:eastAsia="Palatino Linotype" w:hAnsi="Book Antiqua" w:cs="Palatino Linotype"/>
          <w:color w:val="000000"/>
          <w:sz w:val="24"/>
          <w:szCs w:val="24"/>
          <w:lang w:val="en-ID"/>
        </w:rPr>
        <w:t>Adjie</w:t>
      </w:r>
      <w:proofErr w:type="spellEnd"/>
      <w:r w:rsidRPr="007F6E04">
        <w:rPr>
          <w:rFonts w:ascii="Book Antiqua" w:eastAsia="Palatino Linotype" w:hAnsi="Book Antiqua" w:cs="Palatino Linotype"/>
          <w:color w:val="000000"/>
          <w:sz w:val="24"/>
          <w:szCs w:val="24"/>
          <w:lang w:val="en-ID"/>
        </w:rPr>
        <w:t xml:space="preserve">, Hukum </w:t>
      </w:r>
      <w:proofErr w:type="spellStart"/>
      <w:r w:rsidRPr="007F6E04">
        <w:rPr>
          <w:rFonts w:ascii="Book Antiqua" w:eastAsia="Palatino Linotype" w:hAnsi="Book Antiqua" w:cs="Palatino Linotype"/>
          <w:color w:val="000000"/>
          <w:sz w:val="24"/>
          <w:szCs w:val="24"/>
          <w:lang w:val="en-ID"/>
        </w:rPr>
        <w:t>Notaris</w:t>
      </w:r>
      <w:proofErr w:type="spellEnd"/>
      <w:r w:rsidRPr="007F6E04">
        <w:rPr>
          <w:rFonts w:ascii="Book Antiqua" w:eastAsia="Palatino Linotype" w:hAnsi="Book Antiqua" w:cs="Palatino Linotype"/>
          <w:color w:val="000000"/>
          <w:sz w:val="24"/>
          <w:szCs w:val="24"/>
          <w:lang w:val="en-ID"/>
        </w:rPr>
        <w:t xml:space="preserve"> Indonesia, </w:t>
      </w:r>
      <w:proofErr w:type="spellStart"/>
      <w:r w:rsidRPr="007F6E04">
        <w:rPr>
          <w:rFonts w:ascii="Book Antiqua" w:eastAsia="Palatino Linotype" w:hAnsi="Book Antiqua" w:cs="Palatino Linotype"/>
          <w:color w:val="000000"/>
          <w:sz w:val="24"/>
          <w:szCs w:val="24"/>
          <w:lang w:val="en-ID"/>
        </w:rPr>
        <w:t>Cetakan</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Kelima</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Refika</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Aditama</w:t>
      </w:r>
      <w:proofErr w:type="spellEnd"/>
      <w:r w:rsidRPr="007F6E04">
        <w:rPr>
          <w:rFonts w:ascii="Book Antiqua" w:eastAsia="Palatino Linotype" w:hAnsi="Book Antiqua" w:cs="Palatino Linotype"/>
          <w:color w:val="000000"/>
          <w:sz w:val="24"/>
          <w:szCs w:val="24"/>
          <w:lang w:val="en-ID"/>
        </w:rPr>
        <w:t>, Bandung, 2018.</w:t>
      </w:r>
    </w:p>
    <w:p w14:paraId="13C687B7" w14:textId="77777777" w:rsidR="00E2182B" w:rsidRPr="007F6E04" w:rsidRDefault="00E2182B" w:rsidP="00FA2EF9">
      <w:pPr>
        <w:autoSpaceDE w:val="0"/>
        <w:autoSpaceDN w:val="0"/>
        <w:adjustRightInd w:val="0"/>
        <w:spacing w:before="120" w:after="0" w:line="240" w:lineRule="auto"/>
        <w:ind w:left="562" w:hanging="562"/>
        <w:jc w:val="both"/>
        <w:rPr>
          <w:rFonts w:ascii="Book Antiqua" w:eastAsia="Palatino Linotype" w:hAnsi="Book Antiqua" w:cs="Palatino Linotype"/>
          <w:color w:val="000000"/>
          <w:sz w:val="24"/>
          <w:szCs w:val="24"/>
          <w:lang w:val="en-ID"/>
        </w:rPr>
      </w:pPr>
      <w:proofErr w:type="spellStart"/>
      <w:r w:rsidRPr="007F6E04">
        <w:rPr>
          <w:rFonts w:ascii="Book Antiqua" w:eastAsia="Palatino Linotype" w:hAnsi="Book Antiqua" w:cs="Palatino Linotype"/>
          <w:color w:val="000000"/>
          <w:sz w:val="24"/>
          <w:szCs w:val="24"/>
          <w:lang w:val="en-ID"/>
        </w:rPr>
        <w:t>IrawanSoerodjo</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Kepastian</w:t>
      </w:r>
      <w:proofErr w:type="spellEnd"/>
      <w:r w:rsidRPr="007F6E04">
        <w:rPr>
          <w:rFonts w:ascii="Book Antiqua" w:eastAsia="Palatino Linotype" w:hAnsi="Book Antiqua" w:cs="Palatino Linotype"/>
          <w:color w:val="000000"/>
          <w:sz w:val="24"/>
          <w:szCs w:val="24"/>
          <w:lang w:val="en-ID"/>
        </w:rPr>
        <w:t xml:space="preserve"> Hukum </w:t>
      </w:r>
      <w:proofErr w:type="spellStart"/>
      <w:r w:rsidRPr="007F6E04">
        <w:rPr>
          <w:rFonts w:ascii="Book Antiqua" w:eastAsia="Palatino Linotype" w:hAnsi="Book Antiqua" w:cs="Palatino Linotype"/>
          <w:color w:val="000000"/>
          <w:sz w:val="24"/>
          <w:szCs w:val="24"/>
          <w:lang w:val="en-ID"/>
        </w:rPr>
        <w:t>Hak</w:t>
      </w:r>
      <w:proofErr w:type="spellEnd"/>
      <w:r w:rsidRPr="007F6E04">
        <w:rPr>
          <w:rFonts w:ascii="Book Antiqua" w:eastAsia="Palatino Linotype" w:hAnsi="Book Antiqua" w:cs="Palatino Linotype"/>
          <w:color w:val="000000"/>
          <w:sz w:val="24"/>
          <w:szCs w:val="24"/>
          <w:lang w:val="en-ID"/>
        </w:rPr>
        <w:t xml:space="preserve"> Atas Tanah di Indonesia, </w:t>
      </w:r>
      <w:proofErr w:type="spellStart"/>
      <w:r w:rsidRPr="007F6E04">
        <w:rPr>
          <w:rFonts w:ascii="Book Antiqua" w:eastAsia="Palatino Linotype" w:hAnsi="Book Antiqua" w:cs="Palatino Linotype"/>
          <w:color w:val="000000"/>
          <w:sz w:val="24"/>
          <w:szCs w:val="24"/>
          <w:lang w:val="en-ID"/>
        </w:rPr>
        <w:t>Arkola</w:t>
      </w:r>
      <w:proofErr w:type="spellEnd"/>
      <w:r w:rsidRPr="007F6E04">
        <w:rPr>
          <w:rFonts w:ascii="Book Antiqua" w:eastAsia="Palatino Linotype" w:hAnsi="Book Antiqua" w:cs="Palatino Linotype"/>
          <w:color w:val="000000"/>
          <w:sz w:val="24"/>
          <w:szCs w:val="24"/>
          <w:lang w:val="en-ID"/>
        </w:rPr>
        <w:t>, Surabaya, 2003.</w:t>
      </w:r>
    </w:p>
    <w:p w14:paraId="4251251D" w14:textId="77777777" w:rsidR="00E2182B" w:rsidRPr="007F6E04" w:rsidRDefault="00E2182B" w:rsidP="00FA2EF9">
      <w:pPr>
        <w:autoSpaceDE w:val="0"/>
        <w:autoSpaceDN w:val="0"/>
        <w:adjustRightInd w:val="0"/>
        <w:spacing w:before="120" w:after="0" w:line="240" w:lineRule="auto"/>
        <w:ind w:left="562" w:hanging="562"/>
        <w:jc w:val="both"/>
        <w:rPr>
          <w:rFonts w:ascii="Book Antiqua" w:eastAsia="Palatino Linotype" w:hAnsi="Book Antiqua" w:cs="Palatino Linotype"/>
          <w:color w:val="000000"/>
          <w:sz w:val="24"/>
          <w:szCs w:val="24"/>
          <w:lang w:val="en-ID"/>
        </w:rPr>
      </w:pPr>
      <w:proofErr w:type="spellStart"/>
      <w:r w:rsidRPr="007F6E04">
        <w:rPr>
          <w:rFonts w:ascii="Book Antiqua" w:eastAsia="Palatino Linotype" w:hAnsi="Book Antiqua" w:cs="Palatino Linotype"/>
          <w:color w:val="000000"/>
          <w:sz w:val="24"/>
          <w:szCs w:val="24"/>
          <w:lang w:val="en-ID"/>
        </w:rPr>
        <w:t>Muhaldi</w:t>
      </w:r>
      <w:proofErr w:type="spellEnd"/>
      <w:r w:rsidRPr="007F6E04">
        <w:rPr>
          <w:rFonts w:ascii="Book Antiqua" w:eastAsia="Palatino Linotype" w:hAnsi="Book Antiqua" w:cs="Palatino Linotype"/>
          <w:color w:val="000000"/>
          <w:sz w:val="24"/>
          <w:szCs w:val="24"/>
          <w:lang w:val="en-ID"/>
        </w:rPr>
        <w:t xml:space="preserve">, Hukum Perusahaan: </w:t>
      </w:r>
      <w:proofErr w:type="spellStart"/>
      <w:r w:rsidRPr="007F6E04">
        <w:rPr>
          <w:rFonts w:ascii="Book Antiqua" w:eastAsia="Palatino Linotype" w:hAnsi="Book Antiqua" w:cs="Palatino Linotype"/>
          <w:color w:val="000000"/>
          <w:sz w:val="24"/>
          <w:szCs w:val="24"/>
          <w:lang w:val="en-ID"/>
        </w:rPr>
        <w:t>Bentuk-Bentuk</w:t>
      </w:r>
      <w:proofErr w:type="spellEnd"/>
      <w:r w:rsidRPr="007F6E04">
        <w:rPr>
          <w:rFonts w:ascii="Book Antiqua" w:eastAsia="Palatino Linotype" w:hAnsi="Book Antiqua" w:cs="Palatino Linotype"/>
          <w:color w:val="000000"/>
          <w:sz w:val="24"/>
          <w:szCs w:val="24"/>
          <w:lang w:val="en-ID"/>
        </w:rPr>
        <w:t xml:space="preserve"> Badan Usaha di Indonesia, PT. Raja </w:t>
      </w:r>
      <w:proofErr w:type="spellStart"/>
      <w:r w:rsidRPr="007F6E04">
        <w:rPr>
          <w:rFonts w:ascii="Book Antiqua" w:eastAsia="Palatino Linotype" w:hAnsi="Book Antiqua" w:cs="Palatino Linotype"/>
          <w:color w:val="000000"/>
          <w:sz w:val="24"/>
          <w:szCs w:val="24"/>
          <w:lang w:val="en-ID"/>
        </w:rPr>
        <w:t>Grafindo</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Persada</w:t>
      </w:r>
      <w:proofErr w:type="spellEnd"/>
      <w:r w:rsidRPr="007F6E04">
        <w:rPr>
          <w:rFonts w:ascii="Book Antiqua" w:eastAsia="Palatino Linotype" w:hAnsi="Book Antiqua" w:cs="Palatino Linotype"/>
          <w:color w:val="000000"/>
          <w:sz w:val="24"/>
          <w:szCs w:val="24"/>
          <w:lang w:val="en-ID"/>
        </w:rPr>
        <w:t>, Jakarta, 2017.</w:t>
      </w:r>
    </w:p>
    <w:p w14:paraId="3E0994C3" w14:textId="77777777" w:rsidR="00E2182B" w:rsidRPr="007F6E04" w:rsidRDefault="00E2182B" w:rsidP="00FA2EF9">
      <w:pPr>
        <w:autoSpaceDE w:val="0"/>
        <w:autoSpaceDN w:val="0"/>
        <w:adjustRightInd w:val="0"/>
        <w:spacing w:before="120" w:after="0" w:line="240" w:lineRule="auto"/>
        <w:ind w:left="562" w:hanging="562"/>
        <w:jc w:val="both"/>
        <w:rPr>
          <w:rFonts w:ascii="Book Antiqua" w:eastAsia="Palatino Linotype" w:hAnsi="Book Antiqua" w:cs="Palatino Linotype"/>
          <w:color w:val="000000"/>
          <w:sz w:val="24"/>
          <w:szCs w:val="24"/>
          <w:lang w:val="en-ID"/>
        </w:rPr>
      </w:pPr>
      <w:proofErr w:type="spellStart"/>
      <w:r w:rsidRPr="007F6E04">
        <w:rPr>
          <w:rFonts w:ascii="Book Antiqua" w:eastAsia="Palatino Linotype" w:hAnsi="Book Antiqua" w:cs="Palatino Linotype"/>
          <w:color w:val="000000"/>
          <w:sz w:val="24"/>
          <w:szCs w:val="24"/>
          <w:lang w:val="en-ID"/>
        </w:rPr>
        <w:t>Mulyadi</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Nitisusastro</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Kewirausahaan</w:t>
      </w:r>
      <w:proofErr w:type="spellEnd"/>
      <w:r w:rsidRPr="007F6E04">
        <w:rPr>
          <w:rFonts w:ascii="Book Antiqua" w:eastAsia="Palatino Linotype" w:hAnsi="Book Antiqua" w:cs="Palatino Linotype"/>
          <w:color w:val="000000"/>
          <w:sz w:val="24"/>
          <w:szCs w:val="24"/>
          <w:lang w:val="en-ID"/>
        </w:rPr>
        <w:t xml:space="preserve"> dan </w:t>
      </w:r>
      <w:proofErr w:type="spellStart"/>
      <w:r w:rsidRPr="007F6E04">
        <w:rPr>
          <w:rFonts w:ascii="Book Antiqua" w:eastAsia="Palatino Linotype" w:hAnsi="Book Antiqua" w:cs="Palatino Linotype"/>
          <w:color w:val="000000"/>
          <w:sz w:val="24"/>
          <w:szCs w:val="24"/>
          <w:lang w:val="en-ID"/>
        </w:rPr>
        <w:t>Manajemen</w:t>
      </w:r>
      <w:proofErr w:type="spellEnd"/>
      <w:r w:rsidRPr="007F6E04">
        <w:rPr>
          <w:rFonts w:ascii="Book Antiqua" w:eastAsia="Palatino Linotype" w:hAnsi="Book Antiqua" w:cs="Palatino Linotype"/>
          <w:color w:val="000000"/>
          <w:sz w:val="24"/>
          <w:szCs w:val="24"/>
          <w:lang w:val="en-ID"/>
        </w:rPr>
        <w:t xml:space="preserve"> Usaha Kecil, Jakarta, </w:t>
      </w:r>
      <w:proofErr w:type="spellStart"/>
      <w:r w:rsidRPr="007F6E04">
        <w:rPr>
          <w:rFonts w:ascii="Book Antiqua" w:eastAsia="Palatino Linotype" w:hAnsi="Book Antiqua" w:cs="Palatino Linotype"/>
          <w:color w:val="000000"/>
          <w:sz w:val="24"/>
          <w:szCs w:val="24"/>
          <w:lang w:val="en-ID"/>
        </w:rPr>
        <w:t>ALFABETA</w:t>
      </w:r>
      <w:proofErr w:type="spellEnd"/>
      <w:r w:rsidRPr="007F6E04">
        <w:rPr>
          <w:rFonts w:ascii="Book Antiqua" w:eastAsia="Palatino Linotype" w:hAnsi="Book Antiqua" w:cs="Palatino Linotype"/>
          <w:color w:val="000000"/>
          <w:sz w:val="24"/>
          <w:szCs w:val="24"/>
          <w:lang w:val="en-ID"/>
        </w:rPr>
        <w:t>, 2010.</w:t>
      </w:r>
    </w:p>
    <w:p w14:paraId="109CE4C5" w14:textId="77777777" w:rsidR="00E2182B" w:rsidRPr="001610A2" w:rsidRDefault="00E2182B" w:rsidP="00FA2EF9">
      <w:pPr>
        <w:pStyle w:val="ListParagraph"/>
        <w:spacing w:before="120" w:after="0" w:line="240" w:lineRule="auto"/>
        <w:ind w:left="0"/>
        <w:contextualSpacing w:val="0"/>
        <w:jc w:val="both"/>
        <w:rPr>
          <w:rFonts w:ascii="Book Antiqua" w:hAnsi="Book Antiqua" w:cstheme="majorHAnsi"/>
          <w:b/>
          <w:i/>
          <w:color w:val="000000" w:themeColor="text1"/>
          <w:sz w:val="24"/>
        </w:rPr>
      </w:pPr>
      <w:r w:rsidRPr="007F6E04">
        <w:rPr>
          <w:rFonts w:ascii="Book Antiqua" w:eastAsia="Palatino Linotype" w:hAnsi="Book Antiqua" w:cs="Palatino Linotype"/>
          <w:color w:val="000000"/>
          <w:sz w:val="24"/>
          <w:szCs w:val="24"/>
          <w:lang w:val="en-ID"/>
        </w:rPr>
        <w:t xml:space="preserve">Munir </w:t>
      </w:r>
      <w:proofErr w:type="spellStart"/>
      <w:r w:rsidRPr="007F6E04">
        <w:rPr>
          <w:rFonts w:ascii="Book Antiqua" w:eastAsia="Palatino Linotype" w:hAnsi="Book Antiqua" w:cs="Palatino Linotype"/>
          <w:color w:val="000000"/>
          <w:sz w:val="24"/>
          <w:szCs w:val="24"/>
          <w:lang w:val="en-ID"/>
        </w:rPr>
        <w:t>Fuady</w:t>
      </w:r>
      <w:proofErr w:type="spellEnd"/>
      <w:r w:rsidRPr="007F6E04">
        <w:rPr>
          <w:rFonts w:ascii="Book Antiqua" w:eastAsia="Palatino Linotype" w:hAnsi="Book Antiqua" w:cs="Palatino Linotype"/>
          <w:color w:val="000000"/>
          <w:sz w:val="24"/>
          <w:szCs w:val="24"/>
          <w:lang w:val="en-ID"/>
        </w:rPr>
        <w:t xml:space="preserve">, Hukum Perusahaan </w:t>
      </w:r>
      <w:proofErr w:type="spellStart"/>
      <w:r w:rsidRPr="007F6E04">
        <w:rPr>
          <w:rFonts w:ascii="Book Antiqua" w:eastAsia="Palatino Linotype" w:hAnsi="Book Antiqua" w:cs="Palatino Linotype"/>
          <w:color w:val="000000"/>
          <w:sz w:val="24"/>
          <w:szCs w:val="24"/>
          <w:lang w:val="en-ID"/>
        </w:rPr>
        <w:t>Dalam</w:t>
      </w:r>
      <w:proofErr w:type="spellEnd"/>
      <w:r w:rsidRPr="007F6E04">
        <w:rPr>
          <w:rFonts w:ascii="Book Antiqua" w:eastAsia="Palatino Linotype" w:hAnsi="Book Antiqua" w:cs="Palatino Linotype"/>
          <w:color w:val="000000"/>
          <w:sz w:val="24"/>
          <w:szCs w:val="24"/>
          <w:lang w:val="en-ID"/>
        </w:rPr>
        <w:t xml:space="preserve"> </w:t>
      </w:r>
      <w:proofErr w:type="spellStart"/>
      <w:r w:rsidRPr="007F6E04">
        <w:rPr>
          <w:rFonts w:ascii="Book Antiqua" w:eastAsia="Palatino Linotype" w:hAnsi="Book Antiqua" w:cs="Palatino Linotype"/>
          <w:color w:val="000000"/>
          <w:sz w:val="24"/>
          <w:szCs w:val="24"/>
          <w:lang w:val="en-ID"/>
        </w:rPr>
        <w:t>Paradigma</w:t>
      </w:r>
      <w:proofErr w:type="spellEnd"/>
      <w:r w:rsidRPr="007F6E04">
        <w:rPr>
          <w:rFonts w:ascii="Book Antiqua" w:eastAsia="Palatino Linotype" w:hAnsi="Book Antiqua" w:cs="Palatino Linotype"/>
          <w:color w:val="000000"/>
          <w:sz w:val="24"/>
          <w:szCs w:val="24"/>
          <w:lang w:val="en-ID"/>
        </w:rPr>
        <w:t xml:space="preserve"> Hukum </w:t>
      </w:r>
      <w:proofErr w:type="spellStart"/>
      <w:r w:rsidRPr="007F6E04">
        <w:rPr>
          <w:rFonts w:ascii="Book Antiqua" w:eastAsia="Palatino Linotype" w:hAnsi="Book Antiqua" w:cs="Palatino Linotype"/>
          <w:color w:val="000000"/>
          <w:sz w:val="24"/>
          <w:szCs w:val="24"/>
          <w:lang w:val="en-ID"/>
        </w:rPr>
        <w:t>Bisnis</w:t>
      </w:r>
      <w:proofErr w:type="spellEnd"/>
      <w:r w:rsidRPr="007F6E04">
        <w:rPr>
          <w:rFonts w:ascii="Book Antiqua" w:eastAsia="Palatino Linotype" w:hAnsi="Book Antiqua" w:cs="Palatino Linotype"/>
          <w:color w:val="000000"/>
          <w:sz w:val="24"/>
          <w:szCs w:val="24"/>
          <w:lang w:val="en-ID"/>
        </w:rPr>
        <w:t xml:space="preserve">, Citra Aditya </w:t>
      </w:r>
      <w:proofErr w:type="spellStart"/>
      <w:r w:rsidRPr="007F6E04">
        <w:rPr>
          <w:rFonts w:ascii="Book Antiqua" w:eastAsia="Palatino Linotype" w:hAnsi="Book Antiqua" w:cs="Palatino Linotype"/>
          <w:color w:val="000000"/>
          <w:sz w:val="24"/>
          <w:szCs w:val="24"/>
          <w:lang w:val="en-ID"/>
        </w:rPr>
        <w:t>Bakti</w:t>
      </w:r>
      <w:proofErr w:type="spellEnd"/>
      <w:r w:rsidRPr="007F6E04">
        <w:rPr>
          <w:rFonts w:ascii="Book Antiqua" w:eastAsia="Palatino Linotype" w:hAnsi="Book Antiqua" w:cs="Palatino Linotype"/>
          <w:color w:val="000000"/>
          <w:sz w:val="24"/>
          <w:szCs w:val="24"/>
          <w:lang w:val="en-ID"/>
        </w:rPr>
        <w:t xml:space="preserve">, </w:t>
      </w:r>
      <w:r w:rsidR="00FA2EF9">
        <w:rPr>
          <w:rFonts w:ascii="Book Antiqua" w:eastAsia="Palatino Linotype" w:hAnsi="Book Antiqua" w:cs="Palatino Linotype"/>
          <w:color w:val="000000"/>
          <w:sz w:val="24"/>
          <w:szCs w:val="24"/>
          <w:lang w:val="en-ID"/>
        </w:rPr>
        <w:br/>
        <w:t xml:space="preserve">         </w:t>
      </w:r>
      <w:r w:rsidRPr="007F6E04">
        <w:rPr>
          <w:rFonts w:ascii="Book Antiqua" w:eastAsia="Palatino Linotype" w:hAnsi="Book Antiqua" w:cs="Palatino Linotype"/>
          <w:color w:val="000000"/>
          <w:sz w:val="24"/>
          <w:szCs w:val="24"/>
          <w:lang w:val="en-ID"/>
        </w:rPr>
        <w:t>Bandung, 1999.</w:t>
      </w:r>
    </w:p>
    <w:p w14:paraId="6E010A91" w14:textId="77777777" w:rsidR="00B36F1C"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38FF54F0" w14:textId="77777777" w:rsidR="00B36F1C"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366A4332" w14:textId="77777777" w:rsidR="004A3361" w:rsidRDefault="004A3361" w:rsidP="004A3361">
      <w:pPr>
        <w:pStyle w:val="ListParagraph"/>
        <w:spacing w:after="120" w:line="240" w:lineRule="auto"/>
        <w:ind w:left="0"/>
        <w:contextualSpacing w:val="0"/>
        <w:jc w:val="both"/>
        <w:rPr>
          <w:rFonts w:ascii="Book Antiqua" w:hAnsi="Book Antiqua" w:cs="Calibri"/>
          <w:noProof/>
          <w:sz w:val="24"/>
          <w:szCs w:val="24"/>
        </w:rPr>
      </w:pPr>
    </w:p>
    <w:p w14:paraId="25A09DFF"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1DDA0865"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5080CC7A"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78315097"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16ED9CC1" w14:textId="77777777" w:rsidR="00B36F1C"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r w:rsidRPr="00E05BD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34A3612B"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7AD38C47"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20B981F2"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7BAE806"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2863F01E"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1CFF82BF"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114796AE"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26C5B05" w14:textId="77777777" w:rsidR="00E05BDD" w:rsidRPr="00FA2EF9" w:rsidRDefault="000B76DE" w:rsidP="00FA2EF9">
      <w:pPr>
        <w:spacing w:after="120" w:line="240" w:lineRule="auto"/>
        <w:jc w:val="both"/>
        <w:rPr>
          <w:rFonts w:ascii="Book Antiqua" w:hAnsi="Book Antiqua"/>
          <w:b/>
          <w:lang w:eastAsia="fi-FI" w:bidi="ar-SA"/>
        </w:rPr>
      </w:pPr>
      <w:r w:rsidRPr="00292640">
        <w:rPr>
          <w:rFonts w:ascii="Book Antiqua" w:hAnsi="Book Antiqua"/>
          <w:b/>
          <w:noProof/>
          <w:lang w:bidi="ar-SA"/>
        </w:rPr>
        <w:drawing>
          <wp:anchor distT="0" distB="0" distL="114300" distR="114300" simplePos="0" relativeHeight="251693056" behindDoc="0" locked="0" layoutInCell="1" allowOverlap="1" wp14:anchorId="35BB0A69" wp14:editId="638B2EC5">
            <wp:simplePos x="0" y="0"/>
            <wp:positionH relativeFrom="column">
              <wp:posOffset>413385</wp:posOffset>
            </wp:positionH>
            <wp:positionV relativeFrom="paragraph">
              <wp:posOffset>2567940</wp:posOffset>
            </wp:positionV>
            <wp:extent cx="5324475" cy="1352550"/>
            <wp:effectExtent l="0" t="0" r="9525" b="0"/>
            <wp:wrapNone/>
            <wp:docPr id="7" name="Picture 7" descr="E:\FileKu\JURNAL FH UNPATTI\BALLREV\Konflik Ineteres BALLREV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BALLREV\Konflik Ineteres BALLREV_202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447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05BDD" w:rsidRPr="00FA2EF9" w:rsidSect="00576E8E">
      <w:footerReference w:type="even" r:id="rId18"/>
      <w:footerReference w:type="default" r:id="rId19"/>
      <w:headerReference w:type="first" r:id="rId20"/>
      <w:footerReference w:type="first" r:id="rId21"/>
      <w:pgSz w:w="11906" w:h="16838" w:code="9"/>
      <w:pgMar w:top="1276" w:right="1134" w:bottom="1134" w:left="1134" w:header="720"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A286" w14:textId="77777777" w:rsidR="00AE640B" w:rsidRDefault="00AE640B" w:rsidP="00934130">
      <w:pPr>
        <w:spacing w:after="0" w:line="240" w:lineRule="auto"/>
      </w:pPr>
      <w:r>
        <w:separator/>
      </w:r>
    </w:p>
  </w:endnote>
  <w:endnote w:type="continuationSeparator" w:id="0">
    <w:p w14:paraId="4A1A5FA8" w14:textId="77777777" w:rsidR="00AE640B" w:rsidRDefault="00AE640B"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375166"/>
      <w:docPartObj>
        <w:docPartGallery w:val="Page Numbers (Bottom of Page)"/>
        <w:docPartUnique/>
      </w:docPartObj>
    </w:sdtPr>
    <w:sdtEndPr>
      <w:rPr>
        <w:color w:val="7F7F7F" w:themeColor="background1" w:themeShade="7F"/>
        <w:spacing w:val="60"/>
      </w:rPr>
    </w:sdtEndPr>
    <w:sdtContent>
      <w:p w14:paraId="3371A33E" w14:textId="77777777" w:rsidR="00332B9B" w:rsidRPr="00F11C7E" w:rsidRDefault="00F505F5"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00D57DFC"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r>
          <w:rPr>
            <w:b/>
            <w:bCs/>
          </w:rPr>
          <w:t xml:space="preserve">| </w:t>
        </w:r>
        <w:r w:rsidR="00F11C7E">
          <w:rPr>
            <w:b/>
            <w:bCs/>
          </w:rPr>
          <w:t xml:space="preserve"> </w:t>
        </w:r>
        <w:r w:rsidR="00F11C7E">
          <w:rPr>
            <w:b/>
            <w:bCs/>
          </w:rPr>
          <w:tab/>
        </w:r>
      </w:p>
    </w:sdtContent>
  </w:sdt>
  <w:p w14:paraId="29905479" w14:textId="77777777" w:rsidR="00334F9D" w:rsidRPr="00185CD9" w:rsidRDefault="00334F9D"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348651"/>
      <w:docPartObj>
        <w:docPartGallery w:val="Page Numbers (Bottom of Page)"/>
        <w:docPartUnique/>
      </w:docPartObj>
    </w:sdtPr>
    <w:sdtEndPr>
      <w:rPr>
        <w:color w:val="7F7F7F" w:themeColor="background1" w:themeShade="7F"/>
        <w:spacing w:val="60"/>
      </w:rPr>
    </w:sdtEndPr>
    <w:sdtContent>
      <w:p w14:paraId="65B4E3F3" w14:textId="77777777" w:rsidR="00716F9B" w:rsidRDefault="00F505F5" w:rsidP="00C14BB6">
        <w:pPr>
          <w:pStyle w:val="Footer"/>
          <w:pBdr>
            <w:top w:val="single" w:sz="4" w:space="1" w:color="D9D9D9" w:themeColor="background1" w:themeShade="D9"/>
          </w:pBdr>
          <w:tabs>
            <w:tab w:val="left" w:pos="426"/>
          </w:tabs>
          <w:spacing w:before="120"/>
          <w:ind w:left="993" w:hanging="993"/>
          <w:jc w:val="both"/>
          <w:rPr>
            <w:rFonts w:ascii="Book Antiqua" w:hAnsi="Book Antiqua"/>
            <w:bCs/>
            <w:sz w:val="16"/>
            <w:szCs w:val="16"/>
          </w:rPr>
        </w:pPr>
        <w:r w:rsidRPr="008425BD">
          <w:rPr>
            <w:rFonts w:ascii="Book Antiqua" w:hAnsi="Book Antiqua"/>
            <w:b/>
            <w:color w:val="FFFFFF" w:themeColor="background1"/>
            <w:sz w:val="26"/>
            <w:szCs w:val="26"/>
            <w:highlight w:val="black"/>
            <w:shd w:val="clear" w:color="auto" w:fill="FFFFFF" w:themeFill="background1"/>
          </w:rPr>
          <w:fldChar w:fldCharType="begin"/>
        </w:r>
        <w:r w:rsidRPr="008425BD">
          <w:rPr>
            <w:rFonts w:ascii="Book Antiqua" w:hAnsi="Book Antiqua"/>
            <w:b/>
            <w:color w:val="FFFFFF" w:themeColor="background1"/>
            <w:sz w:val="26"/>
            <w:szCs w:val="26"/>
            <w:highlight w:val="black"/>
            <w:shd w:val="clear" w:color="auto" w:fill="FFFFFF" w:themeFill="background1"/>
          </w:rPr>
          <w:instrText xml:space="preserve"> PAGE   \* MERGEFORMAT </w:instrText>
        </w:r>
        <w:r w:rsidRPr="008425BD">
          <w:rPr>
            <w:rFonts w:ascii="Book Antiqua" w:hAnsi="Book Antiqua"/>
            <w:b/>
            <w:color w:val="FFFFFF" w:themeColor="background1"/>
            <w:sz w:val="26"/>
            <w:szCs w:val="26"/>
            <w:highlight w:val="black"/>
            <w:shd w:val="clear" w:color="auto" w:fill="FFFFFF" w:themeFill="background1"/>
          </w:rPr>
          <w:fldChar w:fldCharType="separate"/>
        </w:r>
        <w:r w:rsidR="000B76DE" w:rsidRPr="000B76DE">
          <w:rPr>
            <w:rFonts w:ascii="Book Antiqua" w:hAnsi="Book Antiqua"/>
            <w:b/>
            <w:bCs/>
            <w:noProof/>
            <w:color w:val="FFFFFF" w:themeColor="background1"/>
            <w:sz w:val="26"/>
            <w:szCs w:val="26"/>
            <w:highlight w:val="black"/>
            <w:shd w:val="clear" w:color="auto" w:fill="FFFFFF" w:themeFill="background1"/>
          </w:rPr>
          <w:t>1</w:t>
        </w:r>
        <w:r w:rsidRPr="008425BD">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sidR="00B550DD">
          <w:rPr>
            <w:b/>
            <w:bCs/>
          </w:rPr>
          <w:t>|</w:t>
        </w:r>
        <w:r w:rsidR="00B550DD">
          <w:rPr>
            <w:b/>
            <w:bCs/>
          </w:rPr>
          <w:tab/>
        </w:r>
        <w:r w:rsidR="00695B3E">
          <w:rPr>
            <w:rFonts w:ascii="Book Antiqua" w:hAnsi="Book Antiqua" w:cstheme="majorHAnsi"/>
            <w:color w:val="000000" w:themeColor="text1"/>
            <w:sz w:val="16"/>
            <w:szCs w:val="16"/>
          </w:rPr>
          <w:t xml:space="preserve">Elvira </w:t>
        </w:r>
        <w:proofErr w:type="spellStart"/>
        <w:r w:rsidR="00695B3E">
          <w:rPr>
            <w:rFonts w:ascii="Book Antiqua" w:hAnsi="Book Antiqua" w:cstheme="majorHAnsi"/>
            <w:color w:val="000000" w:themeColor="text1"/>
            <w:sz w:val="16"/>
            <w:szCs w:val="16"/>
          </w:rPr>
          <w:t>Fitriyani</w:t>
        </w:r>
        <w:proofErr w:type="spellEnd"/>
        <w:r w:rsidR="00695B3E">
          <w:rPr>
            <w:rFonts w:ascii="Book Antiqua" w:hAnsi="Book Antiqua" w:cstheme="majorHAnsi"/>
            <w:color w:val="000000" w:themeColor="text1"/>
            <w:sz w:val="16"/>
            <w:szCs w:val="16"/>
          </w:rPr>
          <w:t xml:space="preserve"> </w:t>
        </w:r>
        <w:proofErr w:type="spellStart"/>
        <w:r w:rsidR="00695B3E">
          <w:rPr>
            <w:rFonts w:ascii="Book Antiqua" w:hAnsi="Book Antiqua" w:cstheme="majorHAnsi"/>
            <w:color w:val="000000" w:themeColor="text1"/>
            <w:sz w:val="16"/>
            <w:szCs w:val="16"/>
          </w:rPr>
          <w:t>Pakpahan</w:t>
        </w:r>
        <w:proofErr w:type="spellEnd"/>
        <w:r w:rsidR="00695B3E">
          <w:rPr>
            <w:rFonts w:ascii="Book Antiqua" w:hAnsi="Book Antiqua" w:cstheme="majorHAnsi"/>
            <w:color w:val="000000" w:themeColor="text1"/>
            <w:sz w:val="16"/>
            <w:szCs w:val="16"/>
          </w:rPr>
          <w:t xml:space="preserve">, </w:t>
        </w:r>
        <w:proofErr w:type="spellStart"/>
        <w:r w:rsidR="00695B3E">
          <w:rPr>
            <w:rFonts w:ascii="Book Antiqua" w:hAnsi="Book Antiqua" w:cstheme="majorHAnsi"/>
            <w:color w:val="000000" w:themeColor="text1"/>
            <w:sz w:val="16"/>
            <w:szCs w:val="16"/>
          </w:rPr>
          <w:t>Kartina</w:t>
        </w:r>
        <w:proofErr w:type="spellEnd"/>
        <w:r w:rsidR="00695B3E">
          <w:rPr>
            <w:rFonts w:ascii="Book Antiqua" w:hAnsi="Book Antiqua" w:cstheme="majorHAnsi"/>
            <w:color w:val="000000" w:themeColor="text1"/>
            <w:sz w:val="16"/>
            <w:szCs w:val="16"/>
          </w:rPr>
          <w:t xml:space="preserve"> </w:t>
        </w:r>
        <w:proofErr w:type="spellStart"/>
        <w:r w:rsidR="00695B3E">
          <w:rPr>
            <w:rFonts w:ascii="Book Antiqua" w:hAnsi="Book Antiqua" w:cstheme="majorHAnsi"/>
            <w:color w:val="000000" w:themeColor="text1"/>
            <w:sz w:val="16"/>
            <w:szCs w:val="16"/>
          </w:rPr>
          <w:t>Pakpahan</w:t>
        </w:r>
        <w:proofErr w:type="spellEnd"/>
        <w:r w:rsidR="008575B1" w:rsidRPr="009807F2">
          <w:rPr>
            <w:rFonts w:ascii="Book Antiqua" w:hAnsi="Book Antiqua" w:cstheme="majorHAnsi"/>
            <w:color w:val="000000" w:themeColor="text1"/>
            <w:sz w:val="16"/>
            <w:szCs w:val="16"/>
          </w:rPr>
          <w:t xml:space="preserve">, and </w:t>
        </w:r>
        <w:proofErr w:type="spellStart"/>
        <w:r w:rsidR="00695B3E">
          <w:rPr>
            <w:rFonts w:ascii="Book Antiqua" w:hAnsi="Book Antiqua" w:cstheme="majorHAnsi"/>
            <w:color w:val="000000" w:themeColor="text1"/>
            <w:sz w:val="16"/>
            <w:szCs w:val="16"/>
          </w:rPr>
          <w:t>Wulan</w:t>
        </w:r>
        <w:proofErr w:type="spellEnd"/>
        <w:r w:rsidR="00695B3E">
          <w:rPr>
            <w:rFonts w:ascii="Book Antiqua" w:hAnsi="Book Antiqua" w:cstheme="majorHAnsi"/>
            <w:color w:val="000000" w:themeColor="text1"/>
            <w:sz w:val="16"/>
            <w:szCs w:val="16"/>
          </w:rPr>
          <w:t xml:space="preserve"> Mei </w:t>
        </w:r>
        <w:proofErr w:type="spellStart"/>
        <w:r w:rsidR="00695B3E">
          <w:rPr>
            <w:rFonts w:ascii="Book Antiqua" w:hAnsi="Book Antiqua" w:cstheme="majorHAnsi"/>
            <w:color w:val="000000" w:themeColor="text1"/>
            <w:sz w:val="16"/>
            <w:szCs w:val="16"/>
          </w:rPr>
          <w:t>Firina</w:t>
        </w:r>
        <w:proofErr w:type="spellEnd"/>
        <w:r w:rsidR="008575B1" w:rsidRPr="009807F2">
          <w:rPr>
            <w:rFonts w:ascii="Book Antiqua" w:hAnsi="Book Antiqua" w:cstheme="majorHAnsi"/>
            <w:color w:val="000000" w:themeColor="text1"/>
            <w:sz w:val="16"/>
            <w:szCs w:val="16"/>
          </w:rPr>
          <w:t>. “</w:t>
        </w:r>
        <w:r w:rsidR="000B76DE" w:rsidRPr="000B76DE">
          <w:rPr>
            <w:rFonts w:ascii="Book Antiqua" w:hAnsi="Book Antiqua"/>
            <w:i/>
            <w:noProof/>
            <w:sz w:val="16"/>
            <w:szCs w:val="16"/>
          </w:rPr>
          <w:t>Renewal of Implementing Regulations in Minimizing Control in Limited Liability Companies Outside of Acquisitions</w:t>
        </w:r>
        <w:r w:rsidR="00B550DD">
          <w:rPr>
            <w:rFonts w:ascii="Book Antiqua" w:hAnsi="Book Antiqua"/>
            <w:bCs/>
            <w:sz w:val="16"/>
            <w:szCs w:val="16"/>
          </w:rPr>
          <w:t>”</w:t>
        </w:r>
      </w:p>
      <w:p w14:paraId="6799D9C3" w14:textId="77777777" w:rsidR="00716F9B" w:rsidRPr="00E54AD5" w:rsidRDefault="00B550DD" w:rsidP="00716F9B">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proofErr w:type="spellStart"/>
        <w:r w:rsidR="00427196" w:rsidRPr="00332B9B">
          <w:rPr>
            <w:rFonts w:ascii="Book Antiqua" w:hAnsi="Book Antiqua"/>
            <w:b/>
            <w:i/>
            <w:color w:val="000000" w:themeColor="text1"/>
            <w:sz w:val="16"/>
            <w:szCs w:val="16"/>
          </w:rPr>
          <w:t>Batulis</w:t>
        </w:r>
        <w:proofErr w:type="spellEnd"/>
        <w:r w:rsidR="00427196" w:rsidRPr="00332B9B">
          <w:rPr>
            <w:rFonts w:ascii="Book Antiqua" w:hAnsi="Book Antiqua"/>
            <w:b/>
            <w:i/>
            <w:color w:val="000000" w:themeColor="text1"/>
            <w:sz w:val="16"/>
            <w:szCs w:val="16"/>
          </w:rPr>
          <w:t xml:space="preserve"> Civil Law Rev</w:t>
        </w:r>
        <w:r w:rsidR="00716F9B" w:rsidRPr="00E54AD5">
          <w:rPr>
            <w:rFonts w:ascii="Book Antiqua" w:hAnsi="Book Antiqua"/>
            <w:color w:val="000000" w:themeColor="text1"/>
            <w:sz w:val="16"/>
            <w:szCs w:val="16"/>
          </w:rPr>
          <w:t>,</w:t>
        </w:r>
        <w:r w:rsidR="00716F9B" w:rsidRPr="00E54AD5">
          <w:rPr>
            <w:rFonts w:ascii="Book Antiqua" w:hAnsi="Book Antiqua"/>
            <w:color w:val="000000" w:themeColor="text1"/>
            <w:sz w:val="16"/>
            <w:szCs w:val="16"/>
            <w:lang w:val="id-ID"/>
          </w:rPr>
          <w:t xml:space="preserve"> </w:t>
        </w:r>
        <w:r w:rsidR="000B76DE">
          <w:rPr>
            <w:rFonts w:ascii="Book Antiqua" w:hAnsi="Book Antiqua"/>
            <w:color w:val="000000" w:themeColor="text1"/>
            <w:sz w:val="16"/>
            <w:szCs w:val="16"/>
          </w:rPr>
          <w:t>4</w:t>
        </w:r>
        <w:r w:rsidR="0090682F" w:rsidRPr="00E54AD5">
          <w:rPr>
            <w:rFonts w:ascii="Book Antiqua" w:hAnsi="Book Antiqua"/>
            <w:color w:val="000000" w:themeColor="text1"/>
            <w:sz w:val="16"/>
            <w:szCs w:val="16"/>
          </w:rPr>
          <w:t xml:space="preserve"> </w:t>
        </w:r>
        <w:r w:rsidR="00716F9B" w:rsidRPr="00E54AD5">
          <w:rPr>
            <w:rFonts w:ascii="Book Antiqua" w:hAnsi="Book Antiqua"/>
            <w:color w:val="000000" w:themeColor="text1"/>
            <w:sz w:val="16"/>
            <w:szCs w:val="16"/>
            <w:lang w:val="id-ID"/>
          </w:rPr>
          <w:t>(</w:t>
        </w:r>
        <w:r w:rsidR="000B76DE">
          <w:rPr>
            <w:rFonts w:ascii="Book Antiqua" w:hAnsi="Book Antiqua"/>
            <w:color w:val="000000" w:themeColor="text1"/>
            <w:sz w:val="16"/>
            <w:szCs w:val="16"/>
          </w:rPr>
          <w:t>2</w:t>
        </w:r>
        <w:r w:rsidR="00716F9B" w:rsidRPr="00E54AD5">
          <w:rPr>
            <w:rFonts w:ascii="Book Antiqua" w:hAnsi="Book Antiqua"/>
            <w:color w:val="000000" w:themeColor="text1"/>
            <w:sz w:val="16"/>
            <w:szCs w:val="16"/>
            <w:lang w:val="id-ID"/>
          </w:rPr>
          <w:t>)</w:t>
        </w:r>
        <w:r w:rsidR="00716F9B" w:rsidRPr="00E54AD5">
          <w:rPr>
            <w:rFonts w:ascii="Book Antiqua" w:hAnsi="Book Antiqua"/>
            <w:color w:val="000000" w:themeColor="text1"/>
            <w:sz w:val="16"/>
            <w:szCs w:val="16"/>
          </w:rPr>
          <w:t xml:space="preserve"> </w:t>
        </w:r>
        <w:r w:rsidR="000B76DE">
          <w:rPr>
            <w:rFonts w:ascii="Book Antiqua" w:hAnsi="Book Antiqua"/>
            <w:color w:val="000000" w:themeColor="text1"/>
            <w:sz w:val="16"/>
            <w:szCs w:val="16"/>
          </w:rPr>
          <w:t>November 2024</w:t>
        </w:r>
        <w:r w:rsidR="00716F9B" w:rsidRPr="00E54AD5">
          <w:rPr>
            <w:rFonts w:ascii="Book Antiqua" w:hAnsi="Book Antiqua"/>
            <w:color w:val="000000" w:themeColor="text1"/>
            <w:sz w:val="16"/>
            <w:szCs w:val="16"/>
            <w:lang w:val="id-ID"/>
          </w:rPr>
          <w:t xml:space="preserve">: </w:t>
        </w:r>
        <w:r w:rsidR="00F2670C" w:rsidRPr="00E54AD5">
          <w:rPr>
            <w:rFonts w:ascii="Book Antiqua" w:hAnsi="Book Antiqua"/>
            <w:color w:val="000000" w:themeColor="text1"/>
            <w:sz w:val="16"/>
            <w:szCs w:val="16"/>
          </w:rPr>
          <w:t>X</w:t>
        </w:r>
        <w:r w:rsidR="00F2670C" w:rsidRPr="00E54AD5">
          <w:rPr>
            <w:rFonts w:ascii="Book Antiqua" w:hAnsi="Book Antiqua"/>
            <w:color w:val="000000" w:themeColor="text1"/>
            <w:sz w:val="16"/>
            <w:szCs w:val="16"/>
            <w:lang w:val="id-ID"/>
          </w:rPr>
          <w:t>-</w:t>
        </w:r>
        <w:r w:rsidR="00F2670C" w:rsidRPr="00E54AD5">
          <w:rPr>
            <w:rFonts w:ascii="Book Antiqua" w:hAnsi="Book Antiqua"/>
            <w:color w:val="000000" w:themeColor="text1"/>
            <w:sz w:val="16"/>
            <w:szCs w:val="16"/>
          </w:rPr>
          <w:t>XX</w:t>
        </w:r>
      </w:p>
      <w:p w14:paraId="1443EAAE" w14:textId="77777777" w:rsidR="0071563E" w:rsidRPr="00E54AD5" w:rsidRDefault="00AF434B"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sidRPr="00AF434B">
          <w:rPr>
            <w:rFonts w:ascii="Book Antiqua" w:hAnsi="Book Antiqua"/>
            <w:sz w:val="16"/>
            <w:lang w:val="id-ID"/>
          </w:rPr>
          <w:t>P-ISSN: 27</w:t>
        </w:r>
        <w:r w:rsidRPr="00AF434B">
          <w:rPr>
            <w:rFonts w:ascii="Book Antiqua" w:hAnsi="Book Antiqua"/>
            <w:sz w:val="16"/>
          </w:rPr>
          <w:t>22</w:t>
        </w:r>
        <w:r w:rsidRPr="00AF434B">
          <w:rPr>
            <w:rFonts w:ascii="Book Antiqua" w:hAnsi="Book Antiqua"/>
            <w:sz w:val="16"/>
            <w:lang w:val="id-ID"/>
          </w:rPr>
          <w:t>-4465, E-ISSN: 2746-8151</w:t>
        </w:r>
      </w:p>
      <w:p w14:paraId="0C8ECAB7" w14:textId="77777777" w:rsidR="00B550DD" w:rsidRPr="00C14BB6" w:rsidRDefault="0071563E"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E54AD5">
          <w:rPr>
            <w:rFonts w:ascii="Book Antiqua" w:hAnsi="Book Antiqua"/>
            <w:sz w:val="16"/>
          </w:rPr>
          <w:t>Published by</w:t>
        </w:r>
        <w:r w:rsidR="003836F1">
          <w:rPr>
            <w:rFonts w:ascii="Book Antiqua" w:hAnsi="Book Antiqua"/>
            <w:sz w:val="16"/>
          </w:rPr>
          <w:t>:</w:t>
        </w:r>
        <w:r w:rsidRPr="00E54AD5">
          <w:rPr>
            <w:rFonts w:ascii="Book Antiqua" w:hAnsi="Book Antiqua"/>
            <w:sz w:val="16"/>
          </w:rPr>
          <w:t xml:space="preserve"> Faculty of Law</w:t>
        </w:r>
        <w:r w:rsidR="002D6A51">
          <w:rPr>
            <w:rFonts w:ascii="Book Antiqua" w:hAnsi="Book Antiqua"/>
            <w:sz w:val="16"/>
          </w:rPr>
          <w:t>, Universitas</w:t>
        </w:r>
        <w:r w:rsidRPr="00E54AD5">
          <w:rPr>
            <w:rFonts w:ascii="Book Antiqua" w:hAnsi="Book Antiqua"/>
            <w:sz w:val="16"/>
          </w:rPr>
          <w:t xml:space="preserve"> </w:t>
        </w:r>
        <w:proofErr w:type="spellStart"/>
        <w:r w:rsidRPr="00E54AD5">
          <w:rPr>
            <w:rFonts w:ascii="Book Antiqua" w:hAnsi="Book Antiqua"/>
            <w:sz w:val="16"/>
          </w:rPr>
          <w:t>Pattimura</w:t>
        </w:r>
        <w:proofErr w:type="spellEnd"/>
      </w:p>
    </w:sdtContent>
  </w:sdt>
  <w:p w14:paraId="5D03761E" w14:textId="77777777" w:rsidR="004B3AE2" w:rsidRPr="00F11C7E" w:rsidRDefault="0071563E" w:rsidP="0071563E">
    <w:pPr>
      <w:pStyle w:val="Footer"/>
      <w:pBdr>
        <w:top w:val="single" w:sz="4" w:space="1" w:color="D9D9D9" w:themeColor="background1" w:themeShade="D9"/>
      </w:pBdr>
      <w:tabs>
        <w:tab w:val="left" w:pos="567"/>
        <w:tab w:val="left" w:pos="7800"/>
      </w:tabs>
      <w:spacing w:after="120"/>
      <w:ind w:left="567" w:hanging="567"/>
      <w:rPr>
        <w:b/>
        <w:bCs/>
      </w:rPr>
    </w:pPr>
    <w:r>
      <w:rPr>
        <w:b/>
        <w:bCs/>
      </w:rPr>
      <w:tab/>
    </w:r>
    <w:r>
      <w:rPr>
        <w:b/>
        <w:bCs/>
      </w:rPr>
      <w:tab/>
    </w:r>
    <w:r>
      <w:rPr>
        <w:b/>
        <w:bCs/>
      </w:rPr>
      <w:tab/>
    </w:r>
    <w:r>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E5AD" w14:textId="77777777" w:rsidR="00F11C7E" w:rsidRDefault="00F11C7E" w:rsidP="00F11C7E">
    <w:pPr>
      <w:tabs>
        <w:tab w:val="left" w:pos="567"/>
      </w:tabs>
      <w:spacing w:after="0" w:line="240" w:lineRule="auto"/>
      <w:ind w:left="567" w:hanging="567"/>
      <w:rPr>
        <w:rFonts w:ascii="Book Antiqua" w:hAnsi="Book Antiqua"/>
        <w:b/>
        <w:i/>
        <w:color w:val="000000" w:themeColor="text1"/>
        <w:sz w:val="16"/>
        <w:szCs w:val="16"/>
      </w:rPr>
    </w:pPr>
  </w:p>
  <w:p w14:paraId="643F10A3" w14:textId="77777777" w:rsidR="00D57DFC" w:rsidRPr="00332B9B" w:rsidRDefault="00F11C7E"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626E218B" w14:textId="77777777" w:rsidR="00332B9B" w:rsidRPr="00332B9B" w:rsidRDefault="00332B9B"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D1B4" w14:textId="77777777" w:rsidR="00AE640B" w:rsidRDefault="00AE640B" w:rsidP="00934130">
      <w:pPr>
        <w:spacing w:after="0" w:line="240" w:lineRule="auto"/>
      </w:pPr>
      <w:r>
        <w:separator/>
      </w:r>
    </w:p>
  </w:footnote>
  <w:footnote w:type="continuationSeparator" w:id="0">
    <w:p w14:paraId="0427CA88" w14:textId="77777777" w:rsidR="00AE640B" w:rsidRDefault="00AE640B" w:rsidP="00934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1C84" w14:textId="77777777" w:rsidR="00EF357F" w:rsidRPr="00285C8E" w:rsidRDefault="00EF357F"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2" w:name="_Hlk490921290"/>
    <w:bookmarkStart w:id="3" w:name="_Hlk490921291"/>
    <w:bookmarkStart w:id="4" w:name="_Hlk490921292"/>
  </w:p>
  <w:p w14:paraId="749BAD58" w14:textId="77777777" w:rsidR="00BA6870" w:rsidRDefault="00BA6870" w:rsidP="00AF20D0">
    <w:pPr>
      <w:pStyle w:val="Header"/>
      <w:tabs>
        <w:tab w:val="clear" w:pos="9360"/>
      </w:tabs>
      <w:jc w:val="right"/>
      <w:rPr>
        <w:rFonts w:ascii="Book Antiqua" w:hAnsi="Book Antiqua" w:cstheme="majorHAnsi"/>
        <w:color w:val="000000" w:themeColor="text1"/>
        <w:sz w:val="20"/>
        <w:szCs w:val="20"/>
      </w:rPr>
    </w:pPr>
  </w:p>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5pt;height:14pt;visibility:visible" o:bullet="t">
        <v:imagedata r:id="rId1" o:title="1200px-DOI_logo"/>
      </v:shape>
    </w:pic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09498D"/>
    <w:multiLevelType w:val="multilevel"/>
    <w:tmpl w:val="13CA7ACA"/>
    <w:lvl w:ilvl="0">
      <w:start w:val="1"/>
      <w:numFmt w:val="decimal"/>
      <w:lvlText w:val="%1."/>
      <w:lvlJc w:val="left"/>
      <w:pPr>
        <w:ind w:left="720" w:hanging="360"/>
      </w:pPr>
      <w:rPr>
        <w:color w:val="4472C4" w:themeColor="accent1"/>
        <w:sz w:val="24"/>
      </w:rPr>
    </w:lvl>
    <w:lvl w:ilvl="1">
      <w:start w:val="1"/>
      <w:numFmt w:val="upperLetter"/>
      <w:lvlText w:val="%2."/>
      <w:lvlJc w:val="left"/>
      <w:pPr>
        <w:ind w:left="720" w:hanging="360"/>
      </w:pPr>
      <w:rPr>
        <w:rFonts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15:restartNumberingAfterBreak="0">
    <w:nsid w:val="11367F48"/>
    <w:multiLevelType w:val="hybridMultilevel"/>
    <w:tmpl w:val="A72E3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2"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6" w15:restartNumberingAfterBreak="0">
    <w:nsid w:val="4ECB06DE"/>
    <w:multiLevelType w:val="hybridMultilevel"/>
    <w:tmpl w:val="4BB25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0141D"/>
    <w:multiLevelType w:val="hybridMultilevel"/>
    <w:tmpl w:val="ADEE3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9"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11"/>
  </w:num>
  <w:num w:numId="5">
    <w:abstractNumId w:val="18"/>
  </w:num>
  <w:num w:numId="6">
    <w:abstractNumId w:val="0"/>
  </w:num>
  <w:num w:numId="7">
    <w:abstractNumId w:val="4"/>
  </w:num>
  <w:num w:numId="8">
    <w:abstractNumId w:val="3"/>
  </w:num>
  <w:num w:numId="9">
    <w:abstractNumId w:val="2"/>
  </w:num>
  <w:num w:numId="10">
    <w:abstractNumId w:val="1"/>
  </w:num>
  <w:num w:numId="11">
    <w:abstractNumId w:val="6"/>
  </w:num>
  <w:num w:numId="12">
    <w:abstractNumId w:val="12"/>
  </w:num>
  <w:num w:numId="13">
    <w:abstractNumId w:val="20"/>
  </w:num>
  <w:num w:numId="14">
    <w:abstractNumId w:val="19"/>
  </w:num>
  <w:num w:numId="15">
    <w:abstractNumId w:val="10"/>
  </w:num>
  <w:num w:numId="16">
    <w:abstractNumId w:val="13"/>
  </w:num>
  <w:num w:numId="17">
    <w:abstractNumId w:val="5"/>
  </w:num>
  <w:num w:numId="18">
    <w:abstractNumId w:val="8"/>
  </w:num>
  <w:num w:numId="19">
    <w:abstractNumId w:val="21"/>
  </w:num>
  <w:num w:numId="20">
    <w:abstractNumId w:val="9"/>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73"/>
    <w:rsid w:val="000011ED"/>
    <w:rsid w:val="000020DD"/>
    <w:rsid w:val="00003122"/>
    <w:rsid w:val="00003C43"/>
    <w:rsid w:val="00004C55"/>
    <w:rsid w:val="00005A2E"/>
    <w:rsid w:val="0001120B"/>
    <w:rsid w:val="00014A2C"/>
    <w:rsid w:val="00023880"/>
    <w:rsid w:val="00023DA6"/>
    <w:rsid w:val="00044116"/>
    <w:rsid w:val="00046A90"/>
    <w:rsid w:val="00046AF5"/>
    <w:rsid w:val="00050546"/>
    <w:rsid w:val="0005128B"/>
    <w:rsid w:val="00052E06"/>
    <w:rsid w:val="000554A5"/>
    <w:rsid w:val="00063C82"/>
    <w:rsid w:val="000715EA"/>
    <w:rsid w:val="000775E8"/>
    <w:rsid w:val="000822BD"/>
    <w:rsid w:val="00083AAE"/>
    <w:rsid w:val="00087494"/>
    <w:rsid w:val="00087E31"/>
    <w:rsid w:val="0009619F"/>
    <w:rsid w:val="0009788A"/>
    <w:rsid w:val="000A05AE"/>
    <w:rsid w:val="000A091C"/>
    <w:rsid w:val="000A5878"/>
    <w:rsid w:val="000B09AB"/>
    <w:rsid w:val="000B14BF"/>
    <w:rsid w:val="000B1CE8"/>
    <w:rsid w:val="000B3752"/>
    <w:rsid w:val="000B5F04"/>
    <w:rsid w:val="000B76DE"/>
    <w:rsid w:val="000C1F55"/>
    <w:rsid w:val="000C5F58"/>
    <w:rsid w:val="000C62F7"/>
    <w:rsid w:val="000D29BA"/>
    <w:rsid w:val="000D41BE"/>
    <w:rsid w:val="000D479C"/>
    <w:rsid w:val="000D6448"/>
    <w:rsid w:val="000E018D"/>
    <w:rsid w:val="000E6211"/>
    <w:rsid w:val="000E6D81"/>
    <w:rsid w:val="000F3B4F"/>
    <w:rsid w:val="000F4488"/>
    <w:rsid w:val="000F7008"/>
    <w:rsid w:val="000F7C86"/>
    <w:rsid w:val="001049C6"/>
    <w:rsid w:val="0010657E"/>
    <w:rsid w:val="0010788E"/>
    <w:rsid w:val="001161B0"/>
    <w:rsid w:val="00116CDD"/>
    <w:rsid w:val="00122954"/>
    <w:rsid w:val="00123CDB"/>
    <w:rsid w:val="001242D9"/>
    <w:rsid w:val="00124D8C"/>
    <w:rsid w:val="00136A1D"/>
    <w:rsid w:val="00141AEB"/>
    <w:rsid w:val="00141B61"/>
    <w:rsid w:val="0014772F"/>
    <w:rsid w:val="001520B9"/>
    <w:rsid w:val="001539AC"/>
    <w:rsid w:val="00156465"/>
    <w:rsid w:val="001610A2"/>
    <w:rsid w:val="001610CC"/>
    <w:rsid w:val="00162C52"/>
    <w:rsid w:val="00167CC3"/>
    <w:rsid w:val="00170E34"/>
    <w:rsid w:val="001720AE"/>
    <w:rsid w:val="0017513F"/>
    <w:rsid w:val="00176767"/>
    <w:rsid w:val="00177044"/>
    <w:rsid w:val="00183CF8"/>
    <w:rsid w:val="00183EBA"/>
    <w:rsid w:val="00184949"/>
    <w:rsid w:val="00185CD9"/>
    <w:rsid w:val="001862CD"/>
    <w:rsid w:val="001A42EB"/>
    <w:rsid w:val="001A55CA"/>
    <w:rsid w:val="001A5B3C"/>
    <w:rsid w:val="001A6FE1"/>
    <w:rsid w:val="001B027D"/>
    <w:rsid w:val="001B16F3"/>
    <w:rsid w:val="001B212E"/>
    <w:rsid w:val="001B4FFE"/>
    <w:rsid w:val="001B7BE7"/>
    <w:rsid w:val="001C13EC"/>
    <w:rsid w:val="001C2D0B"/>
    <w:rsid w:val="001D204F"/>
    <w:rsid w:val="001D4CAA"/>
    <w:rsid w:val="001E0B40"/>
    <w:rsid w:val="001F2BA3"/>
    <w:rsid w:val="001F73E9"/>
    <w:rsid w:val="00200DA7"/>
    <w:rsid w:val="00201A60"/>
    <w:rsid w:val="00201A6E"/>
    <w:rsid w:val="002022E7"/>
    <w:rsid w:val="00203F76"/>
    <w:rsid w:val="00204D8C"/>
    <w:rsid w:val="0020773C"/>
    <w:rsid w:val="002119FE"/>
    <w:rsid w:val="00213935"/>
    <w:rsid w:val="00215AA9"/>
    <w:rsid w:val="00217DDE"/>
    <w:rsid w:val="00222ABB"/>
    <w:rsid w:val="0022358B"/>
    <w:rsid w:val="00223602"/>
    <w:rsid w:val="00224611"/>
    <w:rsid w:val="0023165A"/>
    <w:rsid w:val="00244694"/>
    <w:rsid w:val="00247B6A"/>
    <w:rsid w:val="0025070C"/>
    <w:rsid w:val="00250FA2"/>
    <w:rsid w:val="00251F9C"/>
    <w:rsid w:val="00256527"/>
    <w:rsid w:val="0025739B"/>
    <w:rsid w:val="0026676C"/>
    <w:rsid w:val="002748AA"/>
    <w:rsid w:val="002810B7"/>
    <w:rsid w:val="00284DA6"/>
    <w:rsid w:val="00285C8E"/>
    <w:rsid w:val="002903F0"/>
    <w:rsid w:val="00292640"/>
    <w:rsid w:val="00292DF3"/>
    <w:rsid w:val="0029509B"/>
    <w:rsid w:val="00297E00"/>
    <w:rsid w:val="002A0E6C"/>
    <w:rsid w:val="002B0C1A"/>
    <w:rsid w:val="002B6553"/>
    <w:rsid w:val="002C01AB"/>
    <w:rsid w:val="002C02F0"/>
    <w:rsid w:val="002C09E4"/>
    <w:rsid w:val="002C65DB"/>
    <w:rsid w:val="002D24C0"/>
    <w:rsid w:val="002D252C"/>
    <w:rsid w:val="002D6A51"/>
    <w:rsid w:val="002E2156"/>
    <w:rsid w:val="002E4144"/>
    <w:rsid w:val="002E4C0E"/>
    <w:rsid w:val="002F15D6"/>
    <w:rsid w:val="002F2A28"/>
    <w:rsid w:val="002F4EAC"/>
    <w:rsid w:val="002F7873"/>
    <w:rsid w:val="003023F8"/>
    <w:rsid w:val="003028A1"/>
    <w:rsid w:val="00302AAA"/>
    <w:rsid w:val="00303BA8"/>
    <w:rsid w:val="003045DD"/>
    <w:rsid w:val="003045E4"/>
    <w:rsid w:val="00307758"/>
    <w:rsid w:val="00311B81"/>
    <w:rsid w:val="0031227B"/>
    <w:rsid w:val="00322CC7"/>
    <w:rsid w:val="00323A6E"/>
    <w:rsid w:val="00325946"/>
    <w:rsid w:val="0032739E"/>
    <w:rsid w:val="003317B7"/>
    <w:rsid w:val="00332B9B"/>
    <w:rsid w:val="00332D4B"/>
    <w:rsid w:val="00334F9D"/>
    <w:rsid w:val="00337CB5"/>
    <w:rsid w:val="00342C78"/>
    <w:rsid w:val="00343F50"/>
    <w:rsid w:val="00351324"/>
    <w:rsid w:val="0035446F"/>
    <w:rsid w:val="0035562C"/>
    <w:rsid w:val="003608B8"/>
    <w:rsid w:val="00363A61"/>
    <w:rsid w:val="0036504F"/>
    <w:rsid w:val="00365E13"/>
    <w:rsid w:val="00374F43"/>
    <w:rsid w:val="00375FE4"/>
    <w:rsid w:val="00381694"/>
    <w:rsid w:val="0038182B"/>
    <w:rsid w:val="00381D74"/>
    <w:rsid w:val="0038264A"/>
    <w:rsid w:val="003836F1"/>
    <w:rsid w:val="003844F8"/>
    <w:rsid w:val="00384A23"/>
    <w:rsid w:val="00385250"/>
    <w:rsid w:val="00385623"/>
    <w:rsid w:val="00385B3D"/>
    <w:rsid w:val="00394924"/>
    <w:rsid w:val="003962B0"/>
    <w:rsid w:val="003A0113"/>
    <w:rsid w:val="003A0FB5"/>
    <w:rsid w:val="003A7091"/>
    <w:rsid w:val="003B3B74"/>
    <w:rsid w:val="003B6B36"/>
    <w:rsid w:val="003B7F17"/>
    <w:rsid w:val="003C34DF"/>
    <w:rsid w:val="003C532A"/>
    <w:rsid w:val="003C6CE2"/>
    <w:rsid w:val="003D1CB2"/>
    <w:rsid w:val="003D3F19"/>
    <w:rsid w:val="003D70E2"/>
    <w:rsid w:val="003E1887"/>
    <w:rsid w:val="003E5D47"/>
    <w:rsid w:val="003E62C7"/>
    <w:rsid w:val="003F1E5D"/>
    <w:rsid w:val="003F35CB"/>
    <w:rsid w:val="003F3EE6"/>
    <w:rsid w:val="0040054B"/>
    <w:rsid w:val="004021A6"/>
    <w:rsid w:val="00405FC2"/>
    <w:rsid w:val="00406AC6"/>
    <w:rsid w:val="00410C32"/>
    <w:rsid w:val="00411302"/>
    <w:rsid w:val="0041449D"/>
    <w:rsid w:val="00414A05"/>
    <w:rsid w:val="00417412"/>
    <w:rsid w:val="00420F09"/>
    <w:rsid w:val="004218C6"/>
    <w:rsid w:val="00424F59"/>
    <w:rsid w:val="004254E6"/>
    <w:rsid w:val="00426A11"/>
    <w:rsid w:val="00427196"/>
    <w:rsid w:val="0042782F"/>
    <w:rsid w:val="004344BE"/>
    <w:rsid w:val="004369F4"/>
    <w:rsid w:val="00440F28"/>
    <w:rsid w:val="00446AFC"/>
    <w:rsid w:val="00450DBC"/>
    <w:rsid w:val="0045607A"/>
    <w:rsid w:val="0046034D"/>
    <w:rsid w:val="00461F3D"/>
    <w:rsid w:val="00465420"/>
    <w:rsid w:val="00465841"/>
    <w:rsid w:val="00473181"/>
    <w:rsid w:val="0047374A"/>
    <w:rsid w:val="0047619A"/>
    <w:rsid w:val="00481BDC"/>
    <w:rsid w:val="0048351B"/>
    <w:rsid w:val="00484C66"/>
    <w:rsid w:val="00487496"/>
    <w:rsid w:val="004902FB"/>
    <w:rsid w:val="004960B9"/>
    <w:rsid w:val="004A088C"/>
    <w:rsid w:val="004A0A02"/>
    <w:rsid w:val="004A3361"/>
    <w:rsid w:val="004A66B4"/>
    <w:rsid w:val="004A74CE"/>
    <w:rsid w:val="004B0527"/>
    <w:rsid w:val="004B0D01"/>
    <w:rsid w:val="004B1F20"/>
    <w:rsid w:val="004B3AE2"/>
    <w:rsid w:val="004C1521"/>
    <w:rsid w:val="004C1DE7"/>
    <w:rsid w:val="004C26B9"/>
    <w:rsid w:val="004D0B7B"/>
    <w:rsid w:val="004D3400"/>
    <w:rsid w:val="004D6FAE"/>
    <w:rsid w:val="00501798"/>
    <w:rsid w:val="0050336D"/>
    <w:rsid w:val="00503FAE"/>
    <w:rsid w:val="005105AC"/>
    <w:rsid w:val="00521EA6"/>
    <w:rsid w:val="005242C5"/>
    <w:rsid w:val="00526541"/>
    <w:rsid w:val="005270E6"/>
    <w:rsid w:val="0053356F"/>
    <w:rsid w:val="00540614"/>
    <w:rsid w:val="005425A6"/>
    <w:rsid w:val="00544531"/>
    <w:rsid w:val="005458E3"/>
    <w:rsid w:val="005569BB"/>
    <w:rsid w:val="00560BF3"/>
    <w:rsid w:val="00566C4D"/>
    <w:rsid w:val="00567F9E"/>
    <w:rsid w:val="00570E3D"/>
    <w:rsid w:val="005767DA"/>
    <w:rsid w:val="00576E8E"/>
    <w:rsid w:val="0058474D"/>
    <w:rsid w:val="00585EE9"/>
    <w:rsid w:val="005878E8"/>
    <w:rsid w:val="00591AE2"/>
    <w:rsid w:val="00594198"/>
    <w:rsid w:val="005958CF"/>
    <w:rsid w:val="00597B07"/>
    <w:rsid w:val="005A08C9"/>
    <w:rsid w:val="005A3EB2"/>
    <w:rsid w:val="005A6549"/>
    <w:rsid w:val="005B7C97"/>
    <w:rsid w:val="005C5C9C"/>
    <w:rsid w:val="005D205A"/>
    <w:rsid w:val="005D316F"/>
    <w:rsid w:val="005D6A36"/>
    <w:rsid w:val="005E4573"/>
    <w:rsid w:val="005E53BC"/>
    <w:rsid w:val="005F2A78"/>
    <w:rsid w:val="005F5543"/>
    <w:rsid w:val="00600021"/>
    <w:rsid w:val="00601209"/>
    <w:rsid w:val="00602006"/>
    <w:rsid w:val="0060246F"/>
    <w:rsid w:val="00606089"/>
    <w:rsid w:val="00613923"/>
    <w:rsid w:val="00613B80"/>
    <w:rsid w:val="00620ABC"/>
    <w:rsid w:val="0062202D"/>
    <w:rsid w:val="00622843"/>
    <w:rsid w:val="00622AEE"/>
    <w:rsid w:val="00624D16"/>
    <w:rsid w:val="0063023C"/>
    <w:rsid w:val="00630AD4"/>
    <w:rsid w:val="00636FF5"/>
    <w:rsid w:val="00637392"/>
    <w:rsid w:val="00643BF3"/>
    <w:rsid w:val="00645A53"/>
    <w:rsid w:val="00645A5E"/>
    <w:rsid w:val="006520AB"/>
    <w:rsid w:val="006527AF"/>
    <w:rsid w:val="00654158"/>
    <w:rsid w:val="00655D40"/>
    <w:rsid w:val="006629B3"/>
    <w:rsid w:val="00663DC7"/>
    <w:rsid w:val="00667E24"/>
    <w:rsid w:val="0067716A"/>
    <w:rsid w:val="00680AA0"/>
    <w:rsid w:val="00683BB0"/>
    <w:rsid w:val="00685074"/>
    <w:rsid w:val="00692FAC"/>
    <w:rsid w:val="00693A54"/>
    <w:rsid w:val="006940A8"/>
    <w:rsid w:val="00694633"/>
    <w:rsid w:val="00695B3E"/>
    <w:rsid w:val="006A4B4C"/>
    <w:rsid w:val="006A4B9B"/>
    <w:rsid w:val="006A5313"/>
    <w:rsid w:val="006A639D"/>
    <w:rsid w:val="006A66E6"/>
    <w:rsid w:val="006A7CFB"/>
    <w:rsid w:val="006B11D6"/>
    <w:rsid w:val="006B5E6A"/>
    <w:rsid w:val="006B7DF4"/>
    <w:rsid w:val="006C41A2"/>
    <w:rsid w:val="006C4CB2"/>
    <w:rsid w:val="006C56C8"/>
    <w:rsid w:val="006D0D57"/>
    <w:rsid w:val="006D2787"/>
    <w:rsid w:val="006D3AF0"/>
    <w:rsid w:val="006E0F53"/>
    <w:rsid w:val="006E4CA1"/>
    <w:rsid w:val="006E6514"/>
    <w:rsid w:val="006E718A"/>
    <w:rsid w:val="006F24E2"/>
    <w:rsid w:val="00702E17"/>
    <w:rsid w:val="00705CA5"/>
    <w:rsid w:val="00711BA6"/>
    <w:rsid w:val="00713165"/>
    <w:rsid w:val="0071563E"/>
    <w:rsid w:val="0071604D"/>
    <w:rsid w:val="00716F9B"/>
    <w:rsid w:val="00717018"/>
    <w:rsid w:val="00717391"/>
    <w:rsid w:val="00723814"/>
    <w:rsid w:val="00723FF8"/>
    <w:rsid w:val="00726EE8"/>
    <w:rsid w:val="00727419"/>
    <w:rsid w:val="00730927"/>
    <w:rsid w:val="007326F3"/>
    <w:rsid w:val="00740136"/>
    <w:rsid w:val="0074339B"/>
    <w:rsid w:val="00746761"/>
    <w:rsid w:val="00752701"/>
    <w:rsid w:val="0075523B"/>
    <w:rsid w:val="00763315"/>
    <w:rsid w:val="00764503"/>
    <w:rsid w:val="00767FE4"/>
    <w:rsid w:val="00770909"/>
    <w:rsid w:val="007746A5"/>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128C"/>
    <w:rsid w:val="007C216D"/>
    <w:rsid w:val="007C24AB"/>
    <w:rsid w:val="007C3937"/>
    <w:rsid w:val="007C6644"/>
    <w:rsid w:val="007C70F8"/>
    <w:rsid w:val="007D0A06"/>
    <w:rsid w:val="007D17F8"/>
    <w:rsid w:val="007D23AE"/>
    <w:rsid w:val="007D45A1"/>
    <w:rsid w:val="007D5770"/>
    <w:rsid w:val="007E163D"/>
    <w:rsid w:val="007E78AA"/>
    <w:rsid w:val="007F1550"/>
    <w:rsid w:val="007F5BFF"/>
    <w:rsid w:val="007F6E04"/>
    <w:rsid w:val="008045E5"/>
    <w:rsid w:val="00807993"/>
    <w:rsid w:val="00813270"/>
    <w:rsid w:val="008134DE"/>
    <w:rsid w:val="00820DAF"/>
    <w:rsid w:val="008231E2"/>
    <w:rsid w:val="008315D7"/>
    <w:rsid w:val="00832D3F"/>
    <w:rsid w:val="00840805"/>
    <w:rsid w:val="0084140D"/>
    <w:rsid w:val="008425BD"/>
    <w:rsid w:val="008445CA"/>
    <w:rsid w:val="00846CB2"/>
    <w:rsid w:val="00853D94"/>
    <w:rsid w:val="0085433C"/>
    <w:rsid w:val="0085517E"/>
    <w:rsid w:val="0085741A"/>
    <w:rsid w:val="008575B1"/>
    <w:rsid w:val="00862B71"/>
    <w:rsid w:val="00864789"/>
    <w:rsid w:val="0086548A"/>
    <w:rsid w:val="00867951"/>
    <w:rsid w:val="00873B54"/>
    <w:rsid w:val="00881666"/>
    <w:rsid w:val="00884C1F"/>
    <w:rsid w:val="00886166"/>
    <w:rsid w:val="008936AE"/>
    <w:rsid w:val="00893C20"/>
    <w:rsid w:val="0089445D"/>
    <w:rsid w:val="008945DA"/>
    <w:rsid w:val="008949AD"/>
    <w:rsid w:val="0089533E"/>
    <w:rsid w:val="008A0E02"/>
    <w:rsid w:val="008A35A3"/>
    <w:rsid w:val="008A673A"/>
    <w:rsid w:val="008B0476"/>
    <w:rsid w:val="008B27B9"/>
    <w:rsid w:val="008B5150"/>
    <w:rsid w:val="008B55B8"/>
    <w:rsid w:val="008B6079"/>
    <w:rsid w:val="008C42E8"/>
    <w:rsid w:val="008D2F11"/>
    <w:rsid w:val="008E26EE"/>
    <w:rsid w:val="008E4953"/>
    <w:rsid w:val="008E5645"/>
    <w:rsid w:val="008E6270"/>
    <w:rsid w:val="008E7385"/>
    <w:rsid w:val="008E7C43"/>
    <w:rsid w:val="008F1860"/>
    <w:rsid w:val="008F2DE5"/>
    <w:rsid w:val="008F5045"/>
    <w:rsid w:val="008F6AD8"/>
    <w:rsid w:val="009001C8"/>
    <w:rsid w:val="00900C57"/>
    <w:rsid w:val="00900C78"/>
    <w:rsid w:val="0090682F"/>
    <w:rsid w:val="00911ABD"/>
    <w:rsid w:val="00916825"/>
    <w:rsid w:val="00923DF9"/>
    <w:rsid w:val="00925A65"/>
    <w:rsid w:val="00925D4D"/>
    <w:rsid w:val="00927804"/>
    <w:rsid w:val="00932498"/>
    <w:rsid w:val="0093286C"/>
    <w:rsid w:val="00933F07"/>
    <w:rsid w:val="00934130"/>
    <w:rsid w:val="00934385"/>
    <w:rsid w:val="00935655"/>
    <w:rsid w:val="00946D79"/>
    <w:rsid w:val="009538EB"/>
    <w:rsid w:val="00954C5B"/>
    <w:rsid w:val="00954CC1"/>
    <w:rsid w:val="00956651"/>
    <w:rsid w:val="009571F3"/>
    <w:rsid w:val="009649F5"/>
    <w:rsid w:val="00965143"/>
    <w:rsid w:val="00970FA5"/>
    <w:rsid w:val="00971E13"/>
    <w:rsid w:val="00972AB1"/>
    <w:rsid w:val="00972E25"/>
    <w:rsid w:val="00975666"/>
    <w:rsid w:val="00983212"/>
    <w:rsid w:val="009840F8"/>
    <w:rsid w:val="00990023"/>
    <w:rsid w:val="009900A2"/>
    <w:rsid w:val="00991217"/>
    <w:rsid w:val="00994A9F"/>
    <w:rsid w:val="00996760"/>
    <w:rsid w:val="009A2E58"/>
    <w:rsid w:val="009A3BE0"/>
    <w:rsid w:val="009B07E0"/>
    <w:rsid w:val="009B0E19"/>
    <w:rsid w:val="009B586D"/>
    <w:rsid w:val="009C00D6"/>
    <w:rsid w:val="009C15C7"/>
    <w:rsid w:val="009C756F"/>
    <w:rsid w:val="009D187D"/>
    <w:rsid w:val="009D5489"/>
    <w:rsid w:val="009E1086"/>
    <w:rsid w:val="009E6FFA"/>
    <w:rsid w:val="009F25DA"/>
    <w:rsid w:val="009F4E05"/>
    <w:rsid w:val="009F589D"/>
    <w:rsid w:val="009F7559"/>
    <w:rsid w:val="00A00C6D"/>
    <w:rsid w:val="00A018D9"/>
    <w:rsid w:val="00A07F33"/>
    <w:rsid w:val="00A12DDC"/>
    <w:rsid w:val="00A15029"/>
    <w:rsid w:val="00A20BBB"/>
    <w:rsid w:val="00A2185A"/>
    <w:rsid w:val="00A30694"/>
    <w:rsid w:val="00A341DC"/>
    <w:rsid w:val="00A34FD4"/>
    <w:rsid w:val="00A350E6"/>
    <w:rsid w:val="00A355A1"/>
    <w:rsid w:val="00A35CDB"/>
    <w:rsid w:val="00A4291B"/>
    <w:rsid w:val="00A57BBC"/>
    <w:rsid w:val="00A601F0"/>
    <w:rsid w:val="00A64982"/>
    <w:rsid w:val="00A6704F"/>
    <w:rsid w:val="00A70EF8"/>
    <w:rsid w:val="00A81BFA"/>
    <w:rsid w:val="00A84BDE"/>
    <w:rsid w:val="00A85FBA"/>
    <w:rsid w:val="00A93A6E"/>
    <w:rsid w:val="00A94285"/>
    <w:rsid w:val="00A946D2"/>
    <w:rsid w:val="00A947DF"/>
    <w:rsid w:val="00AA17B4"/>
    <w:rsid w:val="00AA1A42"/>
    <w:rsid w:val="00AA71C4"/>
    <w:rsid w:val="00AB192A"/>
    <w:rsid w:val="00AB395C"/>
    <w:rsid w:val="00AB3E19"/>
    <w:rsid w:val="00AB6E89"/>
    <w:rsid w:val="00AC017F"/>
    <w:rsid w:val="00AC6E2E"/>
    <w:rsid w:val="00AD6AB3"/>
    <w:rsid w:val="00AE0369"/>
    <w:rsid w:val="00AE0A5E"/>
    <w:rsid w:val="00AE4065"/>
    <w:rsid w:val="00AE44B2"/>
    <w:rsid w:val="00AE640B"/>
    <w:rsid w:val="00AF1307"/>
    <w:rsid w:val="00AF20D0"/>
    <w:rsid w:val="00AF2E6D"/>
    <w:rsid w:val="00AF434B"/>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22EB"/>
    <w:rsid w:val="00B33F01"/>
    <w:rsid w:val="00B36F1C"/>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1674"/>
    <w:rsid w:val="00B85B1E"/>
    <w:rsid w:val="00B85D95"/>
    <w:rsid w:val="00B85F52"/>
    <w:rsid w:val="00B940BC"/>
    <w:rsid w:val="00B96F32"/>
    <w:rsid w:val="00BA3A97"/>
    <w:rsid w:val="00BA4CF3"/>
    <w:rsid w:val="00BA66CC"/>
    <w:rsid w:val="00BA6870"/>
    <w:rsid w:val="00BA7FA9"/>
    <w:rsid w:val="00BC00C1"/>
    <w:rsid w:val="00BC1226"/>
    <w:rsid w:val="00BC3AF0"/>
    <w:rsid w:val="00BC46E1"/>
    <w:rsid w:val="00BF2181"/>
    <w:rsid w:val="00BF340E"/>
    <w:rsid w:val="00BF366D"/>
    <w:rsid w:val="00BF4739"/>
    <w:rsid w:val="00C0529B"/>
    <w:rsid w:val="00C05EEA"/>
    <w:rsid w:val="00C0667C"/>
    <w:rsid w:val="00C1367B"/>
    <w:rsid w:val="00C14BB6"/>
    <w:rsid w:val="00C20BBE"/>
    <w:rsid w:val="00C223DA"/>
    <w:rsid w:val="00C30873"/>
    <w:rsid w:val="00C308C1"/>
    <w:rsid w:val="00C34485"/>
    <w:rsid w:val="00C37A21"/>
    <w:rsid w:val="00C37AC1"/>
    <w:rsid w:val="00C43AB2"/>
    <w:rsid w:val="00C50B71"/>
    <w:rsid w:val="00C50E91"/>
    <w:rsid w:val="00C527F5"/>
    <w:rsid w:val="00C6023D"/>
    <w:rsid w:val="00C61641"/>
    <w:rsid w:val="00C626DB"/>
    <w:rsid w:val="00C63A86"/>
    <w:rsid w:val="00C70E91"/>
    <w:rsid w:val="00C71B1D"/>
    <w:rsid w:val="00C72977"/>
    <w:rsid w:val="00C75911"/>
    <w:rsid w:val="00C76AB6"/>
    <w:rsid w:val="00C771EA"/>
    <w:rsid w:val="00C77B9B"/>
    <w:rsid w:val="00C848CC"/>
    <w:rsid w:val="00C85CDA"/>
    <w:rsid w:val="00C879E7"/>
    <w:rsid w:val="00C90B9E"/>
    <w:rsid w:val="00C90F41"/>
    <w:rsid w:val="00C92ADD"/>
    <w:rsid w:val="00C93980"/>
    <w:rsid w:val="00C95FDD"/>
    <w:rsid w:val="00C96BD0"/>
    <w:rsid w:val="00CA3468"/>
    <w:rsid w:val="00CA47C1"/>
    <w:rsid w:val="00CA64E6"/>
    <w:rsid w:val="00CB19BE"/>
    <w:rsid w:val="00CB3F24"/>
    <w:rsid w:val="00CB5F2C"/>
    <w:rsid w:val="00CB7B3F"/>
    <w:rsid w:val="00CC2C92"/>
    <w:rsid w:val="00CD77F5"/>
    <w:rsid w:val="00CE1163"/>
    <w:rsid w:val="00CE3571"/>
    <w:rsid w:val="00CF1AB1"/>
    <w:rsid w:val="00D002CF"/>
    <w:rsid w:val="00D01DEE"/>
    <w:rsid w:val="00D021FB"/>
    <w:rsid w:val="00D048C4"/>
    <w:rsid w:val="00D067DD"/>
    <w:rsid w:val="00D14CE1"/>
    <w:rsid w:val="00D25477"/>
    <w:rsid w:val="00D26AC0"/>
    <w:rsid w:val="00D34927"/>
    <w:rsid w:val="00D34C69"/>
    <w:rsid w:val="00D35BE1"/>
    <w:rsid w:val="00D35CCA"/>
    <w:rsid w:val="00D372C4"/>
    <w:rsid w:val="00D41AF6"/>
    <w:rsid w:val="00D44E17"/>
    <w:rsid w:val="00D50F76"/>
    <w:rsid w:val="00D5381E"/>
    <w:rsid w:val="00D571BD"/>
    <w:rsid w:val="00D57DFC"/>
    <w:rsid w:val="00D6469D"/>
    <w:rsid w:val="00D7018B"/>
    <w:rsid w:val="00D7217F"/>
    <w:rsid w:val="00D73A48"/>
    <w:rsid w:val="00D77BBE"/>
    <w:rsid w:val="00D815C4"/>
    <w:rsid w:val="00D87DA2"/>
    <w:rsid w:val="00D950D2"/>
    <w:rsid w:val="00D96084"/>
    <w:rsid w:val="00D962C2"/>
    <w:rsid w:val="00D97188"/>
    <w:rsid w:val="00D976FC"/>
    <w:rsid w:val="00DA4B6A"/>
    <w:rsid w:val="00DB2A2F"/>
    <w:rsid w:val="00DC2876"/>
    <w:rsid w:val="00DC293C"/>
    <w:rsid w:val="00DC2EA0"/>
    <w:rsid w:val="00DC61EA"/>
    <w:rsid w:val="00DE233D"/>
    <w:rsid w:val="00DE3CDB"/>
    <w:rsid w:val="00DF0E65"/>
    <w:rsid w:val="00DF126A"/>
    <w:rsid w:val="00DF7785"/>
    <w:rsid w:val="00E0061D"/>
    <w:rsid w:val="00E05A73"/>
    <w:rsid w:val="00E05BDD"/>
    <w:rsid w:val="00E067BD"/>
    <w:rsid w:val="00E07E37"/>
    <w:rsid w:val="00E17D65"/>
    <w:rsid w:val="00E2182B"/>
    <w:rsid w:val="00E2583E"/>
    <w:rsid w:val="00E34FAC"/>
    <w:rsid w:val="00E35133"/>
    <w:rsid w:val="00E37C01"/>
    <w:rsid w:val="00E37C5D"/>
    <w:rsid w:val="00E37E40"/>
    <w:rsid w:val="00E42395"/>
    <w:rsid w:val="00E54694"/>
    <w:rsid w:val="00E54AD5"/>
    <w:rsid w:val="00E54E28"/>
    <w:rsid w:val="00E55074"/>
    <w:rsid w:val="00E56FA1"/>
    <w:rsid w:val="00E6553F"/>
    <w:rsid w:val="00E71049"/>
    <w:rsid w:val="00E72F6A"/>
    <w:rsid w:val="00E754EB"/>
    <w:rsid w:val="00E76685"/>
    <w:rsid w:val="00E77F00"/>
    <w:rsid w:val="00E822E0"/>
    <w:rsid w:val="00E9032F"/>
    <w:rsid w:val="00EA63B5"/>
    <w:rsid w:val="00EA684F"/>
    <w:rsid w:val="00EA7773"/>
    <w:rsid w:val="00EB0E10"/>
    <w:rsid w:val="00EB14D6"/>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2D26"/>
    <w:rsid w:val="00F03107"/>
    <w:rsid w:val="00F049D3"/>
    <w:rsid w:val="00F061E1"/>
    <w:rsid w:val="00F11C7E"/>
    <w:rsid w:val="00F14211"/>
    <w:rsid w:val="00F14EDE"/>
    <w:rsid w:val="00F20B78"/>
    <w:rsid w:val="00F25CC6"/>
    <w:rsid w:val="00F2670C"/>
    <w:rsid w:val="00F34468"/>
    <w:rsid w:val="00F35C49"/>
    <w:rsid w:val="00F445FD"/>
    <w:rsid w:val="00F47F06"/>
    <w:rsid w:val="00F505F5"/>
    <w:rsid w:val="00F5480D"/>
    <w:rsid w:val="00F553F0"/>
    <w:rsid w:val="00F5692C"/>
    <w:rsid w:val="00F6117F"/>
    <w:rsid w:val="00F70955"/>
    <w:rsid w:val="00F70D71"/>
    <w:rsid w:val="00F7535E"/>
    <w:rsid w:val="00F774C4"/>
    <w:rsid w:val="00F808B8"/>
    <w:rsid w:val="00F81CDC"/>
    <w:rsid w:val="00F84226"/>
    <w:rsid w:val="00F921AE"/>
    <w:rsid w:val="00FA0B62"/>
    <w:rsid w:val="00FA1981"/>
    <w:rsid w:val="00FA2EF9"/>
    <w:rsid w:val="00FA77AA"/>
    <w:rsid w:val="00FB3E87"/>
    <w:rsid w:val="00FC3C56"/>
    <w:rsid w:val="00FC5CD6"/>
    <w:rsid w:val="00FC68CF"/>
    <w:rsid w:val="00FC7368"/>
    <w:rsid w:val="00FC7AE1"/>
    <w:rsid w:val="00FD0140"/>
    <w:rsid w:val="00FD223B"/>
    <w:rsid w:val="00FE00F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7F4CA"/>
  <w15:docId w15:val="{13006A32-9F35-4C57-83F7-94698592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ossmark.crossref.org/dialog/?doi=10.47268/sasi.v26i3.247&amp;domain=pd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dx.doi.org/10.47268/ballrev.v4i2.XXXX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dx.doi.org/10.47268/ballrev.v4i2.XXXX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2EC7BE9C-CC89-4D89-B07E-E88BE0DF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2</TotalTime>
  <Pages>8</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wiya</cp:lastModifiedBy>
  <cp:revision>2</cp:revision>
  <cp:lastPrinted>2024-08-14T02:52:00Z</cp:lastPrinted>
  <dcterms:created xsi:type="dcterms:W3CDTF">2024-08-14T03:13:00Z</dcterms:created>
  <dcterms:modified xsi:type="dcterms:W3CDTF">2024-08-14T03:13:00Z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