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BFCF3"/>
  <w:body>
    <w:p w14:paraId="5AA1C5F9" w14:textId="77777777" w:rsidR="002C2ABF" w:rsidRDefault="002C2ABF" w:rsidP="00C5314E"/>
    <w:p w14:paraId="0B34CDA8" w14:textId="77777777" w:rsidR="002C2ABF" w:rsidRDefault="00000000">
      <w:pPr>
        <w:pBdr>
          <w:top w:val="nil"/>
          <w:left w:val="nil"/>
          <w:bottom w:val="nil"/>
          <w:right w:val="nil"/>
          <w:between w:val="nil"/>
        </w:pBdr>
        <w:spacing w:after="0" w:line="240" w:lineRule="auto"/>
        <w:jc w:val="right"/>
        <w:rPr>
          <w:rFonts w:ascii="Book Antiqua" w:eastAsia="Book Antiqua" w:hAnsi="Book Antiqua" w:cs="Book Antiqua"/>
          <w:color w:val="000000"/>
          <w:sz w:val="20"/>
          <w:szCs w:val="20"/>
        </w:rPr>
      </w:pPr>
      <w:bookmarkStart w:id="0" w:name="_heading=h.gjdgxs" w:colFirst="0" w:colLast="0"/>
      <w:bookmarkEnd w:id="0"/>
      <w:r>
        <w:rPr>
          <w:noProof/>
        </w:rPr>
        <w:drawing>
          <wp:anchor distT="0" distB="0" distL="114300" distR="114300" simplePos="0" relativeHeight="251658240" behindDoc="0" locked="0" layoutInCell="1" hidden="0" allowOverlap="1" wp14:anchorId="65DE673D" wp14:editId="202B8E77">
            <wp:simplePos x="0" y="0"/>
            <wp:positionH relativeFrom="column">
              <wp:posOffset>-758188</wp:posOffset>
            </wp:positionH>
            <wp:positionV relativeFrom="paragraph">
              <wp:posOffset>-329564</wp:posOffset>
            </wp:positionV>
            <wp:extent cx="7607300" cy="455930"/>
            <wp:effectExtent l="0" t="0" r="0" b="0"/>
            <wp:wrapNone/>
            <wp:docPr id="19" name="image3.jpg" descr="E:\FileKu\JURNAL FH UNPATTI\PAMALI\Logo Template PAMALI.jpg"/>
            <wp:cNvGraphicFramePr/>
            <a:graphic xmlns:a="http://schemas.openxmlformats.org/drawingml/2006/main">
              <a:graphicData uri="http://schemas.openxmlformats.org/drawingml/2006/picture">
                <pic:pic xmlns:pic="http://schemas.openxmlformats.org/drawingml/2006/picture">
                  <pic:nvPicPr>
                    <pic:cNvPr id="0" name="image3.jpg" descr="E:\FileKu\JURNAL FH UNPATTI\PAMALI\Logo Template PAMALI.jpg"/>
                    <pic:cNvPicPr preferRelativeResize="0"/>
                  </pic:nvPicPr>
                  <pic:blipFill>
                    <a:blip r:embed="rId9"/>
                    <a:srcRect/>
                    <a:stretch>
                      <a:fillRect/>
                    </a:stretch>
                  </pic:blipFill>
                  <pic:spPr>
                    <a:xfrm>
                      <a:off x="0" y="0"/>
                      <a:ext cx="7607300" cy="455930"/>
                    </a:xfrm>
                    <a:prstGeom prst="rect">
                      <a:avLst/>
                    </a:prstGeom>
                    <a:ln/>
                  </pic:spPr>
                </pic:pic>
              </a:graphicData>
            </a:graphic>
          </wp:anchor>
        </w:drawing>
      </w:r>
    </w:p>
    <w:p w14:paraId="03C2649A" w14:textId="77777777" w:rsidR="002C2ABF" w:rsidRDefault="00000000">
      <w:pPr>
        <w:pBdr>
          <w:top w:val="nil"/>
          <w:left w:val="nil"/>
          <w:bottom w:val="nil"/>
          <w:right w:val="nil"/>
          <w:between w:val="nil"/>
        </w:pBdr>
        <w:spacing w:after="0" w:line="240" w:lineRule="auto"/>
        <w:jc w:val="right"/>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Volume X Nomor X, Bulan Tahun: h. XX-XX</w:t>
      </w:r>
    </w:p>
    <w:p w14:paraId="539A0EC2" w14:textId="77777777" w:rsidR="002C2ABF" w:rsidRDefault="00000000">
      <w:pPr>
        <w:pBdr>
          <w:top w:val="nil"/>
          <w:left w:val="nil"/>
          <w:bottom w:val="nil"/>
          <w:right w:val="nil"/>
          <w:between w:val="nil"/>
        </w:pBdr>
        <w:tabs>
          <w:tab w:val="center" w:pos="4680"/>
          <w:tab w:val="right" w:pos="9360"/>
        </w:tabs>
        <w:spacing w:after="0" w:line="240" w:lineRule="auto"/>
        <w:jc w:val="right"/>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 xml:space="preserve"> E-ISSN: 2775-5649</w:t>
      </w:r>
    </w:p>
    <w:p w14:paraId="583505C3" w14:textId="77777777" w:rsidR="002C2ABF" w:rsidRDefault="002C2ABF">
      <w:pPr>
        <w:pBdr>
          <w:top w:val="nil"/>
          <w:left w:val="nil"/>
          <w:bottom w:val="nil"/>
          <w:right w:val="nil"/>
          <w:between w:val="nil"/>
        </w:pBdr>
        <w:tabs>
          <w:tab w:val="center" w:pos="4680"/>
          <w:tab w:val="right" w:pos="9360"/>
        </w:tabs>
        <w:spacing w:after="0" w:line="240" w:lineRule="auto"/>
        <w:jc w:val="right"/>
        <w:rPr>
          <w:rFonts w:ascii="Book Antiqua" w:eastAsia="Book Antiqua" w:hAnsi="Book Antiqua" w:cs="Book Antiqua"/>
          <w:color w:val="000000"/>
          <w:sz w:val="20"/>
          <w:szCs w:val="20"/>
        </w:rPr>
      </w:pPr>
      <w:hyperlink r:id="rId10">
        <w:r>
          <w:rPr>
            <w:rFonts w:ascii="Book Antiqua" w:eastAsia="Book Antiqua" w:hAnsi="Book Antiqua" w:cs="Book Antiqua"/>
            <w:color w:val="0000FF"/>
            <w:sz w:val="20"/>
            <w:szCs w:val="20"/>
          </w:rPr>
          <w:t>https://fhukum.unpatti.ac.id/jurnal/pamali/index</w:t>
        </w:r>
      </w:hyperlink>
      <w:r>
        <w:rPr>
          <w:noProof/>
        </w:rPr>
        <w:drawing>
          <wp:anchor distT="0" distB="0" distL="114300" distR="114300" simplePos="0" relativeHeight="251659264" behindDoc="0" locked="0" layoutInCell="1" hidden="0" allowOverlap="1" wp14:anchorId="42054179" wp14:editId="5EAD9B6B">
            <wp:simplePos x="0" y="0"/>
            <wp:positionH relativeFrom="column">
              <wp:posOffset>4222115</wp:posOffset>
            </wp:positionH>
            <wp:positionV relativeFrom="paragraph">
              <wp:posOffset>162560</wp:posOffset>
            </wp:positionV>
            <wp:extent cx="180975" cy="180975"/>
            <wp:effectExtent l="0" t="0" r="0" b="0"/>
            <wp:wrapNone/>
            <wp:docPr id="20" name="image1.png" descr="1200px-DOI_logo"/>
            <wp:cNvGraphicFramePr/>
            <a:graphic xmlns:a="http://schemas.openxmlformats.org/drawingml/2006/main">
              <a:graphicData uri="http://schemas.openxmlformats.org/drawingml/2006/picture">
                <pic:pic xmlns:pic="http://schemas.openxmlformats.org/drawingml/2006/picture">
                  <pic:nvPicPr>
                    <pic:cNvPr id="0" name="image1.png" descr="1200px-DOI_logo"/>
                    <pic:cNvPicPr preferRelativeResize="0"/>
                  </pic:nvPicPr>
                  <pic:blipFill>
                    <a:blip r:embed="rId11"/>
                    <a:srcRect/>
                    <a:stretch>
                      <a:fillRect/>
                    </a:stretch>
                  </pic:blipFill>
                  <pic:spPr>
                    <a:xfrm>
                      <a:off x="0" y="0"/>
                      <a:ext cx="180975" cy="180975"/>
                    </a:xfrm>
                    <a:prstGeom prst="rect">
                      <a:avLst/>
                    </a:prstGeom>
                    <a:ln/>
                  </pic:spPr>
                </pic:pic>
              </a:graphicData>
            </a:graphic>
          </wp:anchor>
        </w:drawing>
      </w:r>
      <w:r>
        <w:rPr>
          <w:noProof/>
        </w:rPr>
        <mc:AlternateContent>
          <mc:Choice Requires="wps">
            <w:drawing>
              <wp:anchor distT="0" distB="0" distL="114300" distR="114300" simplePos="0" relativeHeight="251660288" behindDoc="0" locked="0" layoutInCell="1" hidden="0" allowOverlap="1" wp14:anchorId="45303741" wp14:editId="65C49B38">
                <wp:simplePos x="0" y="0"/>
                <wp:positionH relativeFrom="column">
                  <wp:posOffset>-355599</wp:posOffset>
                </wp:positionH>
                <wp:positionV relativeFrom="paragraph">
                  <wp:posOffset>152400</wp:posOffset>
                </wp:positionV>
                <wp:extent cx="2762250" cy="295275"/>
                <wp:effectExtent l="0" t="0" r="0" b="0"/>
                <wp:wrapNone/>
                <wp:docPr id="17" name="Rectangle 17"/>
                <wp:cNvGraphicFramePr/>
                <a:graphic xmlns:a="http://schemas.openxmlformats.org/drawingml/2006/main">
                  <a:graphicData uri="http://schemas.microsoft.com/office/word/2010/wordprocessingShape">
                    <wps:wsp>
                      <wps:cNvSpPr/>
                      <wps:spPr>
                        <a:xfrm>
                          <a:off x="3969638" y="3637125"/>
                          <a:ext cx="2752725" cy="285750"/>
                        </a:xfrm>
                        <a:prstGeom prst="rect">
                          <a:avLst/>
                        </a:prstGeom>
                        <a:noFill/>
                        <a:ln>
                          <a:noFill/>
                        </a:ln>
                      </wps:spPr>
                      <wps:txbx>
                        <w:txbxContent>
                          <w:p w14:paraId="07D053E5" w14:textId="77777777" w:rsidR="002C2ABF" w:rsidRDefault="00000000">
                            <w:pPr>
                              <w:spacing w:after="60" w:line="240" w:lineRule="auto"/>
                              <w:ind w:left="425"/>
                              <w:textDirection w:val="btLr"/>
                            </w:pPr>
                            <w:r>
                              <w:rPr>
                                <w:rFonts w:ascii="Book Antiqua" w:eastAsia="Book Antiqua" w:hAnsi="Book Antiqua" w:cs="Book Antiqua"/>
                                <w:b/>
                                <w:color w:val="000000"/>
                                <w:sz w:val="18"/>
                              </w:rPr>
                              <w:t>PAMALI: Pattimura Magister Law Review</w:t>
                            </w:r>
                          </w:p>
                        </w:txbxContent>
                      </wps:txbx>
                      <wps:bodyPr spcFirstLastPara="1" wrap="square" lIns="91425" tIns="45700" rIns="91425" bIns="45700" anchor="ctr" anchorCtr="0">
                        <a:noAutofit/>
                      </wps:bodyPr>
                    </wps:wsp>
                  </a:graphicData>
                </a:graphic>
              </wp:anchor>
            </w:drawing>
          </mc:Choice>
          <mc:Fallback>
            <w:pict>
              <v:rect w14:anchorId="45303741" id="Rectangle 17" o:spid="_x0000_s1026" style="position:absolute;left:0;text-align:left;margin-left:-28pt;margin-top:12pt;width:217.5pt;height:23.2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" filled="f" stroked="f">
                <v:textbox inset="2.53958mm,1.2694mm,2.53958mm,1.2694mm">
                  <w:txbxContent>
                    <w:p w14:paraId="07D053E5" w14:textId="77777777" w:rsidR="002C2ABF" w:rsidRDefault="00000000">
                      <w:pPr>
                        <w:spacing w:after="60" w:line="240" w:lineRule="auto"/>
                        <w:ind w:left="425"/>
                        <w:textDirection w:val="btLr"/>
                      </w:pPr>
                      <w:r>
                        <w:rPr>
                          <w:rFonts w:ascii="Book Antiqua" w:eastAsia="Book Antiqua" w:hAnsi="Book Antiqua" w:cs="Book Antiqua"/>
                          <w:b/>
                          <w:color w:val="000000"/>
                          <w:sz w:val="18"/>
                        </w:rPr>
                        <w:t>PAMALI: Pattimura Magister Law Review</w:t>
                      </w:r>
                    </w:p>
                  </w:txbxContent>
                </v:textbox>
              </v:rect>
            </w:pict>
          </mc:Fallback>
        </mc:AlternateContent>
      </w:r>
    </w:p>
    <w:p w14:paraId="052AE927" w14:textId="77777777" w:rsidR="002C2ABF" w:rsidRDefault="00000000">
      <w:pPr>
        <w:pBdr>
          <w:top w:val="nil"/>
          <w:left w:val="nil"/>
          <w:bottom w:val="nil"/>
          <w:right w:val="nil"/>
          <w:between w:val="nil"/>
        </w:pBdr>
        <w:tabs>
          <w:tab w:val="center" w:pos="4680"/>
          <w:tab w:val="right" w:pos="9360"/>
        </w:tabs>
        <w:spacing w:after="0" w:line="240" w:lineRule="auto"/>
        <w:jc w:val="right"/>
        <w:rPr>
          <w:rFonts w:ascii="Book Antiqua" w:eastAsia="Book Antiqua" w:hAnsi="Book Antiqua" w:cs="Book Antiqua"/>
          <w:color w:val="2F5496"/>
          <w:sz w:val="18"/>
          <w:szCs w:val="18"/>
        </w:rPr>
      </w:pPr>
      <w:r>
        <w:rPr>
          <w:rFonts w:ascii="Book Antiqua" w:eastAsia="Book Antiqua" w:hAnsi="Book Antiqua" w:cs="Book Antiqua"/>
          <w:color w:val="2F5496"/>
          <w:sz w:val="18"/>
          <w:szCs w:val="18"/>
        </w:rPr>
        <w:t xml:space="preserve"> : </w:t>
      </w:r>
      <w:hyperlink r:id="rId12">
        <w:r w:rsidR="002C2ABF">
          <w:rPr>
            <w:rFonts w:ascii="Book Antiqua" w:eastAsia="Book Antiqua" w:hAnsi="Book Antiqua" w:cs="Book Antiqua"/>
            <w:color w:val="0000FF"/>
            <w:sz w:val="20"/>
            <w:szCs w:val="20"/>
          </w:rPr>
          <w:t>10.47268/pamali.vXiX.XXXX</w:t>
        </w:r>
      </w:hyperlink>
      <w:r>
        <w:rPr>
          <w:noProof/>
        </w:rPr>
        <mc:AlternateContent>
          <mc:Choice Requires="wps">
            <w:drawing>
              <wp:anchor distT="0" distB="0" distL="114300" distR="114300" simplePos="0" relativeHeight="251661312" behindDoc="0" locked="0" layoutInCell="1" hidden="0" allowOverlap="1" wp14:anchorId="42838EAE" wp14:editId="4C059329">
                <wp:simplePos x="0" y="0"/>
                <wp:positionH relativeFrom="column">
                  <wp:posOffset>-711199</wp:posOffset>
                </wp:positionH>
                <wp:positionV relativeFrom="paragraph">
                  <wp:posOffset>190500</wp:posOffset>
                </wp:positionV>
                <wp:extent cx="0" cy="76200"/>
                <wp:effectExtent l="0" t="0" r="0" b="0"/>
                <wp:wrapNone/>
                <wp:docPr id="18" name="Straight Arrow Connector 18"/>
                <wp:cNvGraphicFramePr/>
                <a:graphic xmlns:a="http://schemas.openxmlformats.org/drawingml/2006/main">
                  <a:graphicData uri="http://schemas.microsoft.com/office/word/2010/wordprocessingShape">
                    <wps:wsp>
                      <wps:cNvCnPr/>
                      <wps:spPr>
                        <a:xfrm>
                          <a:off x="1566163" y="3780000"/>
                          <a:ext cx="7559675" cy="0"/>
                        </a:xfrm>
                        <a:prstGeom prst="straightConnector1">
                          <a:avLst/>
                        </a:prstGeom>
                        <a:noFill/>
                        <a:ln w="76200" cap="flat" cmpd="dbl">
                          <a:solidFill>
                            <a:srgbClr val="AEABAB"/>
                          </a:solidFill>
                          <a:prstDash val="solid"/>
                          <a:miter lim="800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-711199</wp:posOffset>
                </wp:positionH>
                <wp:positionV relativeFrom="paragraph">
                  <wp:posOffset>190500</wp:posOffset>
                </wp:positionV>
                <wp:extent cx="0" cy="76200"/>
                <wp:effectExtent b="0" l="0" r="0" t="0"/>
                <wp:wrapNone/>
                <wp:docPr id="18" name="image8.png"/>
                <a:graphic>
                  <a:graphicData uri="http://schemas.openxmlformats.org/drawingml/2006/picture">
                    <pic:pic>
                      <pic:nvPicPr>
                        <pic:cNvPr id="0" name="image8.png"/>
                        <pic:cNvPicPr preferRelativeResize="0"/>
                      </pic:nvPicPr>
                      <pic:blipFill>
                        <a:blip r:embed="rId13"/>
                        <a:srcRect/>
                        <a:stretch>
                          <a:fillRect/>
                        </a:stretch>
                      </pic:blipFill>
                      <pic:spPr>
                        <a:xfrm>
                          <a:off x="0" y="0"/>
                          <a:ext cx="0" cy="76200"/>
                        </a:xfrm>
                        <a:prstGeom prst="rect"/>
                        <a:ln/>
                      </pic:spPr>
                    </pic:pic>
                  </a:graphicData>
                </a:graphic>
              </wp:anchor>
            </w:drawing>
          </mc:Fallback>
        </mc:AlternateContent>
      </w:r>
    </w:p>
    <w:p w14:paraId="5A3F3271" w14:textId="77777777" w:rsidR="002C2ABF" w:rsidRDefault="002C2ABF">
      <w:pPr>
        <w:pBdr>
          <w:top w:val="nil"/>
          <w:left w:val="nil"/>
          <w:bottom w:val="nil"/>
          <w:right w:val="nil"/>
          <w:between w:val="nil"/>
        </w:pBdr>
        <w:spacing w:after="120" w:line="240" w:lineRule="auto"/>
        <w:rPr>
          <w:rFonts w:ascii="Book Antiqua" w:eastAsia="Book Antiqua" w:hAnsi="Book Antiqua" w:cs="Book Antiqua"/>
          <w:b/>
          <w:sz w:val="28"/>
        </w:rPr>
      </w:pPr>
    </w:p>
    <w:p w14:paraId="74A2B224" w14:textId="27121B30" w:rsidR="00DE488C" w:rsidRDefault="00DE488C" w:rsidP="00DE488C">
      <w:pPr>
        <w:spacing w:after="120" w:line="240" w:lineRule="auto"/>
        <w:jc w:val="both"/>
        <w:rPr>
          <w:rFonts w:ascii="Book Antiqua" w:eastAsia="Book Antiqua" w:hAnsi="Book Antiqua" w:cs="Book Antiqua"/>
          <w:b/>
          <w:sz w:val="24"/>
          <w:szCs w:val="24"/>
        </w:rPr>
      </w:pPr>
      <w:r w:rsidRPr="00DE488C">
        <w:rPr>
          <w:rFonts w:ascii="Book Antiqua" w:eastAsia="Book Antiqua" w:hAnsi="Book Antiqua" w:cs="Book Antiqua"/>
          <w:b/>
          <w:sz w:val="24"/>
          <w:szCs w:val="24"/>
        </w:rPr>
        <w:t>THE URGENCY OF RECOGNIZING PROFESSIONAL ZAKAT AS AN INCOME TAX DEDUCTION IN THE INDONESIAN POSITIVE LEGAL SYSTEM AT LAZ YDSF MALANG CITY</w:t>
      </w:r>
    </w:p>
    <w:p w14:paraId="33107CCD" w14:textId="03F2B9E6" w:rsidR="002C2ABF" w:rsidRPr="00815169" w:rsidRDefault="007B4FF8">
      <w:pPr>
        <w:spacing w:after="120" w:line="240" w:lineRule="auto"/>
        <w:rPr>
          <w:rFonts w:ascii="Book Antiqua" w:eastAsia="Book Antiqua" w:hAnsi="Book Antiqua" w:cs="Book Antiqua"/>
          <w:b/>
          <w:bCs/>
          <w:sz w:val="24"/>
          <w:szCs w:val="24"/>
        </w:rPr>
      </w:pPr>
      <w:r w:rsidRPr="00815169">
        <w:rPr>
          <w:rFonts w:ascii="Book Antiqua" w:eastAsia="Book Antiqua" w:hAnsi="Book Antiqua" w:cs="Book Antiqua"/>
          <w:b/>
          <w:bCs/>
          <w:sz w:val="24"/>
          <w:szCs w:val="24"/>
        </w:rPr>
        <w:t>Carmadi</w:t>
      </w:r>
      <w:r w:rsidRPr="00815169">
        <w:rPr>
          <w:rFonts w:ascii="Book Antiqua" w:eastAsia="Book Antiqua" w:hAnsi="Book Antiqua" w:cs="Book Antiqua"/>
          <w:b/>
          <w:bCs/>
          <w:sz w:val="24"/>
          <w:szCs w:val="24"/>
          <w:vertAlign w:val="superscript"/>
        </w:rPr>
        <w:t xml:space="preserve"> 1</w:t>
      </w:r>
      <w:r w:rsidRPr="00815169">
        <w:rPr>
          <w:rFonts w:ascii="Book Antiqua" w:eastAsia="Book Antiqua" w:hAnsi="Book Antiqua" w:cs="Book Antiqua"/>
          <w:b/>
          <w:bCs/>
          <w:sz w:val="24"/>
          <w:szCs w:val="24"/>
        </w:rPr>
        <w:t>, Mohammad Saleh</w:t>
      </w:r>
      <w:r w:rsidR="000251FD">
        <w:rPr>
          <w:rFonts w:ascii="Book Antiqua" w:eastAsia="Book Antiqua" w:hAnsi="Book Antiqua" w:cs="Book Antiqua"/>
          <w:b/>
          <w:bCs/>
          <w:sz w:val="24"/>
          <w:szCs w:val="24"/>
          <w:vertAlign w:val="superscript"/>
        </w:rPr>
        <w:t>2</w:t>
      </w:r>
    </w:p>
    <w:p w14:paraId="1A909BB1" w14:textId="140E3262" w:rsidR="002C2ABF" w:rsidRDefault="00000000">
      <w:pPr>
        <w:spacing w:after="0" w:line="240" w:lineRule="auto"/>
        <w:rPr>
          <w:rFonts w:ascii="Book Antiqua" w:eastAsia="Book Antiqua" w:hAnsi="Book Antiqua" w:cs="Book Antiqua"/>
          <w:sz w:val="18"/>
          <w:szCs w:val="18"/>
        </w:rPr>
      </w:pPr>
      <w:r>
        <w:rPr>
          <w:rFonts w:ascii="Book Antiqua" w:eastAsia="Book Antiqua" w:hAnsi="Book Antiqua" w:cs="Book Antiqua"/>
          <w:vertAlign w:val="superscript"/>
        </w:rPr>
        <w:t xml:space="preserve">1,2, </w:t>
      </w:r>
      <w:r w:rsidR="00C5314E" w:rsidRPr="00C5314E">
        <w:rPr>
          <w:rFonts w:ascii="Book Antiqua" w:eastAsia="Book Antiqua" w:hAnsi="Book Antiqua" w:cs="Book Antiqua"/>
        </w:rPr>
        <w:t>Fakultas Hukum Universitas Narotama Surabaya, Surabaya, Indonesia</w:t>
      </w:r>
      <w:r>
        <w:rPr>
          <w:rFonts w:ascii="Book Antiqua" w:eastAsia="Book Antiqua" w:hAnsi="Book Antiqua" w:cs="Book Antiqua"/>
        </w:rPr>
        <w:t>.</w:t>
      </w:r>
    </w:p>
    <w:p w14:paraId="39C37CBA" w14:textId="654B43F4" w:rsidR="00815169" w:rsidRPr="00815169" w:rsidRDefault="00000000">
      <w:pPr>
        <w:spacing w:after="0" w:line="240" w:lineRule="auto"/>
        <w:rPr>
          <w:noProof/>
        </w:rPr>
      </w:pPr>
      <w:r>
        <w:rPr>
          <w:rFonts w:ascii="Book Antiqua" w:eastAsia="Book Antiqua" w:hAnsi="Book Antiqua" w:cs="Book Antiqua"/>
          <w:sz w:val="18"/>
          <w:szCs w:val="18"/>
        </w:rPr>
        <w:t xml:space="preserve">        </w:t>
      </w:r>
      <w:r>
        <w:rPr>
          <w:rFonts w:ascii="Book Antiqua" w:eastAsia="Book Antiqua" w:hAnsi="Book Antiqua" w:cs="Book Antiqua"/>
        </w:rPr>
        <w:t>:</w:t>
      </w:r>
      <w:r>
        <w:rPr>
          <w:rFonts w:ascii="Book Antiqua" w:eastAsia="Book Antiqua" w:hAnsi="Book Antiqua" w:cs="Book Antiqua"/>
          <w:vertAlign w:val="superscript"/>
        </w:rPr>
        <w:t xml:space="preserve"> </w:t>
      </w:r>
      <w:r w:rsidRPr="00815169">
        <w:rPr>
          <w:rFonts w:ascii="Book Antiqua" w:hAnsi="Book Antiqua"/>
          <w:noProof/>
          <w:sz w:val="20"/>
          <w:szCs w:val="24"/>
        </w:rPr>
        <w:drawing>
          <wp:anchor distT="0" distB="0" distL="0" distR="0" simplePos="0" relativeHeight="251662336" behindDoc="1" locked="0" layoutInCell="1" hidden="0" allowOverlap="1" wp14:anchorId="0CEB5F98" wp14:editId="3CBEF993">
            <wp:simplePos x="0" y="0"/>
            <wp:positionH relativeFrom="column">
              <wp:posOffset>5814060</wp:posOffset>
            </wp:positionH>
            <wp:positionV relativeFrom="paragraph">
              <wp:posOffset>13970</wp:posOffset>
            </wp:positionV>
            <wp:extent cx="324000" cy="338727"/>
            <wp:effectExtent l="0" t="0" r="0" b="0"/>
            <wp:wrapNone/>
            <wp:docPr id="24"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14"/>
                    <a:srcRect/>
                    <a:stretch>
                      <a:fillRect/>
                    </a:stretch>
                  </pic:blipFill>
                  <pic:spPr>
                    <a:xfrm>
                      <a:off x="0" y="0"/>
                      <a:ext cx="324000" cy="338727"/>
                    </a:xfrm>
                    <a:prstGeom prst="rect">
                      <a:avLst/>
                    </a:prstGeom>
                    <a:ln/>
                  </pic:spPr>
                </pic:pic>
              </a:graphicData>
            </a:graphic>
          </wp:anchor>
        </w:drawing>
      </w:r>
      <w:r w:rsidRPr="00815169">
        <w:rPr>
          <w:rFonts w:ascii="Book Antiqua" w:hAnsi="Book Antiqua"/>
          <w:noProof/>
          <w:sz w:val="20"/>
          <w:szCs w:val="24"/>
        </w:rPr>
        <w:drawing>
          <wp:anchor distT="0" distB="0" distL="114300" distR="114300" simplePos="0" relativeHeight="251663360" behindDoc="0" locked="0" layoutInCell="1" hidden="0" allowOverlap="1" wp14:anchorId="05794E74" wp14:editId="19C367A6">
            <wp:simplePos x="0" y="0"/>
            <wp:positionH relativeFrom="column">
              <wp:posOffset>1</wp:posOffset>
            </wp:positionH>
            <wp:positionV relativeFrom="paragraph">
              <wp:posOffset>0</wp:posOffset>
            </wp:positionV>
            <wp:extent cx="208169" cy="144000"/>
            <wp:effectExtent l="0" t="0" r="0" b="0"/>
            <wp:wrapNone/>
            <wp:docPr id="23" name="image2.png" descr="E:\FileKu\Jurnal BALOBE\download.png"/>
            <wp:cNvGraphicFramePr/>
            <a:graphic xmlns:a="http://schemas.openxmlformats.org/drawingml/2006/main">
              <a:graphicData uri="http://schemas.openxmlformats.org/drawingml/2006/picture">
                <pic:pic xmlns:pic="http://schemas.openxmlformats.org/drawingml/2006/picture">
                  <pic:nvPicPr>
                    <pic:cNvPr id="0" name="image2.png" descr="E:\FileKu\Jurnal BALOBE\download.png"/>
                    <pic:cNvPicPr preferRelativeResize="0"/>
                  </pic:nvPicPr>
                  <pic:blipFill>
                    <a:blip r:embed="rId15"/>
                    <a:srcRect/>
                    <a:stretch>
                      <a:fillRect/>
                    </a:stretch>
                  </pic:blipFill>
                  <pic:spPr>
                    <a:xfrm>
                      <a:off x="0" y="0"/>
                      <a:ext cx="208169" cy="144000"/>
                    </a:xfrm>
                    <a:prstGeom prst="rect">
                      <a:avLst/>
                    </a:prstGeom>
                    <a:ln/>
                  </pic:spPr>
                </pic:pic>
              </a:graphicData>
            </a:graphic>
          </wp:anchor>
        </w:drawing>
      </w:r>
      <w:r w:rsidR="00815169" w:rsidRPr="00815169">
        <w:rPr>
          <w:rFonts w:ascii="Book Antiqua" w:hAnsi="Book Antiqua"/>
          <w:noProof/>
          <w:sz w:val="20"/>
          <w:szCs w:val="24"/>
        </w:rPr>
        <w:t>tjarmadi.peradi@gmail.com</w:t>
      </w:r>
    </w:p>
    <w:p w14:paraId="10516F84" w14:textId="77777777" w:rsidR="002C2ABF" w:rsidRDefault="002C2ABF">
      <w:pPr>
        <w:spacing w:after="0" w:line="240" w:lineRule="auto"/>
        <w:ind w:left="426"/>
        <w:rPr>
          <w:rFonts w:ascii="Book Antiqua" w:eastAsia="Book Antiqua" w:hAnsi="Book Antiqua" w:cs="Book Antiqua"/>
          <w:sz w:val="20"/>
          <w:szCs w:val="20"/>
          <w:vertAlign w:val="superscript"/>
        </w:rPr>
      </w:pPr>
    </w:p>
    <w:tbl>
      <w:tblPr>
        <w:tblStyle w:val="a"/>
        <w:tblW w:w="96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78"/>
        <w:gridCol w:w="2300"/>
        <w:gridCol w:w="2410"/>
        <w:gridCol w:w="2551"/>
      </w:tblGrid>
      <w:tr w:rsidR="002C2ABF" w14:paraId="0A1A4C19" w14:textId="77777777">
        <w:tc>
          <w:tcPr>
            <w:tcW w:w="9639" w:type="dxa"/>
            <w:gridSpan w:val="4"/>
            <w:tcBorders>
              <w:top w:val="single" w:sz="4" w:space="0" w:color="000000"/>
              <w:left w:val="nil"/>
              <w:bottom w:val="nil"/>
              <w:right w:val="nil"/>
            </w:tcBorders>
            <w:shd w:val="clear" w:color="auto" w:fill="D9E2F3"/>
            <w:vAlign w:val="center"/>
          </w:tcPr>
          <w:p w14:paraId="1F2FDC11" w14:textId="77777777" w:rsidR="002C2ABF" w:rsidRDefault="00000000" w:rsidP="00C5314E">
            <w:pPr>
              <w:pStyle w:val="Heading1"/>
              <w:spacing w:before="0" w:line="240" w:lineRule="auto"/>
              <w:jc w:val="center"/>
              <w:rPr>
                <w:rFonts w:ascii="Book Antiqua" w:eastAsia="Book Antiqua" w:hAnsi="Book Antiqua" w:cs="Book Antiqua"/>
                <w:b/>
                <w:i/>
              </w:rPr>
            </w:pPr>
            <w:r w:rsidRPr="00C5314E">
              <w:rPr>
                <w:rFonts w:ascii="Book Antiqua" w:eastAsia="Book Antiqua" w:hAnsi="Book Antiqua" w:cs="Book Antiqua"/>
                <w:b/>
                <w:i/>
                <w:sz w:val="22"/>
                <w:szCs w:val="22"/>
              </w:rPr>
              <w:t>Abstract</w:t>
            </w:r>
          </w:p>
        </w:tc>
      </w:tr>
      <w:tr w:rsidR="002C2ABF" w14:paraId="4CDE1716" w14:textId="77777777">
        <w:tc>
          <w:tcPr>
            <w:tcW w:w="9639" w:type="dxa"/>
            <w:gridSpan w:val="4"/>
            <w:tcBorders>
              <w:top w:val="nil"/>
              <w:left w:val="nil"/>
              <w:bottom w:val="single" w:sz="4" w:space="0" w:color="000000"/>
              <w:right w:val="nil"/>
            </w:tcBorders>
            <w:shd w:val="clear" w:color="auto" w:fill="FFFFFF"/>
            <w:vAlign w:val="center"/>
          </w:tcPr>
          <w:p w14:paraId="05302567" w14:textId="77777777" w:rsidR="007833C8" w:rsidRDefault="007833C8" w:rsidP="007833C8">
            <w:pPr>
              <w:spacing w:after="0" w:line="240" w:lineRule="auto"/>
              <w:ind w:left="-108" w:right="-108"/>
              <w:jc w:val="both"/>
              <w:rPr>
                <w:rFonts w:ascii="Book Antiqua" w:eastAsia="Book Antiqua" w:hAnsi="Book Antiqua" w:cs="Book Antiqua"/>
                <w:i/>
                <w:sz w:val="20"/>
                <w:szCs w:val="20"/>
              </w:rPr>
            </w:pPr>
            <w:r w:rsidRPr="007833C8">
              <w:rPr>
                <w:rFonts w:ascii="Book Antiqua" w:eastAsia="Book Antiqua" w:hAnsi="Book Antiqua" w:cs="Book Antiqua"/>
                <w:i/>
                <w:color w:val="4472C4" w:themeColor="accent1"/>
                <w:sz w:val="20"/>
                <w:szCs w:val="20"/>
              </w:rPr>
              <w:t xml:space="preserve">Introduction: </w:t>
            </w:r>
            <w:r w:rsidR="004C0787" w:rsidRPr="004C0787">
              <w:rPr>
                <w:rFonts w:ascii="Book Antiqua" w:eastAsia="Book Antiqua" w:hAnsi="Book Antiqua" w:cs="Book Antiqua"/>
                <w:i/>
                <w:sz w:val="20"/>
                <w:szCs w:val="20"/>
              </w:rPr>
              <w:t xml:space="preserve">Professional zakat represents a form of actualizing religious obligations that holds significant potential in supporting the socio-economic development of the Muslim community in Indonesia. This research is motivated by the suboptimal utilization of professional zakat as an instrument for reducing income tax (PPh), despite the existence of legal foundations within Indonesia’s positive legal system, such as Law Number 36 of 2008 on Income Tax and Law Number 23 of 2011 on Zakat Management. </w:t>
            </w:r>
          </w:p>
          <w:p w14:paraId="40715749" w14:textId="77777777" w:rsidR="007833C8" w:rsidRDefault="007833C8" w:rsidP="007833C8">
            <w:pPr>
              <w:spacing w:after="0" w:line="240" w:lineRule="auto"/>
              <w:ind w:left="-108" w:right="-108"/>
              <w:jc w:val="both"/>
              <w:rPr>
                <w:rFonts w:ascii="Book Antiqua" w:eastAsia="Book Antiqua" w:hAnsi="Book Antiqua" w:cs="Book Antiqua"/>
                <w:i/>
                <w:sz w:val="20"/>
                <w:szCs w:val="20"/>
              </w:rPr>
            </w:pPr>
            <w:r>
              <w:rPr>
                <w:rFonts w:ascii="Book Antiqua" w:eastAsia="Book Antiqua" w:hAnsi="Book Antiqua" w:cs="Book Antiqua"/>
                <w:i/>
                <w:color w:val="4472C4" w:themeColor="accent1"/>
                <w:sz w:val="20"/>
                <w:szCs w:val="20"/>
              </w:rPr>
              <w:t>Purpose of the Research:</w:t>
            </w:r>
            <w:r>
              <w:rPr>
                <w:rFonts w:ascii="Book Antiqua" w:eastAsia="Book Antiqua" w:hAnsi="Book Antiqua" w:cs="Book Antiqua"/>
                <w:i/>
                <w:sz w:val="20"/>
                <w:szCs w:val="20"/>
              </w:rPr>
              <w:t xml:space="preserve"> </w:t>
            </w:r>
            <w:r w:rsidR="004C0787" w:rsidRPr="004C0787">
              <w:rPr>
                <w:rFonts w:ascii="Book Antiqua" w:eastAsia="Book Antiqua" w:hAnsi="Book Antiqua" w:cs="Book Antiqua"/>
                <w:i/>
                <w:sz w:val="20"/>
                <w:szCs w:val="20"/>
              </w:rPr>
              <w:t>The purpose of this study is to analyze the legal regulations, implementation, and legal implications of recognizing professional zakat as a deductible component of income tax, with a particular focus on the Amil Zakat Institution Yayasan Dana Sosial Al-Falah (LAZ YDSF) in Malang City.</w:t>
            </w:r>
          </w:p>
          <w:p w14:paraId="2FC801C2" w14:textId="77777777" w:rsidR="007833C8" w:rsidRDefault="007833C8" w:rsidP="007833C8">
            <w:pPr>
              <w:spacing w:after="0" w:line="240" w:lineRule="auto"/>
              <w:ind w:left="-108" w:right="-108"/>
              <w:jc w:val="both"/>
              <w:rPr>
                <w:rFonts w:ascii="Book Antiqua" w:eastAsia="Book Antiqua" w:hAnsi="Book Antiqua" w:cs="Book Antiqua"/>
                <w:i/>
                <w:sz w:val="20"/>
                <w:szCs w:val="20"/>
              </w:rPr>
            </w:pPr>
            <w:r>
              <w:rPr>
                <w:rFonts w:ascii="Book Antiqua" w:eastAsia="Book Antiqua" w:hAnsi="Book Antiqua" w:cs="Book Antiqua"/>
                <w:i/>
                <w:color w:val="4472C4" w:themeColor="accent1"/>
                <w:sz w:val="20"/>
                <w:szCs w:val="20"/>
              </w:rPr>
              <w:t xml:space="preserve">Methods of the </w:t>
            </w:r>
            <w:r w:rsidRPr="007833C8">
              <w:rPr>
                <w:rFonts w:ascii="Book Antiqua" w:eastAsia="Book Antiqua" w:hAnsi="Book Antiqua" w:cs="Book Antiqua"/>
                <w:i/>
                <w:color w:val="4472C4" w:themeColor="accent1"/>
                <w:sz w:val="20"/>
                <w:szCs w:val="20"/>
              </w:rPr>
              <w:t>Research:</w:t>
            </w:r>
            <w:r>
              <w:rPr>
                <w:rFonts w:ascii="Book Antiqua" w:eastAsia="Book Antiqua" w:hAnsi="Book Antiqua" w:cs="Book Antiqua"/>
                <w:i/>
                <w:sz w:val="20"/>
                <w:szCs w:val="20"/>
              </w:rPr>
              <w:t xml:space="preserve"> </w:t>
            </w:r>
            <w:r w:rsidR="004C0787" w:rsidRPr="004C0787">
              <w:rPr>
                <w:rFonts w:ascii="Book Antiqua" w:eastAsia="Book Antiqua" w:hAnsi="Book Antiqua" w:cs="Book Antiqua"/>
                <w:i/>
                <w:sz w:val="20"/>
                <w:szCs w:val="20"/>
              </w:rPr>
              <w:t xml:space="preserve">This research employs a normative legal method with statutory and conceptual approaches. </w:t>
            </w:r>
          </w:p>
          <w:p w14:paraId="50767402" w14:textId="11C4B0E4" w:rsidR="00B8677A" w:rsidRDefault="007833C8" w:rsidP="007833C8">
            <w:pPr>
              <w:spacing w:after="0" w:line="240" w:lineRule="auto"/>
              <w:ind w:left="-108" w:right="-108"/>
              <w:jc w:val="both"/>
              <w:rPr>
                <w:rFonts w:ascii="Book Antiqua" w:eastAsia="Book Antiqua" w:hAnsi="Book Antiqua" w:cs="Book Antiqua"/>
                <w:i/>
                <w:sz w:val="20"/>
                <w:szCs w:val="20"/>
              </w:rPr>
            </w:pPr>
            <w:r>
              <w:rPr>
                <w:rFonts w:ascii="Book Antiqua" w:eastAsia="Book Antiqua" w:hAnsi="Book Antiqua" w:cs="Book Antiqua"/>
                <w:i/>
                <w:color w:val="4472C4" w:themeColor="accent1"/>
                <w:sz w:val="20"/>
                <w:szCs w:val="20"/>
              </w:rPr>
              <w:t>Results Main Findings Of The Research:</w:t>
            </w:r>
            <w:r>
              <w:rPr>
                <w:rFonts w:ascii="Book Antiqua" w:eastAsia="Book Antiqua" w:hAnsi="Book Antiqua" w:cs="Book Antiqua"/>
                <w:i/>
                <w:sz w:val="20"/>
                <w:szCs w:val="20"/>
              </w:rPr>
              <w:t xml:space="preserve"> </w:t>
            </w:r>
            <w:r w:rsidR="004C0787" w:rsidRPr="004C0787">
              <w:rPr>
                <w:rFonts w:ascii="Book Antiqua" w:eastAsia="Book Antiqua" w:hAnsi="Book Antiqua" w:cs="Book Antiqua"/>
                <w:i/>
                <w:sz w:val="20"/>
                <w:szCs w:val="20"/>
              </w:rPr>
              <w:t>The findings indicate that although existing regulations provide legitimacy for tax reduction through professional zakat, its implementation still faces several challenges, including low public literacy on legal and taxation matters, and the lack of optimal synergy between tax authorities and zakat institutions. These findings highlight the need for policy reform and digitalization of reporting systems to enable effective, fair, and inclusive integration between zakat and taxation, while promoting dual compliance with both religious and fiscal obligations of the Indonesian Muslim community</w:t>
            </w:r>
            <w:r w:rsidR="00B8677A" w:rsidRPr="00B8677A">
              <w:rPr>
                <w:rFonts w:ascii="Book Antiqua" w:eastAsia="Book Antiqua" w:hAnsi="Book Antiqua" w:cs="Book Antiqua"/>
                <w:i/>
                <w:sz w:val="20"/>
                <w:szCs w:val="20"/>
              </w:rPr>
              <w:t>.</w:t>
            </w:r>
          </w:p>
          <w:p w14:paraId="49FB6853" w14:textId="2C4AE66B" w:rsidR="00062400" w:rsidRPr="007833C8" w:rsidRDefault="00062400">
            <w:pPr>
              <w:spacing w:after="120" w:line="240" w:lineRule="auto"/>
              <w:ind w:left="-108" w:right="-108"/>
              <w:jc w:val="both"/>
              <w:rPr>
                <w:rFonts w:ascii="Book Antiqua" w:eastAsia="Book Antiqua" w:hAnsi="Book Antiqua" w:cs="Book Antiqua"/>
                <w:b/>
                <w:i/>
                <w:color w:val="000000"/>
              </w:rPr>
            </w:pPr>
            <w:r w:rsidRPr="007833C8">
              <w:rPr>
                <w:rFonts w:ascii="Book Antiqua" w:eastAsia="Book Antiqua" w:hAnsi="Book Antiqua" w:cs="Book Antiqua"/>
                <w:b/>
                <w:i/>
                <w:color w:val="000000"/>
              </w:rPr>
              <w:t>Keywords: Professional Zakat, Income Tax, Positive Law, LAZ YDSF, Zakat-Tax Integration.</w:t>
            </w:r>
          </w:p>
        </w:tc>
      </w:tr>
      <w:tr w:rsidR="002C2ABF" w14:paraId="1D6F4447" w14:textId="77777777">
        <w:tc>
          <w:tcPr>
            <w:tcW w:w="2378" w:type="dxa"/>
            <w:tcBorders>
              <w:left w:val="nil"/>
              <w:bottom w:val="single" w:sz="4" w:space="0" w:color="000000"/>
              <w:right w:val="nil"/>
            </w:tcBorders>
            <w:shd w:val="clear" w:color="auto" w:fill="F2F2F2"/>
            <w:vAlign w:val="center"/>
          </w:tcPr>
          <w:p w14:paraId="2AE8B7C4" w14:textId="77777777" w:rsidR="002C2ABF" w:rsidRDefault="00000000">
            <w:pPr>
              <w:spacing w:after="0" w:line="240" w:lineRule="auto"/>
              <w:ind w:left="-108"/>
              <w:jc w:val="center"/>
              <w:rPr>
                <w:rFonts w:ascii="Book Antiqua" w:eastAsia="Book Antiqua" w:hAnsi="Book Antiqua" w:cs="Book Antiqua"/>
                <w:b/>
                <w:i/>
                <w:color w:val="FFC000"/>
                <w:sz w:val="18"/>
                <w:szCs w:val="18"/>
              </w:rPr>
            </w:pPr>
            <w:r>
              <w:rPr>
                <w:rFonts w:ascii="Book Antiqua" w:eastAsia="Book Antiqua" w:hAnsi="Book Antiqua" w:cs="Book Antiqua"/>
                <w:i/>
                <w:color w:val="000000"/>
                <w:sz w:val="18"/>
                <w:szCs w:val="18"/>
              </w:rPr>
              <w:t>Kirim: 2023-12-12</w:t>
            </w:r>
          </w:p>
        </w:tc>
        <w:tc>
          <w:tcPr>
            <w:tcW w:w="2300" w:type="dxa"/>
            <w:tcBorders>
              <w:left w:val="nil"/>
              <w:bottom w:val="single" w:sz="4" w:space="0" w:color="000000"/>
              <w:right w:val="nil"/>
            </w:tcBorders>
            <w:shd w:val="clear" w:color="auto" w:fill="F2F2F2"/>
            <w:vAlign w:val="center"/>
          </w:tcPr>
          <w:p w14:paraId="3CDE952C" w14:textId="77777777" w:rsidR="002C2ABF" w:rsidRDefault="00000000">
            <w:pPr>
              <w:spacing w:after="0" w:line="240" w:lineRule="auto"/>
              <w:jc w:val="center"/>
              <w:rPr>
                <w:rFonts w:ascii="Book Antiqua" w:eastAsia="Book Antiqua" w:hAnsi="Book Antiqua" w:cs="Book Antiqua"/>
                <w:b/>
                <w:i/>
                <w:color w:val="FFC000"/>
                <w:sz w:val="18"/>
                <w:szCs w:val="18"/>
              </w:rPr>
            </w:pPr>
            <w:r>
              <w:rPr>
                <w:rFonts w:ascii="Book Antiqua" w:eastAsia="Book Antiqua" w:hAnsi="Book Antiqua" w:cs="Book Antiqua"/>
                <w:i/>
                <w:color w:val="000000"/>
                <w:sz w:val="18"/>
                <w:szCs w:val="18"/>
              </w:rPr>
              <w:t>Revisi: 2024-03-03</w:t>
            </w:r>
          </w:p>
        </w:tc>
        <w:tc>
          <w:tcPr>
            <w:tcW w:w="2410" w:type="dxa"/>
            <w:tcBorders>
              <w:left w:val="nil"/>
              <w:bottom w:val="single" w:sz="4" w:space="0" w:color="000000"/>
              <w:right w:val="nil"/>
            </w:tcBorders>
            <w:shd w:val="clear" w:color="auto" w:fill="F2F2F2"/>
            <w:vAlign w:val="center"/>
          </w:tcPr>
          <w:p w14:paraId="420D90F3" w14:textId="77777777" w:rsidR="002C2ABF" w:rsidRDefault="00000000">
            <w:pPr>
              <w:spacing w:after="0" w:line="240" w:lineRule="auto"/>
              <w:jc w:val="center"/>
              <w:rPr>
                <w:rFonts w:ascii="Book Antiqua" w:eastAsia="Book Antiqua" w:hAnsi="Book Antiqua" w:cs="Book Antiqua"/>
                <w:b/>
                <w:i/>
                <w:color w:val="FFC000"/>
                <w:sz w:val="18"/>
                <w:szCs w:val="18"/>
              </w:rPr>
            </w:pPr>
            <w:r>
              <w:rPr>
                <w:rFonts w:ascii="Book Antiqua" w:eastAsia="Book Antiqua" w:hAnsi="Book Antiqua" w:cs="Book Antiqua"/>
                <w:i/>
                <w:color w:val="000000"/>
                <w:sz w:val="18"/>
                <w:szCs w:val="18"/>
              </w:rPr>
              <w:t>Diterima: 2024-03-03</w:t>
            </w:r>
          </w:p>
        </w:tc>
        <w:tc>
          <w:tcPr>
            <w:tcW w:w="2551" w:type="dxa"/>
            <w:tcBorders>
              <w:left w:val="nil"/>
              <w:bottom w:val="single" w:sz="4" w:space="0" w:color="000000"/>
              <w:right w:val="nil"/>
            </w:tcBorders>
            <w:shd w:val="clear" w:color="auto" w:fill="F2F2F2"/>
            <w:vAlign w:val="center"/>
          </w:tcPr>
          <w:p w14:paraId="1D7E9D8F" w14:textId="77777777" w:rsidR="002C2ABF" w:rsidRDefault="00000000">
            <w:pPr>
              <w:spacing w:after="0" w:line="240" w:lineRule="auto"/>
              <w:jc w:val="center"/>
              <w:rPr>
                <w:rFonts w:ascii="Book Antiqua" w:eastAsia="Book Antiqua" w:hAnsi="Book Antiqua" w:cs="Book Antiqua"/>
                <w:b/>
                <w:i/>
                <w:color w:val="FFC000"/>
                <w:sz w:val="18"/>
                <w:szCs w:val="18"/>
              </w:rPr>
            </w:pPr>
            <w:r>
              <w:rPr>
                <w:rFonts w:ascii="Book Antiqua" w:eastAsia="Book Antiqua" w:hAnsi="Book Antiqua" w:cs="Book Antiqua"/>
                <w:i/>
                <w:color w:val="000000"/>
                <w:sz w:val="18"/>
                <w:szCs w:val="18"/>
              </w:rPr>
              <w:t>Terbit: 2024-03-31</w:t>
            </w:r>
          </w:p>
        </w:tc>
      </w:tr>
      <w:tr w:rsidR="002C2ABF" w:rsidRPr="00012141" w14:paraId="69A709BC" w14:textId="77777777">
        <w:trPr>
          <w:trHeight w:val="521"/>
        </w:trPr>
        <w:tc>
          <w:tcPr>
            <w:tcW w:w="9639" w:type="dxa"/>
            <w:gridSpan w:val="4"/>
            <w:tcBorders>
              <w:top w:val="single" w:sz="4" w:space="0" w:color="000000"/>
              <w:left w:val="nil"/>
              <w:bottom w:val="single" w:sz="4" w:space="0" w:color="000000"/>
              <w:right w:val="nil"/>
            </w:tcBorders>
            <w:shd w:val="clear" w:color="auto" w:fill="F2F2F2"/>
            <w:vAlign w:val="center"/>
          </w:tcPr>
          <w:p w14:paraId="509B1CA7" w14:textId="77777777" w:rsidR="002C2ABF" w:rsidRPr="00C5314E" w:rsidRDefault="00000000">
            <w:pPr>
              <w:spacing w:after="0" w:line="240" w:lineRule="auto"/>
              <w:ind w:left="-108"/>
              <w:jc w:val="both"/>
              <w:rPr>
                <w:rFonts w:ascii="Book Antiqua" w:eastAsia="Book Antiqua" w:hAnsi="Book Antiqua" w:cs="Book Antiqua"/>
                <w:color w:val="4472C4"/>
                <w:sz w:val="16"/>
                <w:szCs w:val="16"/>
                <w:lang w:val="fi-FI"/>
              </w:rPr>
            </w:pPr>
            <w:r>
              <w:rPr>
                <w:rFonts w:ascii="Book Antiqua" w:eastAsia="Book Antiqua" w:hAnsi="Book Antiqua" w:cs="Book Antiqua"/>
                <w:sz w:val="16"/>
                <w:szCs w:val="16"/>
              </w:rPr>
              <w:t xml:space="preserve">Cara Mengutip: </w:t>
            </w:r>
            <w:r>
              <w:rPr>
                <w:rFonts w:ascii="Book Antiqua" w:eastAsia="Book Antiqua" w:hAnsi="Book Antiqua" w:cs="Book Antiqua"/>
                <w:color w:val="000000"/>
                <w:sz w:val="16"/>
                <w:szCs w:val="16"/>
              </w:rPr>
              <w:t>Sarah Selvina Kuahaty, Muchtar Anshary Hamid Labetubun, and Rory Jeff Akyuwen. “</w:t>
            </w:r>
            <w:r>
              <w:rPr>
                <w:rFonts w:ascii="Book Antiqua" w:eastAsia="Book Antiqua" w:hAnsi="Book Antiqua" w:cs="Book Antiqua"/>
                <w:sz w:val="16"/>
                <w:szCs w:val="16"/>
              </w:rPr>
              <w:t>A Legal Awareness of Copyright on Regional Song Creators</w:t>
            </w:r>
            <w:r>
              <w:rPr>
                <w:rFonts w:ascii="Book Antiqua" w:eastAsia="Book Antiqua" w:hAnsi="Book Antiqua" w:cs="Book Antiqua"/>
                <w:color w:val="000000"/>
                <w:sz w:val="16"/>
                <w:szCs w:val="16"/>
              </w:rPr>
              <w:t xml:space="preserve">.” </w:t>
            </w:r>
            <w:r>
              <w:rPr>
                <w:rFonts w:ascii="Book Antiqua" w:eastAsia="Book Antiqua" w:hAnsi="Book Antiqua" w:cs="Book Antiqua"/>
                <w:i/>
                <w:color w:val="000000"/>
                <w:sz w:val="16"/>
                <w:szCs w:val="16"/>
              </w:rPr>
              <w:t>PAMALI: Pattimura Magister Law Review</w:t>
            </w:r>
            <w:r>
              <w:rPr>
                <w:rFonts w:ascii="Book Antiqua" w:eastAsia="Book Antiqua" w:hAnsi="Book Antiqua" w:cs="Book Antiqua"/>
                <w:color w:val="000000"/>
                <w:sz w:val="16"/>
                <w:szCs w:val="16"/>
              </w:rPr>
              <w:t xml:space="preserve"> X no. </w:t>
            </w:r>
            <w:r w:rsidRPr="00C5314E">
              <w:rPr>
                <w:rFonts w:ascii="Book Antiqua" w:eastAsia="Book Antiqua" w:hAnsi="Book Antiqua" w:cs="Book Antiqua"/>
                <w:color w:val="000000"/>
                <w:sz w:val="16"/>
                <w:szCs w:val="16"/>
                <w:lang w:val="fi-FI"/>
              </w:rPr>
              <w:t>X (Tahun): XXX-XXX.</w:t>
            </w:r>
            <w:r w:rsidRPr="00C5314E">
              <w:rPr>
                <w:rFonts w:ascii="Book Antiqua" w:eastAsia="Book Antiqua" w:hAnsi="Book Antiqua" w:cs="Book Antiqua"/>
                <w:sz w:val="16"/>
                <w:szCs w:val="16"/>
                <w:lang w:val="fi-FI"/>
              </w:rPr>
              <w:t>https://doi.org/</w:t>
            </w:r>
            <w:hyperlink r:id="rId16">
              <w:r w:rsidR="002C2ABF" w:rsidRPr="00C5314E">
                <w:rPr>
                  <w:rFonts w:ascii="Book Antiqua" w:eastAsia="Book Antiqua" w:hAnsi="Book Antiqua" w:cs="Book Antiqua"/>
                  <w:color w:val="4472C4"/>
                  <w:sz w:val="16"/>
                  <w:szCs w:val="16"/>
                  <w:lang w:val="fi-FI"/>
                </w:rPr>
                <w:t xml:space="preserve">10.47268/pamali.v4i1.XXXXX </w:t>
              </w:r>
            </w:hyperlink>
          </w:p>
        </w:tc>
      </w:tr>
      <w:tr w:rsidR="002C2ABF" w14:paraId="555472A3" w14:textId="77777777">
        <w:tc>
          <w:tcPr>
            <w:tcW w:w="2378" w:type="dxa"/>
            <w:tcBorders>
              <w:top w:val="single" w:sz="4" w:space="0" w:color="000000"/>
              <w:left w:val="nil"/>
              <w:bottom w:val="single" w:sz="4" w:space="0" w:color="000000"/>
              <w:right w:val="nil"/>
            </w:tcBorders>
            <w:shd w:val="clear" w:color="auto" w:fill="F2F2F2"/>
            <w:vAlign w:val="center"/>
          </w:tcPr>
          <w:p w14:paraId="482D4DAF" w14:textId="77777777" w:rsidR="002C2ABF" w:rsidRDefault="00000000">
            <w:pPr>
              <w:spacing w:before="120" w:after="0" w:line="240" w:lineRule="auto"/>
              <w:ind w:left="-108"/>
              <w:jc w:val="both"/>
              <w:rPr>
                <w:color w:val="4472C4"/>
                <w:sz w:val="18"/>
                <w:szCs w:val="18"/>
              </w:rPr>
            </w:pPr>
            <w:r>
              <w:rPr>
                <w:rFonts w:ascii="Book Antiqua" w:eastAsia="Book Antiqua" w:hAnsi="Book Antiqua" w:cs="Book Antiqua"/>
                <w:sz w:val="16"/>
                <w:szCs w:val="16"/>
              </w:rPr>
              <w:t>Copyright</w:t>
            </w:r>
            <w:r>
              <w:rPr>
                <w:rFonts w:ascii="Book Antiqua" w:eastAsia="Book Antiqua" w:hAnsi="Book Antiqua" w:cs="Book Antiqua"/>
                <w:sz w:val="18"/>
                <w:szCs w:val="18"/>
              </w:rPr>
              <w:t xml:space="preserve"> © 2024 Author(s)</w:t>
            </w:r>
          </w:p>
        </w:tc>
        <w:tc>
          <w:tcPr>
            <w:tcW w:w="7261" w:type="dxa"/>
            <w:gridSpan w:val="3"/>
            <w:tcBorders>
              <w:top w:val="single" w:sz="4" w:space="0" w:color="000000"/>
              <w:left w:val="nil"/>
              <w:bottom w:val="single" w:sz="4" w:space="0" w:color="000000"/>
              <w:right w:val="nil"/>
            </w:tcBorders>
            <w:shd w:val="clear" w:color="auto" w:fill="F2F2F2"/>
            <w:vAlign w:val="center"/>
          </w:tcPr>
          <w:p w14:paraId="0D0A0AFE" w14:textId="77777777" w:rsidR="002C2ABF" w:rsidRDefault="002C2ABF">
            <w:pPr>
              <w:spacing w:before="120" w:after="0" w:line="240" w:lineRule="auto"/>
              <w:ind w:left="491"/>
              <w:jc w:val="both"/>
              <w:rPr>
                <w:color w:val="4472C4"/>
                <w:sz w:val="18"/>
                <w:szCs w:val="18"/>
              </w:rPr>
            </w:pPr>
            <w:hyperlink r:id="rId17">
              <w:r>
                <w:t xml:space="preserve"> </w:t>
              </w:r>
            </w:hyperlink>
            <w:hyperlink r:id="rId18">
              <w:r>
                <w:rPr>
                  <w:rFonts w:ascii="Book Antiqua" w:eastAsia="Book Antiqua" w:hAnsi="Book Antiqua" w:cs="Book Antiqua"/>
                  <w:color w:val="000000"/>
                  <w:sz w:val="18"/>
                  <w:szCs w:val="18"/>
                </w:rPr>
                <w:t>Creative Commons Attribution-NonCommercial 4.0 International License</w:t>
              </w:r>
            </w:hyperlink>
            <w:r>
              <w:rPr>
                <w:noProof/>
              </w:rPr>
              <w:drawing>
                <wp:anchor distT="0" distB="0" distL="114300" distR="114300" simplePos="0" relativeHeight="251664384" behindDoc="0" locked="0" layoutInCell="1" hidden="0" allowOverlap="1" wp14:anchorId="786C04EC" wp14:editId="6305C5B9">
                  <wp:simplePos x="0" y="0"/>
                  <wp:positionH relativeFrom="column">
                    <wp:posOffset>-144144</wp:posOffset>
                  </wp:positionH>
                  <wp:positionV relativeFrom="paragraph">
                    <wp:posOffset>15875</wp:posOffset>
                  </wp:positionV>
                  <wp:extent cx="424180" cy="211455"/>
                  <wp:effectExtent l="0" t="0" r="0" b="0"/>
                  <wp:wrapNone/>
                  <wp:docPr id="22" name="image5.png" descr="E:\FileKu\Jurnal SASI\Logo Lisensi SASI.png"/>
                  <wp:cNvGraphicFramePr/>
                  <a:graphic xmlns:a="http://schemas.openxmlformats.org/drawingml/2006/main">
                    <a:graphicData uri="http://schemas.openxmlformats.org/drawingml/2006/picture">
                      <pic:pic xmlns:pic="http://schemas.openxmlformats.org/drawingml/2006/picture">
                        <pic:nvPicPr>
                          <pic:cNvPr id="0" name="image5.png" descr="E:\FileKu\Jurnal SASI\Logo Lisensi SASI.png"/>
                          <pic:cNvPicPr preferRelativeResize="0"/>
                        </pic:nvPicPr>
                        <pic:blipFill>
                          <a:blip r:embed="rId19"/>
                          <a:srcRect/>
                          <a:stretch>
                            <a:fillRect/>
                          </a:stretch>
                        </pic:blipFill>
                        <pic:spPr>
                          <a:xfrm>
                            <a:off x="0" y="0"/>
                            <a:ext cx="424180" cy="211455"/>
                          </a:xfrm>
                          <a:prstGeom prst="rect">
                            <a:avLst/>
                          </a:prstGeom>
                          <a:ln/>
                        </pic:spPr>
                      </pic:pic>
                    </a:graphicData>
                  </a:graphic>
                </wp:anchor>
              </w:drawing>
            </w:r>
          </w:p>
        </w:tc>
      </w:tr>
    </w:tbl>
    <w:p w14:paraId="0BA3BA3D" w14:textId="77777777" w:rsidR="00982592" w:rsidRDefault="00982592" w:rsidP="00164772">
      <w:pPr>
        <w:spacing w:after="0" w:line="240" w:lineRule="auto"/>
        <w:ind w:firstLine="284"/>
        <w:jc w:val="both"/>
        <w:rPr>
          <w:rFonts w:ascii="Book Antiqua" w:eastAsia="Book Antiqua" w:hAnsi="Book Antiqua" w:cs="Book Antiqua"/>
          <w:b/>
          <w:color w:val="FFC000"/>
          <w:sz w:val="24"/>
          <w:szCs w:val="24"/>
        </w:rPr>
      </w:pPr>
    </w:p>
    <w:p w14:paraId="68EA0F3B" w14:textId="76573BF2" w:rsidR="00982592" w:rsidRDefault="00982592" w:rsidP="00982592">
      <w:pPr>
        <w:pStyle w:val="Heading1"/>
        <w:rPr>
          <w:rFonts w:ascii="Book Antiqua" w:eastAsia="Book Antiqua" w:hAnsi="Book Antiqua" w:cs="Book Antiqua"/>
          <w:b/>
          <w:color w:val="0070C0"/>
          <w:sz w:val="24"/>
          <w:szCs w:val="24"/>
        </w:rPr>
      </w:pPr>
      <w:r w:rsidRPr="00982592">
        <w:rPr>
          <w:rFonts w:ascii="Book Antiqua" w:eastAsia="Book Antiqua" w:hAnsi="Book Antiqua" w:cs="Book Antiqua"/>
          <w:b/>
          <w:color w:val="0070C0"/>
          <w:sz w:val="24"/>
          <w:szCs w:val="24"/>
        </w:rPr>
        <w:t>INTRODUCTION</w:t>
      </w:r>
    </w:p>
    <w:p w14:paraId="04D71B3B" w14:textId="35506972" w:rsidR="002C2ABF" w:rsidRPr="00B75F28" w:rsidRDefault="007833C8" w:rsidP="00164772">
      <w:pPr>
        <w:spacing w:after="0" w:line="240" w:lineRule="auto"/>
        <w:ind w:firstLine="284"/>
        <w:jc w:val="both"/>
        <w:rPr>
          <w:rFonts w:ascii="Book Antiqua" w:eastAsia="Book Antiqua" w:hAnsi="Book Antiqua" w:cs="Book Antiqua"/>
          <w:color w:val="000000"/>
          <w:sz w:val="24"/>
          <w:szCs w:val="24"/>
        </w:rPr>
      </w:pPr>
      <w:r w:rsidRPr="007833C8">
        <w:rPr>
          <w:rFonts w:ascii="Book Antiqua" w:eastAsia="Book Antiqua" w:hAnsi="Book Antiqua" w:cs="Book Antiqua"/>
          <w:color w:val="000000"/>
          <w:sz w:val="24"/>
          <w:szCs w:val="24"/>
        </w:rPr>
        <w:t>Zakat, as one of the pillars of Islam, plays a vital role in building a just and prosperous society</w:t>
      </w:r>
      <w:r w:rsidR="006C401D" w:rsidRPr="006C401D">
        <w:rPr>
          <w:rFonts w:ascii="Book Antiqua" w:eastAsia="Book Antiqua" w:hAnsi="Book Antiqua" w:cs="Book Antiqua"/>
          <w:color w:val="000000"/>
          <w:sz w:val="24"/>
          <w:szCs w:val="24"/>
        </w:rPr>
        <w:t>.</w:t>
      </w:r>
      <w:r w:rsidR="006C401D">
        <w:rPr>
          <w:rStyle w:val="FootnoteReference"/>
          <w:rFonts w:ascii="Book Antiqua" w:eastAsia="Book Antiqua" w:hAnsi="Book Antiqua" w:cs="Book Antiqua"/>
          <w:color w:val="000000"/>
          <w:sz w:val="24"/>
          <w:szCs w:val="24"/>
        </w:rPr>
        <w:footnoteReference w:id="1"/>
      </w:r>
      <w:r w:rsidR="006C401D" w:rsidRPr="006C401D">
        <w:rPr>
          <w:rFonts w:ascii="Book Antiqua" w:eastAsia="Book Antiqua" w:hAnsi="Book Antiqua" w:cs="Book Antiqua"/>
          <w:color w:val="000000"/>
          <w:sz w:val="24"/>
          <w:szCs w:val="24"/>
        </w:rPr>
        <w:t xml:space="preserve"> </w:t>
      </w:r>
      <w:r w:rsidR="00B75F28" w:rsidRPr="00B75F28">
        <w:rPr>
          <w:rFonts w:ascii="Book Antiqua" w:eastAsia="Book Antiqua" w:hAnsi="Book Antiqua" w:cs="Book Antiqua"/>
          <w:color w:val="000000"/>
          <w:sz w:val="24"/>
          <w:szCs w:val="24"/>
        </w:rPr>
        <w:t xml:space="preserve">In Indonesia, where the majority of the population is Muslim, the potential of zakat is enormous and can be harnessed to address various social issues, such as poverty and economic inequality. According to estimates by the National Amil Zakat Agency (BAZNAS), the potential for zakat collection in Indonesia reaches hundreds of trillions of rupiah annually; however, the actual amount collected falls significantly short of this figure. </w:t>
      </w:r>
      <w:r w:rsidR="00B75F28" w:rsidRPr="00B75F28">
        <w:rPr>
          <w:rFonts w:ascii="Book Antiqua" w:eastAsia="Book Antiqua" w:hAnsi="Book Antiqua" w:cs="Book Antiqua"/>
          <w:color w:val="000000"/>
          <w:sz w:val="24"/>
          <w:szCs w:val="24"/>
        </w:rPr>
        <w:lastRenderedPageBreak/>
        <w:t>This indicates a considerable gap between the potential and the realization of zakat, particularly in the context of professional zakat (zakat on income or earnings)</w:t>
      </w:r>
      <w:r w:rsidR="006C401D" w:rsidRPr="00B75F28">
        <w:rPr>
          <w:rFonts w:ascii="Book Antiqua" w:eastAsia="Book Antiqua" w:hAnsi="Book Antiqua" w:cs="Book Antiqua"/>
          <w:color w:val="000000"/>
          <w:sz w:val="24"/>
          <w:szCs w:val="24"/>
        </w:rPr>
        <w:t>.</w:t>
      </w:r>
      <w:r w:rsidR="006C401D">
        <w:rPr>
          <w:rStyle w:val="FootnoteReference"/>
          <w:rFonts w:ascii="Book Antiqua" w:eastAsia="Book Antiqua" w:hAnsi="Book Antiqua" w:cs="Book Antiqua"/>
          <w:color w:val="000000"/>
          <w:sz w:val="24"/>
          <w:szCs w:val="24"/>
          <w:lang w:val="fi-FI"/>
        </w:rPr>
        <w:footnoteReference w:id="2"/>
      </w:r>
    </w:p>
    <w:p w14:paraId="79F586AB" w14:textId="35B2C0F1" w:rsidR="006C401D" w:rsidRPr="00B75F28" w:rsidRDefault="00B75F28" w:rsidP="006C401D">
      <w:pPr>
        <w:spacing w:after="0" w:line="240" w:lineRule="auto"/>
        <w:ind w:firstLine="284"/>
        <w:jc w:val="both"/>
        <w:rPr>
          <w:rFonts w:ascii="Book Antiqua" w:eastAsia="Book Antiqua" w:hAnsi="Book Antiqua" w:cs="Book Antiqua"/>
          <w:sz w:val="24"/>
          <w:szCs w:val="24"/>
        </w:rPr>
      </w:pPr>
      <w:r w:rsidRPr="00B75F28">
        <w:rPr>
          <w:rFonts w:ascii="Book Antiqua" w:eastAsia="Book Antiqua" w:hAnsi="Book Antiqua" w:cs="Book Antiqua"/>
          <w:sz w:val="24"/>
          <w:szCs w:val="24"/>
        </w:rPr>
        <w:t>Professional zakat, which is levied on income earned from expertise or employment, has become increasingly significant in the modern socio-economic context due to the rapid development of various professions and the dominance of the service sector as a primary source of income for urban communities. According to the view of Yusuf Al-Qaradawi, professional zakat falls under the category of mal mustafad (lawfully acquired wealth) and is obligatory at the time of receipt if it meets the nishab (minimum threshold) after deducting basic needs and debts, without the requirement of a one-year holding period (haul), similar to agricultural zakat which is paid upon each harvest. With the growing number of professionals such as doctors, teachers, consultants, and employees, professional zakat has the potential to become a strategic source of funding for Zakat Management Organizations (LAZ), including YDSF in Malang City. Nevertheless, significant challenges remain, particularly the low awareness among Muslims regarding the obligation of paying professional zakat and the suboptimal level of education and incentives provided to encourage its fulfillment. This necessitates a more proactive and contextual approach in the socialization and management of professional zakat to effectively fulfill the objectives of Islamic law (maqā</w:t>
      </w:r>
      <w:r w:rsidRPr="00B75F28">
        <w:rPr>
          <w:rFonts w:ascii="Cambria" w:eastAsia="Book Antiqua" w:hAnsi="Cambria" w:cs="Cambria"/>
          <w:sz w:val="24"/>
          <w:szCs w:val="24"/>
        </w:rPr>
        <w:t>ṣ</w:t>
      </w:r>
      <w:r w:rsidRPr="00B75F28">
        <w:rPr>
          <w:rFonts w:ascii="Book Antiqua" w:eastAsia="Book Antiqua" w:hAnsi="Book Antiqua" w:cs="Book Antiqua"/>
          <w:sz w:val="24"/>
          <w:szCs w:val="24"/>
        </w:rPr>
        <w:t>id al-sharī</w:t>
      </w:r>
      <w:r w:rsidRPr="00B75F28">
        <w:rPr>
          <w:rFonts w:ascii="Times New Roman" w:eastAsia="Book Antiqua" w:hAnsi="Times New Roman" w:cs="Times New Roman"/>
          <w:sz w:val="24"/>
          <w:szCs w:val="24"/>
        </w:rPr>
        <w:t>ʿ</w:t>
      </w:r>
      <w:r w:rsidRPr="00B75F28">
        <w:rPr>
          <w:rFonts w:ascii="Book Antiqua" w:eastAsia="Book Antiqua" w:hAnsi="Book Antiqua" w:cs="Book Antiqua"/>
          <w:sz w:val="24"/>
          <w:szCs w:val="24"/>
        </w:rPr>
        <w:t>ah) in establishing justice and social welfare</w:t>
      </w:r>
      <w:r w:rsidR="006C401D" w:rsidRPr="00B75F28">
        <w:rPr>
          <w:rFonts w:ascii="Book Antiqua" w:eastAsia="Book Antiqua" w:hAnsi="Book Antiqua" w:cs="Book Antiqua"/>
          <w:sz w:val="24"/>
          <w:szCs w:val="24"/>
        </w:rPr>
        <w:t>.</w:t>
      </w:r>
      <w:r w:rsidR="000C65CF">
        <w:rPr>
          <w:rStyle w:val="FootnoteReference"/>
          <w:rFonts w:ascii="Book Antiqua" w:eastAsia="Book Antiqua" w:hAnsi="Book Antiqua" w:cs="Book Antiqua"/>
          <w:sz w:val="24"/>
          <w:szCs w:val="24"/>
          <w:lang w:val="fi-FI"/>
        </w:rPr>
        <w:footnoteReference w:id="3"/>
      </w:r>
      <w:r w:rsidR="006C401D" w:rsidRPr="00B75F28">
        <w:rPr>
          <w:rFonts w:ascii="Book Antiqua" w:eastAsia="Book Antiqua" w:hAnsi="Book Antiqua" w:cs="Book Antiqua"/>
          <w:sz w:val="24"/>
          <w:szCs w:val="24"/>
        </w:rPr>
        <w:t xml:space="preserve"> </w:t>
      </w:r>
    </w:p>
    <w:p w14:paraId="5B3C3BBD" w14:textId="312ACB27" w:rsidR="006C401D" w:rsidRPr="00B75F28" w:rsidRDefault="00B75F28" w:rsidP="006C401D">
      <w:pPr>
        <w:spacing w:after="0" w:line="240" w:lineRule="auto"/>
        <w:ind w:firstLine="284"/>
        <w:jc w:val="both"/>
        <w:rPr>
          <w:rFonts w:ascii="Book Antiqua" w:eastAsia="Book Antiqua" w:hAnsi="Book Antiqua" w:cs="Book Antiqua"/>
          <w:sz w:val="24"/>
          <w:szCs w:val="24"/>
        </w:rPr>
      </w:pPr>
      <w:r w:rsidRPr="00B75F28">
        <w:rPr>
          <w:rFonts w:ascii="Book Antiqua" w:eastAsia="Book Antiqua" w:hAnsi="Book Antiqua" w:cs="Book Antiqua"/>
          <w:sz w:val="24"/>
          <w:szCs w:val="24"/>
        </w:rPr>
        <w:t>Within the context of Indonesia’s taxation system, the Income Tax Law as regulated under Law Number 36 of 2008 provides taxpayers with the opportunity to reduce their taxable income through various instruments</w:t>
      </w:r>
      <w:r>
        <w:rPr>
          <w:rFonts w:ascii="Book Antiqua" w:eastAsia="Book Antiqua" w:hAnsi="Book Antiqua" w:cs="Book Antiqua"/>
          <w:sz w:val="24"/>
          <w:szCs w:val="24"/>
        </w:rPr>
        <w:t xml:space="preserve"> </w:t>
      </w:r>
      <w:r w:rsidRPr="00B75F28">
        <w:rPr>
          <w:rFonts w:ascii="Book Antiqua" w:eastAsia="Book Antiqua" w:hAnsi="Book Antiqua" w:cs="Book Antiqua"/>
          <w:sz w:val="24"/>
          <w:szCs w:val="24"/>
        </w:rPr>
        <w:t>one of which is zakat. Article 4 paragraph (3) letter a and Article 9 paragraph (1) letter g of the Income Tax Law (UU PPh) state that zakat paid by individual Muslim taxpayers to the National Zakat Agency (BAZ) or Zakat Management Organizations (LAZ) established or authorized by the government may be treated as a deduction from gross income. This provision is further reinforced by Government Regulation Number 60 of 2010 and the Regulation of the Director General of Taxes Number PER-6/PJ/2011, which require valid proof of zakat payment in order for zakat to be recognized as a tax-deductible expense</w:t>
      </w:r>
      <w:r w:rsidR="006C401D" w:rsidRPr="00B75F28">
        <w:rPr>
          <w:rFonts w:ascii="Book Antiqua" w:eastAsia="Book Antiqua" w:hAnsi="Book Antiqua" w:cs="Book Antiqua"/>
          <w:sz w:val="24"/>
          <w:szCs w:val="24"/>
        </w:rPr>
        <w:t>.</w:t>
      </w:r>
      <w:r w:rsidR="000C65CF">
        <w:rPr>
          <w:rStyle w:val="FootnoteReference"/>
          <w:rFonts w:ascii="Book Antiqua" w:eastAsia="Book Antiqua" w:hAnsi="Book Antiqua" w:cs="Book Antiqua"/>
          <w:sz w:val="24"/>
          <w:szCs w:val="24"/>
          <w:lang w:val="fi-FI"/>
        </w:rPr>
        <w:footnoteReference w:id="4"/>
      </w:r>
      <w:r w:rsidR="006C401D" w:rsidRPr="00B75F28">
        <w:rPr>
          <w:rFonts w:ascii="Book Antiqua" w:eastAsia="Book Antiqua" w:hAnsi="Book Antiqua" w:cs="Book Antiqua"/>
          <w:sz w:val="24"/>
          <w:szCs w:val="24"/>
        </w:rPr>
        <w:t xml:space="preserve">  </w:t>
      </w:r>
      <w:r w:rsidRPr="00B75F28">
        <w:rPr>
          <w:rFonts w:ascii="Book Antiqua" w:eastAsia="Book Antiqua" w:hAnsi="Book Antiqua" w:cs="Book Antiqua"/>
          <w:sz w:val="24"/>
          <w:szCs w:val="24"/>
        </w:rPr>
        <w:t>However, despite the existence of a legal basis, the implementation of zakat</w:t>
      </w:r>
      <w:r>
        <w:rPr>
          <w:rFonts w:ascii="Book Antiqua" w:eastAsia="Book Antiqua" w:hAnsi="Book Antiqua" w:cs="Book Antiqua"/>
          <w:sz w:val="24"/>
          <w:szCs w:val="24"/>
        </w:rPr>
        <w:t xml:space="preserve"> </w:t>
      </w:r>
      <w:r w:rsidRPr="00B75F28">
        <w:rPr>
          <w:rFonts w:ascii="Book Antiqua" w:eastAsia="Book Antiqua" w:hAnsi="Book Antiqua" w:cs="Book Antiqua"/>
          <w:sz w:val="24"/>
          <w:szCs w:val="24"/>
        </w:rPr>
        <w:t>particularly professional zakat</w:t>
      </w:r>
      <w:r>
        <w:rPr>
          <w:rFonts w:ascii="Book Antiqua" w:eastAsia="Book Antiqua" w:hAnsi="Book Antiqua" w:cs="Book Antiqua"/>
          <w:sz w:val="24"/>
          <w:szCs w:val="24"/>
        </w:rPr>
        <w:t xml:space="preserve"> </w:t>
      </w:r>
      <w:r w:rsidRPr="00B75F28">
        <w:rPr>
          <w:rFonts w:ascii="Book Antiqua" w:eastAsia="Book Antiqua" w:hAnsi="Book Antiqua" w:cs="Book Antiqua"/>
          <w:sz w:val="24"/>
          <w:szCs w:val="24"/>
        </w:rPr>
        <w:t>as a deduction from Income Tax (PPh) continues to face practical challenges. One such challenge is the lack of socialization and understanding among taxpayers regarding the mechanism for recognizing professional zakat as a legitimate tax deduction. This is evidenced by findings that many muzakki are unaware of their right to reduce their income tax through zakat, even though this could significantly lower their tax burden. On the other hand, some professions, such as medical doctors, have demonstrated active participation in utilizing this policy, although their overall proportion remains relatively small</w:t>
      </w:r>
      <w:r w:rsidR="006C401D" w:rsidRPr="00B75F28">
        <w:rPr>
          <w:rFonts w:ascii="Book Antiqua" w:eastAsia="Book Antiqua" w:hAnsi="Book Antiqua" w:cs="Book Antiqua"/>
          <w:sz w:val="24"/>
          <w:szCs w:val="24"/>
        </w:rPr>
        <w:t>.</w:t>
      </w:r>
    </w:p>
    <w:p w14:paraId="30CCB7F9" w14:textId="309E17AD" w:rsidR="006C401D" w:rsidRPr="00B75F28" w:rsidRDefault="00B75F28" w:rsidP="006C401D">
      <w:pPr>
        <w:spacing w:after="0" w:line="240" w:lineRule="auto"/>
        <w:ind w:firstLine="284"/>
        <w:jc w:val="both"/>
        <w:rPr>
          <w:rFonts w:ascii="Book Antiqua" w:eastAsia="Book Antiqua" w:hAnsi="Book Antiqua" w:cs="Book Antiqua"/>
          <w:sz w:val="24"/>
          <w:szCs w:val="24"/>
        </w:rPr>
      </w:pPr>
      <w:r w:rsidRPr="00B75F28">
        <w:rPr>
          <w:rFonts w:ascii="Book Antiqua" w:eastAsia="Book Antiqua" w:hAnsi="Book Antiqua" w:cs="Book Antiqua"/>
          <w:sz w:val="24"/>
          <w:szCs w:val="24"/>
        </w:rPr>
        <w:t xml:space="preserve">In Malang City, zakat management institutions (LAZ) such as YDSF have made efforts to optimize the collection of professional zakat. However, challenges related to the recognition of professional zakat as a deductible component of income tax (PPh) require serious attention. Many members of the public still express doubt regarding the validity and legal implications of tax deductions through zakat. Therefore, it is essential to conduct an in-depth study on the urgency of recognizing professional zakat within the framework of </w:t>
      </w:r>
      <w:r w:rsidRPr="00B75F28">
        <w:rPr>
          <w:rFonts w:ascii="Book Antiqua" w:eastAsia="Book Antiqua" w:hAnsi="Book Antiqua" w:cs="Book Antiqua"/>
          <w:sz w:val="24"/>
          <w:szCs w:val="24"/>
        </w:rPr>
        <w:lastRenderedPageBreak/>
        <w:t>Indonesia’s positive legal system, and how such recognition could impact the management and distribution of zakat in Malang City</w:t>
      </w:r>
      <w:r w:rsidR="006C401D" w:rsidRPr="00B75F28">
        <w:rPr>
          <w:rFonts w:ascii="Book Antiqua" w:eastAsia="Book Antiqua" w:hAnsi="Book Antiqua" w:cs="Book Antiqua"/>
          <w:sz w:val="24"/>
          <w:szCs w:val="24"/>
        </w:rPr>
        <w:t>.</w:t>
      </w:r>
    </w:p>
    <w:p w14:paraId="38BA9E07" w14:textId="5A28953D" w:rsidR="006C401D" w:rsidRPr="00FB1917" w:rsidRDefault="00FB1917" w:rsidP="006C401D">
      <w:pPr>
        <w:spacing w:after="0" w:line="240" w:lineRule="auto"/>
        <w:ind w:firstLine="284"/>
        <w:jc w:val="both"/>
        <w:rPr>
          <w:rFonts w:ascii="Book Antiqua" w:eastAsia="Book Antiqua" w:hAnsi="Book Antiqua" w:cs="Book Antiqua"/>
          <w:sz w:val="24"/>
          <w:szCs w:val="24"/>
        </w:rPr>
      </w:pPr>
      <w:r w:rsidRPr="00FB1917">
        <w:rPr>
          <w:rFonts w:ascii="Book Antiqua" w:eastAsia="Book Antiqua" w:hAnsi="Book Antiqua" w:cs="Book Antiqua"/>
          <w:sz w:val="24"/>
          <w:szCs w:val="24"/>
        </w:rPr>
        <w:t>Based on Law Number 23 of 2011 concerning Zakat Management, the administration of zakat in Indonesia is directed to become more structured, professional, and accountable through a formal institutional system involving the National Zakat Agency (BAZNAS) and Zakat Management Organizations (LAZ) authorized by the government. Although this regulation emphasizes the importance of accountability and transparency in zakat management</w:t>
      </w:r>
      <w:r>
        <w:rPr>
          <w:rFonts w:ascii="Book Antiqua" w:eastAsia="Book Antiqua" w:hAnsi="Book Antiqua" w:cs="Book Antiqua"/>
          <w:sz w:val="24"/>
          <w:szCs w:val="24"/>
        </w:rPr>
        <w:t xml:space="preserve"> </w:t>
      </w:r>
      <w:r w:rsidRPr="00FB1917">
        <w:rPr>
          <w:rFonts w:ascii="Book Antiqua" w:eastAsia="Book Antiqua" w:hAnsi="Book Antiqua" w:cs="Book Antiqua"/>
          <w:sz w:val="24"/>
          <w:szCs w:val="24"/>
        </w:rPr>
        <w:t>including the obligation for periodic audited reporting to BAZNAS</w:t>
      </w:r>
      <w:r>
        <w:rPr>
          <w:rFonts w:ascii="Book Antiqua" w:eastAsia="Book Antiqua" w:hAnsi="Book Antiqua" w:cs="Book Antiqua"/>
          <w:sz w:val="24"/>
          <w:szCs w:val="24"/>
        </w:rPr>
        <w:t xml:space="preserve"> </w:t>
      </w:r>
      <w:r w:rsidRPr="00FB1917">
        <w:rPr>
          <w:rFonts w:ascii="Book Antiqua" w:eastAsia="Book Antiqua" w:hAnsi="Book Antiqua" w:cs="Book Antiqua"/>
          <w:sz w:val="24"/>
          <w:szCs w:val="24"/>
        </w:rPr>
        <w:t>it does not explicitly regulate the recognition of professional zakat as a direct deduction from Income Tax (PPh). On the other hand, the application of the zakat, infaq, and sadaqah accounting standards (PSAK 109) plays a crucial role in strengthening public trust in zakat institutions, particularly in the context of reliable and accountable financial reporting</w:t>
      </w:r>
      <w:r w:rsidR="006C401D" w:rsidRPr="00FB1917">
        <w:rPr>
          <w:rFonts w:ascii="Book Antiqua" w:eastAsia="Book Antiqua" w:hAnsi="Book Antiqua" w:cs="Book Antiqua"/>
          <w:sz w:val="24"/>
          <w:szCs w:val="24"/>
        </w:rPr>
        <w:t>.</w:t>
      </w:r>
      <w:r w:rsidR="000C65CF">
        <w:rPr>
          <w:rStyle w:val="FootnoteReference"/>
          <w:rFonts w:ascii="Book Antiqua" w:eastAsia="Book Antiqua" w:hAnsi="Book Antiqua" w:cs="Book Antiqua"/>
          <w:sz w:val="24"/>
          <w:szCs w:val="24"/>
          <w:lang w:val="fi-FI"/>
        </w:rPr>
        <w:footnoteReference w:id="5"/>
      </w:r>
      <w:r w:rsidR="006C401D" w:rsidRPr="00FB1917">
        <w:rPr>
          <w:rFonts w:ascii="Book Antiqua" w:eastAsia="Book Antiqua" w:hAnsi="Book Antiqua" w:cs="Book Antiqua"/>
          <w:sz w:val="24"/>
          <w:szCs w:val="24"/>
        </w:rPr>
        <w:t xml:space="preserve"> </w:t>
      </w:r>
      <w:r w:rsidRPr="00FB1917">
        <w:rPr>
          <w:rFonts w:ascii="Book Antiqua" w:eastAsia="Book Antiqua" w:hAnsi="Book Antiqua" w:cs="Book Antiqua"/>
          <w:sz w:val="24"/>
          <w:szCs w:val="24"/>
        </w:rPr>
        <w:t>This study aims to explore the regulatory, administrative, and socio-economic aspects of recognizing professional zakat as a deduction from income tax, while also analyzing the opportunities and challenges faced by LAZ in enhancing the role of zakat both as a tax relief instrument and as a strategic means of distributing wealth and promoting social welfare among the Muslim community</w:t>
      </w:r>
      <w:r w:rsidR="006C401D" w:rsidRPr="00FB1917">
        <w:rPr>
          <w:rFonts w:ascii="Book Antiqua" w:eastAsia="Book Antiqua" w:hAnsi="Book Antiqua" w:cs="Book Antiqua"/>
          <w:sz w:val="24"/>
          <w:szCs w:val="24"/>
        </w:rPr>
        <w:t>.</w:t>
      </w:r>
    </w:p>
    <w:p w14:paraId="6A4D52D3" w14:textId="4F66A30E" w:rsidR="006C401D" w:rsidRPr="00FB1917" w:rsidRDefault="00FB1917" w:rsidP="006C401D">
      <w:pPr>
        <w:spacing w:after="0" w:line="240" w:lineRule="auto"/>
        <w:ind w:firstLine="284"/>
        <w:jc w:val="both"/>
        <w:rPr>
          <w:rFonts w:ascii="Book Antiqua" w:eastAsia="Book Antiqua" w:hAnsi="Book Antiqua" w:cs="Book Antiqua"/>
          <w:sz w:val="24"/>
          <w:szCs w:val="24"/>
        </w:rPr>
      </w:pPr>
      <w:r w:rsidRPr="00FB1917">
        <w:rPr>
          <w:rFonts w:ascii="Book Antiqua" w:eastAsia="Book Antiqua" w:hAnsi="Book Antiqua" w:cs="Book Antiqua"/>
          <w:sz w:val="24"/>
          <w:szCs w:val="24"/>
        </w:rPr>
        <w:t>By raising this issue, the author hopes to contribute significantly to the development of a more inclusive tax policy—one that not only benefits the state but also strengthens zakat practices in Indonesia. Through this research, it is expected that effective solutions can be identified to enhance public awareness regarding the obligation of professional zakat and to encourage their active participation in zakat collection programs</w:t>
      </w:r>
      <w:r w:rsidR="006C401D" w:rsidRPr="00FB1917">
        <w:rPr>
          <w:rFonts w:ascii="Book Antiqua" w:eastAsia="Book Antiqua" w:hAnsi="Book Antiqua" w:cs="Book Antiqua"/>
          <w:sz w:val="24"/>
          <w:szCs w:val="24"/>
        </w:rPr>
        <w:t>.</w:t>
      </w:r>
    </w:p>
    <w:p w14:paraId="336F5227" w14:textId="5C349944" w:rsidR="006C401D" w:rsidRPr="006C401D" w:rsidRDefault="00B30105" w:rsidP="006C401D">
      <w:pPr>
        <w:spacing w:after="0" w:line="240" w:lineRule="auto"/>
        <w:ind w:firstLine="284"/>
        <w:jc w:val="both"/>
        <w:rPr>
          <w:rFonts w:ascii="Book Antiqua" w:eastAsia="Book Antiqua" w:hAnsi="Book Antiqua" w:cs="Book Antiqua"/>
          <w:sz w:val="24"/>
          <w:szCs w:val="24"/>
        </w:rPr>
      </w:pPr>
      <w:r w:rsidRPr="00B30105">
        <w:rPr>
          <w:rFonts w:ascii="Book Antiqua" w:eastAsia="Book Antiqua" w:hAnsi="Book Antiqua" w:cs="Book Antiqua"/>
          <w:sz w:val="24"/>
          <w:szCs w:val="24"/>
        </w:rPr>
        <w:t>The main issue addressed in this study concerns the recognition of professional zakat as a deductible component of income tax in Indonesia. First, how does Indonesia’s positive legal framework regulate the recognition of professional zakat as an income tax deduction within the context of the national legal system? Second, how is the recognition of professional zakat as an income tax deduction implemented by the Zakat Management Organization of Yayasan Dana Sosial Al-Falah (LAZ YDSF) in Malang City? Third, what are the legal implications of recognizing professional zakat as an income tax deduction for the development of zakat and taxation law in Indonesia? This analysis is expected to provide a comprehensive overview of the integration between professional zakat and taxation within Indonesia’s positive legal system</w:t>
      </w:r>
      <w:r w:rsidR="006C401D" w:rsidRPr="006C401D">
        <w:rPr>
          <w:rFonts w:ascii="Book Antiqua" w:eastAsia="Book Antiqua" w:hAnsi="Book Antiqua" w:cs="Book Antiqua"/>
          <w:sz w:val="24"/>
          <w:szCs w:val="24"/>
        </w:rPr>
        <w:t>.</w:t>
      </w:r>
    </w:p>
    <w:p w14:paraId="50AF726A" w14:textId="527287E2" w:rsidR="006C401D" w:rsidRPr="006C401D" w:rsidRDefault="00B30105" w:rsidP="006C401D">
      <w:pPr>
        <w:spacing w:after="0" w:line="240" w:lineRule="auto"/>
        <w:ind w:firstLine="284"/>
        <w:jc w:val="both"/>
        <w:rPr>
          <w:rFonts w:ascii="Book Antiqua" w:eastAsia="Book Antiqua" w:hAnsi="Book Antiqua" w:cs="Book Antiqua"/>
          <w:sz w:val="24"/>
          <w:szCs w:val="24"/>
        </w:rPr>
      </w:pPr>
      <w:r w:rsidRPr="00B30105">
        <w:rPr>
          <w:rFonts w:ascii="Book Antiqua" w:eastAsia="Book Antiqua" w:hAnsi="Book Antiqua" w:cs="Book Antiqua"/>
          <w:sz w:val="24"/>
          <w:szCs w:val="24"/>
        </w:rPr>
        <w:t>The objectives of this study are: (1) to analyze the provisions of Indonesia’s positive legal system that govern the recognition of professional zakat as a deductible component of income tax; (2) to examine the implementation of such recognition at the Zakat Management Organization of Yayasan Dana Sosial Al-Falah (LAZ YDSF) in Malang City; and (3) to provide both academic and practical contributions to the development of zakat and tax law in Indonesia by positioning professional zakat as a tax-deductible instrument, thereby strengthening the integration between religious and fiscal obligations in an effective manner</w:t>
      </w:r>
      <w:r w:rsidR="006C401D" w:rsidRPr="006C401D">
        <w:rPr>
          <w:rFonts w:ascii="Book Antiqua" w:eastAsia="Book Antiqua" w:hAnsi="Book Antiqua" w:cs="Book Antiqua"/>
          <w:sz w:val="24"/>
          <w:szCs w:val="24"/>
        </w:rPr>
        <w:t>.</w:t>
      </w:r>
    </w:p>
    <w:p w14:paraId="75C53AF3" w14:textId="00866905" w:rsidR="006C401D" w:rsidRPr="006C401D" w:rsidRDefault="00B30105" w:rsidP="006C401D">
      <w:pPr>
        <w:spacing w:after="0" w:line="240" w:lineRule="auto"/>
        <w:ind w:firstLine="284"/>
        <w:jc w:val="both"/>
        <w:rPr>
          <w:rFonts w:ascii="Book Antiqua" w:eastAsia="Book Antiqua" w:hAnsi="Book Antiqua" w:cs="Book Antiqua"/>
          <w:sz w:val="24"/>
          <w:szCs w:val="24"/>
        </w:rPr>
      </w:pPr>
      <w:r w:rsidRPr="00B30105">
        <w:rPr>
          <w:rFonts w:ascii="Book Antiqua" w:eastAsia="Book Antiqua" w:hAnsi="Book Antiqua" w:cs="Book Antiqua"/>
          <w:sz w:val="24"/>
          <w:szCs w:val="24"/>
        </w:rPr>
        <w:t xml:space="preserve">A study conducted by Ridho Fathullah in 2021 found that the payroll-based zakat payment mechanism has proven effective in facilitating employees in fulfilling their zakat obligations. However, the effectiveness of the payroll system’s implementation remains </w:t>
      </w:r>
      <w:r w:rsidRPr="00B30105">
        <w:rPr>
          <w:rFonts w:ascii="Book Antiqua" w:eastAsia="Book Antiqua" w:hAnsi="Book Antiqua" w:cs="Book Antiqua"/>
          <w:sz w:val="24"/>
          <w:szCs w:val="24"/>
        </w:rPr>
        <w:lastRenderedPageBreak/>
        <w:t>suboptimal. This is primarily due to the lack of coordination and synergy between Zakat Management Organizations and the Directorate General of Taxes</w:t>
      </w:r>
      <w:r w:rsidR="006C401D" w:rsidRPr="006C401D">
        <w:rPr>
          <w:rFonts w:ascii="Book Antiqua" w:eastAsia="Book Antiqua" w:hAnsi="Book Antiqua" w:cs="Book Antiqua"/>
          <w:sz w:val="24"/>
          <w:szCs w:val="24"/>
        </w:rPr>
        <w:t>.</w:t>
      </w:r>
      <w:r w:rsidR="004E2AE2">
        <w:rPr>
          <w:rStyle w:val="FootnoteReference"/>
          <w:rFonts w:ascii="Book Antiqua" w:eastAsia="Book Antiqua" w:hAnsi="Book Antiqua" w:cs="Book Antiqua"/>
          <w:sz w:val="24"/>
          <w:szCs w:val="24"/>
        </w:rPr>
        <w:footnoteReference w:id="6"/>
      </w:r>
    </w:p>
    <w:p w14:paraId="2A737271" w14:textId="2ECDF9E3" w:rsidR="006C401D" w:rsidRPr="00B30105" w:rsidRDefault="00B30105" w:rsidP="006C401D">
      <w:pPr>
        <w:spacing w:after="0" w:line="240" w:lineRule="auto"/>
        <w:ind w:firstLine="284"/>
        <w:jc w:val="both"/>
        <w:rPr>
          <w:rFonts w:ascii="Book Antiqua" w:eastAsia="Book Antiqua" w:hAnsi="Book Antiqua" w:cs="Book Antiqua"/>
          <w:sz w:val="24"/>
          <w:szCs w:val="24"/>
        </w:rPr>
      </w:pPr>
      <w:r w:rsidRPr="00B30105">
        <w:rPr>
          <w:rFonts w:ascii="Book Antiqua" w:eastAsia="Book Antiqua" w:hAnsi="Book Antiqua" w:cs="Book Antiqua"/>
          <w:sz w:val="24"/>
          <w:szCs w:val="24"/>
        </w:rPr>
        <w:t>Previous studies have highlighted the urgency of recognizing zakat as a relevant instrument within the macroeconomic context of Indonesia. However, the implementation of professional zakat as a deduction from income tax within the national legal framework still faces various obstacles. As stated by Maulida and Ulfah (2023), although normatively Article 22 of Law No. 23 of 2011 stipulates that zakat paid through BAZNAS or LAZ can be deducted from taxable income, in practice, this regulation has not been effectively implemented. The main barriers lie in the lack of coordination between zakat management institutions and tax authorities, as well as limited public outreach to the muzakki</w:t>
      </w:r>
      <w:r w:rsidR="006C401D" w:rsidRPr="00B30105">
        <w:rPr>
          <w:rFonts w:ascii="Book Antiqua" w:eastAsia="Book Antiqua" w:hAnsi="Book Antiqua" w:cs="Book Antiqua"/>
          <w:sz w:val="24"/>
          <w:szCs w:val="24"/>
        </w:rPr>
        <w:t>.</w:t>
      </w:r>
      <w:r w:rsidR="004E2AE2">
        <w:rPr>
          <w:rStyle w:val="FootnoteReference"/>
          <w:rFonts w:ascii="Book Antiqua" w:eastAsia="Book Antiqua" w:hAnsi="Book Antiqua" w:cs="Book Antiqua"/>
          <w:sz w:val="24"/>
          <w:szCs w:val="24"/>
          <w:lang w:val="fi-FI"/>
        </w:rPr>
        <w:footnoteReference w:id="7"/>
      </w:r>
    </w:p>
    <w:p w14:paraId="29FA1DC3" w14:textId="52CFD7F3" w:rsidR="006C401D" w:rsidRPr="006B038A" w:rsidRDefault="006B038A" w:rsidP="006C401D">
      <w:pPr>
        <w:spacing w:after="0" w:line="240" w:lineRule="auto"/>
        <w:ind w:firstLine="284"/>
        <w:jc w:val="both"/>
        <w:rPr>
          <w:rFonts w:ascii="Book Antiqua" w:eastAsia="Book Antiqua" w:hAnsi="Book Antiqua" w:cs="Book Antiqua"/>
          <w:sz w:val="24"/>
          <w:szCs w:val="24"/>
        </w:rPr>
      </w:pPr>
      <w:r w:rsidRPr="006B038A">
        <w:rPr>
          <w:rFonts w:ascii="Book Antiqua" w:eastAsia="Book Antiqua" w:hAnsi="Book Antiqua" w:cs="Book Antiqua"/>
          <w:sz w:val="24"/>
          <w:szCs w:val="24"/>
        </w:rPr>
        <w:t>An analysis of previous research indicates that although several studies have examined the relationship between zakat and taxation, there has not yet been a comprehensive study specifically addressing the recognition of professional zakat as a deduction from income tax (PPh) within the framework of Indonesia's positive law. This issue is urgent, considering that Indonesia, as a country with a Muslim-majority population, possesses significant potential in professional zakat, which has not yet been optimally utilized</w:t>
      </w:r>
      <w:r w:rsidR="006C401D" w:rsidRPr="006B038A">
        <w:rPr>
          <w:rFonts w:ascii="Book Antiqua" w:eastAsia="Book Antiqua" w:hAnsi="Book Antiqua" w:cs="Book Antiqua"/>
          <w:sz w:val="24"/>
          <w:szCs w:val="24"/>
        </w:rPr>
        <w:t>.</w:t>
      </w:r>
    </w:p>
    <w:p w14:paraId="69CB3574" w14:textId="77777777" w:rsidR="006B038A" w:rsidRDefault="006B038A" w:rsidP="006C401D">
      <w:pPr>
        <w:spacing w:after="0" w:line="240" w:lineRule="auto"/>
        <w:ind w:firstLine="284"/>
        <w:jc w:val="both"/>
        <w:rPr>
          <w:rFonts w:ascii="Book Antiqua" w:eastAsia="Book Antiqua" w:hAnsi="Book Antiqua" w:cs="Book Antiqua"/>
          <w:sz w:val="24"/>
          <w:szCs w:val="24"/>
        </w:rPr>
      </w:pPr>
      <w:r w:rsidRPr="006B038A">
        <w:rPr>
          <w:rFonts w:ascii="Book Antiqua" w:eastAsia="Book Antiqua" w:hAnsi="Book Antiqua" w:cs="Book Antiqua"/>
          <w:sz w:val="24"/>
          <w:szCs w:val="24"/>
        </w:rPr>
        <w:t>The limitations in the existing literature highlight the need for a more in-depth study on the legal regulation and implementation of professional zakat. Through a more systematic and analytical approach, this research is expected to serve as a reference for policymakers, academics, and practitioners in the fields of zakat and taxation.</w:t>
      </w:r>
    </w:p>
    <w:p w14:paraId="362D2C36" w14:textId="2B2CD3BD" w:rsidR="006C401D" w:rsidRPr="006B038A" w:rsidRDefault="006B038A" w:rsidP="006C401D">
      <w:pPr>
        <w:spacing w:after="0" w:line="240" w:lineRule="auto"/>
        <w:ind w:firstLine="284"/>
        <w:jc w:val="both"/>
        <w:rPr>
          <w:rFonts w:ascii="Book Antiqua" w:eastAsia="Book Antiqua" w:hAnsi="Book Antiqua" w:cs="Book Antiqua"/>
          <w:sz w:val="24"/>
          <w:szCs w:val="24"/>
        </w:rPr>
      </w:pPr>
      <w:r w:rsidRPr="006B038A">
        <w:rPr>
          <w:rFonts w:ascii="Book Antiqua" w:eastAsia="Book Antiqua" w:hAnsi="Book Antiqua" w:cs="Book Antiqua"/>
          <w:sz w:val="24"/>
          <w:szCs w:val="24"/>
        </w:rPr>
        <w:t>The novelty of this study lies in its analytical approach that connects the regulation of professional zakat with the taxation system in Indonesia. This study not only provides an analysis of the recognition of professional zakat as a deduction from income tax but also explores the social and economic benefits of such recognition, as well as the challenges faced by zakat management institutions in its implementation. This research is expected to make a significant contribution to the development of a more inclusive tax policy framework that accommodates professional zakat, while also increasing public awareness of the obligation to pay zakat.</w:t>
      </w:r>
    </w:p>
    <w:p w14:paraId="226E1290" w14:textId="77777777" w:rsidR="002C2ABF" w:rsidRPr="006B038A" w:rsidRDefault="002C2ABF" w:rsidP="00164772">
      <w:pPr>
        <w:spacing w:after="0" w:line="240" w:lineRule="auto"/>
        <w:rPr>
          <w:rFonts w:ascii="Book Antiqua" w:eastAsia="Book Antiqua" w:hAnsi="Book Antiqua" w:cs="Book Antiqua"/>
          <w:sz w:val="24"/>
          <w:szCs w:val="24"/>
        </w:rPr>
      </w:pPr>
    </w:p>
    <w:p w14:paraId="73CAF4ED" w14:textId="3D657109" w:rsidR="002C2ABF" w:rsidRPr="004A2676" w:rsidRDefault="00012141" w:rsidP="00164772">
      <w:pPr>
        <w:pStyle w:val="Heading2"/>
        <w:spacing w:after="0"/>
        <w:rPr>
          <w:rFonts w:ascii="Book Antiqua" w:eastAsia="Book Antiqua" w:hAnsi="Book Antiqua" w:cs="Book Antiqua"/>
          <w:b/>
          <w:color w:val="4472C4"/>
          <w:sz w:val="28"/>
        </w:rPr>
      </w:pPr>
      <w:r w:rsidRPr="00012141">
        <w:rPr>
          <w:rFonts w:ascii="Book Antiqua" w:eastAsia="Book Antiqua" w:hAnsi="Book Antiqua" w:cs="Book Antiqua"/>
          <w:b/>
          <w:color w:val="0070C0"/>
        </w:rPr>
        <w:t>METHODS OF THE RESEARCH</w:t>
      </w:r>
    </w:p>
    <w:p w14:paraId="6482D4B6" w14:textId="59FBA6E6" w:rsidR="002C2ABF" w:rsidRPr="004B7162" w:rsidRDefault="006B038A" w:rsidP="00164772">
      <w:pPr>
        <w:spacing w:after="0" w:line="240" w:lineRule="auto"/>
        <w:ind w:firstLine="284"/>
        <w:jc w:val="both"/>
        <w:rPr>
          <w:rFonts w:ascii="Book Antiqua" w:eastAsia="Book Antiqua" w:hAnsi="Book Antiqua" w:cs="Book Antiqua"/>
          <w:color w:val="000000"/>
          <w:sz w:val="24"/>
          <w:szCs w:val="24"/>
        </w:rPr>
      </w:pPr>
      <w:r w:rsidRPr="006B038A">
        <w:rPr>
          <w:rFonts w:ascii="Book Antiqua" w:eastAsia="Book Antiqua" w:hAnsi="Book Antiqua" w:cs="Book Antiqua"/>
          <w:color w:val="000000"/>
          <w:sz w:val="24"/>
          <w:szCs w:val="24"/>
        </w:rPr>
        <w:t>This research employs a normative legal research method. This method focuses on the study of legal norms within a specific legal system, providing an in-depth understanding of the applicable rules relevant to the issues being examined</w:t>
      </w:r>
      <w:r w:rsidR="00846E57" w:rsidRPr="006B038A">
        <w:rPr>
          <w:rFonts w:ascii="Book Antiqua" w:eastAsia="Book Antiqua" w:hAnsi="Book Antiqua" w:cs="Book Antiqua"/>
          <w:color w:val="000000"/>
          <w:sz w:val="24"/>
          <w:szCs w:val="24"/>
        </w:rPr>
        <w:t>.</w:t>
      </w:r>
      <w:r w:rsidR="00BB5115">
        <w:rPr>
          <w:rStyle w:val="FootnoteReference"/>
          <w:rFonts w:ascii="Book Antiqua" w:eastAsia="Book Antiqua" w:hAnsi="Book Antiqua" w:cs="Book Antiqua"/>
          <w:color w:val="000000"/>
          <w:sz w:val="24"/>
          <w:szCs w:val="24"/>
          <w:lang w:val="fi-FI"/>
        </w:rPr>
        <w:footnoteReference w:id="8"/>
      </w:r>
      <w:r w:rsidR="00846E57" w:rsidRPr="006B038A">
        <w:rPr>
          <w:rFonts w:ascii="Book Antiqua" w:eastAsia="Book Antiqua" w:hAnsi="Book Antiqua" w:cs="Book Antiqua"/>
          <w:color w:val="000000"/>
          <w:sz w:val="24"/>
          <w:szCs w:val="24"/>
        </w:rPr>
        <w:t xml:space="preserve"> </w:t>
      </w:r>
      <w:r w:rsidRPr="006B038A">
        <w:rPr>
          <w:rFonts w:ascii="Book Antiqua" w:eastAsia="Book Antiqua" w:hAnsi="Book Antiqua" w:cs="Book Antiqua"/>
          <w:color w:val="000000"/>
          <w:sz w:val="24"/>
          <w:szCs w:val="24"/>
        </w:rPr>
        <w:t>Two main approaches are used in this study: the statute approach and the conceptual approach.</w:t>
      </w:r>
      <w:r w:rsidR="00846E57" w:rsidRPr="00846E57">
        <w:rPr>
          <w:rFonts w:ascii="Book Antiqua" w:eastAsia="Book Antiqua" w:hAnsi="Book Antiqua" w:cs="Book Antiqua"/>
          <w:color w:val="000000"/>
          <w:sz w:val="24"/>
          <w:szCs w:val="24"/>
        </w:rPr>
        <w:t xml:space="preserve"> </w:t>
      </w:r>
      <w:r w:rsidRPr="006B038A">
        <w:rPr>
          <w:rFonts w:ascii="Book Antiqua" w:eastAsia="Book Antiqua" w:hAnsi="Book Antiqua" w:cs="Book Antiqua"/>
          <w:color w:val="000000"/>
          <w:sz w:val="24"/>
          <w:szCs w:val="24"/>
        </w:rPr>
        <w:t>The statute approach serves as a crucial initial step in normative legal research. This is because written regulations are considered the legal foundation that plays a central role in resolving legal issues</w:t>
      </w:r>
      <w:r w:rsidR="00846E57" w:rsidRPr="00846E57">
        <w:rPr>
          <w:rFonts w:ascii="Book Antiqua" w:eastAsia="Book Antiqua" w:hAnsi="Book Antiqua" w:cs="Book Antiqua"/>
          <w:color w:val="000000"/>
          <w:sz w:val="24"/>
          <w:szCs w:val="24"/>
        </w:rPr>
        <w:t>.</w:t>
      </w:r>
      <w:r w:rsidR="00BB5115">
        <w:rPr>
          <w:rStyle w:val="FootnoteReference"/>
          <w:rFonts w:ascii="Book Antiqua" w:eastAsia="Book Antiqua" w:hAnsi="Book Antiqua" w:cs="Book Antiqua"/>
          <w:color w:val="000000"/>
          <w:sz w:val="24"/>
          <w:szCs w:val="24"/>
        </w:rPr>
        <w:footnoteReference w:id="9"/>
      </w:r>
      <w:r w:rsidR="00846E57" w:rsidRPr="00846E57">
        <w:rPr>
          <w:rFonts w:ascii="Book Antiqua" w:eastAsia="Book Antiqua" w:hAnsi="Book Antiqua" w:cs="Book Antiqua"/>
          <w:color w:val="000000"/>
          <w:sz w:val="24"/>
          <w:szCs w:val="24"/>
        </w:rPr>
        <w:t xml:space="preserve"> </w:t>
      </w:r>
      <w:r w:rsidRPr="006B038A">
        <w:rPr>
          <w:rFonts w:ascii="Book Antiqua" w:eastAsia="Book Antiqua" w:hAnsi="Book Antiqua" w:cs="Book Antiqua"/>
          <w:color w:val="000000"/>
          <w:sz w:val="24"/>
          <w:szCs w:val="24"/>
        </w:rPr>
        <w:t>Meanwhile, the conceptual approach, as explained by Peter Mahmud Marzuki, emphasizes the study of legal concepts that underlie the formation and interpretation of legal rules. This approach aims to explore, analyze, and understand the fundamental principles underlying a legal regulation, thereby enabling a deeper and more accurate interpretation of those legal norms</w:t>
      </w:r>
      <w:r w:rsidR="00846E57" w:rsidRPr="00846E57">
        <w:rPr>
          <w:rFonts w:ascii="Book Antiqua" w:eastAsia="Book Antiqua" w:hAnsi="Book Antiqua" w:cs="Book Antiqua"/>
          <w:color w:val="000000"/>
          <w:sz w:val="24"/>
          <w:szCs w:val="24"/>
        </w:rPr>
        <w:t>.</w:t>
      </w:r>
      <w:r w:rsidR="00B3571A">
        <w:rPr>
          <w:rStyle w:val="FootnoteReference"/>
          <w:rFonts w:ascii="Book Antiqua" w:eastAsia="Book Antiqua" w:hAnsi="Book Antiqua" w:cs="Book Antiqua"/>
          <w:color w:val="000000"/>
          <w:sz w:val="24"/>
          <w:szCs w:val="24"/>
        </w:rPr>
        <w:footnoteReference w:id="10"/>
      </w:r>
      <w:r w:rsidR="004B7162">
        <w:t xml:space="preserve"> </w:t>
      </w:r>
      <w:r w:rsidRPr="006B038A">
        <w:rPr>
          <w:rFonts w:ascii="Book Antiqua" w:eastAsia="Book Antiqua" w:hAnsi="Book Antiqua" w:cs="Book Antiqua"/>
          <w:color w:val="000000"/>
          <w:sz w:val="24"/>
          <w:szCs w:val="24"/>
        </w:rPr>
        <w:t xml:space="preserve">The legal sources used in this research consist of primary and secondary legal </w:t>
      </w:r>
      <w:r w:rsidRPr="006B038A">
        <w:rPr>
          <w:rFonts w:ascii="Book Antiqua" w:eastAsia="Book Antiqua" w:hAnsi="Book Antiqua" w:cs="Book Antiqua"/>
          <w:color w:val="000000"/>
          <w:sz w:val="24"/>
          <w:szCs w:val="24"/>
        </w:rPr>
        <w:lastRenderedPageBreak/>
        <w:t>materials. Primary legal materials are binding sources that directly reflect the prevailing legal provisions. In contrast, secondary legal materials are not binding but serve as supportive resources, offering explanations or analyses of the primary legal materials</w:t>
      </w:r>
      <w:r w:rsidR="004B7162" w:rsidRPr="004B7162">
        <w:rPr>
          <w:rFonts w:ascii="Book Antiqua" w:eastAsia="Book Antiqua" w:hAnsi="Book Antiqua" w:cs="Book Antiqua"/>
          <w:color w:val="000000"/>
          <w:sz w:val="24"/>
          <w:szCs w:val="24"/>
        </w:rPr>
        <w:t>.</w:t>
      </w:r>
      <w:r w:rsidR="004B7162">
        <w:rPr>
          <w:rStyle w:val="FootnoteReference"/>
          <w:rFonts w:ascii="Book Antiqua" w:eastAsia="Book Antiqua" w:hAnsi="Book Antiqua" w:cs="Book Antiqua"/>
          <w:color w:val="000000"/>
          <w:sz w:val="24"/>
          <w:szCs w:val="24"/>
        </w:rPr>
        <w:footnoteReference w:id="11"/>
      </w:r>
    </w:p>
    <w:p w14:paraId="50A60353" w14:textId="77777777" w:rsidR="004B7162" w:rsidRDefault="004B7162" w:rsidP="00EA79CB">
      <w:pPr>
        <w:spacing w:after="0" w:line="240" w:lineRule="auto"/>
        <w:ind w:firstLine="284"/>
        <w:jc w:val="both"/>
        <w:rPr>
          <w:rFonts w:ascii="Book Antiqua" w:eastAsia="Book Antiqua" w:hAnsi="Book Antiqua" w:cs="Book Antiqua"/>
          <w:color w:val="000000"/>
          <w:sz w:val="24"/>
          <w:szCs w:val="24"/>
        </w:rPr>
      </w:pPr>
    </w:p>
    <w:p w14:paraId="0A272828" w14:textId="06D85611" w:rsidR="002C2ABF" w:rsidRPr="00982592" w:rsidRDefault="00982592" w:rsidP="002853CA">
      <w:pPr>
        <w:pStyle w:val="Heading2"/>
        <w:spacing w:after="0"/>
        <w:rPr>
          <w:rFonts w:ascii="Book Antiqua" w:eastAsia="Book Antiqua" w:hAnsi="Book Antiqua" w:cs="Book Antiqua"/>
          <w:b/>
          <w:color w:val="2F5496"/>
        </w:rPr>
      </w:pPr>
      <w:r w:rsidRPr="00982592">
        <w:rPr>
          <w:rFonts w:ascii="Book Antiqua" w:eastAsia="Book Antiqua" w:hAnsi="Book Antiqua" w:cs="Book Antiqua"/>
          <w:b/>
          <w:color w:val="0070C0"/>
        </w:rPr>
        <w:t>RESULTS AND DISCUSSION</w:t>
      </w:r>
    </w:p>
    <w:p w14:paraId="603A6949" w14:textId="144F099E" w:rsidR="008E3EE1" w:rsidRPr="00982592" w:rsidRDefault="00982592" w:rsidP="002853CA">
      <w:pPr>
        <w:pStyle w:val="ListParagraph"/>
        <w:numPr>
          <w:ilvl w:val="0"/>
          <w:numId w:val="3"/>
        </w:numPr>
        <w:spacing w:after="0" w:line="240" w:lineRule="auto"/>
        <w:ind w:left="360"/>
        <w:jc w:val="both"/>
        <w:rPr>
          <w:rFonts w:ascii="Book Antiqua" w:eastAsia="Book Antiqua" w:hAnsi="Book Antiqua" w:cs="Book Antiqua"/>
          <w:b/>
          <w:bCs/>
          <w:color w:val="000000"/>
          <w:sz w:val="24"/>
          <w:szCs w:val="24"/>
        </w:rPr>
      </w:pPr>
      <w:r w:rsidRPr="00982592">
        <w:rPr>
          <w:rFonts w:ascii="Book Antiqua" w:eastAsia="Book Antiqua" w:hAnsi="Book Antiqua" w:cs="Book Antiqua"/>
          <w:b/>
          <w:bCs/>
          <w:color w:val="000000"/>
          <w:sz w:val="24"/>
          <w:szCs w:val="24"/>
        </w:rPr>
        <w:t>Positive Legal Regulations in Indonesia Governing the Recognition of Professional Zakat as a Deduction from Income Tax in the Perspective of the National Legal System</w:t>
      </w:r>
    </w:p>
    <w:p w14:paraId="165C52A0" w14:textId="6F649AD8" w:rsidR="008E3EE1" w:rsidRPr="00266A90" w:rsidRDefault="00266A90" w:rsidP="001A0379">
      <w:pPr>
        <w:pStyle w:val="ListParagraph"/>
        <w:spacing w:before="240" w:after="120" w:line="240" w:lineRule="auto"/>
        <w:ind w:left="360" w:firstLine="360"/>
        <w:jc w:val="both"/>
        <w:rPr>
          <w:rFonts w:ascii="Book Antiqua" w:eastAsia="Book Antiqua" w:hAnsi="Book Antiqua" w:cs="Book Antiqua"/>
          <w:color w:val="000000"/>
          <w:sz w:val="24"/>
          <w:szCs w:val="24"/>
        </w:rPr>
      </w:pPr>
      <w:r w:rsidRPr="00266A90">
        <w:rPr>
          <w:rFonts w:ascii="Book Antiqua" w:eastAsia="Book Antiqua" w:hAnsi="Book Antiqua" w:cs="Book Antiqua"/>
          <w:color w:val="000000"/>
          <w:sz w:val="24"/>
          <w:szCs w:val="24"/>
        </w:rPr>
        <w:t>In the Indonesian national legal system, positive law refers to a set of norms derived from legislation, jurisprudence, and legal doctrines that are officially enacted by the state</w:t>
      </w:r>
      <w:r w:rsidR="008E3EE1" w:rsidRPr="00982592">
        <w:rPr>
          <w:rFonts w:ascii="Book Antiqua" w:eastAsia="Book Antiqua" w:hAnsi="Book Antiqua" w:cs="Book Antiqua"/>
          <w:color w:val="000000"/>
          <w:sz w:val="24"/>
          <w:szCs w:val="24"/>
        </w:rPr>
        <w:t>.</w:t>
      </w:r>
      <w:r w:rsidR="00416840">
        <w:rPr>
          <w:rStyle w:val="FootnoteReference"/>
          <w:rFonts w:ascii="Book Antiqua" w:eastAsia="Book Antiqua" w:hAnsi="Book Antiqua" w:cs="Book Antiqua"/>
          <w:color w:val="000000"/>
          <w:sz w:val="24"/>
          <w:szCs w:val="24"/>
          <w:lang w:val="fi-FI"/>
        </w:rPr>
        <w:footnoteReference w:id="12"/>
      </w:r>
      <w:r w:rsidR="008E3EE1" w:rsidRPr="00982592">
        <w:rPr>
          <w:rFonts w:ascii="Book Antiqua" w:eastAsia="Book Antiqua" w:hAnsi="Book Antiqua" w:cs="Book Antiqua"/>
          <w:color w:val="000000"/>
          <w:sz w:val="24"/>
          <w:szCs w:val="24"/>
        </w:rPr>
        <w:t xml:space="preserve"> </w:t>
      </w:r>
      <w:r w:rsidRPr="00266A90">
        <w:rPr>
          <w:rFonts w:ascii="Book Antiqua" w:eastAsia="Book Antiqua" w:hAnsi="Book Antiqua" w:cs="Book Antiqua"/>
          <w:color w:val="000000"/>
          <w:sz w:val="24"/>
          <w:szCs w:val="24"/>
        </w:rPr>
        <w:t>Positive law functions as a normative instrument that ensures legal certainty for every citizen, including in matters related to state financial obligations such as taxes and zakat</w:t>
      </w:r>
      <w:r w:rsidR="008E3EE1" w:rsidRPr="00266A90">
        <w:rPr>
          <w:rFonts w:ascii="Book Antiqua" w:eastAsia="Book Antiqua" w:hAnsi="Book Antiqua" w:cs="Book Antiqua"/>
          <w:color w:val="000000"/>
          <w:sz w:val="24"/>
          <w:szCs w:val="24"/>
        </w:rPr>
        <w:t>.</w:t>
      </w:r>
      <w:r w:rsidR="00185B96">
        <w:rPr>
          <w:rStyle w:val="FootnoteReference"/>
          <w:rFonts w:ascii="Book Antiqua" w:eastAsia="Book Antiqua" w:hAnsi="Book Antiqua" w:cs="Book Antiqua"/>
          <w:color w:val="000000"/>
          <w:sz w:val="24"/>
          <w:szCs w:val="24"/>
          <w:lang w:val="fi-FI"/>
        </w:rPr>
        <w:footnoteReference w:id="13"/>
      </w:r>
    </w:p>
    <w:p w14:paraId="6EDA8563" w14:textId="0CCF2ED4" w:rsidR="008E3EE1" w:rsidRPr="00266A90" w:rsidRDefault="00266A90" w:rsidP="001A0379">
      <w:pPr>
        <w:pStyle w:val="ListParagraph"/>
        <w:spacing w:after="120" w:line="240" w:lineRule="auto"/>
        <w:ind w:left="360" w:firstLine="360"/>
        <w:jc w:val="both"/>
        <w:rPr>
          <w:rFonts w:ascii="Book Antiqua" w:eastAsia="Book Antiqua" w:hAnsi="Book Antiqua" w:cs="Book Antiqua"/>
          <w:color w:val="000000"/>
          <w:sz w:val="24"/>
          <w:szCs w:val="24"/>
        </w:rPr>
      </w:pPr>
      <w:r w:rsidRPr="00266A90">
        <w:rPr>
          <w:rFonts w:ascii="Book Antiqua" w:eastAsia="Book Antiqua" w:hAnsi="Book Antiqua" w:cs="Book Antiqua"/>
          <w:color w:val="000000"/>
          <w:sz w:val="24"/>
          <w:szCs w:val="24"/>
        </w:rPr>
        <w:t>Taxes are mandatory contributions to the state that are coercive in nature based on laws, without direct compensation (Law Number 6 of 1983 in conjunction with Law Number 36 of 2008 concerning Income Tax). Meanwhile, zakat is a religious obligation for Muslims that also carries social and economic implications. In the modern context, zakat</w:t>
      </w:r>
      <w:r>
        <w:rPr>
          <w:rFonts w:ascii="Book Antiqua" w:eastAsia="Book Antiqua" w:hAnsi="Book Antiqua" w:cs="Book Antiqua"/>
          <w:color w:val="000000"/>
          <w:sz w:val="24"/>
          <w:szCs w:val="24"/>
        </w:rPr>
        <w:t xml:space="preserve"> </w:t>
      </w:r>
      <w:r w:rsidRPr="00266A90">
        <w:rPr>
          <w:rFonts w:ascii="Book Antiqua" w:eastAsia="Book Antiqua" w:hAnsi="Book Antiqua" w:cs="Book Antiqua"/>
          <w:color w:val="000000"/>
          <w:sz w:val="24"/>
          <w:szCs w:val="24"/>
        </w:rPr>
        <w:t>especially professional zakat</w:t>
      </w:r>
      <w:r>
        <w:rPr>
          <w:rFonts w:ascii="Book Antiqua" w:eastAsia="Book Antiqua" w:hAnsi="Book Antiqua" w:cs="Book Antiqua"/>
          <w:color w:val="000000"/>
          <w:sz w:val="24"/>
          <w:szCs w:val="24"/>
        </w:rPr>
        <w:t xml:space="preserve"> </w:t>
      </w:r>
      <w:r w:rsidRPr="00266A90">
        <w:rPr>
          <w:rFonts w:ascii="Book Antiqua" w:eastAsia="Book Antiqua" w:hAnsi="Book Antiqua" w:cs="Book Antiqua"/>
          <w:color w:val="000000"/>
          <w:sz w:val="24"/>
          <w:szCs w:val="24"/>
        </w:rPr>
        <w:t>not only functions as a religious ritual but also serves as an alternative fiscal instrument</w:t>
      </w:r>
      <w:r w:rsidR="008E3EE1" w:rsidRPr="00266A90">
        <w:rPr>
          <w:rFonts w:ascii="Book Antiqua" w:eastAsia="Book Antiqua" w:hAnsi="Book Antiqua" w:cs="Book Antiqua"/>
          <w:color w:val="000000"/>
          <w:sz w:val="24"/>
          <w:szCs w:val="24"/>
        </w:rPr>
        <w:t>.</w:t>
      </w:r>
      <w:r w:rsidR="00185B96">
        <w:rPr>
          <w:rStyle w:val="FootnoteReference"/>
          <w:rFonts w:ascii="Book Antiqua" w:eastAsia="Book Antiqua" w:hAnsi="Book Antiqua" w:cs="Book Antiqua"/>
          <w:color w:val="000000"/>
          <w:sz w:val="24"/>
          <w:szCs w:val="24"/>
          <w:lang w:val="fi-FI"/>
        </w:rPr>
        <w:footnoteReference w:id="14"/>
      </w:r>
      <w:r w:rsidR="008E3EE1" w:rsidRPr="00266A90">
        <w:rPr>
          <w:rFonts w:ascii="Book Antiqua" w:eastAsia="Book Antiqua" w:hAnsi="Book Antiqua" w:cs="Book Antiqua"/>
          <w:color w:val="000000"/>
          <w:sz w:val="24"/>
          <w:szCs w:val="24"/>
        </w:rPr>
        <w:t xml:space="preserve"> </w:t>
      </w:r>
    </w:p>
    <w:p w14:paraId="02E75323" w14:textId="6BE1A4CC" w:rsidR="00DC1D9F" w:rsidRPr="00266A90" w:rsidRDefault="00266A90" w:rsidP="001A0379">
      <w:pPr>
        <w:pStyle w:val="ListParagraph"/>
        <w:spacing w:after="120" w:line="240" w:lineRule="auto"/>
        <w:ind w:left="360" w:firstLine="360"/>
        <w:jc w:val="both"/>
        <w:rPr>
          <w:rFonts w:ascii="Book Antiqua" w:eastAsia="Book Antiqua" w:hAnsi="Book Antiqua" w:cs="Book Antiqua"/>
          <w:color w:val="000000"/>
          <w:sz w:val="24"/>
          <w:szCs w:val="24"/>
        </w:rPr>
      </w:pPr>
      <w:r w:rsidRPr="00266A90">
        <w:rPr>
          <w:rFonts w:ascii="Book Antiqua" w:eastAsia="Book Antiqua" w:hAnsi="Book Antiqua" w:cs="Book Antiqua"/>
          <w:color w:val="000000"/>
          <w:sz w:val="24"/>
          <w:szCs w:val="24"/>
        </w:rPr>
        <w:t>From a juridical perspective, the recognition of zakat as a tax deduction has been accommodated in several important regulations</w:t>
      </w:r>
      <w:r w:rsidR="008E3EE1" w:rsidRPr="00266A90">
        <w:rPr>
          <w:rFonts w:ascii="Book Antiqua" w:eastAsia="Book Antiqua" w:hAnsi="Book Antiqua" w:cs="Book Antiqua"/>
          <w:color w:val="000000"/>
          <w:sz w:val="24"/>
          <w:szCs w:val="24"/>
        </w:rPr>
        <w:t>:</w:t>
      </w:r>
    </w:p>
    <w:p w14:paraId="2A7AE6D9" w14:textId="0E677B15" w:rsidR="00DC1D9F" w:rsidRPr="00EE2EFA" w:rsidRDefault="00EE2EFA" w:rsidP="001A0379">
      <w:pPr>
        <w:pStyle w:val="ListParagraph"/>
        <w:numPr>
          <w:ilvl w:val="0"/>
          <w:numId w:val="4"/>
        </w:numPr>
        <w:spacing w:after="120" w:line="240" w:lineRule="auto"/>
        <w:ind w:left="1260"/>
        <w:jc w:val="both"/>
        <w:rPr>
          <w:rFonts w:ascii="Book Antiqua" w:eastAsia="Book Antiqua" w:hAnsi="Book Antiqua" w:cs="Book Antiqua"/>
          <w:color w:val="000000"/>
          <w:sz w:val="24"/>
          <w:szCs w:val="24"/>
        </w:rPr>
      </w:pPr>
      <w:r w:rsidRPr="00EE2EFA">
        <w:rPr>
          <w:rFonts w:ascii="Book Antiqua" w:eastAsia="Book Antiqua" w:hAnsi="Book Antiqua" w:cs="Book Antiqua"/>
          <w:color w:val="000000"/>
          <w:sz w:val="24"/>
          <w:szCs w:val="24"/>
        </w:rPr>
        <w:t>Law Number 23 of 2011 on Zakat Management</w:t>
      </w:r>
      <w:r w:rsidR="00DC1D9F" w:rsidRPr="00EE2EFA">
        <w:rPr>
          <w:rFonts w:ascii="Book Antiqua" w:eastAsia="Book Antiqua" w:hAnsi="Book Antiqua" w:cs="Book Antiqua"/>
          <w:color w:val="000000"/>
          <w:sz w:val="24"/>
          <w:szCs w:val="24"/>
        </w:rPr>
        <w:t xml:space="preserve">, </w:t>
      </w:r>
      <w:r w:rsidRPr="00EE2EFA">
        <w:rPr>
          <w:rFonts w:ascii="Book Antiqua" w:eastAsia="Book Antiqua" w:hAnsi="Book Antiqua" w:cs="Book Antiqua"/>
          <w:color w:val="000000"/>
          <w:sz w:val="24"/>
          <w:szCs w:val="24"/>
        </w:rPr>
        <w:t>This law regulates that zakat paid to the National Amil Zakat Agency (BAZNAS) and officially recognized Amil Zakat Institutions (LAZ) may receive special treatment within the tax system. Article 22 of this law states that “zakat paid by the muzaki (zakat payer) to BAZNAS or LAZ established or authorized by the government can be deducted from taxable income</w:t>
      </w:r>
      <w:r w:rsidR="00DC1D9F" w:rsidRPr="00EE2EFA">
        <w:rPr>
          <w:rFonts w:ascii="Book Antiqua" w:eastAsia="Book Antiqua" w:hAnsi="Book Antiqua" w:cs="Book Antiqua"/>
          <w:color w:val="000000"/>
          <w:sz w:val="24"/>
          <w:szCs w:val="24"/>
        </w:rPr>
        <w:t>.”</w:t>
      </w:r>
    </w:p>
    <w:p w14:paraId="1A0707C0" w14:textId="41E94AC3" w:rsidR="00DC1D9F" w:rsidRPr="00EE2EFA" w:rsidRDefault="00EE2EFA" w:rsidP="001A0379">
      <w:pPr>
        <w:pStyle w:val="ListParagraph"/>
        <w:numPr>
          <w:ilvl w:val="0"/>
          <w:numId w:val="4"/>
        </w:numPr>
        <w:spacing w:after="120" w:line="240" w:lineRule="auto"/>
        <w:ind w:left="1260"/>
        <w:jc w:val="both"/>
        <w:rPr>
          <w:rFonts w:ascii="Book Antiqua" w:eastAsia="Book Antiqua" w:hAnsi="Book Antiqua" w:cs="Book Antiqua"/>
          <w:color w:val="000000"/>
          <w:sz w:val="24"/>
          <w:szCs w:val="24"/>
        </w:rPr>
      </w:pPr>
      <w:r w:rsidRPr="00EE2EFA">
        <w:rPr>
          <w:rFonts w:ascii="Book Antiqua" w:eastAsia="Book Antiqua" w:hAnsi="Book Antiqua" w:cs="Book Antiqua"/>
          <w:color w:val="000000"/>
          <w:sz w:val="24"/>
          <w:szCs w:val="24"/>
        </w:rPr>
        <w:t>Law Number 36 of 2008 on Income Tax (PPh)</w:t>
      </w:r>
      <w:r w:rsidR="00DC1D9F" w:rsidRPr="00EE2EFA">
        <w:rPr>
          <w:rFonts w:ascii="Book Antiqua" w:eastAsia="Book Antiqua" w:hAnsi="Book Antiqua" w:cs="Book Antiqua"/>
          <w:color w:val="000000"/>
          <w:sz w:val="24"/>
          <w:szCs w:val="24"/>
        </w:rPr>
        <w:t xml:space="preserve">, </w:t>
      </w:r>
      <w:r w:rsidRPr="00EE2EFA">
        <w:rPr>
          <w:rFonts w:ascii="Book Antiqua" w:eastAsia="Book Antiqua" w:hAnsi="Book Antiqua" w:cs="Book Antiqua"/>
          <w:color w:val="000000"/>
          <w:sz w:val="24"/>
          <w:szCs w:val="24"/>
        </w:rPr>
        <w:t>Article 4 paragraph (3) letter a of this law affirms that “zakat or mandatory religious donations paid by individual taxpayers who are Muslims to amil zakat bodies or amil zakat institutions established or authorized by the government can be deducted from gross income</w:t>
      </w:r>
      <w:r w:rsidR="00DC1D9F" w:rsidRPr="00EE2EFA">
        <w:rPr>
          <w:rFonts w:ascii="Book Antiqua" w:eastAsia="Book Antiqua" w:hAnsi="Book Antiqua" w:cs="Book Antiqua"/>
          <w:color w:val="000000"/>
          <w:sz w:val="24"/>
          <w:szCs w:val="24"/>
        </w:rPr>
        <w:t>.”</w:t>
      </w:r>
    </w:p>
    <w:p w14:paraId="1E01B819" w14:textId="184CA03F" w:rsidR="00DC1D9F" w:rsidRPr="00EE2EFA" w:rsidRDefault="00EE2EFA" w:rsidP="001A0379">
      <w:pPr>
        <w:pStyle w:val="ListParagraph"/>
        <w:numPr>
          <w:ilvl w:val="0"/>
          <w:numId w:val="4"/>
        </w:numPr>
        <w:spacing w:after="120" w:line="240" w:lineRule="auto"/>
        <w:ind w:left="1260"/>
        <w:jc w:val="both"/>
        <w:rPr>
          <w:rFonts w:ascii="Book Antiqua" w:eastAsia="Book Antiqua" w:hAnsi="Book Antiqua" w:cs="Book Antiqua"/>
          <w:color w:val="000000"/>
          <w:sz w:val="24"/>
          <w:szCs w:val="24"/>
        </w:rPr>
      </w:pPr>
      <w:r w:rsidRPr="00EE2EFA">
        <w:rPr>
          <w:rFonts w:ascii="Book Antiqua" w:eastAsia="Book Antiqua" w:hAnsi="Book Antiqua" w:cs="Book Antiqua"/>
          <w:color w:val="000000"/>
          <w:sz w:val="24"/>
          <w:szCs w:val="24"/>
        </w:rPr>
        <w:t>Government Regulation (PP) Number 60 of 2010 on Zakat or Religious Donations Deductible from Gross Income</w:t>
      </w:r>
      <w:r w:rsidR="00DC1D9F" w:rsidRPr="00EE2EFA">
        <w:rPr>
          <w:rFonts w:ascii="Book Antiqua" w:eastAsia="Book Antiqua" w:hAnsi="Book Antiqua" w:cs="Book Antiqua"/>
          <w:color w:val="000000"/>
          <w:sz w:val="24"/>
          <w:szCs w:val="24"/>
        </w:rPr>
        <w:t xml:space="preserve">, </w:t>
      </w:r>
      <w:r w:rsidRPr="00EE2EFA">
        <w:rPr>
          <w:rFonts w:ascii="Book Antiqua" w:eastAsia="Book Antiqua" w:hAnsi="Book Antiqua" w:cs="Book Antiqua"/>
          <w:color w:val="000000"/>
          <w:sz w:val="24"/>
          <w:szCs w:val="24"/>
        </w:rPr>
        <w:t>This government regulation clarifies the mechanism and requirements for tax deductions through zakat payments. Article 2 explains that zakat deductible from gross income is that paid to legitimate BAZNAS and LAZ, supported by valid payment receipts</w:t>
      </w:r>
      <w:r w:rsidR="00DC1D9F" w:rsidRPr="00EE2EFA">
        <w:rPr>
          <w:rFonts w:ascii="Book Antiqua" w:eastAsia="Book Antiqua" w:hAnsi="Book Antiqua" w:cs="Book Antiqua"/>
          <w:color w:val="000000"/>
          <w:sz w:val="24"/>
          <w:szCs w:val="24"/>
        </w:rPr>
        <w:t>.</w:t>
      </w:r>
    </w:p>
    <w:p w14:paraId="6E5D6851" w14:textId="45EE3E41" w:rsidR="00DC1D9F" w:rsidRPr="00EE2EFA" w:rsidRDefault="00EE2EFA" w:rsidP="001A0379">
      <w:pPr>
        <w:pStyle w:val="ListParagraph"/>
        <w:numPr>
          <w:ilvl w:val="0"/>
          <w:numId w:val="4"/>
        </w:numPr>
        <w:spacing w:after="120" w:line="240" w:lineRule="auto"/>
        <w:ind w:left="1260"/>
        <w:jc w:val="both"/>
        <w:rPr>
          <w:rFonts w:ascii="Book Antiqua" w:eastAsia="Book Antiqua" w:hAnsi="Book Antiqua" w:cs="Book Antiqua"/>
          <w:color w:val="000000"/>
          <w:sz w:val="24"/>
          <w:szCs w:val="24"/>
        </w:rPr>
      </w:pPr>
      <w:r w:rsidRPr="00EE2EFA">
        <w:rPr>
          <w:rFonts w:ascii="Book Antiqua" w:eastAsia="Book Antiqua" w:hAnsi="Book Antiqua" w:cs="Book Antiqua"/>
          <w:color w:val="000000"/>
          <w:sz w:val="24"/>
          <w:szCs w:val="24"/>
        </w:rPr>
        <w:t>Directorate General of Taxes Regulation Number PER-6/PJ/2011</w:t>
      </w:r>
      <w:r w:rsidR="00DC1D9F" w:rsidRPr="00EE2EFA">
        <w:rPr>
          <w:rFonts w:ascii="Book Antiqua" w:eastAsia="Book Antiqua" w:hAnsi="Book Antiqua" w:cs="Book Antiqua"/>
          <w:color w:val="000000"/>
          <w:sz w:val="24"/>
          <w:szCs w:val="24"/>
        </w:rPr>
        <w:t xml:space="preserve">, </w:t>
      </w:r>
      <w:r w:rsidRPr="00EE2EFA">
        <w:rPr>
          <w:rFonts w:ascii="Book Antiqua" w:eastAsia="Book Antiqua" w:hAnsi="Book Antiqua" w:cs="Book Antiqua"/>
          <w:color w:val="000000"/>
          <w:sz w:val="24"/>
          <w:szCs w:val="24"/>
        </w:rPr>
        <w:t>This regulation is a follow-up to PP No. 60 of 2010 and governs the procedures for reporting and attaching zakat payment evidence as a tax deduction. It includes formal requirements for professional zakat to be recognized in the annual tax reporting</w:t>
      </w:r>
      <w:r w:rsidR="00DC1D9F" w:rsidRPr="00EE2EFA">
        <w:rPr>
          <w:rFonts w:ascii="Book Antiqua" w:eastAsia="Book Antiqua" w:hAnsi="Book Antiqua" w:cs="Book Antiqua"/>
          <w:color w:val="000000"/>
          <w:sz w:val="24"/>
          <w:szCs w:val="24"/>
        </w:rPr>
        <w:t>.</w:t>
      </w:r>
    </w:p>
    <w:p w14:paraId="1B88B373" w14:textId="3FD6DC2A" w:rsidR="00DC1D9F" w:rsidRPr="00EE2EFA" w:rsidRDefault="00EE2EFA" w:rsidP="001A0379">
      <w:pPr>
        <w:pStyle w:val="ListParagraph"/>
        <w:spacing w:after="120" w:line="240" w:lineRule="auto"/>
        <w:ind w:left="360" w:firstLine="450"/>
        <w:jc w:val="both"/>
        <w:rPr>
          <w:rFonts w:ascii="Book Antiqua" w:eastAsia="Book Antiqua" w:hAnsi="Book Antiqua" w:cs="Book Antiqua"/>
          <w:color w:val="000000"/>
          <w:sz w:val="24"/>
          <w:szCs w:val="24"/>
        </w:rPr>
      </w:pPr>
      <w:r w:rsidRPr="00EE2EFA">
        <w:rPr>
          <w:rFonts w:ascii="Book Antiqua" w:eastAsia="Book Antiqua" w:hAnsi="Book Antiqua" w:cs="Book Antiqua"/>
          <w:color w:val="000000"/>
          <w:sz w:val="24"/>
          <w:szCs w:val="24"/>
        </w:rPr>
        <w:lastRenderedPageBreak/>
        <w:t>Professional zakat is zakat paid on income earned from specific professions, such as doctors, lecturers, employees, and others. Although it is not explicitly mentioned in the Qur’an, professional zakat has been developed based on contemporary ijtihad and is positioned as part of zakat mal (wealth zakat)</w:t>
      </w:r>
      <w:r w:rsidR="00DC1D9F" w:rsidRPr="00EE2EFA">
        <w:rPr>
          <w:rFonts w:ascii="Book Antiqua" w:eastAsia="Book Antiqua" w:hAnsi="Book Antiqua" w:cs="Book Antiqua"/>
          <w:color w:val="000000"/>
          <w:sz w:val="24"/>
          <w:szCs w:val="24"/>
        </w:rPr>
        <w:t>.</w:t>
      </w:r>
      <w:r w:rsidR="00185B96">
        <w:rPr>
          <w:rStyle w:val="FootnoteReference"/>
          <w:rFonts w:ascii="Book Antiqua" w:eastAsia="Book Antiqua" w:hAnsi="Book Antiqua" w:cs="Book Antiqua"/>
          <w:color w:val="000000"/>
          <w:sz w:val="24"/>
          <w:szCs w:val="24"/>
          <w:lang w:val="fi-FI"/>
        </w:rPr>
        <w:footnoteReference w:id="15"/>
      </w:r>
      <w:r w:rsidR="00DC1D9F" w:rsidRPr="00EE2EFA">
        <w:rPr>
          <w:rFonts w:ascii="Book Antiqua" w:eastAsia="Book Antiqua" w:hAnsi="Book Antiqua" w:cs="Book Antiqua"/>
          <w:color w:val="000000"/>
          <w:sz w:val="24"/>
          <w:szCs w:val="24"/>
        </w:rPr>
        <w:t xml:space="preserve"> </w:t>
      </w:r>
    </w:p>
    <w:p w14:paraId="6658FCFF" w14:textId="69B250B5" w:rsidR="00DC1D9F" w:rsidRPr="00930B4B" w:rsidRDefault="00930B4B" w:rsidP="001A0379">
      <w:pPr>
        <w:pStyle w:val="ListParagraph"/>
        <w:spacing w:after="120" w:line="240" w:lineRule="auto"/>
        <w:ind w:left="360" w:firstLine="360"/>
        <w:jc w:val="both"/>
        <w:rPr>
          <w:rFonts w:ascii="Book Antiqua" w:eastAsia="Book Antiqua" w:hAnsi="Book Antiqua" w:cs="Book Antiqua"/>
          <w:color w:val="000000"/>
          <w:sz w:val="24"/>
          <w:szCs w:val="24"/>
        </w:rPr>
      </w:pPr>
      <w:r w:rsidRPr="00930B4B">
        <w:rPr>
          <w:rFonts w:ascii="Book Antiqua" w:eastAsia="Book Antiqua" w:hAnsi="Book Antiqua" w:cs="Book Antiqua"/>
          <w:color w:val="000000"/>
          <w:sz w:val="24"/>
          <w:szCs w:val="24"/>
        </w:rPr>
        <w:t>Professional zakat is zakat on income earned from certain professions such as civil servants (ASN - State Civil Apparatus), doctors, lawyers, and others who have reached the nisab threshold. Although Law Number 23 of 2011 does not explicitly mention the term “professional zakat,” the term “income zakat” is used and, in practice, refers to the same concept</w:t>
      </w:r>
      <w:r w:rsidR="00DC1D9F" w:rsidRPr="00930B4B">
        <w:rPr>
          <w:rFonts w:ascii="Book Antiqua" w:eastAsia="Book Antiqua" w:hAnsi="Book Antiqua" w:cs="Book Antiqua"/>
          <w:color w:val="000000"/>
          <w:sz w:val="24"/>
          <w:szCs w:val="24"/>
        </w:rPr>
        <w:t>.</w:t>
      </w:r>
      <w:r w:rsidR="00185B96">
        <w:rPr>
          <w:rStyle w:val="FootnoteReference"/>
          <w:rFonts w:ascii="Book Antiqua" w:eastAsia="Book Antiqua" w:hAnsi="Book Antiqua" w:cs="Book Antiqua"/>
          <w:color w:val="000000"/>
          <w:sz w:val="24"/>
          <w:szCs w:val="24"/>
          <w:lang w:val="fi-FI"/>
        </w:rPr>
        <w:footnoteReference w:id="16"/>
      </w:r>
      <w:r w:rsidR="00DC1D9F" w:rsidRPr="00930B4B">
        <w:rPr>
          <w:rFonts w:ascii="Book Antiqua" w:eastAsia="Book Antiqua" w:hAnsi="Book Antiqua" w:cs="Book Antiqua"/>
          <w:color w:val="000000"/>
          <w:sz w:val="24"/>
          <w:szCs w:val="24"/>
        </w:rPr>
        <w:t xml:space="preserve"> </w:t>
      </w:r>
    </w:p>
    <w:p w14:paraId="7EEEA1A4" w14:textId="70CE1BC9" w:rsidR="00DC1D9F" w:rsidRPr="00930B4B" w:rsidRDefault="00930B4B" w:rsidP="001A0379">
      <w:pPr>
        <w:pStyle w:val="ListParagraph"/>
        <w:spacing w:after="120" w:line="240" w:lineRule="auto"/>
        <w:ind w:left="360" w:firstLine="360"/>
        <w:jc w:val="both"/>
        <w:rPr>
          <w:rFonts w:ascii="Book Antiqua" w:eastAsia="Book Antiqua" w:hAnsi="Book Antiqua" w:cs="Book Antiqua"/>
          <w:color w:val="000000"/>
          <w:sz w:val="24"/>
          <w:szCs w:val="24"/>
        </w:rPr>
      </w:pPr>
      <w:r w:rsidRPr="00930B4B">
        <w:rPr>
          <w:rFonts w:ascii="Book Antiqua" w:eastAsia="Book Antiqua" w:hAnsi="Book Antiqua" w:cs="Book Antiqua"/>
          <w:color w:val="000000"/>
          <w:sz w:val="24"/>
          <w:szCs w:val="24"/>
        </w:rPr>
        <w:t>The recognition of professional zakat within the national legal system is a tangible manifestation of the contextualization of Islamic law into Indonesia’s positive legal system. This reflects the state’s inclusive approach towards religious and social values that exist within society. By regulating zakat, including zakat on income or professional earnings, in laws such as Law Number 23 of 2011 on Zakat Management and its recognition within the taxation system through Law Number 36 of 2008 on Income Tax, the state grants legitimacy to a religious practice that is both personal and socio-economically significant</w:t>
      </w:r>
      <w:r w:rsidR="00DC1D9F" w:rsidRPr="00930B4B">
        <w:rPr>
          <w:rFonts w:ascii="Book Antiqua" w:eastAsia="Book Antiqua" w:hAnsi="Book Antiqua" w:cs="Book Antiqua"/>
          <w:color w:val="000000"/>
          <w:sz w:val="24"/>
          <w:szCs w:val="24"/>
        </w:rPr>
        <w:t>.</w:t>
      </w:r>
    </w:p>
    <w:p w14:paraId="23BC1D12" w14:textId="5B6EDB05" w:rsidR="00DC1D9F" w:rsidRPr="00612C71" w:rsidRDefault="00612C71" w:rsidP="001A0379">
      <w:pPr>
        <w:pStyle w:val="ListParagraph"/>
        <w:spacing w:after="120" w:line="240" w:lineRule="auto"/>
        <w:ind w:left="360" w:firstLine="360"/>
        <w:jc w:val="both"/>
        <w:rPr>
          <w:rFonts w:ascii="Book Antiqua" w:eastAsia="Book Antiqua" w:hAnsi="Book Antiqua" w:cs="Book Antiqua"/>
          <w:color w:val="000000"/>
          <w:sz w:val="24"/>
          <w:szCs w:val="24"/>
        </w:rPr>
      </w:pPr>
      <w:r w:rsidRPr="00612C71">
        <w:rPr>
          <w:rFonts w:ascii="Book Antiqua" w:eastAsia="Book Antiqua" w:hAnsi="Book Antiqua" w:cs="Book Antiqua"/>
          <w:color w:val="000000"/>
          <w:sz w:val="24"/>
          <w:szCs w:val="24"/>
        </w:rPr>
        <w:t>This recognition not only strengthens the position of zakat within the framework of national law but also provides space for Muslims to fulfill their religious obligations more systematically and in integration with the state system. On the other hand, this recognition also offers fiscal incentives in the form of deductions from taxable income, which is a concrete manifestation of the state’s efforts to encourage active public participation in social development through religious mechanisms. Thus, the recognition of professional zakat not only reflects the state’s accommodation of Islamic values but also affirms that national law is capable of adapting and responding constructively and harmoniously to the needs of a multicultural and religious society</w:t>
      </w:r>
      <w:r w:rsidR="00DC1D9F" w:rsidRPr="00612C71">
        <w:rPr>
          <w:rFonts w:ascii="Book Antiqua" w:eastAsia="Book Antiqua" w:hAnsi="Book Antiqua" w:cs="Book Antiqua"/>
          <w:color w:val="000000"/>
          <w:sz w:val="24"/>
          <w:szCs w:val="24"/>
        </w:rPr>
        <w:t>.</w:t>
      </w:r>
      <w:r w:rsidR="00185B96">
        <w:rPr>
          <w:rStyle w:val="FootnoteReference"/>
          <w:rFonts w:ascii="Book Antiqua" w:eastAsia="Book Antiqua" w:hAnsi="Book Antiqua" w:cs="Book Antiqua"/>
          <w:color w:val="000000"/>
          <w:sz w:val="24"/>
          <w:szCs w:val="24"/>
          <w:lang w:val="fi-FI"/>
        </w:rPr>
        <w:footnoteReference w:id="17"/>
      </w:r>
      <w:r w:rsidR="00DC1D9F" w:rsidRPr="00612C71">
        <w:rPr>
          <w:rFonts w:ascii="Book Antiqua" w:eastAsia="Book Antiqua" w:hAnsi="Book Antiqua" w:cs="Book Antiqua"/>
          <w:color w:val="000000"/>
          <w:sz w:val="24"/>
          <w:szCs w:val="24"/>
        </w:rPr>
        <w:t xml:space="preserve"> </w:t>
      </w:r>
    </w:p>
    <w:p w14:paraId="02B40533" w14:textId="4BBB5BE3" w:rsidR="00DC1D9F" w:rsidRPr="00612C71" w:rsidRDefault="00612C71" w:rsidP="00612C71">
      <w:pPr>
        <w:pStyle w:val="ListParagraph"/>
        <w:spacing w:after="120" w:line="240" w:lineRule="auto"/>
        <w:ind w:left="360" w:firstLine="360"/>
        <w:jc w:val="both"/>
        <w:rPr>
          <w:rFonts w:ascii="Book Antiqua" w:eastAsia="Book Antiqua" w:hAnsi="Book Antiqua" w:cs="Book Antiqua"/>
          <w:color w:val="000000"/>
          <w:sz w:val="24"/>
          <w:szCs w:val="24"/>
        </w:rPr>
      </w:pPr>
      <w:r w:rsidRPr="00612C71">
        <w:rPr>
          <w:rFonts w:ascii="Book Antiqua" w:eastAsia="Book Antiqua" w:hAnsi="Book Antiqua" w:cs="Book Antiqua"/>
          <w:color w:val="000000"/>
          <w:sz w:val="24"/>
          <w:szCs w:val="24"/>
        </w:rPr>
        <w:t>Yayasan Dana Sosial Al Falah (YDSF) in Malang City is one of the Amil Zakat Institutions (LAZ) officially recognized by the government and plays a significant role in the collection and distribution of professional zakat in its area. As a LAZ registered and authorized to operate by the relevant authorities, YDSF holds strong legal legitimacy in carrying out its duties in accordance with the provisions of Law Number 23 of 2011 on Zakat Management.</w:t>
      </w:r>
      <w:r>
        <w:rPr>
          <w:rFonts w:ascii="Book Antiqua" w:eastAsia="Book Antiqua" w:hAnsi="Book Antiqua" w:cs="Book Antiqua"/>
          <w:color w:val="000000"/>
          <w:sz w:val="24"/>
          <w:szCs w:val="24"/>
        </w:rPr>
        <w:t xml:space="preserve"> </w:t>
      </w:r>
      <w:r w:rsidRPr="00612C71">
        <w:rPr>
          <w:rFonts w:ascii="Book Antiqua" w:eastAsia="Book Antiqua" w:hAnsi="Book Antiqua" w:cs="Book Antiqua"/>
          <w:color w:val="000000"/>
          <w:sz w:val="24"/>
          <w:szCs w:val="24"/>
        </w:rPr>
        <w:t>One important aspect of this recognition is YDSF’s authority to issue zakat payment receipts for muzaki, including professional zakat, that they have paid. These payment receipts are not merely administrative documents but also have legal value as the basis for deducting gross income in income tax calculations, as regulated in Article 22 paragraph (1) letter a of Law Number 36 of 2008 concerning Income Tax. Thus, through this mechanism, YDSF not only facilitates the fulfillment of zakat worship by Muslim professionals but also assists them in obtaining legally valid fiscal incentives, making zakat implementation more structured, transparent, and aligned with the national taxation system</w:t>
      </w:r>
      <w:r w:rsidR="00DC1D9F" w:rsidRPr="00612C71">
        <w:rPr>
          <w:rFonts w:ascii="Book Antiqua" w:eastAsia="Book Antiqua" w:hAnsi="Book Antiqua" w:cs="Book Antiqua"/>
          <w:color w:val="000000"/>
          <w:sz w:val="24"/>
          <w:szCs w:val="24"/>
        </w:rPr>
        <w:t>.</w:t>
      </w:r>
    </w:p>
    <w:p w14:paraId="4F3817D8" w14:textId="3A4EC3D0" w:rsidR="00DC1D9F" w:rsidRPr="00612C71" w:rsidRDefault="00612C71" w:rsidP="001A0379">
      <w:pPr>
        <w:pStyle w:val="ListParagraph"/>
        <w:spacing w:after="120" w:line="240" w:lineRule="auto"/>
        <w:ind w:left="360" w:firstLine="360"/>
        <w:jc w:val="both"/>
        <w:rPr>
          <w:rFonts w:ascii="Book Antiqua" w:eastAsia="Book Antiqua" w:hAnsi="Book Antiqua" w:cs="Book Antiqua"/>
          <w:color w:val="000000"/>
          <w:sz w:val="24"/>
          <w:szCs w:val="24"/>
        </w:rPr>
      </w:pPr>
      <w:r w:rsidRPr="00612C71">
        <w:rPr>
          <w:rFonts w:ascii="Book Antiqua" w:eastAsia="Book Antiqua" w:hAnsi="Book Antiqua" w:cs="Book Antiqua"/>
          <w:color w:val="000000"/>
          <w:sz w:val="24"/>
          <w:szCs w:val="24"/>
        </w:rPr>
        <w:t xml:space="preserve">In practice, YDSF has implemented a digital system for zakat reporting and the submission of valid payment receipts, which facilitates muzaki in their annual tax </w:t>
      </w:r>
      <w:r w:rsidRPr="00612C71">
        <w:rPr>
          <w:rFonts w:ascii="Book Antiqua" w:eastAsia="Book Antiqua" w:hAnsi="Book Antiqua" w:cs="Book Antiqua"/>
          <w:color w:val="000000"/>
          <w:sz w:val="24"/>
          <w:szCs w:val="24"/>
        </w:rPr>
        <w:lastRenderedPageBreak/>
        <w:t>reporting. This serves as a concrete example of the synergistic implementation of taxation and zakat regulations at the local level</w:t>
      </w:r>
      <w:r w:rsidR="00DC1D9F" w:rsidRPr="00612C71">
        <w:rPr>
          <w:rFonts w:ascii="Book Antiqua" w:eastAsia="Book Antiqua" w:hAnsi="Book Antiqua" w:cs="Book Antiqua"/>
          <w:color w:val="000000"/>
          <w:sz w:val="24"/>
          <w:szCs w:val="24"/>
        </w:rPr>
        <w:t>.</w:t>
      </w:r>
    </w:p>
    <w:p w14:paraId="35F79AA7" w14:textId="3557880A" w:rsidR="00DC1D9F" w:rsidRPr="00DC1D9F" w:rsidRDefault="00612C71" w:rsidP="001A0379">
      <w:pPr>
        <w:pStyle w:val="ListParagraph"/>
        <w:spacing w:after="120" w:line="240" w:lineRule="auto"/>
        <w:ind w:left="360" w:firstLine="360"/>
        <w:jc w:val="both"/>
        <w:rPr>
          <w:rFonts w:ascii="Book Antiqua" w:eastAsia="Book Antiqua" w:hAnsi="Book Antiqua" w:cs="Book Antiqua"/>
          <w:color w:val="000000"/>
          <w:sz w:val="24"/>
          <w:szCs w:val="24"/>
        </w:rPr>
      </w:pPr>
      <w:r w:rsidRPr="00612C71">
        <w:rPr>
          <w:rFonts w:ascii="Book Antiqua" w:eastAsia="Book Antiqua" w:hAnsi="Book Antiqua" w:cs="Book Antiqua"/>
          <w:color w:val="000000"/>
          <w:sz w:val="24"/>
          <w:szCs w:val="24"/>
        </w:rPr>
        <w:t>Although regulations are in place, the implementation of professional zakat as a tax deduction still faces various challenges. These include: First, the lack of socialization and education to the public regarding the legal-formal procedures for income tax reduction through zakat. Second, there is still administrative overlap between tax authorities and zakat institutions. Third, differences in interpretation between income zakat and professional zakat in regulations and practical application. Fourth, the lack of integration between zakat reporting systems and the Directorate General of Taxes (DJP) in a digital and real-time manner</w:t>
      </w:r>
      <w:r w:rsidR="00DC1D9F" w:rsidRPr="00DC1D9F">
        <w:rPr>
          <w:rFonts w:ascii="Book Antiqua" w:eastAsia="Book Antiqua" w:hAnsi="Book Antiqua" w:cs="Book Antiqua"/>
          <w:color w:val="000000"/>
          <w:sz w:val="24"/>
          <w:szCs w:val="24"/>
        </w:rPr>
        <w:t>.</w:t>
      </w:r>
    </w:p>
    <w:p w14:paraId="0CAE6AD9" w14:textId="7AD95981" w:rsidR="00DC1D9F" w:rsidRPr="001A0379" w:rsidRDefault="00612C71" w:rsidP="001A0379">
      <w:pPr>
        <w:pStyle w:val="ListParagraph"/>
        <w:spacing w:after="120" w:line="240" w:lineRule="auto"/>
        <w:ind w:left="360" w:firstLine="360"/>
        <w:jc w:val="both"/>
        <w:rPr>
          <w:rFonts w:ascii="Book Antiqua" w:eastAsia="Book Antiqua" w:hAnsi="Book Antiqua" w:cs="Book Antiqua"/>
          <w:color w:val="000000"/>
          <w:sz w:val="24"/>
          <w:szCs w:val="24"/>
        </w:rPr>
      </w:pPr>
      <w:r w:rsidRPr="00612C71">
        <w:rPr>
          <w:rFonts w:ascii="Book Antiqua" w:eastAsia="Book Antiqua" w:hAnsi="Book Antiqua" w:cs="Book Antiqua"/>
          <w:color w:val="000000"/>
          <w:sz w:val="24"/>
          <w:szCs w:val="24"/>
        </w:rPr>
        <w:t>Positive legal regulations in Indonesia have clearly stipulated that professional zakat can be recognized as a deduction from income tax, provided that the zakat is distributed through official institutions and evidenced by valid documentation. Within the framework of the national legal system, this reflects the state law’s inclusivity towards the religious and social aspects of society</w:t>
      </w:r>
      <w:r w:rsidR="00DC1D9F">
        <w:rPr>
          <w:rFonts w:ascii="Book Antiqua" w:eastAsia="Book Antiqua" w:hAnsi="Book Antiqua" w:cs="Book Antiqua"/>
          <w:color w:val="000000"/>
          <w:sz w:val="24"/>
          <w:szCs w:val="24"/>
        </w:rPr>
        <w:t>.</w:t>
      </w:r>
    </w:p>
    <w:p w14:paraId="34DF48F7" w14:textId="6219B65D" w:rsidR="008E3EE1" w:rsidRPr="00DC1D9F" w:rsidRDefault="000B2ADC" w:rsidP="008E3EE1">
      <w:pPr>
        <w:pStyle w:val="ListParagraph"/>
        <w:numPr>
          <w:ilvl w:val="0"/>
          <w:numId w:val="3"/>
        </w:numPr>
        <w:spacing w:after="120" w:line="240" w:lineRule="auto"/>
        <w:ind w:left="360"/>
        <w:jc w:val="both"/>
        <w:rPr>
          <w:rFonts w:ascii="Book Antiqua" w:eastAsia="Book Antiqua" w:hAnsi="Book Antiqua" w:cs="Book Antiqua"/>
          <w:b/>
          <w:bCs/>
          <w:color w:val="000000"/>
          <w:sz w:val="24"/>
          <w:szCs w:val="24"/>
        </w:rPr>
      </w:pPr>
      <w:r w:rsidRPr="000B2ADC">
        <w:rPr>
          <w:rFonts w:ascii="Book Antiqua" w:eastAsia="Book Antiqua" w:hAnsi="Book Antiqua" w:cs="Book Antiqua"/>
          <w:b/>
          <w:bCs/>
          <w:color w:val="000000"/>
          <w:sz w:val="24"/>
          <w:szCs w:val="24"/>
        </w:rPr>
        <w:t>Implementation of the Recognition of Professional Zakat as a Deduction from Income Tax at the Amil Zakat Institution Yayasan Dana Sosial Al-Falah (LAZ YDSF) in Malang City</w:t>
      </w:r>
    </w:p>
    <w:p w14:paraId="4C1F3D59" w14:textId="5EAB3D7C" w:rsidR="00DC1D9F" w:rsidRPr="00DC1D9F" w:rsidRDefault="000B2ADC" w:rsidP="001A0379">
      <w:pPr>
        <w:pStyle w:val="ListParagraph"/>
        <w:spacing w:after="120" w:line="240" w:lineRule="auto"/>
        <w:ind w:left="360" w:firstLine="360"/>
        <w:jc w:val="both"/>
        <w:rPr>
          <w:rFonts w:ascii="Book Antiqua" w:eastAsia="Book Antiqua" w:hAnsi="Book Antiqua" w:cs="Book Antiqua"/>
          <w:color w:val="000000"/>
          <w:sz w:val="24"/>
          <w:szCs w:val="24"/>
        </w:rPr>
      </w:pPr>
      <w:r w:rsidRPr="000B2ADC">
        <w:rPr>
          <w:rFonts w:ascii="Book Antiqua" w:eastAsia="Book Antiqua" w:hAnsi="Book Antiqua" w:cs="Book Antiqua"/>
          <w:color w:val="000000"/>
          <w:sz w:val="24"/>
          <w:szCs w:val="24"/>
        </w:rPr>
        <w:t>The implementation of the recognition of professional zakat as a deduction from income tax (PPh) at the Amil Zakat Institution Yayasan Dana Sosial Al-Falah (LAZ YDSF) in Malang City is a concrete form of synchronization between religious obligations and state obligations within Indonesia’s legal system. This aligns with the principles of fiscal and spiritual justice that are intended to be achieved through taxation based on religious values</w:t>
      </w:r>
      <w:r w:rsidR="00DC1D9F" w:rsidRPr="00DC1D9F">
        <w:rPr>
          <w:rFonts w:ascii="Book Antiqua" w:eastAsia="Book Antiqua" w:hAnsi="Book Antiqua" w:cs="Book Antiqua"/>
          <w:color w:val="000000"/>
          <w:sz w:val="24"/>
          <w:szCs w:val="24"/>
        </w:rPr>
        <w:t>.</w:t>
      </w:r>
    </w:p>
    <w:p w14:paraId="65815EB7" w14:textId="71F3E5E9" w:rsidR="00DC1D9F" w:rsidRPr="000B2ADC" w:rsidRDefault="000B2ADC" w:rsidP="000B2ADC">
      <w:pPr>
        <w:pStyle w:val="ListParagraph"/>
        <w:spacing w:after="120" w:line="240" w:lineRule="auto"/>
        <w:ind w:left="360" w:firstLine="360"/>
        <w:jc w:val="both"/>
        <w:rPr>
          <w:rFonts w:ascii="Book Antiqua" w:eastAsia="Book Antiqua" w:hAnsi="Book Antiqua" w:cs="Book Antiqua"/>
          <w:color w:val="000000"/>
          <w:sz w:val="24"/>
          <w:szCs w:val="24"/>
        </w:rPr>
      </w:pPr>
      <w:r w:rsidRPr="000B2ADC">
        <w:rPr>
          <w:rFonts w:ascii="Book Antiqua" w:eastAsia="Book Antiqua" w:hAnsi="Book Antiqua" w:cs="Book Antiqua"/>
          <w:color w:val="000000"/>
          <w:sz w:val="24"/>
          <w:szCs w:val="24"/>
        </w:rPr>
        <w:t>Normatively, the legal basis for the recognition of zakat as a tax deduction is contained in Article 22 of Law Number 23 of 2011 on Zakat Management. This article stipulates that zakat paid by muzaki through the National Amil Zakat Agency (BAZNAS) or Amil Zakat Institutions (LAZ) authorized by the government can reduce the tax obligation on taxable income. Therefore, BAZNAS and LAZ are required to provide valid zakat payment receipts to the muzaki, which serve as supporting documents in applying for tax deductions</w:t>
      </w:r>
      <w:r w:rsidR="00DC1D9F" w:rsidRPr="00DC1D9F">
        <w:rPr>
          <w:rFonts w:ascii="Book Antiqua" w:eastAsia="Book Antiqua" w:hAnsi="Book Antiqua" w:cs="Book Antiqua"/>
          <w:color w:val="000000"/>
          <w:sz w:val="24"/>
          <w:szCs w:val="24"/>
        </w:rPr>
        <w:t>.</w:t>
      </w:r>
      <w:r w:rsidR="001A0379">
        <w:rPr>
          <w:rStyle w:val="FootnoteReference"/>
          <w:rFonts w:ascii="Book Antiqua" w:eastAsia="Book Antiqua" w:hAnsi="Book Antiqua" w:cs="Book Antiqua"/>
          <w:color w:val="000000"/>
          <w:sz w:val="24"/>
          <w:szCs w:val="24"/>
        </w:rPr>
        <w:footnoteReference w:id="18"/>
      </w:r>
      <w:r w:rsidR="00DC1D9F" w:rsidRPr="00DC1D9F">
        <w:rPr>
          <w:rFonts w:ascii="Book Antiqua" w:eastAsia="Book Antiqua" w:hAnsi="Book Antiqua" w:cs="Book Antiqua"/>
          <w:color w:val="000000"/>
          <w:sz w:val="24"/>
          <w:szCs w:val="24"/>
        </w:rPr>
        <w:t xml:space="preserve"> </w:t>
      </w:r>
      <w:r w:rsidRPr="000B2ADC">
        <w:rPr>
          <w:rFonts w:ascii="Book Antiqua" w:eastAsia="Book Antiqua" w:hAnsi="Book Antiqua" w:cs="Book Antiqua"/>
          <w:color w:val="000000"/>
          <w:sz w:val="24"/>
          <w:szCs w:val="24"/>
        </w:rPr>
        <w:t>The provision regarding the recognition of zakat as a deduction from taxable income is further clarified in Article 9 paragraph (1) letter g of Law Number 36 of 2008 concerning Income Tax. This article states that zakat or mandatory religious donations paid by individual taxpayers to amil zakat bodies or official religious institutions established or authorized by the government can be deducted from gross income.</w:t>
      </w:r>
      <w:r>
        <w:rPr>
          <w:rFonts w:ascii="Book Antiqua" w:eastAsia="Book Antiqua" w:hAnsi="Book Antiqua" w:cs="Book Antiqua"/>
          <w:color w:val="000000"/>
          <w:sz w:val="24"/>
          <w:szCs w:val="24"/>
        </w:rPr>
        <w:t xml:space="preserve"> </w:t>
      </w:r>
      <w:r w:rsidRPr="000B2ADC">
        <w:rPr>
          <w:rFonts w:ascii="Book Antiqua" w:eastAsia="Book Antiqua" w:hAnsi="Book Antiqua" w:cs="Book Antiqua"/>
          <w:color w:val="000000"/>
          <w:sz w:val="24"/>
          <w:szCs w:val="24"/>
        </w:rPr>
        <w:t>The implementing regulation of this article is governed by Government Regulation Number 60 of 2010, which regulates the procedures for granting deductions from gross income for zakat or mandatory religious donations. Thus, the recognition of professional zakat as a tax deduction has a strong normative legal basis both from the perspective of zakat law and tax law in Indonesia</w:t>
      </w:r>
      <w:r w:rsidR="00DC1D9F" w:rsidRPr="000B2ADC">
        <w:rPr>
          <w:rFonts w:ascii="Book Antiqua" w:eastAsia="Book Antiqua" w:hAnsi="Book Antiqua" w:cs="Book Antiqua"/>
          <w:color w:val="000000"/>
          <w:sz w:val="24"/>
          <w:szCs w:val="24"/>
        </w:rPr>
        <w:t>.</w:t>
      </w:r>
      <w:r w:rsidR="001A0379">
        <w:rPr>
          <w:rStyle w:val="FootnoteReference"/>
          <w:rFonts w:ascii="Book Antiqua" w:eastAsia="Book Antiqua" w:hAnsi="Book Antiqua" w:cs="Book Antiqua"/>
          <w:color w:val="000000"/>
          <w:sz w:val="24"/>
          <w:szCs w:val="24"/>
        </w:rPr>
        <w:footnoteReference w:id="19"/>
      </w:r>
      <w:r w:rsidR="00DC1D9F" w:rsidRPr="000B2ADC">
        <w:rPr>
          <w:rFonts w:ascii="Book Antiqua" w:eastAsia="Book Antiqua" w:hAnsi="Book Antiqua" w:cs="Book Antiqua"/>
          <w:color w:val="000000"/>
          <w:sz w:val="24"/>
          <w:szCs w:val="24"/>
        </w:rPr>
        <w:t xml:space="preserve"> </w:t>
      </w:r>
    </w:p>
    <w:p w14:paraId="2F1B7516" w14:textId="7F57DC98" w:rsidR="00DC1D9F" w:rsidRPr="00744BD5" w:rsidRDefault="00744BD5" w:rsidP="00744BD5">
      <w:pPr>
        <w:pStyle w:val="ListParagraph"/>
        <w:spacing w:after="120" w:line="240" w:lineRule="auto"/>
        <w:ind w:left="360" w:firstLine="360"/>
        <w:jc w:val="both"/>
        <w:rPr>
          <w:rFonts w:ascii="Book Antiqua" w:eastAsia="Book Antiqua" w:hAnsi="Book Antiqua" w:cs="Book Antiqua"/>
          <w:color w:val="000000"/>
          <w:sz w:val="24"/>
          <w:szCs w:val="24"/>
        </w:rPr>
      </w:pPr>
      <w:r w:rsidRPr="00744BD5">
        <w:rPr>
          <w:rFonts w:ascii="Book Antiqua" w:eastAsia="Book Antiqua" w:hAnsi="Book Antiqua" w:cs="Book Antiqua"/>
          <w:color w:val="000000"/>
          <w:sz w:val="24"/>
          <w:szCs w:val="24"/>
        </w:rPr>
        <w:t xml:space="preserve">As an amil zakat institution that has obtained legal legitimacy from the government through the Decree of the Minister of Religious Affairs of the Republic of Indonesia, LAZ YDSF in Malang City has the authority to manage zakat, including professional zakat. In practice, the recognition of professional zakat as a deduction from Income Tax (PPh) </w:t>
      </w:r>
      <w:r w:rsidRPr="00744BD5">
        <w:rPr>
          <w:rFonts w:ascii="Book Antiqua" w:eastAsia="Book Antiqua" w:hAnsi="Book Antiqua" w:cs="Book Antiqua"/>
          <w:color w:val="000000"/>
          <w:sz w:val="24"/>
          <w:szCs w:val="24"/>
        </w:rPr>
        <w:lastRenderedPageBreak/>
        <w:t>at LAZ YDSF is implemented through a cooperation mechanism with the Tax Service Office (KPP) in the Malang area. This cooperation is realized in a transparent zakat reporting system that is integrated into the tax administration system, in line with the principles of accountability and transparency as regulated in PSAK No. 109 concerning Accounting for Zakat, Infak, and Sadaqah.</w:t>
      </w:r>
      <w:r>
        <w:rPr>
          <w:rFonts w:ascii="Book Antiqua" w:eastAsia="Book Antiqua" w:hAnsi="Book Antiqua" w:cs="Book Antiqua"/>
          <w:color w:val="000000"/>
          <w:sz w:val="24"/>
          <w:szCs w:val="24"/>
        </w:rPr>
        <w:t xml:space="preserve"> </w:t>
      </w:r>
      <w:r w:rsidRPr="00744BD5">
        <w:rPr>
          <w:rFonts w:ascii="Book Antiqua" w:eastAsia="Book Antiqua" w:hAnsi="Book Antiqua" w:cs="Book Antiqua"/>
          <w:color w:val="000000"/>
          <w:sz w:val="24"/>
          <w:szCs w:val="24"/>
        </w:rPr>
        <w:t>Thus, the financial reports prepared by LAZ not only fulfill sharia obligations but also support compliance with national tax regulations</w:t>
      </w:r>
      <w:r w:rsidR="00DC1D9F" w:rsidRPr="00744BD5">
        <w:rPr>
          <w:rFonts w:ascii="Book Antiqua" w:eastAsia="Book Antiqua" w:hAnsi="Book Antiqua" w:cs="Book Antiqua"/>
          <w:color w:val="000000"/>
          <w:sz w:val="24"/>
          <w:szCs w:val="24"/>
        </w:rPr>
        <w:t>.</w:t>
      </w:r>
      <w:r w:rsidR="001A0379">
        <w:rPr>
          <w:rStyle w:val="FootnoteReference"/>
          <w:rFonts w:ascii="Book Antiqua" w:eastAsia="Book Antiqua" w:hAnsi="Book Antiqua" w:cs="Book Antiqua"/>
          <w:color w:val="000000"/>
          <w:sz w:val="24"/>
          <w:szCs w:val="24"/>
        </w:rPr>
        <w:footnoteReference w:id="20"/>
      </w:r>
      <w:r w:rsidR="00DC1D9F" w:rsidRPr="00744BD5">
        <w:rPr>
          <w:rFonts w:ascii="Book Antiqua" w:eastAsia="Book Antiqua" w:hAnsi="Book Antiqua" w:cs="Book Antiqua"/>
          <w:color w:val="000000"/>
          <w:sz w:val="24"/>
          <w:szCs w:val="24"/>
        </w:rPr>
        <w:t xml:space="preserve"> </w:t>
      </w:r>
    </w:p>
    <w:p w14:paraId="4B67A854" w14:textId="46222903" w:rsidR="00DC1D9F" w:rsidRPr="00744BD5" w:rsidRDefault="00744BD5" w:rsidP="00744BD5">
      <w:pPr>
        <w:pStyle w:val="ListParagraph"/>
        <w:spacing w:after="120" w:line="240" w:lineRule="auto"/>
        <w:ind w:left="360" w:firstLine="360"/>
        <w:jc w:val="both"/>
        <w:rPr>
          <w:rFonts w:ascii="Book Antiqua" w:eastAsia="Book Antiqua" w:hAnsi="Book Antiqua" w:cs="Book Antiqua"/>
          <w:color w:val="000000"/>
          <w:sz w:val="24"/>
          <w:szCs w:val="24"/>
        </w:rPr>
      </w:pPr>
      <w:r w:rsidRPr="00744BD5">
        <w:rPr>
          <w:rFonts w:ascii="Book Antiqua" w:eastAsia="Book Antiqua" w:hAnsi="Book Antiqua" w:cs="Book Antiqua"/>
          <w:color w:val="000000"/>
          <w:sz w:val="24"/>
          <w:szCs w:val="24"/>
        </w:rPr>
        <w:t>The mechanism for implementing the recognition of professional zakat as a deduction from Income Tax involves several important stages. First, the amil zakat institution provides a zakat payment receipt to the muzaki as proof of valid professional zakat payment. Second, digital recording of each zakat transaction received is conducted to ensure data accuracy and transparency. Third, the amil zakat institution periodically reports to the tax authorities as a form of accountability and support for the integration of zakat and tax administration.</w:t>
      </w:r>
      <w:r>
        <w:rPr>
          <w:rFonts w:ascii="Book Antiqua" w:eastAsia="Book Antiqua" w:hAnsi="Book Antiqua" w:cs="Book Antiqua"/>
          <w:color w:val="000000"/>
          <w:sz w:val="24"/>
          <w:szCs w:val="24"/>
        </w:rPr>
        <w:t xml:space="preserve"> </w:t>
      </w:r>
      <w:r w:rsidRPr="00744BD5">
        <w:rPr>
          <w:rFonts w:ascii="Book Antiqua" w:eastAsia="Book Antiqua" w:hAnsi="Book Antiqua" w:cs="Book Antiqua"/>
          <w:color w:val="000000"/>
          <w:sz w:val="24"/>
          <w:szCs w:val="24"/>
        </w:rPr>
        <w:t>Nevertheless, the implementation of this policy is not without various challenges in the field. Some common obstacles include: (1) the low level of public literacy regarding legal and taxation aspects, especially related to the right to income tax deductions through zakat payments; (2) limited socialization from the government and tax authorities about the procedures and regulations of zakat as a tax deduction; and (3) doubts among some muzaki in equating the status of zakat and tax as obligations that hold the same legal power, both according to positive law and Islamic sharia perspectives</w:t>
      </w:r>
      <w:r w:rsidR="00DC1D9F" w:rsidRPr="00744BD5">
        <w:rPr>
          <w:rFonts w:ascii="Book Antiqua" w:eastAsia="Book Antiqua" w:hAnsi="Book Antiqua" w:cs="Book Antiqua"/>
          <w:color w:val="000000"/>
          <w:sz w:val="24"/>
          <w:szCs w:val="24"/>
        </w:rPr>
        <w:t>.</w:t>
      </w:r>
      <w:r w:rsidR="001A0379">
        <w:rPr>
          <w:rStyle w:val="FootnoteReference"/>
          <w:rFonts w:ascii="Book Antiqua" w:eastAsia="Book Antiqua" w:hAnsi="Book Antiqua" w:cs="Book Antiqua"/>
          <w:color w:val="000000"/>
          <w:sz w:val="24"/>
          <w:szCs w:val="24"/>
          <w:lang w:val="fi-FI"/>
        </w:rPr>
        <w:footnoteReference w:id="21"/>
      </w:r>
      <w:r w:rsidR="00DC1D9F" w:rsidRPr="00744BD5">
        <w:rPr>
          <w:rFonts w:ascii="Book Antiqua" w:eastAsia="Book Antiqua" w:hAnsi="Book Antiqua" w:cs="Book Antiqua"/>
          <w:color w:val="000000"/>
          <w:sz w:val="24"/>
          <w:szCs w:val="24"/>
        </w:rPr>
        <w:t xml:space="preserve"> </w:t>
      </w:r>
    </w:p>
    <w:p w14:paraId="62B18876" w14:textId="58746F7B" w:rsidR="00DC1D9F" w:rsidRPr="00744BD5" w:rsidRDefault="00744BD5" w:rsidP="00744BD5">
      <w:pPr>
        <w:pStyle w:val="ListParagraph"/>
        <w:spacing w:after="120" w:line="240" w:lineRule="auto"/>
        <w:ind w:left="360" w:firstLine="360"/>
        <w:jc w:val="both"/>
        <w:rPr>
          <w:rFonts w:ascii="Book Antiqua" w:eastAsia="Book Antiqua" w:hAnsi="Book Antiqua" w:cs="Book Antiqua"/>
          <w:color w:val="000000"/>
          <w:sz w:val="24"/>
          <w:szCs w:val="24"/>
        </w:rPr>
      </w:pPr>
      <w:r>
        <w:rPr>
          <w:rFonts w:ascii="Book Antiqua" w:eastAsia="Book Antiqua" w:hAnsi="Book Antiqua" w:cs="Book Antiqua"/>
          <w:color w:val="000000"/>
          <w:sz w:val="24"/>
          <w:szCs w:val="24"/>
        </w:rPr>
        <w:t>T</w:t>
      </w:r>
      <w:r w:rsidRPr="00744BD5">
        <w:rPr>
          <w:rFonts w:ascii="Book Antiqua" w:eastAsia="Book Antiqua" w:hAnsi="Book Antiqua" w:cs="Book Antiqua"/>
          <w:color w:val="000000"/>
          <w:sz w:val="24"/>
          <w:szCs w:val="24"/>
        </w:rPr>
        <w:t>o overcome various implementation challenges, LAZ YDSF in Malang City actively conducts education for muzaki through various channels, including social media, seminars, sharia tax training, and building synergy with academics from Islamic universities. This education and socialization strategy aims to increase public understanding and awareness of the role of professional zakat within the national taxation system.</w:t>
      </w:r>
      <w:r>
        <w:rPr>
          <w:rFonts w:ascii="Book Antiqua" w:eastAsia="Book Antiqua" w:hAnsi="Book Antiqua" w:cs="Book Antiqua"/>
          <w:color w:val="000000"/>
          <w:sz w:val="24"/>
          <w:szCs w:val="24"/>
        </w:rPr>
        <w:t xml:space="preserve"> </w:t>
      </w:r>
      <w:r w:rsidRPr="00744BD5">
        <w:rPr>
          <w:rFonts w:ascii="Book Antiqua" w:eastAsia="Book Antiqua" w:hAnsi="Book Antiqua" w:cs="Book Antiqua"/>
          <w:color w:val="000000"/>
          <w:sz w:val="24"/>
          <w:szCs w:val="24"/>
        </w:rPr>
        <w:t>This approach has proven effective in boosting trust and participation among muzaki, as evidenced by the rising trend in professional zakat payments from Civil Servants (ASN), lecturers, and professionals in Malang City over the past five years. This strategy aligns with optimization efforts implemented by other amil zakat institutions, such as BAZNAS Banyumas, in addressing challenges related to public understanding and expanding program reach</w:t>
      </w:r>
      <w:r w:rsidR="00DC1D9F" w:rsidRPr="00744BD5">
        <w:rPr>
          <w:rFonts w:ascii="Book Antiqua" w:eastAsia="Book Antiqua" w:hAnsi="Book Antiqua" w:cs="Book Antiqua"/>
          <w:color w:val="000000"/>
          <w:sz w:val="24"/>
          <w:szCs w:val="24"/>
        </w:rPr>
        <w:t>.</w:t>
      </w:r>
      <w:r w:rsidR="001A0379">
        <w:rPr>
          <w:rStyle w:val="FootnoteReference"/>
          <w:rFonts w:ascii="Book Antiqua" w:eastAsia="Book Antiqua" w:hAnsi="Book Antiqua" w:cs="Book Antiqua"/>
          <w:color w:val="000000"/>
          <w:sz w:val="24"/>
          <w:szCs w:val="24"/>
          <w:lang w:val="fi-FI"/>
        </w:rPr>
        <w:footnoteReference w:id="22"/>
      </w:r>
      <w:r w:rsidR="00DC1D9F" w:rsidRPr="00744BD5">
        <w:rPr>
          <w:rFonts w:ascii="Book Antiqua" w:eastAsia="Book Antiqua" w:hAnsi="Book Antiqua" w:cs="Book Antiqua"/>
          <w:color w:val="000000"/>
          <w:sz w:val="24"/>
          <w:szCs w:val="24"/>
        </w:rPr>
        <w:t xml:space="preserve"> </w:t>
      </w:r>
    </w:p>
    <w:p w14:paraId="4FCD10ED" w14:textId="4BD44AD6" w:rsidR="00DC1D9F" w:rsidRPr="00744BD5" w:rsidRDefault="00744BD5" w:rsidP="001A0379">
      <w:pPr>
        <w:pStyle w:val="ListParagraph"/>
        <w:spacing w:after="120" w:line="240" w:lineRule="auto"/>
        <w:ind w:left="360" w:firstLine="360"/>
        <w:jc w:val="both"/>
        <w:rPr>
          <w:rFonts w:ascii="Book Antiqua" w:eastAsia="Book Antiqua" w:hAnsi="Book Antiqua" w:cs="Book Antiqua"/>
          <w:color w:val="000000"/>
          <w:sz w:val="24"/>
          <w:szCs w:val="24"/>
        </w:rPr>
      </w:pPr>
      <w:r w:rsidRPr="00744BD5">
        <w:rPr>
          <w:rFonts w:ascii="Book Antiqua" w:eastAsia="Book Antiqua" w:hAnsi="Book Antiqua" w:cs="Book Antiqua"/>
          <w:color w:val="000000"/>
          <w:sz w:val="24"/>
          <w:szCs w:val="24"/>
        </w:rPr>
        <w:t>Within the framework of national regulations, the role of amil zakat institutions such as YDSF in Malang City strengthens the integration between tax law and zakat law within Indonesia’s positive legal system. By implementing professional zakat as a deduction from Income Tax (PPh), YDSF functions not only as a zakat management institution but also as a strategic partner of the state in creating distributive and fiscal justice. This aligns with Law Number 23 of 2011, which mandates the role of the state in zakat management to enhance the effectiveness and efficiency of services, as well as to optimize the potential of zakat in poverty alleviation</w:t>
      </w:r>
      <w:r w:rsidR="00DC1D9F" w:rsidRPr="00744BD5">
        <w:rPr>
          <w:rFonts w:ascii="Book Antiqua" w:eastAsia="Book Antiqua" w:hAnsi="Book Antiqua" w:cs="Book Antiqua"/>
          <w:color w:val="000000"/>
          <w:sz w:val="24"/>
          <w:szCs w:val="24"/>
        </w:rPr>
        <w:t>.</w:t>
      </w:r>
      <w:r w:rsidR="001A0379">
        <w:rPr>
          <w:rStyle w:val="FootnoteReference"/>
          <w:rFonts w:ascii="Book Antiqua" w:eastAsia="Book Antiqua" w:hAnsi="Book Antiqua" w:cs="Book Antiqua"/>
          <w:color w:val="000000"/>
          <w:sz w:val="24"/>
          <w:szCs w:val="24"/>
          <w:lang w:val="fi-FI"/>
        </w:rPr>
        <w:footnoteReference w:id="23"/>
      </w:r>
      <w:r w:rsidR="00DC1D9F" w:rsidRPr="00744BD5">
        <w:rPr>
          <w:rFonts w:ascii="Book Antiqua" w:eastAsia="Book Antiqua" w:hAnsi="Book Antiqua" w:cs="Book Antiqua"/>
          <w:color w:val="000000"/>
          <w:sz w:val="24"/>
          <w:szCs w:val="24"/>
        </w:rPr>
        <w:t xml:space="preserve"> </w:t>
      </w:r>
    </w:p>
    <w:p w14:paraId="090F29D2" w14:textId="52F170E0" w:rsidR="00DC1D9F" w:rsidRPr="00744BD5" w:rsidRDefault="00744BD5" w:rsidP="00744BD5">
      <w:pPr>
        <w:pStyle w:val="ListParagraph"/>
        <w:spacing w:after="120" w:line="240" w:lineRule="auto"/>
        <w:ind w:left="360" w:firstLine="360"/>
        <w:jc w:val="both"/>
        <w:rPr>
          <w:rFonts w:ascii="Book Antiqua" w:eastAsia="Book Antiqua" w:hAnsi="Book Antiqua" w:cs="Book Antiqua"/>
          <w:color w:val="000000"/>
          <w:sz w:val="24"/>
          <w:szCs w:val="24"/>
        </w:rPr>
      </w:pPr>
      <w:r w:rsidRPr="00744BD5">
        <w:rPr>
          <w:rFonts w:ascii="Book Antiqua" w:eastAsia="Book Antiqua" w:hAnsi="Book Antiqua" w:cs="Book Antiqua"/>
          <w:color w:val="000000"/>
          <w:sz w:val="24"/>
          <w:szCs w:val="24"/>
        </w:rPr>
        <w:lastRenderedPageBreak/>
        <w:t>From the perspective of administrative law, the successful implementation of recognizing professional zakat as a deduction from income tax by LAZ YDSF in Malang City reflects the effectiveness of fiscal policy execution that is adaptive to socio-religious dynamics. This demonstrates good synergy between the tax authorities and amil zakat institutions in upholding the principles of good governance, particularly in public service and transparency in zakat management.</w:t>
      </w:r>
      <w:r>
        <w:rPr>
          <w:rFonts w:ascii="Book Antiqua" w:eastAsia="Book Antiqua" w:hAnsi="Book Antiqua" w:cs="Book Antiqua"/>
          <w:color w:val="000000"/>
          <w:sz w:val="24"/>
          <w:szCs w:val="24"/>
        </w:rPr>
        <w:t xml:space="preserve"> </w:t>
      </w:r>
      <w:r w:rsidRPr="00744BD5">
        <w:rPr>
          <w:rFonts w:ascii="Book Antiqua" w:eastAsia="Book Antiqua" w:hAnsi="Book Antiqua" w:cs="Book Antiqua"/>
          <w:color w:val="000000"/>
          <w:sz w:val="24"/>
          <w:szCs w:val="24"/>
        </w:rPr>
        <w:t>Meanwhile, from the perspective of Islamic law, the involvement of muzaki in fulfilling their professional zakat obligations through an official LAZ and receiving tax deductions reflects a concrete form of compliance with sharia obligations while also respecting state regulations. Therefore, this practice can be categorized as a successful implementation of the principle of dual compliance, meaning simultaneous adherence to both national legal norms and religious legal norms that mutually reinforce each other within the context of Indonesia’s pluralistic legal system</w:t>
      </w:r>
      <w:r w:rsidR="00DC1D9F" w:rsidRPr="00744BD5">
        <w:rPr>
          <w:rFonts w:ascii="Book Antiqua" w:eastAsia="Book Antiqua" w:hAnsi="Book Antiqua" w:cs="Book Antiqua"/>
          <w:color w:val="000000"/>
          <w:sz w:val="24"/>
          <w:szCs w:val="24"/>
        </w:rPr>
        <w:t>.</w:t>
      </w:r>
      <w:r w:rsidR="001A0379">
        <w:rPr>
          <w:rStyle w:val="FootnoteReference"/>
          <w:rFonts w:ascii="Book Antiqua" w:eastAsia="Book Antiqua" w:hAnsi="Book Antiqua" w:cs="Book Antiqua"/>
          <w:color w:val="000000"/>
          <w:sz w:val="24"/>
          <w:szCs w:val="24"/>
          <w:lang w:val="fi-FI"/>
        </w:rPr>
        <w:footnoteReference w:id="24"/>
      </w:r>
      <w:r w:rsidR="00DC1D9F" w:rsidRPr="00744BD5">
        <w:rPr>
          <w:rFonts w:ascii="Book Antiqua" w:eastAsia="Book Antiqua" w:hAnsi="Book Antiqua" w:cs="Book Antiqua"/>
          <w:color w:val="000000"/>
          <w:sz w:val="24"/>
          <w:szCs w:val="24"/>
        </w:rPr>
        <w:t xml:space="preserve"> </w:t>
      </w:r>
    </w:p>
    <w:p w14:paraId="25C408F9" w14:textId="1D9379F4" w:rsidR="00DC1D9F" w:rsidRPr="00744BD5" w:rsidRDefault="00744BD5" w:rsidP="001A0379">
      <w:pPr>
        <w:pStyle w:val="ListParagraph"/>
        <w:spacing w:after="120" w:line="240" w:lineRule="auto"/>
        <w:ind w:left="360" w:firstLine="360"/>
        <w:jc w:val="both"/>
        <w:rPr>
          <w:rFonts w:ascii="Book Antiqua" w:eastAsia="Book Antiqua" w:hAnsi="Book Antiqua" w:cs="Book Antiqua"/>
          <w:color w:val="000000"/>
          <w:sz w:val="24"/>
          <w:szCs w:val="24"/>
        </w:rPr>
      </w:pPr>
      <w:r w:rsidRPr="00744BD5">
        <w:rPr>
          <w:rFonts w:ascii="Book Antiqua" w:eastAsia="Book Antiqua" w:hAnsi="Book Antiqua" w:cs="Book Antiqua"/>
          <w:color w:val="000000"/>
          <w:sz w:val="24"/>
          <w:szCs w:val="24"/>
        </w:rPr>
        <w:t>The procedural compliance between the payment of professional zakat through officially registered Amil Zakat Institutions, such as LAZ YDSF, and its recognition within the tax reporting system is a crucial element in strengthening the integration between fiscal compliance and the religious values of the community. The recognition of zakat as a tax deduction not only provides fiscal benefits to taxpayers but also contributes to enhancing social and spiritual awareness. This reflects the strategic role of zakat in shaping taxpayer behavior that is not solely governed by state regulations but is also motivated by a strong religious commitment deeply embedded in the lives of Muslims</w:t>
      </w:r>
      <w:r w:rsidR="00DC1D9F" w:rsidRPr="00744BD5">
        <w:rPr>
          <w:rFonts w:ascii="Book Antiqua" w:eastAsia="Book Antiqua" w:hAnsi="Book Antiqua" w:cs="Book Antiqua"/>
          <w:color w:val="000000"/>
          <w:sz w:val="24"/>
          <w:szCs w:val="24"/>
        </w:rPr>
        <w:t>.</w:t>
      </w:r>
    </w:p>
    <w:p w14:paraId="6C990E53" w14:textId="00C22AD5" w:rsidR="00DC1D9F" w:rsidRPr="00744BD5" w:rsidRDefault="00744BD5" w:rsidP="001A0379">
      <w:pPr>
        <w:pStyle w:val="ListParagraph"/>
        <w:spacing w:after="120" w:line="240" w:lineRule="auto"/>
        <w:ind w:left="360" w:firstLine="360"/>
        <w:jc w:val="both"/>
        <w:rPr>
          <w:rFonts w:ascii="Book Antiqua" w:eastAsia="Book Antiqua" w:hAnsi="Book Antiqua" w:cs="Book Antiqua"/>
          <w:color w:val="000000"/>
          <w:sz w:val="24"/>
          <w:szCs w:val="24"/>
        </w:rPr>
      </w:pPr>
      <w:r w:rsidRPr="00744BD5">
        <w:rPr>
          <w:rFonts w:ascii="Book Antiqua" w:eastAsia="Book Antiqua" w:hAnsi="Book Antiqua" w:cs="Book Antiqua"/>
          <w:color w:val="000000"/>
          <w:sz w:val="24"/>
          <w:szCs w:val="24"/>
        </w:rPr>
        <w:t>The recognition of professional zakat as a deductible item from income tax represents a strategic step in building a tax law system that is inclusive, just, and responsive to the religious values of Indonesian society. From the perspective of positive law, existing regulations</w:t>
      </w:r>
      <w:r>
        <w:rPr>
          <w:rFonts w:ascii="Book Antiqua" w:eastAsia="Book Antiqua" w:hAnsi="Book Antiqua" w:cs="Book Antiqua"/>
          <w:color w:val="000000"/>
          <w:sz w:val="24"/>
          <w:szCs w:val="24"/>
        </w:rPr>
        <w:t xml:space="preserve"> </w:t>
      </w:r>
      <w:r w:rsidRPr="00744BD5">
        <w:rPr>
          <w:rFonts w:ascii="Book Antiqua" w:eastAsia="Book Antiqua" w:hAnsi="Book Antiqua" w:cs="Book Antiqua"/>
          <w:color w:val="000000"/>
          <w:sz w:val="24"/>
          <w:szCs w:val="24"/>
        </w:rPr>
        <w:t>namely Law Number 23 of 2011 on Zakat Management, Law Number 36 of 2008 on Income Tax, and Government Regulation Number 60 of 2010—have provided a strong normative basis for the legality of income tax deductions for professional zakat payments made to authorized institutions.</w:t>
      </w:r>
      <w:r w:rsidR="00DC1D9F" w:rsidRPr="00744BD5">
        <w:rPr>
          <w:rFonts w:ascii="Book Antiqua" w:eastAsia="Book Antiqua" w:hAnsi="Book Antiqua" w:cs="Book Antiqua"/>
          <w:color w:val="000000"/>
          <w:sz w:val="24"/>
          <w:szCs w:val="24"/>
        </w:rPr>
        <w:t>.</w:t>
      </w:r>
    </w:p>
    <w:p w14:paraId="6A2F180F" w14:textId="7F28F888" w:rsidR="00DC1D9F" w:rsidRPr="00751383" w:rsidRDefault="00751383" w:rsidP="001A0379">
      <w:pPr>
        <w:pStyle w:val="ListParagraph"/>
        <w:spacing w:after="120" w:line="240" w:lineRule="auto"/>
        <w:ind w:left="360" w:firstLine="360"/>
        <w:jc w:val="both"/>
        <w:rPr>
          <w:rFonts w:ascii="Book Antiqua" w:eastAsia="Book Antiqua" w:hAnsi="Book Antiqua" w:cs="Book Antiqua"/>
          <w:color w:val="000000"/>
          <w:sz w:val="24"/>
          <w:szCs w:val="24"/>
        </w:rPr>
      </w:pPr>
      <w:r w:rsidRPr="00751383">
        <w:rPr>
          <w:rFonts w:ascii="Book Antiqua" w:eastAsia="Book Antiqua" w:hAnsi="Book Antiqua" w:cs="Book Antiqua"/>
          <w:color w:val="000000"/>
          <w:sz w:val="24"/>
          <w:szCs w:val="24"/>
        </w:rPr>
        <w:t>At the implementation level, there remains a gap between the available regulations and their practical application in the field. A case study at the Amil Zakat Institution of Yayasan Dana Sosial Al-Falah (LAZ YDSF) in Malang City reveals that although the procedural recognition of professional zakat as a deduction from income tax (PPh) has been practiced, there are still structural and cultural obstacles that need to be addressed. These obstacles include a lack of legal and tax literacy among zakat payers (muzaki), weak inter-agency coordination, and the suboptimal integration of the tax information system with the national zakat system</w:t>
      </w:r>
      <w:r w:rsidR="00DC1D9F" w:rsidRPr="00751383">
        <w:rPr>
          <w:rFonts w:ascii="Book Antiqua" w:eastAsia="Book Antiqua" w:hAnsi="Book Antiqua" w:cs="Book Antiqua"/>
          <w:color w:val="000000"/>
          <w:sz w:val="24"/>
          <w:szCs w:val="24"/>
        </w:rPr>
        <w:t>.</w:t>
      </w:r>
    </w:p>
    <w:p w14:paraId="38DFA16A" w14:textId="298BE3CC" w:rsidR="008E3EE1" w:rsidRPr="00DC1D9F" w:rsidRDefault="00291D50" w:rsidP="00DC1D9F">
      <w:pPr>
        <w:pStyle w:val="ListParagraph"/>
        <w:numPr>
          <w:ilvl w:val="0"/>
          <w:numId w:val="3"/>
        </w:numPr>
        <w:spacing w:after="0" w:line="240" w:lineRule="auto"/>
        <w:ind w:left="360"/>
        <w:jc w:val="both"/>
        <w:rPr>
          <w:rFonts w:ascii="Book Antiqua" w:eastAsia="Book Antiqua" w:hAnsi="Book Antiqua" w:cs="Book Antiqua"/>
          <w:b/>
          <w:bCs/>
          <w:color w:val="000000"/>
          <w:sz w:val="24"/>
          <w:szCs w:val="24"/>
          <w:lang w:val="id-ID"/>
        </w:rPr>
      </w:pPr>
      <w:r w:rsidRPr="00291D50">
        <w:rPr>
          <w:rFonts w:ascii="Book Antiqua" w:eastAsia="Book Antiqua" w:hAnsi="Book Antiqua" w:cs="Book Antiqua"/>
          <w:b/>
          <w:bCs/>
          <w:color w:val="000000"/>
          <w:sz w:val="24"/>
          <w:szCs w:val="24"/>
          <w:lang w:val="id-ID"/>
        </w:rPr>
        <w:t>Legal Implications of Recognizing Professional Zakat as a Deduction from Income Tax for the Development of Zakat and Tax Law in Indonesia</w:t>
      </w:r>
    </w:p>
    <w:p w14:paraId="332ECBB4" w14:textId="19A19311" w:rsidR="00DC1D9F" w:rsidRPr="00DC1D9F" w:rsidRDefault="00980933" w:rsidP="001A0379">
      <w:pPr>
        <w:spacing w:after="0" w:line="240" w:lineRule="auto"/>
        <w:ind w:left="360" w:firstLine="360"/>
        <w:jc w:val="both"/>
        <w:rPr>
          <w:rFonts w:ascii="Book Antiqua" w:eastAsia="Book Antiqua" w:hAnsi="Book Antiqua" w:cs="Book Antiqua"/>
          <w:color w:val="000000"/>
          <w:sz w:val="24"/>
          <w:szCs w:val="24"/>
          <w:lang w:val="id-ID"/>
        </w:rPr>
      </w:pPr>
      <w:r w:rsidRPr="00980933">
        <w:rPr>
          <w:rFonts w:ascii="Book Antiqua" w:eastAsia="Book Antiqua" w:hAnsi="Book Antiqua" w:cs="Book Antiqua"/>
          <w:color w:val="000000"/>
          <w:sz w:val="24"/>
          <w:szCs w:val="24"/>
          <w:lang w:val="id-ID"/>
        </w:rPr>
        <w:t xml:space="preserve">The recognition of professional zakat (zakat on income) as a deduction from personal income tax has significant implications for the development of zakat and tax law in Indonesia. It reflects an integration between Islamic law and national law within the framework of a constitutional state based on the belief in One Almighty God. This policy represents a form of state affirmation of the religious obligations of Muslims, while also addressing the regulatory need to include zakat as a legitimate part of the fiscal system, as stipulated in Government Regulation No. 60 of 2010 and Law No. 23 of 2011. </w:t>
      </w:r>
      <w:r w:rsidRPr="00980933">
        <w:rPr>
          <w:rFonts w:ascii="Book Antiqua" w:eastAsia="Book Antiqua" w:hAnsi="Book Antiqua" w:cs="Book Antiqua"/>
          <w:color w:val="000000"/>
          <w:sz w:val="24"/>
          <w:szCs w:val="24"/>
          <w:lang w:val="id-ID"/>
        </w:rPr>
        <w:lastRenderedPageBreak/>
        <w:t>Normatively, this recognition embodies the spirit of Article 29 paragraph (2) of the 1945 Constitution of the Republic of Indonesia, which guarantees freedom of religion and religious practices, including zakat as one of the pillars of Islam. Furthermore, the integration of zakat and tax highlights the role of the state as waliyul amr (guardian authority) in managing zakat, in accordance with the command in Surah At-Tawbah [9]:103. It also represents a form of transformation of Islamic law within the national legal system that is adaptive to the social dynamics of Indonesian society, which consists predominantly of Muslims</w:t>
      </w:r>
      <w:r w:rsidR="00DC1D9F" w:rsidRPr="00DC1D9F">
        <w:rPr>
          <w:rFonts w:ascii="Book Antiqua" w:eastAsia="Book Antiqua" w:hAnsi="Book Antiqua" w:cs="Book Antiqua"/>
          <w:color w:val="000000"/>
          <w:sz w:val="24"/>
          <w:szCs w:val="24"/>
          <w:lang w:val="id-ID"/>
        </w:rPr>
        <w:t>.</w:t>
      </w:r>
      <w:r w:rsidR="001A0379">
        <w:rPr>
          <w:rStyle w:val="FootnoteReference"/>
          <w:rFonts w:ascii="Book Antiqua" w:eastAsia="Book Antiqua" w:hAnsi="Book Antiqua" w:cs="Book Antiqua"/>
          <w:color w:val="000000"/>
          <w:sz w:val="24"/>
          <w:szCs w:val="24"/>
          <w:lang w:val="id-ID"/>
        </w:rPr>
        <w:footnoteReference w:id="25"/>
      </w:r>
      <w:r w:rsidR="00DC1D9F" w:rsidRPr="00DC1D9F">
        <w:rPr>
          <w:rFonts w:ascii="Book Antiqua" w:eastAsia="Book Antiqua" w:hAnsi="Book Antiqua" w:cs="Book Antiqua"/>
          <w:color w:val="000000"/>
          <w:sz w:val="24"/>
          <w:szCs w:val="24"/>
          <w:lang w:val="id-ID"/>
        </w:rPr>
        <w:t xml:space="preserve"> </w:t>
      </w:r>
      <w:r w:rsidR="00291D50" w:rsidRPr="00291D50">
        <w:rPr>
          <w:rFonts w:ascii="Book Antiqua" w:eastAsia="Book Antiqua" w:hAnsi="Book Antiqua" w:cs="Book Antiqua"/>
          <w:color w:val="000000"/>
          <w:sz w:val="24"/>
          <w:szCs w:val="24"/>
          <w:lang w:val="id-ID"/>
        </w:rPr>
        <w:t>Within this framework, the recognition of zakat as a tax deduction can be seen as a manifestation of the integration of sharia values into the national positive legal system, illustrating the pluralistic and open character of Indonesian law toward religious values</w:t>
      </w:r>
      <w:r w:rsidR="00DC1D9F" w:rsidRPr="00DC1D9F">
        <w:rPr>
          <w:rFonts w:ascii="Book Antiqua" w:eastAsia="Book Antiqua" w:hAnsi="Book Antiqua" w:cs="Book Antiqua"/>
          <w:color w:val="000000"/>
          <w:sz w:val="24"/>
          <w:szCs w:val="24"/>
          <w:lang w:val="id-ID"/>
        </w:rPr>
        <w:t>.</w:t>
      </w:r>
    </w:p>
    <w:p w14:paraId="32886570" w14:textId="1FB4BCD6" w:rsidR="0072654A" w:rsidRDefault="0072654A" w:rsidP="0072654A">
      <w:pPr>
        <w:spacing w:after="0" w:line="240" w:lineRule="auto"/>
        <w:ind w:left="360" w:firstLine="360"/>
        <w:jc w:val="both"/>
        <w:rPr>
          <w:rFonts w:ascii="Book Antiqua" w:eastAsia="Book Antiqua" w:hAnsi="Book Antiqua" w:cs="Book Antiqua"/>
          <w:color w:val="000000"/>
          <w:sz w:val="24"/>
          <w:szCs w:val="24"/>
          <w:lang w:val="id-ID"/>
        </w:rPr>
      </w:pPr>
      <w:r w:rsidRPr="0072654A">
        <w:rPr>
          <w:rFonts w:ascii="Book Antiqua" w:eastAsia="Book Antiqua" w:hAnsi="Book Antiqua" w:cs="Book Antiqua"/>
          <w:color w:val="000000"/>
          <w:sz w:val="24"/>
          <w:szCs w:val="24"/>
          <w:lang w:val="id-ID"/>
        </w:rPr>
        <w:t>From a taxation perspective, the recognition of professional zakat (zakat on income) as a deduction from income tax reflects the growing paradigm of a fiscal system based on sharia values within Indonesia’s positive legal framework. This policy is rooted in Article 22 of Law Number 23 of 2011 concerning Zakat Management, which explicitly states that zakat paid by a muzakki (zakat payer) to BAZNAS or a registered Zakat Management Organization (LAZ) may be deducted from taxable income. This provision is further reinforced by technical regulations issued by the Directorate General of Taxes, particularly Regulation PER-6/PJ/2021, which outlines in detail the mechanism for zakat deduction, provided that the zakat is channeled through official zakat institutions registered with the Ministry of Religious Affairs.</w:t>
      </w:r>
      <w:r>
        <w:rPr>
          <w:rFonts w:ascii="Book Antiqua" w:eastAsia="Book Antiqua" w:hAnsi="Book Antiqua" w:cs="Book Antiqua"/>
          <w:color w:val="000000"/>
          <w:sz w:val="24"/>
          <w:szCs w:val="24"/>
          <w:lang w:val="id-ID"/>
        </w:rPr>
        <w:t xml:space="preserve"> </w:t>
      </w:r>
      <w:r w:rsidRPr="0072654A">
        <w:rPr>
          <w:rFonts w:ascii="Book Antiqua" w:eastAsia="Book Antiqua" w:hAnsi="Book Antiqua" w:cs="Book Antiqua"/>
          <w:color w:val="000000"/>
          <w:sz w:val="24"/>
          <w:szCs w:val="24"/>
          <w:lang w:val="id-ID"/>
        </w:rPr>
        <w:t>This integration not only demonstrates the state’s responsiveness to the spiritual needs of society but also reflects the modern Indonesian legal system's inclusive, pluralistic, and responsive nature. This is aligned with the Three Pillars System concept, which positions religious law, customary law, and state law as interconnected components of a unified national legal system</w:t>
      </w:r>
      <w:r>
        <w:rPr>
          <w:rFonts w:ascii="Book Antiqua" w:eastAsia="Book Antiqua" w:hAnsi="Book Antiqua" w:cs="Book Antiqua"/>
          <w:color w:val="000000"/>
          <w:sz w:val="24"/>
          <w:szCs w:val="24"/>
          <w:lang w:val="id-ID"/>
        </w:rPr>
        <w:t xml:space="preserve">, </w:t>
      </w:r>
      <w:r w:rsidRPr="0072654A">
        <w:rPr>
          <w:rFonts w:ascii="Book Antiqua" w:eastAsia="Book Antiqua" w:hAnsi="Book Antiqua" w:cs="Book Antiqua"/>
          <w:color w:val="000000"/>
          <w:sz w:val="24"/>
          <w:szCs w:val="24"/>
          <w:lang w:val="id-ID"/>
        </w:rPr>
        <w:t>one that is just and adaptive to local values and global demands.</w:t>
      </w:r>
      <w:r>
        <w:rPr>
          <w:rFonts w:ascii="Book Antiqua" w:eastAsia="Book Antiqua" w:hAnsi="Book Antiqua" w:cs="Book Antiqua"/>
          <w:color w:val="000000"/>
          <w:sz w:val="24"/>
          <w:szCs w:val="24"/>
          <w:lang w:val="id-ID"/>
        </w:rPr>
        <w:t xml:space="preserve"> </w:t>
      </w:r>
      <w:r w:rsidRPr="0072654A">
        <w:rPr>
          <w:rFonts w:ascii="Book Antiqua" w:eastAsia="Book Antiqua" w:hAnsi="Book Antiqua" w:cs="Book Antiqua"/>
          <w:color w:val="000000"/>
          <w:sz w:val="24"/>
          <w:szCs w:val="24"/>
          <w:lang w:val="id-ID"/>
        </w:rPr>
        <w:t>Thus, professional zakat is recognized not only as a spiritual obligation but also as a legal entitlement within the national taxation system.</w:t>
      </w:r>
    </w:p>
    <w:p w14:paraId="10C9A6A3" w14:textId="156685A8" w:rsidR="00DC1D9F" w:rsidRPr="00DC1D9F" w:rsidRDefault="0072654A" w:rsidP="0072654A">
      <w:pPr>
        <w:spacing w:after="0" w:line="240" w:lineRule="auto"/>
        <w:ind w:left="360" w:firstLine="360"/>
        <w:jc w:val="both"/>
        <w:rPr>
          <w:rFonts w:ascii="Book Antiqua" w:eastAsia="Book Antiqua" w:hAnsi="Book Antiqua" w:cs="Book Antiqua"/>
          <w:color w:val="000000"/>
          <w:sz w:val="24"/>
          <w:szCs w:val="24"/>
          <w:lang w:val="id-ID"/>
        </w:rPr>
      </w:pPr>
      <w:r w:rsidRPr="0072654A">
        <w:rPr>
          <w:rFonts w:ascii="Book Antiqua" w:eastAsia="Book Antiqua" w:hAnsi="Book Antiqua" w:cs="Book Antiqua"/>
          <w:color w:val="000000"/>
          <w:sz w:val="24"/>
          <w:szCs w:val="24"/>
          <w:lang w:val="id-ID"/>
        </w:rPr>
        <w:t>The policy of recognizing professional zakat (zakat on income) as a deduction from income tax has significant implications, particularly in strengthening the institutional role of zakat management organizations. Institutions such as the Yayasan Dana Sosial Al-Falah (YDSF) gain stronger legitimacy</w:t>
      </w:r>
      <w:r>
        <w:rPr>
          <w:rFonts w:ascii="Book Antiqua" w:eastAsia="Book Antiqua" w:hAnsi="Book Antiqua" w:cs="Book Antiqua"/>
          <w:color w:val="000000"/>
          <w:sz w:val="24"/>
          <w:szCs w:val="24"/>
          <w:lang w:val="id-ID"/>
        </w:rPr>
        <w:t xml:space="preserve"> </w:t>
      </w:r>
      <w:r w:rsidRPr="0072654A">
        <w:rPr>
          <w:rFonts w:ascii="Book Antiqua" w:eastAsia="Book Antiqua" w:hAnsi="Book Antiqua" w:cs="Book Antiqua"/>
          <w:color w:val="000000"/>
          <w:sz w:val="24"/>
          <w:szCs w:val="24"/>
          <w:lang w:val="id-ID"/>
        </w:rPr>
        <w:t>not only as religious entities but also as integral components of the nation's fiscal distribution system. This development encourages zakat institutions to uphold the principles of good governance, transparency, and accountability in accordance with Law Number 23 of 2011 and Government Regulation Number 14 of 2014. Moreover, it enhances their role in transformative dakwah (Islamic outreach) with tangible social impacts.</w:t>
      </w:r>
      <w:r w:rsidR="00253D30">
        <w:rPr>
          <w:rStyle w:val="FootnoteReference"/>
          <w:rFonts w:ascii="Book Antiqua" w:eastAsia="Book Antiqua" w:hAnsi="Book Antiqua" w:cs="Book Antiqua"/>
          <w:color w:val="000000"/>
          <w:sz w:val="24"/>
          <w:szCs w:val="24"/>
          <w:lang w:val="id-ID"/>
        </w:rPr>
        <w:footnoteReference w:id="26"/>
      </w:r>
      <w:r w:rsidR="00977038">
        <w:rPr>
          <w:rFonts w:ascii="Book Antiqua" w:eastAsia="Book Antiqua" w:hAnsi="Book Antiqua" w:cs="Book Antiqua"/>
          <w:color w:val="000000"/>
          <w:sz w:val="24"/>
          <w:szCs w:val="24"/>
          <w:lang w:val="id-ID"/>
        </w:rPr>
        <w:t xml:space="preserve"> </w:t>
      </w:r>
      <w:r w:rsidRPr="0072654A">
        <w:rPr>
          <w:rFonts w:ascii="Book Antiqua" w:eastAsia="Book Antiqua" w:hAnsi="Book Antiqua" w:cs="Book Antiqua"/>
          <w:color w:val="000000"/>
          <w:sz w:val="24"/>
          <w:szCs w:val="24"/>
          <w:lang w:val="id-ID"/>
        </w:rPr>
        <w:t>This situation presents both challenges and opportunities to position Zakat Management Organizations (LAZ) as strategic actors in socio-economic development through professional and integrated zakat fund management</w:t>
      </w:r>
      <w:r w:rsidR="00DC1D9F" w:rsidRPr="00DC1D9F">
        <w:rPr>
          <w:rFonts w:ascii="Book Antiqua" w:eastAsia="Book Antiqua" w:hAnsi="Book Antiqua" w:cs="Book Antiqua"/>
          <w:color w:val="000000"/>
          <w:sz w:val="24"/>
          <w:szCs w:val="24"/>
          <w:lang w:val="id-ID"/>
        </w:rPr>
        <w:t>.</w:t>
      </w:r>
    </w:p>
    <w:p w14:paraId="230A76B6" w14:textId="28E3BD71" w:rsidR="00DC1D9F" w:rsidRPr="00710040" w:rsidRDefault="00710040" w:rsidP="00253D30">
      <w:pPr>
        <w:spacing w:after="0" w:line="240" w:lineRule="auto"/>
        <w:ind w:left="360" w:firstLine="360"/>
        <w:jc w:val="both"/>
        <w:rPr>
          <w:rFonts w:ascii="Book Antiqua" w:eastAsia="Book Antiqua" w:hAnsi="Book Antiqua" w:cs="Book Antiqua"/>
          <w:color w:val="000000"/>
          <w:sz w:val="24"/>
          <w:szCs w:val="24"/>
        </w:rPr>
      </w:pPr>
      <w:r w:rsidRPr="00710040">
        <w:rPr>
          <w:rFonts w:ascii="Book Antiqua" w:eastAsia="Book Antiqua" w:hAnsi="Book Antiqua" w:cs="Book Antiqua"/>
          <w:color w:val="000000"/>
          <w:sz w:val="24"/>
          <w:szCs w:val="24"/>
          <w:lang w:val="id-ID"/>
        </w:rPr>
        <w:t xml:space="preserve">From the perspective of fiscal and social justice, the recognition of zakat as a deduction from income tax provides a dual incentive for muzakki (zakat payers): fulfilling their religious obligation while also receiving a tax reduction. This policy reflects distributive justice by acknowledging the social contribution made through </w:t>
      </w:r>
      <w:r w:rsidRPr="00710040">
        <w:rPr>
          <w:rFonts w:ascii="Book Antiqua" w:eastAsia="Book Antiqua" w:hAnsi="Book Antiqua" w:cs="Book Antiqua"/>
          <w:color w:val="000000"/>
          <w:sz w:val="24"/>
          <w:szCs w:val="24"/>
          <w:lang w:val="id-ID"/>
        </w:rPr>
        <w:lastRenderedPageBreak/>
        <w:t>zakat. However, since the current scheme operates as a tax deduction rather than a tax credit, it does not yet fully embody true fiscal equity</w:t>
      </w:r>
      <w:r w:rsidR="00DC1D9F" w:rsidRPr="00710040">
        <w:rPr>
          <w:rFonts w:ascii="Book Antiqua" w:eastAsia="Book Antiqua" w:hAnsi="Book Antiqua" w:cs="Book Antiqua"/>
          <w:color w:val="000000"/>
          <w:sz w:val="24"/>
          <w:szCs w:val="24"/>
        </w:rPr>
        <w:t>.</w:t>
      </w:r>
      <w:r w:rsidR="00253D30">
        <w:rPr>
          <w:rStyle w:val="FootnoteReference"/>
          <w:rFonts w:ascii="Book Antiqua" w:eastAsia="Book Antiqua" w:hAnsi="Book Antiqua" w:cs="Book Antiqua"/>
          <w:color w:val="000000"/>
          <w:sz w:val="24"/>
          <w:szCs w:val="24"/>
          <w:lang w:val="fi-FI"/>
        </w:rPr>
        <w:footnoteReference w:id="27"/>
      </w:r>
      <w:r w:rsidR="00DC1D9F" w:rsidRPr="00710040">
        <w:rPr>
          <w:rFonts w:ascii="Book Antiqua" w:eastAsia="Book Antiqua" w:hAnsi="Book Antiqua" w:cs="Book Antiqua"/>
          <w:color w:val="000000"/>
          <w:sz w:val="24"/>
          <w:szCs w:val="24"/>
        </w:rPr>
        <w:t xml:space="preserve"> </w:t>
      </w:r>
      <w:r w:rsidRPr="00710040">
        <w:rPr>
          <w:rFonts w:ascii="Book Antiqua" w:eastAsia="Book Antiqua" w:hAnsi="Book Antiqua" w:cs="Book Antiqua"/>
          <w:color w:val="000000"/>
          <w:sz w:val="24"/>
          <w:szCs w:val="24"/>
        </w:rPr>
        <w:t>Furthermore, this form of justice remains exclusive, as it applies only to Muslims. In the context of a multicultural state like Indonesia, there is a need for a more inclusive and proportional fiscal policy that accommodates all citizens equally, without discrimination</w:t>
      </w:r>
      <w:r w:rsidR="00DC1D9F" w:rsidRPr="00710040">
        <w:rPr>
          <w:rFonts w:ascii="Book Antiqua" w:eastAsia="Book Antiqua" w:hAnsi="Book Antiqua" w:cs="Book Antiqua"/>
          <w:color w:val="000000"/>
          <w:sz w:val="24"/>
          <w:szCs w:val="24"/>
        </w:rPr>
        <w:t>.</w:t>
      </w:r>
    </w:p>
    <w:p w14:paraId="6378E022" w14:textId="01F39C00" w:rsidR="00DC1D9F" w:rsidRPr="001D5923" w:rsidRDefault="001D5923" w:rsidP="00253D30">
      <w:pPr>
        <w:spacing w:after="0" w:line="240" w:lineRule="auto"/>
        <w:ind w:left="360" w:firstLine="360"/>
        <w:jc w:val="both"/>
        <w:rPr>
          <w:rFonts w:ascii="Book Antiqua" w:eastAsia="Book Antiqua" w:hAnsi="Book Antiqua" w:cs="Book Antiqua"/>
          <w:color w:val="000000"/>
          <w:sz w:val="24"/>
          <w:szCs w:val="24"/>
        </w:rPr>
      </w:pPr>
      <w:r w:rsidRPr="001D5923">
        <w:rPr>
          <w:rFonts w:ascii="Book Antiqua" w:eastAsia="Book Antiqua" w:hAnsi="Book Antiqua" w:cs="Book Antiqua"/>
          <w:color w:val="000000"/>
          <w:sz w:val="24"/>
          <w:szCs w:val="24"/>
        </w:rPr>
        <w:t>Empirical studies indicate that tax deduction incentives through zakat payments have a positive impact on the compliance levels of Muslim taxpayers. The awareness of zakat, supported by tax incentives, not only enhances fiscal compliance but also strengthens participation in socio-economic development aligned with the goals of financial inclusion and Maqasid al-Shariah (the objectives of Islamic law). This effect is particularly evident among Muslim professionals and civil servants</w:t>
      </w:r>
      <w:r w:rsidR="00DC1D9F" w:rsidRPr="001D5923">
        <w:rPr>
          <w:rFonts w:ascii="Book Antiqua" w:eastAsia="Book Antiqua" w:hAnsi="Book Antiqua" w:cs="Book Antiqua"/>
          <w:color w:val="000000"/>
          <w:sz w:val="24"/>
          <w:szCs w:val="24"/>
        </w:rPr>
        <w:t>.</w:t>
      </w:r>
      <w:r w:rsidR="00253D30">
        <w:rPr>
          <w:rStyle w:val="FootnoteReference"/>
          <w:rFonts w:ascii="Book Antiqua" w:eastAsia="Book Antiqua" w:hAnsi="Book Antiqua" w:cs="Book Antiqua"/>
          <w:color w:val="000000"/>
          <w:sz w:val="24"/>
          <w:szCs w:val="24"/>
          <w:lang w:val="fi-FI"/>
        </w:rPr>
        <w:footnoteReference w:id="28"/>
      </w:r>
      <w:r w:rsidR="00977038" w:rsidRPr="001D5923">
        <w:rPr>
          <w:rFonts w:ascii="Book Antiqua" w:eastAsia="Book Antiqua" w:hAnsi="Book Antiqua" w:cs="Book Antiqua"/>
          <w:color w:val="000000"/>
          <w:sz w:val="24"/>
          <w:szCs w:val="24"/>
        </w:rPr>
        <w:t xml:space="preserve"> </w:t>
      </w:r>
      <w:r w:rsidRPr="001D5923">
        <w:rPr>
          <w:rFonts w:ascii="Book Antiqua" w:eastAsia="Book Antiqua" w:hAnsi="Book Antiqua" w:cs="Book Antiqua"/>
          <w:color w:val="000000"/>
          <w:sz w:val="24"/>
          <w:szCs w:val="24"/>
        </w:rPr>
        <w:t>These implications suggest that an integrative approach between zakat and taxation can enhance the state's revenue base while respecting the spiritual and religious dimensions of individuals in economic life</w:t>
      </w:r>
      <w:r w:rsidR="00DC1D9F" w:rsidRPr="001D5923">
        <w:rPr>
          <w:rFonts w:ascii="Book Antiqua" w:eastAsia="Book Antiqua" w:hAnsi="Book Antiqua" w:cs="Book Antiqua"/>
          <w:color w:val="000000"/>
          <w:sz w:val="24"/>
          <w:szCs w:val="24"/>
        </w:rPr>
        <w:t>.</w:t>
      </w:r>
    </w:p>
    <w:p w14:paraId="2F3B6526" w14:textId="6030935B" w:rsidR="00DC1D9F" w:rsidRPr="004A2676" w:rsidRDefault="004A2676" w:rsidP="00253D30">
      <w:pPr>
        <w:spacing w:after="0" w:line="240" w:lineRule="auto"/>
        <w:ind w:left="360" w:firstLine="360"/>
        <w:jc w:val="both"/>
        <w:rPr>
          <w:rFonts w:ascii="Book Antiqua" w:eastAsia="Book Antiqua" w:hAnsi="Book Antiqua" w:cs="Book Antiqua"/>
          <w:color w:val="000000"/>
          <w:sz w:val="24"/>
          <w:szCs w:val="24"/>
        </w:rPr>
      </w:pPr>
      <w:r w:rsidRPr="004A2676">
        <w:rPr>
          <w:rFonts w:ascii="Book Antiqua" w:eastAsia="Book Antiqua" w:hAnsi="Book Antiqua" w:cs="Book Antiqua"/>
          <w:color w:val="000000"/>
          <w:sz w:val="24"/>
          <w:szCs w:val="24"/>
        </w:rPr>
        <w:t>Furthermore, this recognition also promotes a reform of the national taxation system toward a more inclusive framework that accommodates religious values. Currently, Indonesia's taxation system tends to be secular in nature, with limited accommodation for religious principles. Recognizing professional zakat as a deductible component of income tax could serve as a starting point for developing a hybrid fiscal system</w:t>
      </w:r>
      <w:r>
        <w:rPr>
          <w:rFonts w:ascii="Book Antiqua" w:eastAsia="Book Antiqua" w:hAnsi="Book Antiqua" w:cs="Book Antiqua"/>
          <w:color w:val="000000"/>
          <w:sz w:val="24"/>
          <w:szCs w:val="24"/>
        </w:rPr>
        <w:t xml:space="preserve">, </w:t>
      </w:r>
      <w:r w:rsidRPr="004A2676">
        <w:rPr>
          <w:rFonts w:ascii="Book Antiqua" w:eastAsia="Book Antiqua" w:hAnsi="Book Antiqua" w:cs="Book Antiqua"/>
          <w:color w:val="000000"/>
          <w:sz w:val="24"/>
          <w:szCs w:val="24"/>
        </w:rPr>
        <w:t>one that integrates the principles of a modern state with those of Sharia. To achieve this, revisions or strengthening of tax regulations are necessary, particularly the Income Tax Law, to explicitly incorporate the recognition of zakat within the tax calculation structure and mechanism</w:t>
      </w:r>
      <w:r w:rsidR="00DC1D9F" w:rsidRPr="004A2676">
        <w:rPr>
          <w:rFonts w:ascii="Book Antiqua" w:eastAsia="Book Antiqua" w:hAnsi="Book Antiqua" w:cs="Book Antiqua"/>
          <w:color w:val="000000"/>
          <w:sz w:val="24"/>
          <w:szCs w:val="24"/>
        </w:rPr>
        <w:t>.</w:t>
      </w:r>
    </w:p>
    <w:p w14:paraId="14A432C2" w14:textId="06D1F4F8" w:rsidR="00DC1D9F" w:rsidRPr="004A2676" w:rsidRDefault="004A2676" w:rsidP="00253D30">
      <w:pPr>
        <w:spacing w:after="0" w:line="240" w:lineRule="auto"/>
        <w:ind w:left="360" w:firstLine="360"/>
        <w:jc w:val="both"/>
        <w:rPr>
          <w:rFonts w:ascii="Book Antiqua" w:eastAsia="Book Antiqua" w:hAnsi="Book Antiqua" w:cs="Book Antiqua"/>
          <w:color w:val="000000"/>
          <w:sz w:val="24"/>
          <w:szCs w:val="24"/>
        </w:rPr>
      </w:pPr>
      <w:r w:rsidRPr="004A2676">
        <w:rPr>
          <w:rFonts w:ascii="Book Antiqua" w:eastAsia="Book Antiqua" w:hAnsi="Book Antiqua" w:cs="Book Antiqua"/>
          <w:color w:val="000000"/>
          <w:sz w:val="24"/>
          <w:szCs w:val="24"/>
        </w:rPr>
        <w:t>The recognition of zakat within Indonesia's positive legal system carries significant implications for expanding its role from a purely religious obligation to a legally acknowledged instrument of the state. Through regulations such as Law Number 23 of 2011 and Law Number 36 of 2008, professional zakat is not only normatively recognized but also granted a strategic function as a deductible component of income tax. This strengthens zakat's position as part of fiscal policy that supports national development, particularly in poverty alleviation and the reduction of social inequality. In this context, zakat also aligns with the achievement of the Sustainable Development Goals (SDGs), especially Goal 1 (no poverty) and Goal 10 (reduced inequalities), making it a legal instrument with both social and economic value within the national legal system</w:t>
      </w:r>
      <w:r w:rsidR="00DC1D9F" w:rsidRPr="004A2676">
        <w:rPr>
          <w:rFonts w:ascii="Book Antiqua" w:eastAsia="Book Antiqua" w:hAnsi="Book Antiqua" w:cs="Book Antiqua"/>
          <w:color w:val="000000"/>
          <w:sz w:val="24"/>
          <w:szCs w:val="24"/>
        </w:rPr>
        <w:t>.</w:t>
      </w:r>
    </w:p>
    <w:p w14:paraId="77CE3BFF" w14:textId="066C2ACC" w:rsidR="006222EB" w:rsidRDefault="004A2676" w:rsidP="00977038">
      <w:pPr>
        <w:spacing w:after="120" w:line="240" w:lineRule="auto"/>
        <w:ind w:left="360" w:firstLine="360"/>
        <w:jc w:val="both"/>
        <w:rPr>
          <w:rFonts w:ascii="Book Antiqua" w:eastAsia="Book Antiqua" w:hAnsi="Book Antiqua" w:cs="Book Antiqua"/>
          <w:color w:val="000000"/>
          <w:sz w:val="24"/>
          <w:szCs w:val="24"/>
        </w:rPr>
      </w:pPr>
      <w:r w:rsidRPr="004A2676">
        <w:rPr>
          <w:rFonts w:ascii="Book Antiqua" w:eastAsia="Book Antiqua" w:hAnsi="Book Antiqua" w:cs="Book Antiqua"/>
          <w:color w:val="000000"/>
          <w:sz w:val="24"/>
          <w:szCs w:val="24"/>
        </w:rPr>
        <w:t>Nevertheless, the implementation of this policy is not without challenges, particularly in terms of administrative synchronization between the Directorate General of Taxes and zakat management institutions. Many muzakki (zakat payers) still lack understanding of the procedures for reporting zakat as a tax deduction, while data integration between the taxation system and the zakat reporting system remains suboptimal. Therefore, digital innovation, extensive public outreach, and taxpayer training are essential to ensure the policy is implemented effectively and equitably. In turn, the recognition of professional zakat as a deductible from income tax can have a profound and far-reaching impact on Indonesia’s legal system</w:t>
      </w:r>
      <w:r>
        <w:rPr>
          <w:rFonts w:ascii="Book Antiqua" w:eastAsia="Book Antiqua" w:hAnsi="Book Antiqua" w:cs="Book Antiqua"/>
          <w:color w:val="000000"/>
          <w:sz w:val="24"/>
          <w:szCs w:val="24"/>
        </w:rPr>
        <w:t xml:space="preserve"> </w:t>
      </w:r>
      <w:r w:rsidRPr="004A2676">
        <w:rPr>
          <w:rFonts w:ascii="Book Antiqua" w:eastAsia="Book Antiqua" w:hAnsi="Book Antiqua" w:cs="Book Antiqua"/>
          <w:color w:val="000000"/>
          <w:sz w:val="24"/>
          <w:szCs w:val="24"/>
        </w:rPr>
        <w:t xml:space="preserve">promoting the convergence of religious and state law, enhancing tax compliance, strengthening the role </w:t>
      </w:r>
      <w:r w:rsidRPr="004A2676">
        <w:rPr>
          <w:rFonts w:ascii="Book Antiqua" w:eastAsia="Book Antiqua" w:hAnsi="Book Antiqua" w:cs="Book Antiqua"/>
          <w:color w:val="000000"/>
          <w:sz w:val="24"/>
          <w:szCs w:val="24"/>
        </w:rPr>
        <w:lastRenderedPageBreak/>
        <w:t>of zakat institutions, and making a tangible contribution to fiscal justice and sustainable development</w:t>
      </w:r>
      <w:r w:rsidR="00DC1D9F" w:rsidRPr="004A2676">
        <w:rPr>
          <w:rFonts w:ascii="Book Antiqua" w:eastAsia="Book Antiqua" w:hAnsi="Book Antiqua" w:cs="Book Antiqua"/>
          <w:color w:val="000000"/>
          <w:sz w:val="24"/>
          <w:szCs w:val="24"/>
        </w:rPr>
        <w:t>.</w:t>
      </w:r>
    </w:p>
    <w:p w14:paraId="4564B608" w14:textId="77777777" w:rsidR="00103C4A" w:rsidRPr="004A2676" w:rsidRDefault="00103C4A" w:rsidP="00977038">
      <w:pPr>
        <w:spacing w:after="120" w:line="240" w:lineRule="auto"/>
        <w:ind w:left="360" w:firstLine="360"/>
        <w:jc w:val="both"/>
        <w:rPr>
          <w:rFonts w:ascii="Book Antiqua" w:eastAsia="Book Antiqua" w:hAnsi="Book Antiqua" w:cs="Book Antiqua"/>
          <w:color w:val="000000"/>
          <w:sz w:val="24"/>
          <w:szCs w:val="24"/>
        </w:rPr>
      </w:pPr>
    </w:p>
    <w:p w14:paraId="40FDCF7B" w14:textId="57B00095" w:rsidR="002C2ABF" w:rsidRPr="004A2676" w:rsidRDefault="004F0FF5" w:rsidP="00103C4A">
      <w:pPr>
        <w:pStyle w:val="Heading2"/>
        <w:spacing w:after="0"/>
        <w:rPr>
          <w:rFonts w:ascii="Book Antiqua" w:eastAsia="Book Antiqua" w:hAnsi="Book Antiqua" w:cs="Book Antiqua"/>
          <w:b/>
          <w:color w:val="FFC000"/>
        </w:rPr>
      </w:pPr>
      <w:r>
        <w:rPr>
          <w:rFonts w:ascii="Book Antiqua" w:eastAsia="Book Antiqua" w:hAnsi="Book Antiqua" w:cs="Book Antiqua"/>
          <w:b/>
          <w:color w:val="0070C0"/>
        </w:rPr>
        <w:t>CONCLUSION</w:t>
      </w:r>
    </w:p>
    <w:p w14:paraId="0D1B875A" w14:textId="3ABD5A4F" w:rsidR="00977038" w:rsidRPr="00982592" w:rsidRDefault="00982592" w:rsidP="00982592">
      <w:pPr>
        <w:spacing w:after="0" w:line="240" w:lineRule="auto"/>
        <w:ind w:firstLine="284"/>
        <w:jc w:val="both"/>
        <w:rPr>
          <w:rFonts w:ascii="Book Antiqua" w:eastAsia="Book Antiqua" w:hAnsi="Book Antiqua" w:cs="Book Antiqua"/>
          <w:color w:val="000000"/>
          <w:sz w:val="24"/>
          <w:szCs w:val="24"/>
        </w:rPr>
      </w:pPr>
      <w:r w:rsidRPr="00982592">
        <w:rPr>
          <w:rFonts w:ascii="Book Antiqua" w:eastAsia="Book Antiqua" w:hAnsi="Book Antiqua" w:cs="Book Antiqua"/>
          <w:color w:val="000000"/>
          <w:sz w:val="24"/>
          <w:szCs w:val="24"/>
        </w:rPr>
        <w:t>The recognition of professional zakat as a deduction from income tax within Indonesia's positive legal system represents an integrative step between religious obligations and state obligations, accommodated through regulations such as Law Number 23 of 2011 on Zakat Management and Law Number 36 of 2008 on Income Tax. Although a strong legal foundation exists normatively, implementation in practice still faces challenges, including low public legal literacy, weak coordination between tax authorities and zakat management institutions, and the suboptimal integration of reporting systems.</w:t>
      </w:r>
      <w:r>
        <w:rPr>
          <w:rFonts w:ascii="Book Antiqua" w:eastAsia="Book Antiqua" w:hAnsi="Book Antiqua" w:cs="Book Antiqua"/>
          <w:color w:val="000000"/>
          <w:sz w:val="24"/>
          <w:szCs w:val="24"/>
        </w:rPr>
        <w:t xml:space="preserve"> </w:t>
      </w:r>
      <w:r w:rsidRPr="00982592">
        <w:rPr>
          <w:rFonts w:ascii="Book Antiqua" w:eastAsia="Book Antiqua" w:hAnsi="Book Antiqua" w:cs="Book Antiqua"/>
          <w:color w:val="000000"/>
          <w:sz w:val="24"/>
          <w:szCs w:val="24"/>
        </w:rPr>
        <w:t>A case study of LAZ YDSF in Malang City shows that the institution has actively undertaken technical implementation of professional zakat recognition through accountable and transparent systems. However, further policy support and more comprehensive digitalization are still needed. Legally, this recognition implies a strengthening of zakat’s role as a legitimate public financial instrument, encouraging muzakki participation, and reflecting the inclusive and responsive nature of Indonesia’s legal system toward sharia values.</w:t>
      </w:r>
      <w:r>
        <w:rPr>
          <w:rFonts w:ascii="Book Antiqua" w:eastAsia="Book Antiqua" w:hAnsi="Book Antiqua" w:cs="Book Antiqua"/>
          <w:color w:val="000000"/>
          <w:sz w:val="24"/>
          <w:szCs w:val="24"/>
        </w:rPr>
        <w:t xml:space="preserve"> </w:t>
      </w:r>
      <w:r w:rsidRPr="00982592">
        <w:rPr>
          <w:rFonts w:ascii="Book Antiqua" w:eastAsia="Book Antiqua" w:hAnsi="Book Antiqua" w:cs="Book Antiqua"/>
          <w:color w:val="000000"/>
          <w:sz w:val="24"/>
          <w:szCs w:val="24"/>
        </w:rPr>
        <w:t>Therefore, tax policy reform that is more accommodating of professional zakat is essential to achieve fiscal justice, enhance tax compliance, and strengthen zakat’s contribution to national social and economic development.</w:t>
      </w:r>
    </w:p>
    <w:p w14:paraId="2FED16E7" w14:textId="77777777" w:rsidR="00977038" w:rsidRPr="00982592" w:rsidRDefault="00977038">
      <w:pPr>
        <w:spacing w:after="0" w:line="240" w:lineRule="auto"/>
        <w:jc w:val="both"/>
        <w:rPr>
          <w:rFonts w:ascii="Book Antiqua" w:eastAsia="Book Antiqua" w:hAnsi="Book Antiqua" w:cs="Book Antiqua"/>
          <w:color w:val="000000"/>
        </w:rPr>
      </w:pPr>
    </w:p>
    <w:p w14:paraId="0038B2E9" w14:textId="1EE0202C" w:rsidR="00416840" w:rsidRPr="00416840" w:rsidRDefault="00000000" w:rsidP="00416840">
      <w:pPr>
        <w:pStyle w:val="Heading2"/>
        <w:rPr>
          <w:rFonts w:ascii="Book Antiqua" w:eastAsia="Book Antiqua" w:hAnsi="Book Antiqua" w:cs="Book Antiqua"/>
          <w:b/>
          <w:color w:val="2F5496"/>
        </w:rPr>
      </w:pPr>
      <w:r w:rsidRPr="00B8677A">
        <w:rPr>
          <w:rFonts w:ascii="Book Antiqua" w:eastAsia="Book Antiqua" w:hAnsi="Book Antiqua" w:cs="Book Antiqua"/>
          <w:b/>
          <w:color w:val="0070C0"/>
        </w:rPr>
        <w:t>REFERE</w:t>
      </w:r>
      <w:r w:rsidR="004F0FF5">
        <w:rPr>
          <w:rFonts w:ascii="Book Antiqua" w:eastAsia="Book Antiqua" w:hAnsi="Book Antiqua" w:cs="Book Antiqua"/>
          <w:b/>
          <w:color w:val="0070C0"/>
        </w:rPr>
        <w:t>NCES</w:t>
      </w:r>
    </w:p>
    <w:p w14:paraId="0FEB5F3E" w14:textId="77777777" w:rsidR="004F0FF5" w:rsidRDefault="004F0FF5" w:rsidP="00F34EE3">
      <w:pPr>
        <w:pBdr>
          <w:top w:val="nil"/>
          <w:left w:val="nil"/>
          <w:bottom w:val="nil"/>
          <w:right w:val="nil"/>
          <w:between w:val="nil"/>
        </w:pBdr>
        <w:tabs>
          <w:tab w:val="left" w:pos="540"/>
        </w:tabs>
        <w:spacing w:after="120" w:line="240" w:lineRule="auto"/>
        <w:ind w:left="540" w:hanging="540"/>
        <w:jc w:val="both"/>
        <w:rPr>
          <w:rFonts w:ascii="Book Antiqua" w:eastAsia="Book Antiqua" w:hAnsi="Book Antiqua" w:cs="Book Antiqua"/>
          <w:b/>
          <w:color w:val="000000"/>
          <w:sz w:val="24"/>
          <w:szCs w:val="24"/>
        </w:rPr>
      </w:pPr>
      <w:r w:rsidRPr="004F0FF5">
        <w:rPr>
          <w:rFonts w:ascii="Book Antiqua" w:eastAsia="Book Antiqua" w:hAnsi="Book Antiqua" w:cs="Book Antiqua"/>
          <w:b/>
          <w:color w:val="000000"/>
          <w:sz w:val="24"/>
          <w:szCs w:val="24"/>
        </w:rPr>
        <w:t xml:space="preserve">Journal Article </w:t>
      </w:r>
    </w:p>
    <w:p w14:paraId="0386376E" w14:textId="3A5CA9D0" w:rsidR="00F34EE3" w:rsidRPr="00F34EE3" w:rsidRDefault="00F34EE3" w:rsidP="00F34EE3">
      <w:pPr>
        <w:pBdr>
          <w:top w:val="nil"/>
          <w:left w:val="nil"/>
          <w:bottom w:val="nil"/>
          <w:right w:val="nil"/>
          <w:between w:val="nil"/>
        </w:pBdr>
        <w:tabs>
          <w:tab w:val="left" w:pos="540"/>
        </w:tabs>
        <w:spacing w:after="120" w:line="240" w:lineRule="auto"/>
        <w:ind w:left="540" w:hanging="540"/>
        <w:jc w:val="both"/>
        <w:rPr>
          <w:rFonts w:ascii="Book Antiqua" w:eastAsia="Book Antiqua" w:hAnsi="Book Antiqua" w:cs="Book Antiqua"/>
          <w:bCs/>
          <w:color w:val="000000"/>
          <w:sz w:val="24"/>
          <w:szCs w:val="24"/>
        </w:rPr>
      </w:pPr>
      <w:r w:rsidRPr="00F34EE3">
        <w:rPr>
          <w:rFonts w:ascii="Book Antiqua" w:eastAsia="Book Antiqua" w:hAnsi="Book Antiqua" w:cs="Book Antiqua"/>
          <w:bCs/>
          <w:color w:val="000000"/>
          <w:sz w:val="24"/>
          <w:szCs w:val="24"/>
        </w:rPr>
        <w:t>Abrori, Abrori, and Ahmad Kharis. “Dakwah Transformatif Melalui Filantropi: Filantropi Islam Dalam Mengentas Kemiskinan Dan Ketidakadilan.”</w:t>
      </w:r>
      <w:r w:rsidRPr="00F34EE3">
        <w:rPr>
          <w:rFonts w:ascii="Book Antiqua" w:eastAsia="Book Antiqua" w:hAnsi="Book Antiqua" w:cs="Book Antiqua"/>
          <w:bCs/>
          <w:i/>
          <w:iCs/>
          <w:color w:val="000000"/>
          <w:sz w:val="24"/>
          <w:szCs w:val="24"/>
        </w:rPr>
        <w:t xml:space="preserve"> Jurnal Al-Ijtimaiyyah</w:t>
      </w:r>
      <w:r>
        <w:rPr>
          <w:rFonts w:ascii="Book Antiqua" w:eastAsia="Book Antiqua" w:hAnsi="Book Antiqua" w:cs="Book Antiqua"/>
          <w:bCs/>
          <w:color w:val="000000"/>
          <w:sz w:val="24"/>
          <w:szCs w:val="24"/>
        </w:rPr>
        <w:t xml:space="preserve"> </w:t>
      </w:r>
      <w:r w:rsidRPr="00F34EE3">
        <w:rPr>
          <w:rFonts w:ascii="Book Antiqua" w:eastAsia="Book Antiqua" w:hAnsi="Book Antiqua" w:cs="Book Antiqua"/>
          <w:bCs/>
          <w:color w:val="000000"/>
          <w:sz w:val="24"/>
          <w:szCs w:val="24"/>
        </w:rPr>
        <w:t>8, no. 1 (2022): 102. https://doi.org/10.22373/al-ijtimaiyyah.v8i1.13009.</w:t>
      </w:r>
    </w:p>
    <w:p w14:paraId="4F091A07" w14:textId="77777777" w:rsidR="00F34EE3" w:rsidRPr="00F34EE3" w:rsidRDefault="00F34EE3" w:rsidP="00F34EE3">
      <w:pPr>
        <w:pBdr>
          <w:top w:val="nil"/>
          <w:left w:val="nil"/>
          <w:bottom w:val="nil"/>
          <w:right w:val="nil"/>
          <w:between w:val="nil"/>
        </w:pBdr>
        <w:tabs>
          <w:tab w:val="left" w:pos="540"/>
        </w:tabs>
        <w:spacing w:after="120" w:line="240" w:lineRule="auto"/>
        <w:ind w:left="540" w:hanging="540"/>
        <w:jc w:val="both"/>
        <w:rPr>
          <w:rFonts w:ascii="Book Antiqua" w:eastAsia="Book Antiqua" w:hAnsi="Book Antiqua" w:cs="Book Antiqua"/>
          <w:bCs/>
          <w:color w:val="000000"/>
          <w:sz w:val="24"/>
          <w:szCs w:val="24"/>
        </w:rPr>
      </w:pPr>
      <w:r w:rsidRPr="00F34EE3">
        <w:rPr>
          <w:rFonts w:ascii="Book Antiqua" w:eastAsia="Book Antiqua" w:hAnsi="Book Antiqua" w:cs="Book Antiqua"/>
          <w:bCs/>
          <w:color w:val="000000"/>
          <w:sz w:val="24"/>
          <w:szCs w:val="24"/>
        </w:rPr>
        <w:t xml:space="preserve">Aisyi, Gheani Rihadatul, Dyah Amelia Putri, and Dadah. “Analisis Zakat Profesi Dalam Zakat Mal Berdasarkan Kajian Hadis.” </w:t>
      </w:r>
      <w:r w:rsidRPr="00F34EE3">
        <w:rPr>
          <w:rFonts w:ascii="Book Antiqua" w:eastAsia="Book Antiqua" w:hAnsi="Book Antiqua" w:cs="Book Antiqua"/>
          <w:bCs/>
          <w:i/>
          <w:iCs/>
          <w:color w:val="000000"/>
          <w:sz w:val="24"/>
          <w:szCs w:val="24"/>
        </w:rPr>
        <w:t>El-Nubuwwah: Jurnal Studi Hadis</w:t>
      </w:r>
      <w:r w:rsidRPr="00F34EE3">
        <w:rPr>
          <w:rFonts w:ascii="Book Antiqua" w:eastAsia="Book Antiqua" w:hAnsi="Book Antiqua" w:cs="Book Antiqua"/>
          <w:bCs/>
          <w:color w:val="000000"/>
          <w:sz w:val="24"/>
          <w:szCs w:val="24"/>
        </w:rPr>
        <w:t xml:space="preserve"> 2, no. 2 (2024): 235–63. https://doi.org/https://doi.org/10.19105/El Nubuwwah.v2i2.14581.</w:t>
      </w:r>
    </w:p>
    <w:p w14:paraId="2B3858AF" w14:textId="77777777" w:rsidR="00F34EE3" w:rsidRPr="00F34EE3" w:rsidRDefault="00F34EE3" w:rsidP="00F34EE3">
      <w:pPr>
        <w:pBdr>
          <w:top w:val="nil"/>
          <w:left w:val="nil"/>
          <w:bottom w:val="nil"/>
          <w:right w:val="nil"/>
          <w:between w:val="nil"/>
        </w:pBdr>
        <w:tabs>
          <w:tab w:val="left" w:pos="540"/>
        </w:tabs>
        <w:spacing w:after="120" w:line="240" w:lineRule="auto"/>
        <w:ind w:left="540" w:hanging="540"/>
        <w:jc w:val="both"/>
        <w:rPr>
          <w:rFonts w:ascii="Book Antiqua" w:eastAsia="Book Antiqua" w:hAnsi="Book Antiqua" w:cs="Book Antiqua"/>
          <w:bCs/>
          <w:color w:val="000000"/>
          <w:sz w:val="24"/>
          <w:szCs w:val="24"/>
        </w:rPr>
      </w:pPr>
      <w:r w:rsidRPr="00F34EE3">
        <w:rPr>
          <w:rFonts w:ascii="Book Antiqua" w:eastAsia="Book Antiqua" w:hAnsi="Book Antiqua" w:cs="Book Antiqua"/>
          <w:bCs/>
          <w:color w:val="000000"/>
          <w:sz w:val="24"/>
          <w:szCs w:val="24"/>
        </w:rPr>
        <w:t xml:space="preserve">Akhmad Rifai, Fuad Yanuar, and Nuwun Priyono. “Upaya Penguatan Transparansi Dan Akuntabilitas Badan Amil Zakat Infaq Dan Sadaqoh (BAZIS) Berbasis PSAK 109 Dalam Kajian Literatur.” </w:t>
      </w:r>
      <w:r w:rsidRPr="00F34EE3">
        <w:rPr>
          <w:rFonts w:ascii="Book Antiqua" w:eastAsia="Book Antiqua" w:hAnsi="Book Antiqua" w:cs="Book Antiqua"/>
          <w:bCs/>
          <w:i/>
          <w:iCs/>
          <w:color w:val="000000"/>
          <w:sz w:val="24"/>
          <w:szCs w:val="24"/>
        </w:rPr>
        <w:t>Journal of Economic, Management, Accounting and Technology</w:t>
      </w:r>
      <w:r w:rsidRPr="00F34EE3">
        <w:rPr>
          <w:rFonts w:ascii="Book Antiqua" w:eastAsia="Book Antiqua" w:hAnsi="Book Antiqua" w:cs="Book Antiqua"/>
          <w:bCs/>
          <w:color w:val="000000"/>
          <w:sz w:val="24"/>
          <w:szCs w:val="24"/>
        </w:rPr>
        <w:t xml:space="preserve"> 3, no. 2 (2020): 108–19. https://doi.org/10.32500/jematech.v3i2.1284.</w:t>
      </w:r>
    </w:p>
    <w:p w14:paraId="2BAEF8C2" w14:textId="77777777" w:rsidR="00F34EE3" w:rsidRPr="00F34EE3" w:rsidRDefault="00F34EE3" w:rsidP="00F34EE3">
      <w:pPr>
        <w:pBdr>
          <w:top w:val="nil"/>
          <w:left w:val="nil"/>
          <w:bottom w:val="nil"/>
          <w:right w:val="nil"/>
          <w:between w:val="nil"/>
        </w:pBdr>
        <w:tabs>
          <w:tab w:val="left" w:pos="540"/>
        </w:tabs>
        <w:spacing w:after="120" w:line="240" w:lineRule="auto"/>
        <w:ind w:left="540" w:hanging="540"/>
        <w:jc w:val="both"/>
        <w:rPr>
          <w:rFonts w:ascii="Book Antiqua" w:eastAsia="Book Antiqua" w:hAnsi="Book Antiqua" w:cs="Book Antiqua"/>
          <w:bCs/>
          <w:color w:val="000000"/>
          <w:sz w:val="24"/>
          <w:szCs w:val="24"/>
        </w:rPr>
      </w:pPr>
      <w:r w:rsidRPr="00F34EE3">
        <w:rPr>
          <w:rFonts w:ascii="Book Antiqua" w:eastAsia="Book Antiqua" w:hAnsi="Book Antiqua" w:cs="Book Antiqua"/>
          <w:bCs/>
          <w:color w:val="000000"/>
          <w:sz w:val="24"/>
          <w:szCs w:val="24"/>
        </w:rPr>
        <w:t xml:space="preserve">Fathurrahman, Muhammad Rifqi, and Juniar Amalia Hendraningsih. “Fatwa Zakat Profesi Dalam Timbangan Al-Qur’an.” </w:t>
      </w:r>
      <w:r w:rsidRPr="00F34EE3">
        <w:rPr>
          <w:rFonts w:ascii="Book Antiqua" w:eastAsia="Book Antiqua" w:hAnsi="Book Antiqua" w:cs="Book Antiqua"/>
          <w:bCs/>
          <w:i/>
          <w:iCs/>
          <w:color w:val="000000"/>
          <w:sz w:val="24"/>
          <w:szCs w:val="24"/>
        </w:rPr>
        <w:t>Izzatuna: Jurnal Ilmu Al-Qur’an Dan Tafsir</w:t>
      </w:r>
      <w:r w:rsidRPr="00F34EE3">
        <w:rPr>
          <w:rFonts w:ascii="Book Antiqua" w:eastAsia="Book Antiqua" w:hAnsi="Book Antiqua" w:cs="Book Antiqua"/>
          <w:bCs/>
          <w:color w:val="000000"/>
          <w:sz w:val="24"/>
          <w:szCs w:val="24"/>
        </w:rPr>
        <w:t xml:space="preserve"> 5, no. 1 (2024): 1–13. https://doi.org/10.62109/ijiat.v5i1.80.</w:t>
      </w:r>
    </w:p>
    <w:p w14:paraId="7289F361" w14:textId="77777777" w:rsidR="00F34EE3" w:rsidRPr="00F34EE3" w:rsidRDefault="00F34EE3" w:rsidP="00F34EE3">
      <w:pPr>
        <w:pBdr>
          <w:top w:val="nil"/>
          <w:left w:val="nil"/>
          <w:bottom w:val="nil"/>
          <w:right w:val="nil"/>
          <w:between w:val="nil"/>
        </w:pBdr>
        <w:tabs>
          <w:tab w:val="left" w:pos="540"/>
        </w:tabs>
        <w:spacing w:after="120" w:line="240" w:lineRule="auto"/>
        <w:ind w:left="540" w:hanging="540"/>
        <w:jc w:val="both"/>
        <w:rPr>
          <w:rFonts w:ascii="Book Antiqua" w:eastAsia="Book Antiqua" w:hAnsi="Book Antiqua" w:cs="Book Antiqua"/>
          <w:bCs/>
          <w:color w:val="000000"/>
          <w:sz w:val="24"/>
          <w:szCs w:val="24"/>
        </w:rPr>
      </w:pPr>
      <w:r w:rsidRPr="00F34EE3">
        <w:rPr>
          <w:rFonts w:ascii="Book Antiqua" w:eastAsia="Book Antiqua" w:hAnsi="Book Antiqua" w:cs="Book Antiqua"/>
          <w:bCs/>
          <w:color w:val="000000"/>
          <w:sz w:val="24"/>
          <w:szCs w:val="24"/>
        </w:rPr>
        <w:t xml:space="preserve">Hafidh, Ahmad. “Politik Hukum Pemberdayaan Zakat Di Indonesia (Dialektika Norma Fiqh Dengan Kebijakan Hukum Nasional Indonesia).” </w:t>
      </w:r>
      <w:r w:rsidRPr="00F34EE3">
        <w:rPr>
          <w:rFonts w:ascii="Book Antiqua" w:eastAsia="Book Antiqua" w:hAnsi="Book Antiqua" w:cs="Book Antiqua"/>
          <w:bCs/>
          <w:i/>
          <w:iCs/>
          <w:color w:val="000000"/>
          <w:sz w:val="24"/>
          <w:szCs w:val="24"/>
        </w:rPr>
        <w:t>Proceeding of Pekalongan International Conference on Islamic Studies (PICIS)</w:t>
      </w:r>
      <w:r w:rsidRPr="00F34EE3">
        <w:rPr>
          <w:rFonts w:ascii="Book Antiqua" w:eastAsia="Book Antiqua" w:hAnsi="Book Antiqua" w:cs="Book Antiqua"/>
          <w:bCs/>
          <w:color w:val="000000"/>
          <w:sz w:val="24"/>
          <w:szCs w:val="24"/>
        </w:rPr>
        <w:t>, 2016, 356–81.</w:t>
      </w:r>
    </w:p>
    <w:p w14:paraId="314AC654" w14:textId="77777777" w:rsidR="00F34EE3" w:rsidRPr="00F34EE3" w:rsidRDefault="00F34EE3" w:rsidP="00F34EE3">
      <w:pPr>
        <w:pBdr>
          <w:top w:val="nil"/>
          <w:left w:val="nil"/>
          <w:bottom w:val="nil"/>
          <w:right w:val="nil"/>
          <w:between w:val="nil"/>
        </w:pBdr>
        <w:tabs>
          <w:tab w:val="left" w:pos="540"/>
        </w:tabs>
        <w:spacing w:after="120" w:line="240" w:lineRule="auto"/>
        <w:ind w:left="540" w:hanging="540"/>
        <w:jc w:val="both"/>
        <w:rPr>
          <w:rFonts w:ascii="Book Antiqua" w:eastAsia="Book Antiqua" w:hAnsi="Book Antiqua" w:cs="Book Antiqua"/>
          <w:bCs/>
          <w:color w:val="000000"/>
          <w:sz w:val="24"/>
          <w:szCs w:val="24"/>
        </w:rPr>
      </w:pPr>
      <w:r w:rsidRPr="00F34EE3">
        <w:rPr>
          <w:rFonts w:ascii="Book Antiqua" w:eastAsia="Book Antiqua" w:hAnsi="Book Antiqua" w:cs="Book Antiqua"/>
          <w:bCs/>
          <w:color w:val="000000"/>
          <w:sz w:val="24"/>
          <w:szCs w:val="24"/>
        </w:rPr>
        <w:t xml:space="preserve">Hakim, Budi Rahmat. “Budi Rahmat Hakim, Analisis Terhadap Undang-Undang Nomor 23 Tahun 2011.” </w:t>
      </w:r>
      <w:r w:rsidRPr="00F34EE3">
        <w:rPr>
          <w:rFonts w:ascii="Book Antiqua" w:eastAsia="Book Antiqua" w:hAnsi="Book Antiqua" w:cs="Book Antiqua"/>
          <w:bCs/>
          <w:i/>
          <w:iCs/>
          <w:color w:val="000000"/>
          <w:sz w:val="24"/>
          <w:szCs w:val="24"/>
        </w:rPr>
        <w:t>Syariah: Jurnal Hukum Dan Pemikiran</w:t>
      </w:r>
      <w:r w:rsidRPr="00F34EE3">
        <w:rPr>
          <w:rFonts w:ascii="Book Antiqua" w:eastAsia="Book Antiqua" w:hAnsi="Book Antiqua" w:cs="Book Antiqua"/>
          <w:bCs/>
          <w:color w:val="000000"/>
          <w:sz w:val="24"/>
          <w:szCs w:val="24"/>
        </w:rPr>
        <w:t xml:space="preserve"> 15, no. 2 (2016): 155–66.</w:t>
      </w:r>
    </w:p>
    <w:p w14:paraId="1CA7422F" w14:textId="77777777" w:rsidR="00F34EE3" w:rsidRPr="00F34EE3" w:rsidRDefault="00F34EE3" w:rsidP="00F34EE3">
      <w:pPr>
        <w:pBdr>
          <w:top w:val="nil"/>
          <w:left w:val="nil"/>
          <w:bottom w:val="nil"/>
          <w:right w:val="nil"/>
          <w:between w:val="nil"/>
        </w:pBdr>
        <w:tabs>
          <w:tab w:val="left" w:pos="540"/>
        </w:tabs>
        <w:spacing w:after="120" w:line="240" w:lineRule="auto"/>
        <w:ind w:left="540" w:hanging="540"/>
        <w:jc w:val="both"/>
        <w:rPr>
          <w:rFonts w:ascii="Book Antiqua" w:eastAsia="Book Antiqua" w:hAnsi="Book Antiqua" w:cs="Book Antiqua"/>
          <w:bCs/>
          <w:color w:val="000000"/>
          <w:sz w:val="24"/>
          <w:szCs w:val="24"/>
        </w:rPr>
      </w:pPr>
      <w:r w:rsidRPr="00F34EE3">
        <w:rPr>
          <w:rFonts w:ascii="Book Antiqua" w:eastAsia="Book Antiqua" w:hAnsi="Book Antiqua" w:cs="Book Antiqua"/>
          <w:bCs/>
          <w:color w:val="000000"/>
          <w:sz w:val="24"/>
          <w:szCs w:val="24"/>
        </w:rPr>
        <w:t xml:space="preserve">Maulida, Minati, and Ulfah. “Peluang Dan Tantangan Pemberlakuan Undang-Undang No. 23 Pasal 22 Tahun 2011 Tentang Zakat Sebagai Pengurang Pajak Penghasilan.” </w:t>
      </w:r>
      <w:r w:rsidRPr="00F34EE3">
        <w:rPr>
          <w:rFonts w:ascii="Book Antiqua" w:eastAsia="Book Antiqua" w:hAnsi="Book Antiqua" w:cs="Book Antiqua"/>
          <w:bCs/>
          <w:i/>
          <w:iCs/>
          <w:color w:val="000000"/>
          <w:sz w:val="24"/>
          <w:szCs w:val="24"/>
        </w:rPr>
        <w:t xml:space="preserve">JIOSE: </w:t>
      </w:r>
      <w:r w:rsidRPr="00F34EE3">
        <w:rPr>
          <w:rFonts w:ascii="Book Antiqua" w:eastAsia="Book Antiqua" w:hAnsi="Book Antiqua" w:cs="Book Antiqua"/>
          <w:bCs/>
          <w:i/>
          <w:iCs/>
          <w:color w:val="000000"/>
          <w:sz w:val="24"/>
          <w:szCs w:val="24"/>
        </w:rPr>
        <w:lastRenderedPageBreak/>
        <w:t>Journal of Indonesian Sharia Economics</w:t>
      </w:r>
      <w:r w:rsidRPr="00F34EE3">
        <w:rPr>
          <w:rFonts w:ascii="Book Antiqua" w:eastAsia="Book Antiqua" w:hAnsi="Book Antiqua" w:cs="Book Antiqua"/>
          <w:bCs/>
          <w:color w:val="000000"/>
          <w:sz w:val="24"/>
          <w:szCs w:val="24"/>
        </w:rPr>
        <w:t xml:space="preserve"> 2, no. 2 (2023): 191–208. https://doi.org/10.35878/jiose.v2i2.903.</w:t>
      </w:r>
    </w:p>
    <w:p w14:paraId="57A2CB5B" w14:textId="23760840" w:rsidR="00F34EE3" w:rsidRPr="00F34EE3" w:rsidRDefault="00F34EE3" w:rsidP="00F34EE3">
      <w:pPr>
        <w:pBdr>
          <w:top w:val="nil"/>
          <w:left w:val="nil"/>
          <w:bottom w:val="nil"/>
          <w:right w:val="nil"/>
          <w:between w:val="nil"/>
        </w:pBdr>
        <w:tabs>
          <w:tab w:val="left" w:pos="540"/>
        </w:tabs>
        <w:spacing w:after="120" w:line="240" w:lineRule="auto"/>
        <w:ind w:left="540" w:hanging="540"/>
        <w:jc w:val="both"/>
        <w:rPr>
          <w:rFonts w:ascii="Book Antiqua" w:eastAsia="Book Antiqua" w:hAnsi="Book Antiqua" w:cs="Book Antiqua"/>
          <w:bCs/>
          <w:color w:val="000000"/>
          <w:sz w:val="24"/>
          <w:szCs w:val="24"/>
        </w:rPr>
      </w:pPr>
      <w:r w:rsidRPr="00F34EE3">
        <w:rPr>
          <w:rFonts w:ascii="Book Antiqua" w:eastAsia="Book Antiqua" w:hAnsi="Book Antiqua" w:cs="Book Antiqua"/>
          <w:bCs/>
          <w:color w:val="000000"/>
          <w:sz w:val="24"/>
          <w:szCs w:val="24"/>
        </w:rPr>
        <w:t>Nisa, Farhatun, Agus Puji Priyono, and Anggraeni Dwijayanti. “Peran Zakat Dalam Kebijakan Pengurangan Pajak</w:t>
      </w:r>
      <w:r w:rsidRPr="00F34EE3">
        <w:rPr>
          <w:rFonts w:ascii="Times New Roman" w:eastAsia="Book Antiqua" w:hAnsi="Times New Roman" w:cs="Times New Roman"/>
          <w:bCs/>
          <w:color w:val="000000"/>
          <w:sz w:val="24"/>
          <w:szCs w:val="24"/>
        </w:rPr>
        <w:t> </w:t>
      </w:r>
      <w:r w:rsidRPr="00F34EE3">
        <w:rPr>
          <w:rFonts w:ascii="Book Antiqua" w:eastAsia="Book Antiqua" w:hAnsi="Book Antiqua" w:cs="Book Antiqua"/>
          <w:bCs/>
          <w:color w:val="000000"/>
          <w:sz w:val="24"/>
          <w:szCs w:val="24"/>
        </w:rPr>
        <w:t>: Evaluasi Implementasi Dan Tantangan Di Lembaga Amil Zakat</w:t>
      </w:r>
      <w:r w:rsidRPr="00F34EE3">
        <w:rPr>
          <w:rFonts w:ascii="Book Antiqua" w:eastAsia="Book Antiqua" w:hAnsi="Book Antiqua" w:cs="Book Antiqua"/>
          <w:bCs/>
          <w:i/>
          <w:iCs/>
          <w:color w:val="000000"/>
          <w:sz w:val="24"/>
          <w:szCs w:val="24"/>
        </w:rPr>
        <w:t>.” Jurnal Penelitian Inovatif (JUPIN)</w:t>
      </w:r>
      <w:r w:rsidRPr="00F34EE3">
        <w:rPr>
          <w:rFonts w:ascii="Book Antiqua" w:eastAsia="Book Antiqua" w:hAnsi="Book Antiqua" w:cs="Book Antiqua"/>
          <w:bCs/>
          <w:color w:val="000000"/>
          <w:sz w:val="24"/>
          <w:szCs w:val="24"/>
        </w:rPr>
        <w:t xml:space="preserve"> 4, no. 3 (2024): 1787–96.</w:t>
      </w:r>
    </w:p>
    <w:p w14:paraId="1B604A70" w14:textId="77777777" w:rsidR="00F34EE3" w:rsidRPr="00F34EE3" w:rsidRDefault="00F34EE3" w:rsidP="00F34EE3">
      <w:pPr>
        <w:pBdr>
          <w:top w:val="nil"/>
          <w:left w:val="nil"/>
          <w:bottom w:val="nil"/>
          <w:right w:val="nil"/>
          <w:between w:val="nil"/>
        </w:pBdr>
        <w:tabs>
          <w:tab w:val="left" w:pos="540"/>
        </w:tabs>
        <w:spacing w:after="120" w:line="240" w:lineRule="auto"/>
        <w:ind w:left="540" w:hanging="540"/>
        <w:jc w:val="both"/>
        <w:rPr>
          <w:rFonts w:ascii="Book Antiqua" w:eastAsia="Book Antiqua" w:hAnsi="Book Antiqua" w:cs="Book Antiqua"/>
          <w:bCs/>
          <w:color w:val="000000"/>
          <w:sz w:val="24"/>
          <w:szCs w:val="24"/>
        </w:rPr>
      </w:pPr>
      <w:r w:rsidRPr="00F34EE3">
        <w:rPr>
          <w:rFonts w:ascii="Book Antiqua" w:eastAsia="Book Antiqua" w:hAnsi="Book Antiqua" w:cs="Book Antiqua"/>
          <w:bCs/>
          <w:color w:val="000000"/>
          <w:sz w:val="24"/>
          <w:szCs w:val="24"/>
        </w:rPr>
        <w:t xml:space="preserve">Nury, Muhammad Yuchbibun, and Moh Hamzah. “Tafsir Komprehensif Terhadap Ayat-Ayat Ekonomi Dalam Al-Qur ’ An.” </w:t>
      </w:r>
      <w:r w:rsidRPr="00F34EE3">
        <w:rPr>
          <w:rFonts w:ascii="Book Antiqua" w:eastAsia="Book Antiqua" w:hAnsi="Book Antiqua" w:cs="Book Antiqua"/>
          <w:bCs/>
          <w:i/>
          <w:iCs/>
          <w:color w:val="000000"/>
          <w:sz w:val="24"/>
          <w:szCs w:val="24"/>
        </w:rPr>
        <w:t>Manarul Quran: Jurnal Studi Islam</w:t>
      </w:r>
      <w:r w:rsidRPr="00F34EE3">
        <w:rPr>
          <w:rFonts w:ascii="Book Antiqua" w:eastAsia="Book Antiqua" w:hAnsi="Book Antiqua" w:cs="Book Antiqua"/>
          <w:bCs/>
          <w:color w:val="000000"/>
          <w:sz w:val="24"/>
          <w:szCs w:val="24"/>
        </w:rPr>
        <w:t xml:space="preserve"> 24, no. 1 (2024): 10–26.</w:t>
      </w:r>
    </w:p>
    <w:p w14:paraId="58145F23" w14:textId="5F7F8B45" w:rsidR="00F34EE3" w:rsidRPr="00F34EE3" w:rsidRDefault="00F34EE3" w:rsidP="00F34EE3">
      <w:pPr>
        <w:pBdr>
          <w:top w:val="nil"/>
          <w:left w:val="nil"/>
          <w:bottom w:val="nil"/>
          <w:right w:val="nil"/>
          <w:between w:val="nil"/>
        </w:pBdr>
        <w:tabs>
          <w:tab w:val="left" w:pos="540"/>
        </w:tabs>
        <w:spacing w:after="120" w:line="240" w:lineRule="auto"/>
        <w:ind w:left="540" w:hanging="540"/>
        <w:jc w:val="both"/>
        <w:rPr>
          <w:rFonts w:ascii="Book Antiqua" w:eastAsia="Book Antiqua" w:hAnsi="Book Antiqua" w:cs="Book Antiqua"/>
          <w:bCs/>
          <w:color w:val="000000"/>
          <w:sz w:val="24"/>
          <w:szCs w:val="24"/>
        </w:rPr>
      </w:pPr>
      <w:r w:rsidRPr="00F34EE3">
        <w:rPr>
          <w:rFonts w:ascii="Book Antiqua" w:eastAsia="Book Antiqua" w:hAnsi="Book Antiqua" w:cs="Book Antiqua"/>
          <w:bCs/>
          <w:color w:val="000000"/>
          <w:sz w:val="24"/>
          <w:szCs w:val="24"/>
        </w:rPr>
        <w:t xml:space="preserve">Tahir, Masnun, and Zusiana Elly Triantini. “Integrasi Zakat Dan Pajak Di Indonesia Dalam Tinjauan Hukum Positif Dan Hukum Islam.” </w:t>
      </w:r>
      <w:r w:rsidRPr="00F34EE3">
        <w:rPr>
          <w:rFonts w:ascii="Book Antiqua" w:eastAsia="Book Antiqua" w:hAnsi="Book Antiqua" w:cs="Book Antiqua"/>
          <w:bCs/>
          <w:i/>
          <w:iCs/>
          <w:color w:val="000000"/>
          <w:sz w:val="24"/>
          <w:szCs w:val="24"/>
        </w:rPr>
        <w:t>Al</w:t>
      </w:r>
      <w:r>
        <w:rPr>
          <w:rFonts w:ascii="Book Antiqua" w:eastAsia="Book Antiqua" w:hAnsi="Book Antiqua" w:cs="Book Antiqua"/>
          <w:bCs/>
          <w:i/>
          <w:iCs/>
          <w:color w:val="000000"/>
          <w:sz w:val="24"/>
          <w:szCs w:val="24"/>
        </w:rPr>
        <w:t>-</w:t>
      </w:r>
      <w:r w:rsidRPr="00F34EE3">
        <w:rPr>
          <w:rFonts w:ascii="Book Antiqua" w:eastAsia="Book Antiqua" w:hAnsi="Book Antiqua" w:cs="Book Antiqua"/>
          <w:bCs/>
          <w:i/>
          <w:iCs/>
          <w:color w:val="000000"/>
          <w:sz w:val="24"/>
          <w:szCs w:val="24"/>
        </w:rPr>
        <w:t>Adalah</w:t>
      </w:r>
      <w:r w:rsidRPr="00F34EE3">
        <w:rPr>
          <w:rFonts w:ascii="Book Antiqua" w:eastAsia="Book Antiqua" w:hAnsi="Book Antiqua" w:cs="Book Antiqua"/>
          <w:bCs/>
          <w:color w:val="000000"/>
          <w:sz w:val="24"/>
          <w:szCs w:val="24"/>
        </w:rPr>
        <w:t xml:space="preserve"> 12, no. 3 (2017): 507–24.</w:t>
      </w:r>
    </w:p>
    <w:p w14:paraId="693F58B0" w14:textId="3440DE6E" w:rsidR="00164772" w:rsidRPr="00F34EE3" w:rsidRDefault="00F34EE3" w:rsidP="00F34EE3">
      <w:pPr>
        <w:pBdr>
          <w:top w:val="nil"/>
          <w:left w:val="nil"/>
          <w:bottom w:val="nil"/>
          <w:right w:val="nil"/>
          <w:between w:val="nil"/>
        </w:pBdr>
        <w:tabs>
          <w:tab w:val="left" w:pos="540"/>
        </w:tabs>
        <w:spacing w:after="120" w:line="240" w:lineRule="auto"/>
        <w:ind w:left="540" w:hanging="540"/>
        <w:jc w:val="both"/>
        <w:rPr>
          <w:rFonts w:ascii="Book Antiqua" w:eastAsia="Book Antiqua" w:hAnsi="Book Antiqua" w:cs="Book Antiqua"/>
          <w:bCs/>
          <w:color w:val="000000"/>
          <w:sz w:val="24"/>
          <w:szCs w:val="24"/>
        </w:rPr>
      </w:pPr>
      <w:r w:rsidRPr="00F34EE3">
        <w:rPr>
          <w:rFonts w:ascii="Book Antiqua" w:eastAsia="Book Antiqua" w:hAnsi="Book Antiqua" w:cs="Book Antiqua"/>
          <w:bCs/>
          <w:color w:val="000000"/>
          <w:sz w:val="24"/>
          <w:szCs w:val="24"/>
        </w:rPr>
        <w:t xml:space="preserve">Widyani, Hani. “Analisis Penanggulangan Kemiskinan Melalui Implementasi Program Dana Bergulir Badan Amil Zakat Kota Bandung.” </w:t>
      </w:r>
      <w:r w:rsidRPr="00F34EE3">
        <w:rPr>
          <w:rFonts w:ascii="Book Antiqua" w:eastAsia="Book Antiqua" w:hAnsi="Book Antiqua" w:cs="Book Antiqua"/>
          <w:bCs/>
          <w:i/>
          <w:iCs/>
          <w:color w:val="000000"/>
          <w:sz w:val="24"/>
          <w:szCs w:val="24"/>
        </w:rPr>
        <w:t>Afkaruna: Indonesian Interdiciplinary Journal of Islamic Studies</w:t>
      </w:r>
      <w:r w:rsidRPr="00F34EE3">
        <w:rPr>
          <w:rFonts w:ascii="Book Antiqua" w:eastAsia="Book Antiqua" w:hAnsi="Book Antiqua" w:cs="Book Antiqua"/>
          <w:bCs/>
          <w:color w:val="000000"/>
          <w:sz w:val="24"/>
          <w:szCs w:val="24"/>
        </w:rPr>
        <w:t xml:space="preserve"> 10, no. 2 (2014): 181–201. https://doi.org/10.18196/aiijis.2014.0037.181-201.</w:t>
      </w:r>
    </w:p>
    <w:p w14:paraId="78D8E27F" w14:textId="77777777" w:rsidR="00DD347A" w:rsidRPr="00012141" w:rsidRDefault="00DD347A" w:rsidP="00416840">
      <w:pPr>
        <w:widowControl w:val="0"/>
        <w:autoSpaceDE w:val="0"/>
        <w:autoSpaceDN w:val="0"/>
        <w:adjustRightInd w:val="0"/>
        <w:spacing w:after="120" w:line="240" w:lineRule="auto"/>
        <w:ind w:left="480" w:hanging="480"/>
        <w:rPr>
          <w:rFonts w:ascii="Book Antiqua" w:eastAsia="Book Antiqua" w:hAnsi="Book Antiqua" w:cs="Book Antiqua"/>
          <w:b/>
          <w:color w:val="000000"/>
          <w:sz w:val="24"/>
          <w:szCs w:val="24"/>
        </w:rPr>
      </w:pPr>
      <w:r w:rsidRPr="00012141">
        <w:rPr>
          <w:rFonts w:ascii="Book Antiqua" w:eastAsia="Book Antiqua" w:hAnsi="Book Antiqua" w:cs="Book Antiqua"/>
          <w:b/>
          <w:color w:val="000000"/>
          <w:sz w:val="24"/>
          <w:szCs w:val="24"/>
        </w:rPr>
        <w:t>Books</w:t>
      </w:r>
    </w:p>
    <w:p w14:paraId="62BA7F50" w14:textId="5EA4F1B0" w:rsidR="00416840" w:rsidRPr="00012141" w:rsidRDefault="00416840" w:rsidP="00416840">
      <w:pPr>
        <w:widowControl w:val="0"/>
        <w:autoSpaceDE w:val="0"/>
        <w:autoSpaceDN w:val="0"/>
        <w:adjustRightInd w:val="0"/>
        <w:spacing w:after="120" w:line="240" w:lineRule="auto"/>
        <w:ind w:left="480" w:hanging="480"/>
        <w:rPr>
          <w:rFonts w:ascii="Book Antiqua" w:hAnsi="Book Antiqua" w:cs="Times New Roman"/>
          <w:noProof/>
          <w:sz w:val="24"/>
          <w:lang w:val="fi-FI"/>
        </w:rPr>
      </w:pPr>
      <w:r w:rsidRPr="00012141">
        <w:rPr>
          <w:rFonts w:ascii="Book Antiqua" w:hAnsi="Book Antiqua" w:cs="Times New Roman"/>
          <w:noProof/>
          <w:sz w:val="24"/>
        </w:rPr>
        <w:t xml:space="preserve">Amin, Rahman. </w:t>
      </w:r>
      <w:r w:rsidRPr="00012141">
        <w:rPr>
          <w:rFonts w:ascii="Book Antiqua" w:hAnsi="Book Antiqua" w:cs="Times New Roman"/>
          <w:i/>
          <w:iCs/>
          <w:noProof/>
          <w:sz w:val="24"/>
        </w:rPr>
        <w:t>Pengantar Hukum Indonesia</w:t>
      </w:r>
      <w:r w:rsidRPr="00012141">
        <w:rPr>
          <w:rFonts w:ascii="Book Antiqua" w:hAnsi="Book Antiqua" w:cs="Times New Roman"/>
          <w:noProof/>
          <w:sz w:val="24"/>
        </w:rPr>
        <w:t xml:space="preserve">. </w:t>
      </w:r>
      <w:r w:rsidRPr="00416840">
        <w:rPr>
          <w:rFonts w:ascii="Book Antiqua" w:hAnsi="Book Antiqua" w:cs="Times New Roman"/>
          <w:noProof/>
          <w:sz w:val="24"/>
          <w:lang w:val="fi-FI"/>
        </w:rPr>
        <w:t xml:space="preserve">Pertama. </w:t>
      </w:r>
      <w:r w:rsidRPr="00012141">
        <w:rPr>
          <w:rFonts w:ascii="Book Antiqua" w:hAnsi="Book Antiqua" w:cs="Times New Roman"/>
          <w:noProof/>
          <w:sz w:val="24"/>
          <w:lang w:val="fi-FI"/>
        </w:rPr>
        <w:t>Yogyakarta: Deepublish, 2019.</w:t>
      </w:r>
    </w:p>
    <w:p w14:paraId="4FD24E69" w14:textId="0AA7CEF0" w:rsidR="00164772" w:rsidRPr="00164772" w:rsidRDefault="00164772" w:rsidP="00164772">
      <w:pPr>
        <w:widowControl w:val="0"/>
        <w:autoSpaceDE w:val="0"/>
        <w:autoSpaceDN w:val="0"/>
        <w:adjustRightInd w:val="0"/>
        <w:spacing w:after="120" w:line="240" w:lineRule="auto"/>
        <w:ind w:left="480" w:hanging="480"/>
        <w:jc w:val="both"/>
        <w:rPr>
          <w:rFonts w:ascii="Book Antiqua" w:hAnsi="Book Antiqua" w:cs="Times New Roman"/>
          <w:noProof/>
          <w:sz w:val="24"/>
          <w:lang w:val="fi-FI"/>
        </w:rPr>
      </w:pPr>
      <w:r w:rsidRPr="00012141">
        <w:rPr>
          <w:rFonts w:ascii="Book Antiqua" w:hAnsi="Book Antiqua" w:cs="Times New Roman"/>
          <w:noProof/>
          <w:sz w:val="24"/>
          <w:lang w:val="fi-FI"/>
        </w:rPr>
        <w:t xml:space="preserve">Marzuki, Peter Mahmud. </w:t>
      </w:r>
      <w:r w:rsidRPr="00164772">
        <w:rPr>
          <w:rFonts w:ascii="Book Antiqua" w:hAnsi="Book Antiqua" w:cs="Times New Roman"/>
          <w:i/>
          <w:iCs/>
          <w:noProof/>
          <w:sz w:val="24"/>
          <w:lang w:val="fi-FI"/>
        </w:rPr>
        <w:t>Penelitian Hukum</w:t>
      </w:r>
      <w:r w:rsidRPr="00164772">
        <w:rPr>
          <w:rFonts w:ascii="Book Antiqua" w:hAnsi="Book Antiqua" w:cs="Times New Roman"/>
          <w:noProof/>
          <w:sz w:val="24"/>
          <w:lang w:val="fi-FI"/>
        </w:rPr>
        <w:t>. K</w:t>
      </w:r>
      <w:r w:rsidR="00416840">
        <w:rPr>
          <w:rFonts w:ascii="Book Antiqua" w:hAnsi="Book Antiqua" w:cs="Times New Roman"/>
          <w:noProof/>
          <w:sz w:val="24"/>
          <w:lang w:val="fi-FI"/>
        </w:rPr>
        <w:t>etujuh Be</w:t>
      </w:r>
      <w:r w:rsidRPr="00164772">
        <w:rPr>
          <w:rFonts w:ascii="Book Antiqua" w:hAnsi="Book Antiqua" w:cs="Times New Roman"/>
          <w:noProof/>
          <w:sz w:val="24"/>
          <w:lang w:val="fi-FI"/>
        </w:rPr>
        <w:t>. Jakarta: Kencana, 20</w:t>
      </w:r>
      <w:r w:rsidR="00416840">
        <w:rPr>
          <w:rFonts w:ascii="Book Antiqua" w:hAnsi="Book Antiqua" w:cs="Times New Roman"/>
          <w:noProof/>
          <w:sz w:val="24"/>
          <w:lang w:val="fi-FI"/>
        </w:rPr>
        <w:t>23</w:t>
      </w:r>
      <w:r w:rsidRPr="00164772">
        <w:rPr>
          <w:rFonts w:ascii="Book Antiqua" w:hAnsi="Book Antiqua" w:cs="Times New Roman"/>
          <w:noProof/>
          <w:sz w:val="24"/>
          <w:lang w:val="fi-FI"/>
        </w:rPr>
        <w:t>.</w:t>
      </w:r>
    </w:p>
    <w:p w14:paraId="16111ACE" w14:textId="77777777" w:rsidR="00164772" w:rsidRPr="00164772" w:rsidRDefault="00164772" w:rsidP="00164772">
      <w:pPr>
        <w:widowControl w:val="0"/>
        <w:autoSpaceDE w:val="0"/>
        <w:autoSpaceDN w:val="0"/>
        <w:adjustRightInd w:val="0"/>
        <w:spacing w:after="120" w:line="240" w:lineRule="auto"/>
        <w:ind w:left="480" w:hanging="480"/>
        <w:jc w:val="both"/>
        <w:rPr>
          <w:rFonts w:ascii="Book Antiqua" w:hAnsi="Book Antiqua" w:cs="Times New Roman"/>
          <w:noProof/>
          <w:sz w:val="24"/>
        </w:rPr>
      </w:pPr>
      <w:r w:rsidRPr="00DE488C">
        <w:rPr>
          <w:rFonts w:ascii="Book Antiqua" w:hAnsi="Book Antiqua" w:cs="Times New Roman"/>
          <w:noProof/>
          <w:sz w:val="24"/>
        </w:rPr>
        <w:t xml:space="preserve">Rokhlinaari, Sri, and Ridwan Widagdo. </w:t>
      </w:r>
      <w:r w:rsidRPr="00DE488C">
        <w:rPr>
          <w:rFonts w:ascii="Book Antiqua" w:hAnsi="Book Antiqua" w:cs="Times New Roman"/>
          <w:i/>
          <w:iCs/>
          <w:noProof/>
          <w:sz w:val="24"/>
        </w:rPr>
        <w:t>Zakat, Keuangan Inklusif Dan Instrumen Dalam Mewujudkan SDGs Dan Maqashid Syariah</w:t>
      </w:r>
      <w:r w:rsidRPr="00DE488C">
        <w:rPr>
          <w:rFonts w:ascii="Book Antiqua" w:hAnsi="Book Antiqua" w:cs="Times New Roman"/>
          <w:noProof/>
          <w:sz w:val="24"/>
        </w:rPr>
        <w:t xml:space="preserve">. </w:t>
      </w:r>
      <w:r w:rsidRPr="00164772">
        <w:rPr>
          <w:rFonts w:ascii="Book Antiqua" w:hAnsi="Book Antiqua" w:cs="Times New Roman"/>
          <w:i/>
          <w:iCs/>
          <w:noProof/>
          <w:sz w:val="24"/>
        </w:rPr>
        <w:t>Elsi Pro</w:t>
      </w:r>
      <w:r w:rsidRPr="00164772">
        <w:rPr>
          <w:rFonts w:ascii="Book Antiqua" w:hAnsi="Book Antiqua" w:cs="Times New Roman"/>
          <w:noProof/>
          <w:sz w:val="24"/>
        </w:rPr>
        <w:t>. Pertama. Cirebon: CV. Elsi Pro, 2023. https://repository.syekhnurjati.ac.id/12381/1/Buku full.pdf.</w:t>
      </w:r>
    </w:p>
    <w:p w14:paraId="7EDED866" w14:textId="780EE628" w:rsidR="00164772" w:rsidRPr="00012141" w:rsidRDefault="00164772" w:rsidP="00164772">
      <w:pPr>
        <w:widowControl w:val="0"/>
        <w:autoSpaceDE w:val="0"/>
        <w:autoSpaceDN w:val="0"/>
        <w:adjustRightInd w:val="0"/>
        <w:spacing w:after="120" w:line="240" w:lineRule="auto"/>
        <w:ind w:left="480" w:hanging="480"/>
        <w:jc w:val="both"/>
        <w:rPr>
          <w:rFonts w:ascii="Book Antiqua" w:hAnsi="Book Antiqua" w:cs="Times New Roman"/>
          <w:noProof/>
          <w:sz w:val="24"/>
        </w:rPr>
      </w:pPr>
      <w:r w:rsidRPr="00164772">
        <w:rPr>
          <w:rFonts w:ascii="Book Antiqua" w:hAnsi="Book Antiqua" w:cs="Times New Roman"/>
          <w:noProof/>
          <w:sz w:val="24"/>
          <w:lang w:val="fi-FI"/>
        </w:rPr>
        <w:t xml:space="preserve">Wibisono, Yusuf. </w:t>
      </w:r>
      <w:r w:rsidRPr="00164772">
        <w:rPr>
          <w:rFonts w:ascii="Book Antiqua" w:hAnsi="Book Antiqua" w:cs="Times New Roman"/>
          <w:i/>
          <w:iCs/>
          <w:noProof/>
          <w:sz w:val="24"/>
          <w:lang w:val="fi-FI"/>
        </w:rPr>
        <w:t>Mengelola Zakat Indonesia</w:t>
      </w:r>
      <w:r w:rsidRPr="00164772">
        <w:rPr>
          <w:rFonts w:ascii="Book Antiqua" w:hAnsi="Book Antiqua" w:cs="Times New Roman"/>
          <w:noProof/>
          <w:sz w:val="24"/>
          <w:lang w:val="fi-FI"/>
        </w:rPr>
        <w:t xml:space="preserve">. Pertama. </w:t>
      </w:r>
      <w:r w:rsidRPr="00012141">
        <w:rPr>
          <w:rFonts w:ascii="Book Antiqua" w:hAnsi="Book Antiqua" w:cs="Times New Roman"/>
          <w:noProof/>
          <w:sz w:val="24"/>
        </w:rPr>
        <w:t>Jakarta: Kencana, 2015.</w:t>
      </w:r>
    </w:p>
    <w:p w14:paraId="0BFE880E" w14:textId="77777777" w:rsidR="00DD347A" w:rsidRPr="00DD347A" w:rsidRDefault="00DD347A" w:rsidP="00164772">
      <w:pPr>
        <w:widowControl w:val="0"/>
        <w:autoSpaceDE w:val="0"/>
        <w:autoSpaceDN w:val="0"/>
        <w:adjustRightInd w:val="0"/>
        <w:spacing w:before="240" w:after="120" w:line="240" w:lineRule="auto"/>
        <w:ind w:left="480" w:hanging="480"/>
        <w:jc w:val="both"/>
        <w:rPr>
          <w:rFonts w:ascii="Book Antiqua" w:eastAsia="Book Antiqua" w:hAnsi="Book Antiqua" w:cs="Book Antiqua"/>
          <w:b/>
          <w:color w:val="000000"/>
          <w:sz w:val="24"/>
          <w:szCs w:val="24"/>
        </w:rPr>
      </w:pPr>
      <w:r w:rsidRPr="00DD347A">
        <w:rPr>
          <w:rFonts w:ascii="Book Antiqua" w:eastAsia="Book Antiqua" w:hAnsi="Book Antiqua" w:cs="Book Antiqua"/>
          <w:b/>
          <w:color w:val="000000"/>
          <w:sz w:val="24"/>
          <w:szCs w:val="24"/>
        </w:rPr>
        <w:t>Thesis, Dissertation, Online/World Wide Web and Others</w:t>
      </w:r>
    </w:p>
    <w:p w14:paraId="32074BCF" w14:textId="7D38ED8F" w:rsidR="00164772" w:rsidRPr="00A40A35" w:rsidRDefault="00164772" w:rsidP="00164772">
      <w:pPr>
        <w:widowControl w:val="0"/>
        <w:autoSpaceDE w:val="0"/>
        <w:autoSpaceDN w:val="0"/>
        <w:adjustRightInd w:val="0"/>
        <w:spacing w:before="240" w:after="120" w:line="240" w:lineRule="auto"/>
        <w:ind w:left="480" w:hanging="480"/>
        <w:jc w:val="both"/>
        <w:rPr>
          <w:rFonts w:ascii="Book Antiqua" w:hAnsi="Book Antiqua" w:cs="Times New Roman"/>
          <w:noProof/>
          <w:sz w:val="24"/>
        </w:rPr>
      </w:pPr>
      <w:r w:rsidRPr="00A40A35">
        <w:rPr>
          <w:rFonts w:ascii="Book Antiqua" w:hAnsi="Book Antiqua" w:cs="Times New Roman"/>
          <w:noProof/>
          <w:sz w:val="24"/>
        </w:rPr>
        <w:t>Al-Jaktsa, Imam Islamuddinul Muhammad. “Pengelolaan Zakat Prespektif Maqasid Syariah Dan Legislasi Zakat (Studi Pada LAZISMU Aceh).” Universitas Islam Indonesia Yogyakarta, 2021.</w:t>
      </w:r>
    </w:p>
    <w:p w14:paraId="4B370BBF" w14:textId="77777777" w:rsidR="00164772" w:rsidRPr="00A40A35" w:rsidRDefault="00164772" w:rsidP="00164772">
      <w:pPr>
        <w:widowControl w:val="0"/>
        <w:autoSpaceDE w:val="0"/>
        <w:autoSpaceDN w:val="0"/>
        <w:adjustRightInd w:val="0"/>
        <w:spacing w:after="120" w:line="240" w:lineRule="auto"/>
        <w:ind w:left="480" w:hanging="480"/>
        <w:jc w:val="both"/>
        <w:rPr>
          <w:rFonts w:ascii="Book Antiqua" w:hAnsi="Book Antiqua" w:cs="Times New Roman"/>
          <w:noProof/>
          <w:sz w:val="24"/>
        </w:rPr>
      </w:pPr>
      <w:r w:rsidRPr="00A40A35">
        <w:rPr>
          <w:rFonts w:ascii="Book Antiqua" w:hAnsi="Book Antiqua" w:cs="Times New Roman"/>
          <w:noProof/>
          <w:sz w:val="24"/>
        </w:rPr>
        <w:t>Amir, Shelfiana. “Kontroversi Kewajiban Zakat Profesi Bagi ASN Di BAZNAS Pakep.” Institut Agama Islam Negeri (IAIN) Parepare, 2023.</w:t>
      </w:r>
    </w:p>
    <w:p w14:paraId="19CA7E5F" w14:textId="77777777" w:rsidR="00164772" w:rsidRPr="00A40A35" w:rsidRDefault="00164772" w:rsidP="00164772">
      <w:pPr>
        <w:widowControl w:val="0"/>
        <w:autoSpaceDE w:val="0"/>
        <w:autoSpaceDN w:val="0"/>
        <w:adjustRightInd w:val="0"/>
        <w:spacing w:after="120" w:line="240" w:lineRule="auto"/>
        <w:ind w:left="480" w:hanging="480"/>
        <w:jc w:val="both"/>
        <w:rPr>
          <w:rFonts w:ascii="Book Antiqua" w:hAnsi="Book Antiqua" w:cs="Times New Roman"/>
          <w:noProof/>
          <w:sz w:val="24"/>
        </w:rPr>
      </w:pPr>
      <w:r w:rsidRPr="00A40A35">
        <w:rPr>
          <w:rFonts w:ascii="Book Antiqua" w:hAnsi="Book Antiqua" w:cs="Times New Roman"/>
          <w:noProof/>
          <w:sz w:val="24"/>
        </w:rPr>
        <w:t>Emilia, Inda. “Lembaga Amil Zakat Ilegal Perspektif UndangUndang No. 23 Tahun 2011 Tentang Pengelolaan Zakat.” Institut Agama Islam Negeri Madura, 2022.</w:t>
      </w:r>
    </w:p>
    <w:p w14:paraId="56A9CD55" w14:textId="085ED024" w:rsidR="00164772" w:rsidRPr="00A40A35" w:rsidRDefault="00164772" w:rsidP="00164772">
      <w:pPr>
        <w:widowControl w:val="0"/>
        <w:autoSpaceDE w:val="0"/>
        <w:autoSpaceDN w:val="0"/>
        <w:adjustRightInd w:val="0"/>
        <w:spacing w:before="240" w:after="120" w:line="240" w:lineRule="auto"/>
        <w:ind w:left="480" w:hanging="480"/>
        <w:jc w:val="both"/>
        <w:rPr>
          <w:rFonts w:ascii="Book Antiqua" w:hAnsi="Book Antiqua" w:cs="Times New Roman"/>
          <w:noProof/>
          <w:sz w:val="24"/>
        </w:rPr>
      </w:pPr>
      <w:r w:rsidRPr="00A40A35">
        <w:rPr>
          <w:rFonts w:ascii="Book Antiqua" w:hAnsi="Book Antiqua" w:cs="Times New Roman"/>
          <w:noProof/>
          <w:sz w:val="24"/>
        </w:rPr>
        <w:t>Fathullah, Ridho. “Implementasi Zakat Sebagai Pengurang Penghasilan Kena Pajak Dengan Sistem Payroll Di Lazismu Pusat.” Universitas Islam Negeri Syarif Hidayatullah Jakarta, 2021.</w:t>
      </w:r>
    </w:p>
    <w:p w14:paraId="6B2F35E1" w14:textId="77777777" w:rsidR="00164772" w:rsidRPr="00A40A35" w:rsidRDefault="00164772" w:rsidP="00164772">
      <w:pPr>
        <w:widowControl w:val="0"/>
        <w:autoSpaceDE w:val="0"/>
        <w:autoSpaceDN w:val="0"/>
        <w:adjustRightInd w:val="0"/>
        <w:spacing w:after="120" w:line="240" w:lineRule="auto"/>
        <w:ind w:left="480" w:hanging="480"/>
        <w:jc w:val="both"/>
        <w:rPr>
          <w:rFonts w:ascii="Book Antiqua" w:hAnsi="Book Antiqua" w:cs="Times New Roman"/>
          <w:noProof/>
          <w:sz w:val="24"/>
        </w:rPr>
      </w:pPr>
      <w:r w:rsidRPr="00A40A35">
        <w:rPr>
          <w:rFonts w:ascii="Book Antiqua" w:hAnsi="Book Antiqua" w:cs="Times New Roman"/>
          <w:noProof/>
          <w:sz w:val="24"/>
        </w:rPr>
        <w:t>Hidayat, Febriyan. “Analisis Perbandingan Penentuan Pajak Penghasilan Badan Terutang Menurut PSAK No.46 Dengan UU No.36 Tahun 2008 Pada Laporan Keuangan PT. Primarindo Asia Infrastructure Tbk.” Sekolah Tinggi Ilmu Ekonomi Malangkucecwara, 2021.</w:t>
      </w:r>
    </w:p>
    <w:p w14:paraId="0D32DCFF" w14:textId="77777777" w:rsidR="00164772" w:rsidRPr="00A40A35" w:rsidRDefault="00164772" w:rsidP="00164772">
      <w:pPr>
        <w:widowControl w:val="0"/>
        <w:autoSpaceDE w:val="0"/>
        <w:autoSpaceDN w:val="0"/>
        <w:adjustRightInd w:val="0"/>
        <w:spacing w:after="120" w:line="240" w:lineRule="auto"/>
        <w:ind w:left="480" w:hanging="480"/>
        <w:jc w:val="both"/>
        <w:rPr>
          <w:rFonts w:ascii="Book Antiqua" w:hAnsi="Book Antiqua" w:cs="Times New Roman"/>
          <w:noProof/>
          <w:sz w:val="24"/>
        </w:rPr>
      </w:pPr>
      <w:r w:rsidRPr="00A40A35">
        <w:rPr>
          <w:rFonts w:ascii="Book Antiqua" w:hAnsi="Book Antiqua" w:cs="Times New Roman"/>
          <w:noProof/>
          <w:sz w:val="24"/>
        </w:rPr>
        <w:t>Ilmie, Muhammad Bahrul. “Politik Hukum Pengelolaan Zakat Dan Zakat Di Indonesia:Kajian Terhadap Undang-Undang Nomor 23 Tahun 2011.” Universitas Islam Indonesia Yogyakarta, 2020.</w:t>
      </w:r>
    </w:p>
    <w:p w14:paraId="7354D79C" w14:textId="77777777" w:rsidR="00164772" w:rsidRPr="00A40A35" w:rsidRDefault="00164772" w:rsidP="00164772">
      <w:pPr>
        <w:widowControl w:val="0"/>
        <w:autoSpaceDE w:val="0"/>
        <w:autoSpaceDN w:val="0"/>
        <w:adjustRightInd w:val="0"/>
        <w:spacing w:after="120" w:line="240" w:lineRule="auto"/>
        <w:ind w:left="480" w:hanging="480"/>
        <w:jc w:val="both"/>
        <w:rPr>
          <w:rFonts w:ascii="Book Antiqua" w:hAnsi="Book Antiqua" w:cs="Times New Roman"/>
          <w:noProof/>
          <w:sz w:val="24"/>
        </w:rPr>
      </w:pPr>
      <w:r w:rsidRPr="00A40A35">
        <w:rPr>
          <w:rFonts w:ascii="Book Antiqua" w:hAnsi="Book Antiqua" w:cs="Times New Roman"/>
          <w:noProof/>
          <w:sz w:val="24"/>
        </w:rPr>
        <w:t xml:space="preserve">Kurniawan, Edi. “Analisis Dampak Peraturan Bupati Nomor 2 Tahun 2020 Terhadap </w:t>
      </w:r>
      <w:r w:rsidRPr="00A40A35">
        <w:rPr>
          <w:rFonts w:ascii="Book Antiqua" w:hAnsi="Book Antiqua" w:cs="Times New Roman"/>
          <w:noProof/>
          <w:sz w:val="24"/>
        </w:rPr>
        <w:lastRenderedPageBreak/>
        <w:t>Penghimpunan Dana Zakat Profesi Di Badan Amil Zakat Nasional Kabupaten Bengkalis.” Institut Agama Islam Negeri Ponorogo, 2025.</w:t>
      </w:r>
    </w:p>
    <w:p w14:paraId="66D7D89C" w14:textId="77777777" w:rsidR="00164772" w:rsidRPr="00A40A35" w:rsidRDefault="00164772" w:rsidP="00164772">
      <w:pPr>
        <w:widowControl w:val="0"/>
        <w:autoSpaceDE w:val="0"/>
        <w:autoSpaceDN w:val="0"/>
        <w:adjustRightInd w:val="0"/>
        <w:spacing w:after="120" w:line="240" w:lineRule="auto"/>
        <w:ind w:left="480" w:hanging="480"/>
        <w:jc w:val="both"/>
        <w:rPr>
          <w:rFonts w:ascii="Book Antiqua" w:hAnsi="Book Antiqua" w:cs="Times New Roman"/>
          <w:noProof/>
          <w:sz w:val="24"/>
        </w:rPr>
      </w:pPr>
      <w:r w:rsidRPr="00A40A35">
        <w:rPr>
          <w:rFonts w:ascii="Book Antiqua" w:hAnsi="Book Antiqua" w:cs="Times New Roman"/>
          <w:noProof/>
          <w:sz w:val="24"/>
        </w:rPr>
        <w:t>Prakoso, Imam Agung. “Zakat Hak Atas Kekayaan Intelektual Dalam Tinjauan Teori Zakat An-Nama’ Yusuf Qardhawi.” Universitas Islam Indonesia, 2018.</w:t>
      </w:r>
    </w:p>
    <w:p w14:paraId="019DB570" w14:textId="77777777" w:rsidR="00164772" w:rsidRPr="00A40A35" w:rsidRDefault="00164772" w:rsidP="00164772">
      <w:pPr>
        <w:widowControl w:val="0"/>
        <w:autoSpaceDE w:val="0"/>
        <w:autoSpaceDN w:val="0"/>
        <w:adjustRightInd w:val="0"/>
        <w:spacing w:after="120" w:line="240" w:lineRule="auto"/>
        <w:ind w:left="480" w:hanging="480"/>
        <w:jc w:val="both"/>
        <w:rPr>
          <w:rFonts w:ascii="Book Antiqua" w:hAnsi="Book Antiqua" w:cs="Times New Roman"/>
          <w:noProof/>
          <w:sz w:val="24"/>
        </w:rPr>
      </w:pPr>
      <w:r w:rsidRPr="00A40A35">
        <w:rPr>
          <w:rFonts w:ascii="Book Antiqua" w:hAnsi="Book Antiqua" w:cs="Times New Roman"/>
          <w:noProof/>
          <w:sz w:val="24"/>
        </w:rPr>
        <w:t>Pratiwi, Anisha Resti. “Analisis Hukum Islam Terhadap Implementasi Peraturan Menteri Keuangan No 16/PMK.03/2011 Tentang Tata Cara Penghitungan Dan Pengembalian Kelebihan Pembayaran Pajak (Kantor Pelayanan Pajak Pratama Kedaton).” Universitas Islam Negeri Raden Intan Lampung, 2020.</w:t>
      </w:r>
    </w:p>
    <w:p w14:paraId="596161BC" w14:textId="77777777" w:rsidR="00164772" w:rsidRPr="00A40A35" w:rsidRDefault="00164772" w:rsidP="00164772">
      <w:pPr>
        <w:widowControl w:val="0"/>
        <w:autoSpaceDE w:val="0"/>
        <w:autoSpaceDN w:val="0"/>
        <w:adjustRightInd w:val="0"/>
        <w:spacing w:after="120" w:line="240" w:lineRule="auto"/>
        <w:ind w:left="480" w:hanging="480"/>
        <w:jc w:val="both"/>
        <w:rPr>
          <w:rFonts w:ascii="Book Antiqua" w:hAnsi="Book Antiqua" w:cs="Times New Roman"/>
          <w:noProof/>
          <w:sz w:val="24"/>
        </w:rPr>
      </w:pPr>
      <w:r w:rsidRPr="00A40A35">
        <w:rPr>
          <w:rFonts w:ascii="Book Antiqua" w:hAnsi="Book Antiqua" w:cs="Times New Roman"/>
          <w:noProof/>
          <w:sz w:val="24"/>
        </w:rPr>
        <w:t>Wati, Fitri Saras. “Optimalisasi Program Banyumas Sejahtera Pada BAZNAS Kabupaten Banyumas Terhadap Kesejahteraan Masyarakat.” Universitas Islam Negeri Prof. K.H. Saifuddin Zuhri Purwokerto, 2023.</w:t>
      </w:r>
    </w:p>
    <w:p w14:paraId="6EA08C6E" w14:textId="77777777" w:rsidR="00164772" w:rsidRPr="00A40A35" w:rsidRDefault="00164772" w:rsidP="00164772">
      <w:pPr>
        <w:widowControl w:val="0"/>
        <w:autoSpaceDE w:val="0"/>
        <w:autoSpaceDN w:val="0"/>
        <w:adjustRightInd w:val="0"/>
        <w:spacing w:after="120" w:line="240" w:lineRule="auto"/>
        <w:ind w:left="480" w:hanging="480"/>
        <w:jc w:val="both"/>
        <w:rPr>
          <w:rFonts w:ascii="Book Antiqua" w:hAnsi="Book Antiqua"/>
          <w:noProof/>
          <w:sz w:val="24"/>
        </w:rPr>
      </w:pPr>
      <w:r w:rsidRPr="00A40A35">
        <w:rPr>
          <w:rFonts w:ascii="Book Antiqua" w:hAnsi="Book Antiqua" w:cs="Times New Roman"/>
          <w:noProof/>
          <w:sz w:val="24"/>
        </w:rPr>
        <w:t>Yusri, Muhammad Efri. “Analisis Perlakuan Akuntan Berdasarkan PSAK No. 109 Tentang Akuntansi Zakat, Infak Dan Sedekah (Studi Kasus Pada Lembaga Amil Zakat Dompet Dhuafa Pekanbaru).” Universitas Islam Negeri Sultan Syarif Kasim Riau, 2021.</w:t>
      </w:r>
    </w:p>
    <w:p w14:paraId="0DC21F16" w14:textId="77777777" w:rsidR="00164772" w:rsidRPr="00164772" w:rsidRDefault="00164772" w:rsidP="00164772">
      <w:pPr>
        <w:widowControl w:val="0"/>
        <w:autoSpaceDE w:val="0"/>
        <w:autoSpaceDN w:val="0"/>
        <w:adjustRightInd w:val="0"/>
        <w:spacing w:before="240" w:after="120" w:line="240" w:lineRule="auto"/>
        <w:ind w:left="480" w:hanging="480"/>
        <w:jc w:val="both"/>
        <w:rPr>
          <w:rFonts w:ascii="Book Antiqua" w:hAnsi="Book Antiqua" w:cs="Times New Roman"/>
          <w:noProof/>
          <w:sz w:val="24"/>
        </w:rPr>
      </w:pPr>
    </w:p>
    <w:p w14:paraId="5671ED10" w14:textId="5CFEB234" w:rsidR="002C2ABF" w:rsidRDefault="002C2ABF" w:rsidP="00164772">
      <w:pPr>
        <w:pBdr>
          <w:top w:val="nil"/>
          <w:left w:val="nil"/>
          <w:bottom w:val="nil"/>
          <w:right w:val="nil"/>
          <w:between w:val="nil"/>
        </w:pBdr>
        <w:tabs>
          <w:tab w:val="left" w:pos="426"/>
        </w:tabs>
        <w:spacing w:after="0" w:line="240" w:lineRule="auto"/>
        <w:jc w:val="both"/>
        <w:rPr>
          <w:rFonts w:ascii="Book Antiqua" w:eastAsia="Book Antiqua" w:hAnsi="Book Antiqua" w:cs="Book Antiqua"/>
          <w:i/>
          <w:color w:val="2F5496"/>
          <w:sz w:val="24"/>
          <w:szCs w:val="24"/>
        </w:rPr>
      </w:pPr>
    </w:p>
    <w:p w14:paraId="01098921" w14:textId="4620CC59" w:rsidR="002C2ABF" w:rsidRDefault="002C2ABF">
      <w:pPr>
        <w:pBdr>
          <w:top w:val="nil"/>
          <w:left w:val="nil"/>
          <w:bottom w:val="nil"/>
          <w:right w:val="nil"/>
          <w:between w:val="nil"/>
        </w:pBdr>
        <w:spacing w:after="120" w:line="240" w:lineRule="auto"/>
        <w:ind w:left="567" w:hanging="567"/>
        <w:jc w:val="both"/>
        <w:rPr>
          <w:rFonts w:ascii="Book Antiqua" w:eastAsia="Book Antiqua" w:hAnsi="Book Antiqua" w:cs="Book Antiqua"/>
          <w:b/>
          <w:color w:val="000000"/>
          <w:szCs w:val="22"/>
        </w:rPr>
      </w:pPr>
    </w:p>
    <w:sectPr w:rsidR="002C2ABF">
      <w:footerReference w:type="even" r:id="rId20"/>
      <w:footerReference w:type="default" r:id="rId21"/>
      <w:headerReference w:type="first" r:id="rId22"/>
      <w:footerReference w:type="first" r:id="rId23"/>
      <w:pgSz w:w="11906" w:h="16838"/>
      <w:pgMar w:top="1134" w:right="1134" w:bottom="1134" w:left="1134" w:header="720" w:footer="13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9A24D0" w14:textId="77777777" w:rsidR="00E9445B" w:rsidRDefault="00E9445B">
      <w:pPr>
        <w:spacing w:after="0" w:line="240" w:lineRule="auto"/>
      </w:pPr>
      <w:r>
        <w:separator/>
      </w:r>
    </w:p>
  </w:endnote>
  <w:endnote w:type="continuationSeparator" w:id="0">
    <w:p w14:paraId="1F00094E" w14:textId="77777777" w:rsidR="00E9445B" w:rsidRDefault="00E944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208B4259-1C8D-45EA-A5D6-58BD80A0467E}"/>
    <w:embedBold r:id="rId2" w:fontKey="{90EC26B4-0ECD-4E7F-AFE0-22FF98E45507}"/>
    <w:embedItalic r:id="rId3" w:fontKey="{47857EBF-C837-4C98-A5CC-6BF3047B0200}"/>
    <w:embedBoldItalic r:id="rId4" w:fontKey="{6E967E50-278D-4DDE-A91E-748334D94228}"/>
  </w:font>
  <w:font w:name="Times New Roman Bold">
    <w:altName w:val="Times New Roman"/>
    <w:panose1 w:val="02020803070505020304"/>
    <w:charset w:val="00"/>
    <w:family w:val="roman"/>
    <w:pitch w:val="variable"/>
    <w:sig w:usb0="E0002AEF" w:usb1="C0007841" w:usb2="00000009" w:usb3="00000000" w:csb0="000001FF" w:csb1="00000000"/>
  </w:font>
  <w:font w:name="Cambria">
    <w:panose1 w:val="02040503050406030204"/>
    <w:charset w:val="00"/>
    <w:family w:val="roman"/>
    <w:pitch w:val="variable"/>
    <w:sig w:usb0="E00006FF" w:usb1="420024FF" w:usb2="02000000" w:usb3="00000000" w:csb0="0000019F" w:csb1="00000000"/>
    <w:embedRegular r:id="rId5" w:fontKey="{C4D860B5-1705-4B7D-AB33-2B1D5AE0B5C9}"/>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embedRegular r:id="rId6" w:fontKey="{58B40453-0533-4355-9E6A-6E3201B4F54D}"/>
  </w:font>
  <w:font w:name="Vrinda">
    <w:panose1 w:val="00000400000000000000"/>
    <w:charset w:val="00"/>
    <w:family w:val="swiss"/>
    <w:pitch w:val="variable"/>
    <w:sig w:usb0="00010003" w:usb1="00000000" w:usb2="00000000" w:usb3="00000000" w:csb0="00000001" w:csb1="00000000"/>
    <w:embedRegular r:id="rId7" w:fontKey="{888344E8-8448-424C-8573-B4493C8A18CD}"/>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embedRegular r:id="rId8" w:fontKey="{CEDA3E88-1E7E-4B2C-8A1A-2EC7DF0798C7}"/>
  </w:font>
  <w:font w:name="Calibri Light">
    <w:panose1 w:val="020F0302020204030204"/>
    <w:charset w:val="00"/>
    <w:family w:val="swiss"/>
    <w:pitch w:val="variable"/>
    <w:sig w:usb0="E4002EFF" w:usb1="C200247B" w:usb2="00000009" w:usb3="00000000" w:csb0="000001FF" w:csb1="00000000"/>
    <w:embedRegular r:id="rId9" w:fontKey="{D2C60AD8-4DE7-4B69-81E8-14A84B66E913}"/>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embedRegular r:id="rId10" w:fontKey="{F67E5A04-B188-4DA7-AEC1-FE2C488CD8EE}"/>
    <w:embedItalic r:id="rId11" w:fontKey="{E5673D9A-5E29-4BE8-9104-88FC5CC7C075}"/>
  </w:font>
  <w:font w:name="Book Antiqua">
    <w:panose1 w:val="02040602050305030304"/>
    <w:charset w:val="00"/>
    <w:family w:val="roman"/>
    <w:pitch w:val="variable"/>
    <w:sig w:usb0="00000287" w:usb1="00000000" w:usb2="00000000" w:usb3="00000000" w:csb0="0000009F" w:csb1="00000000"/>
    <w:embedRegular r:id="rId12" w:fontKey="{9C5956BE-8104-4CF2-8608-69CCA27AF20A}"/>
    <w:embedBold r:id="rId13" w:fontKey="{4C7F35BE-8BC3-4650-8DF4-E1581D90D7A0}"/>
    <w:embedItalic r:id="rId14" w:fontKey="{1E94E23E-1930-4275-BB10-0CC35B0D1DC6}"/>
    <w:embedBoldItalic r:id="rId15" w:fontKey="{593AC723-3898-4C1C-939A-172CC170988B}"/>
  </w:font>
  <w:font w:name="Pinyon Script">
    <w:charset w:val="00"/>
    <w:family w:val="auto"/>
    <w:pitch w:val="default"/>
    <w:embedRegular r:id="rId16" w:fontKey="{EAF0D147-80CB-49D8-97F8-A0B4D56A01B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F2AA56" w14:textId="77777777" w:rsidR="002C2ABF" w:rsidRDefault="00000000">
    <w:pPr>
      <w:pBdr>
        <w:top w:val="single" w:sz="4" w:space="1" w:color="D9D9D9"/>
        <w:left w:val="nil"/>
        <w:bottom w:val="nil"/>
        <w:right w:val="nil"/>
        <w:between w:val="nil"/>
      </w:pBdr>
      <w:tabs>
        <w:tab w:val="center" w:pos="4680"/>
        <w:tab w:val="right" w:pos="9360"/>
        <w:tab w:val="left" w:pos="567"/>
      </w:tabs>
      <w:spacing w:after="120" w:line="240" w:lineRule="auto"/>
      <w:ind w:left="567" w:hanging="567"/>
      <w:rPr>
        <w:b/>
        <w:color w:val="000000"/>
        <w:szCs w:val="22"/>
      </w:rPr>
    </w:pPr>
    <w:r>
      <w:rPr>
        <w:rFonts w:ascii="Book Antiqua" w:eastAsia="Book Antiqua" w:hAnsi="Book Antiqua" w:cs="Book Antiqua"/>
        <w:b/>
        <w:color w:val="FF0000"/>
        <w:sz w:val="28"/>
      </w:rPr>
      <w:fldChar w:fldCharType="begin"/>
    </w:r>
    <w:r>
      <w:rPr>
        <w:rFonts w:ascii="Book Antiqua" w:eastAsia="Book Antiqua" w:hAnsi="Book Antiqua" w:cs="Book Antiqua"/>
        <w:b/>
        <w:color w:val="FF0000"/>
        <w:sz w:val="28"/>
      </w:rPr>
      <w:instrText>PAGE</w:instrText>
    </w:r>
    <w:r>
      <w:rPr>
        <w:rFonts w:ascii="Book Antiqua" w:eastAsia="Book Antiqua" w:hAnsi="Book Antiqua" w:cs="Book Antiqua"/>
        <w:b/>
        <w:color w:val="FF0000"/>
        <w:sz w:val="28"/>
      </w:rPr>
      <w:fldChar w:fldCharType="separate"/>
    </w:r>
    <w:r>
      <w:rPr>
        <w:rFonts w:ascii="Book Antiqua" w:eastAsia="Book Antiqua" w:hAnsi="Book Antiqua" w:cs="Book Antiqua"/>
        <w:b/>
        <w:color w:val="FF0000"/>
        <w:sz w:val="28"/>
      </w:rPr>
      <w:fldChar w:fldCharType="end"/>
    </w:r>
    <w:r>
      <w:rPr>
        <w:b/>
        <w:color w:val="1F3864"/>
        <w:sz w:val="24"/>
        <w:szCs w:val="24"/>
      </w:rPr>
      <w:t xml:space="preserve"> </w:t>
    </w:r>
    <w:r>
      <w:rPr>
        <w:b/>
        <w:color w:val="000000"/>
        <w:szCs w:val="22"/>
      </w:rPr>
      <w:t xml:space="preserve">|  </w:t>
    </w:r>
    <w:r>
      <w:rPr>
        <w:b/>
        <w:color w:val="000000"/>
        <w:szCs w:val="22"/>
      </w:rPr>
      <w:tab/>
    </w:r>
  </w:p>
  <w:p w14:paraId="0D7D719A" w14:textId="77777777" w:rsidR="002C2ABF" w:rsidRDefault="002C2ABF">
    <w:pPr>
      <w:pBdr>
        <w:top w:val="nil"/>
        <w:left w:val="nil"/>
        <w:bottom w:val="nil"/>
        <w:right w:val="nil"/>
        <w:between w:val="nil"/>
      </w:pBdr>
      <w:tabs>
        <w:tab w:val="center" w:pos="4680"/>
        <w:tab w:val="right" w:pos="9360"/>
      </w:tabs>
      <w:spacing w:after="40" w:line="240" w:lineRule="auto"/>
      <w:jc w:val="right"/>
      <w:rPr>
        <w:color w:val="000000"/>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CAD957" w14:textId="77777777" w:rsidR="002C2ABF" w:rsidRDefault="00000000">
    <w:pPr>
      <w:pBdr>
        <w:top w:val="single" w:sz="4" w:space="1" w:color="D9D9D9"/>
        <w:left w:val="nil"/>
        <w:bottom w:val="nil"/>
        <w:right w:val="nil"/>
        <w:between w:val="nil"/>
      </w:pBdr>
      <w:tabs>
        <w:tab w:val="center" w:pos="4680"/>
        <w:tab w:val="right" w:pos="9360"/>
        <w:tab w:val="left" w:pos="426"/>
      </w:tabs>
      <w:spacing w:before="120" w:after="0" w:line="240" w:lineRule="auto"/>
      <w:ind w:left="993" w:hanging="993"/>
      <w:jc w:val="both"/>
      <w:rPr>
        <w:rFonts w:ascii="Book Antiqua" w:eastAsia="Book Antiqua" w:hAnsi="Book Antiqua" w:cs="Book Antiqua"/>
        <w:color w:val="000000"/>
        <w:sz w:val="16"/>
        <w:szCs w:val="16"/>
      </w:rPr>
    </w:pPr>
    <w:r>
      <w:rPr>
        <w:rFonts w:ascii="Book Antiqua" w:eastAsia="Book Antiqua" w:hAnsi="Book Antiqua" w:cs="Book Antiqua"/>
        <w:b/>
        <w:color w:val="FFFFFF"/>
        <w:sz w:val="26"/>
        <w:szCs w:val="26"/>
        <w:highlight w:val="blue"/>
      </w:rPr>
      <w:fldChar w:fldCharType="begin"/>
    </w:r>
    <w:r>
      <w:rPr>
        <w:rFonts w:ascii="Book Antiqua" w:eastAsia="Book Antiqua" w:hAnsi="Book Antiqua" w:cs="Book Antiqua"/>
        <w:b/>
        <w:color w:val="FFFFFF"/>
        <w:sz w:val="26"/>
        <w:szCs w:val="26"/>
        <w:highlight w:val="blue"/>
      </w:rPr>
      <w:instrText>PAGE</w:instrText>
    </w:r>
    <w:r>
      <w:rPr>
        <w:rFonts w:ascii="Book Antiqua" w:eastAsia="Book Antiqua" w:hAnsi="Book Antiqua" w:cs="Book Antiqua"/>
        <w:b/>
        <w:color w:val="FFFFFF"/>
        <w:sz w:val="26"/>
        <w:szCs w:val="26"/>
        <w:highlight w:val="blue"/>
      </w:rPr>
      <w:fldChar w:fldCharType="separate"/>
    </w:r>
    <w:r w:rsidR="00C5314E">
      <w:rPr>
        <w:rFonts w:ascii="Book Antiqua" w:eastAsia="Book Antiqua" w:hAnsi="Book Antiqua" w:cs="Book Antiqua"/>
        <w:b/>
        <w:noProof/>
        <w:color w:val="FFFFFF"/>
        <w:sz w:val="26"/>
        <w:szCs w:val="26"/>
        <w:highlight w:val="blue"/>
      </w:rPr>
      <w:t>1</w:t>
    </w:r>
    <w:r>
      <w:rPr>
        <w:rFonts w:ascii="Book Antiqua" w:eastAsia="Book Antiqua" w:hAnsi="Book Antiqua" w:cs="Book Antiqua"/>
        <w:b/>
        <w:color w:val="FFFFFF"/>
        <w:sz w:val="26"/>
        <w:szCs w:val="26"/>
        <w:highlight w:val="blue"/>
      </w:rPr>
      <w:fldChar w:fldCharType="end"/>
    </w:r>
    <w:r>
      <w:rPr>
        <w:b/>
        <w:color w:val="000000"/>
        <w:sz w:val="24"/>
        <w:szCs w:val="24"/>
      </w:rPr>
      <w:t xml:space="preserve"> </w:t>
    </w:r>
    <w:r>
      <w:rPr>
        <w:b/>
        <w:color w:val="000000"/>
        <w:szCs w:val="22"/>
      </w:rPr>
      <w:t>|</w:t>
    </w:r>
    <w:r>
      <w:rPr>
        <w:b/>
        <w:color w:val="000000"/>
        <w:szCs w:val="22"/>
      </w:rPr>
      <w:tab/>
    </w:r>
    <w:hyperlink r:id="rId1">
      <w:r w:rsidR="002C2ABF">
        <w:rPr>
          <w:rFonts w:ascii="Book Antiqua" w:eastAsia="Book Antiqua" w:hAnsi="Book Antiqua" w:cs="Book Antiqua"/>
          <w:color w:val="000000"/>
          <w:sz w:val="16"/>
          <w:szCs w:val="16"/>
        </w:rPr>
        <w:t>Josina A Y Wattimena</w:t>
      </w:r>
    </w:hyperlink>
    <w:r>
      <w:rPr>
        <w:rFonts w:ascii="Book Antiqua" w:eastAsia="Book Antiqua" w:hAnsi="Book Antiqua" w:cs="Book Antiqua"/>
        <w:color w:val="000000"/>
        <w:sz w:val="16"/>
        <w:szCs w:val="16"/>
      </w:rPr>
      <w:t>, Muchtar A H Labetubun. “</w:t>
    </w:r>
    <w:r>
      <w:rPr>
        <w:rFonts w:ascii="Book Antiqua" w:eastAsia="Book Antiqua" w:hAnsi="Book Antiqua" w:cs="Book Antiqua"/>
        <w:i/>
        <w:color w:val="000000"/>
        <w:sz w:val="16"/>
        <w:szCs w:val="16"/>
      </w:rPr>
      <w:t>Judul Artikel</w:t>
    </w:r>
    <w:r>
      <w:rPr>
        <w:rFonts w:ascii="Book Antiqua" w:eastAsia="Book Antiqua" w:hAnsi="Book Antiqua" w:cs="Book Antiqua"/>
        <w:color w:val="000000"/>
        <w:sz w:val="16"/>
        <w:szCs w:val="16"/>
      </w:rPr>
      <w:t xml:space="preserve"> </w:t>
    </w:r>
    <w:r>
      <w:rPr>
        <w:rFonts w:ascii="Book Antiqua" w:eastAsia="Book Antiqua" w:hAnsi="Book Antiqua" w:cs="Book Antiqua"/>
        <w:i/>
        <w:color w:val="000000"/>
        <w:sz w:val="16"/>
        <w:szCs w:val="16"/>
      </w:rPr>
      <w:t>…</w:t>
    </w:r>
    <w:r>
      <w:rPr>
        <w:rFonts w:ascii="Book Antiqua" w:eastAsia="Book Antiqua" w:hAnsi="Book Antiqua" w:cs="Book Antiqua"/>
        <w:color w:val="000000"/>
        <w:sz w:val="16"/>
        <w:szCs w:val="16"/>
      </w:rPr>
      <w:t>”</w:t>
    </w:r>
  </w:p>
  <w:p w14:paraId="4C00B6F2" w14:textId="77777777" w:rsidR="002C2ABF" w:rsidRDefault="00000000">
    <w:pPr>
      <w:pBdr>
        <w:top w:val="single" w:sz="4" w:space="1" w:color="D9D9D9"/>
        <w:left w:val="nil"/>
        <w:bottom w:val="nil"/>
        <w:right w:val="nil"/>
        <w:between w:val="nil"/>
      </w:pBdr>
      <w:tabs>
        <w:tab w:val="center" w:pos="4680"/>
        <w:tab w:val="right" w:pos="9360"/>
        <w:tab w:val="left" w:pos="567"/>
      </w:tabs>
      <w:spacing w:after="0" w:line="240" w:lineRule="auto"/>
      <w:ind w:left="567" w:hanging="567"/>
      <w:jc w:val="right"/>
      <w:rPr>
        <w:rFonts w:ascii="Book Antiqua" w:eastAsia="Book Antiqua" w:hAnsi="Book Antiqua" w:cs="Book Antiqua"/>
        <w:color w:val="000000"/>
        <w:sz w:val="16"/>
        <w:szCs w:val="16"/>
      </w:rPr>
    </w:pPr>
    <w:r>
      <w:rPr>
        <w:rFonts w:ascii="Book Antiqua" w:eastAsia="Book Antiqua" w:hAnsi="Book Antiqua" w:cs="Book Antiqua"/>
        <w:b/>
        <w:i/>
        <w:color w:val="000000"/>
        <w:sz w:val="16"/>
        <w:szCs w:val="16"/>
      </w:rPr>
      <w:t xml:space="preserve"> </w:t>
    </w:r>
    <w:r>
      <w:rPr>
        <w:rFonts w:ascii="Book Antiqua" w:eastAsia="Book Antiqua" w:hAnsi="Book Antiqua" w:cs="Book Antiqua"/>
        <w:i/>
        <w:color w:val="000000"/>
        <w:sz w:val="16"/>
        <w:szCs w:val="16"/>
      </w:rPr>
      <w:t>PAMALI: Pattimura Magister Law Review</w:t>
    </w:r>
    <w:r>
      <w:rPr>
        <w:rFonts w:ascii="Book Antiqua" w:eastAsia="Book Antiqua" w:hAnsi="Book Antiqua" w:cs="Book Antiqua"/>
        <w:color w:val="000000"/>
        <w:sz w:val="16"/>
        <w:szCs w:val="16"/>
      </w:rPr>
      <w:t>, X (X) Tahun: X-XX</w:t>
    </w:r>
  </w:p>
  <w:p w14:paraId="527741AC" w14:textId="77777777" w:rsidR="002C2ABF" w:rsidRDefault="00000000">
    <w:pPr>
      <w:pBdr>
        <w:top w:val="single" w:sz="4" w:space="1" w:color="D9D9D9"/>
        <w:left w:val="nil"/>
        <w:bottom w:val="nil"/>
        <w:right w:val="nil"/>
        <w:between w:val="nil"/>
      </w:pBdr>
      <w:tabs>
        <w:tab w:val="center" w:pos="4680"/>
        <w:tab w:val="right" w:pos="9360"/>
        <w:tab w:val="left" w:pos="567"/>
      </w:tabs>
      <w:spacing w:after="0" w:line="240" w:lineRule="auto"/>
      <w:ind w:left="567" w:hanging="567"/>
      <w:jc w:val="right"/>
      <w:rPr>
        <w:rFonts w:ascii="Book Antiqua" w:eastAsia="Book Antiqua" w:hAnsi="Book Antiqua" w:cs="Book Antiqua"/>
        <w:color w:val="000000"/>
        <w:sz w:val="16"/>
        <w:szCs w:val="16"/>
      </w:rPr>
    </w:pPr>
    <w:r>
      <w:rPr>
        <w:rFonts w:ascii="Book Antiqua" w:eastAsia="Book Antiqua" w:hAnsi="Book Antiqua" w:cs="Book Antiqua"/>
        <w:color w:val="000000"/>
        <w:sz w:val="16"/>
        <w:szCs w:val="16"/>
      </w:rPr>
      <w:t>E-ISSN: 2775-5649</w:t>
    </w:r>
  </w:p>
  <w:p w14:paraId="441F4292" w14:textId="77777777" w:rsidR="002C2ABF" w:rsidRDefault="00000000">
    <w:pPr>
      <w:pBdr>
        <w:top w:val="single" w:sz="4" w:space="1" w:color="D9D9D9"/>
        <w:left w:val="nil"/>
        <w:bottom w:val="nil"/>
        <w:right w:val="nil"/>
        <w:between w:val="nil"/>
      </w:pBdr>
      <w:tabs>
        <w:tab w:val="center" w:pos="4680"/>
        <w:tab w:val="right" w:pos="9360"/>
        <w:tab w:val="left" w:pos="567"/>
      </w:tabs>
      <w:spacing w:after="120" w:line="240" w:lineRule="auto"/>
      <w:ind w:left="567" w:hanging="567"/>
      <w:jc w:val="right"/>
      <w:rPr>
        <w:rFonts w:ascii="Book Antiqua" w:eastAsia="Book Antiqua" w:hAnsi="Book Antiqua" w:cs="Book Antiqua"/>
        <w:color w:val="000000"/>
        <w:sz w:val="16"/>
        <w:szCs w:val="16"/>
      </w:rPr>
    </w:pPr>
    <w:r>
      <w:rPr>
        <w:rFonts w:ascii="Book Antiqua" w:eastAsia="Book Antiqua" w:hAnsi="Book Antiqua" w:cs="Book Antiqua"/>
        <w:color w:val="000000"/>
        <w:sz w:val="16"/>
        <w:szCs w:val="16"/>
      </w:rPr>
      <w:t xml:space="preserve">Publisher: </w:t>
    </w:r>
    <w:hyperlink r:id="rId2">
      <w:r w:rsidR="002C2ABF">
        <w:rPr>
          <w:rFonts w:ascii="Book Antiqua" w:eastAsia="Book Antiqua" w:hAnsi="Book Antiqua" w:cs="Book Antiqua"/>
          <w:color w:val="000000"/>
          <w:sz w:val="16"/>
          <w:szCs w:val="16"/>
        </w:rPr>
        <w:t>Program Magister Ilmu Hukum Pascasarjana Universitas Pattimura</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F7642F" w14:textId="77777777" w:rsidR="002C2ABF" w:rsidRDefault="002C2ABF">
    <w:pPr>
      <w:tabs>
        <w:tab w:val="left" w:pos="567"/>
      </w:tabs>
      <w:spacing w:after="0" w:line="240" w:lineRule="auto"/>
      <w:ind w:left="567" w:hanging="567"/>
      <w:rPr>
        <w:rFonts w:ascii="Book Antiqua" w:eastAsia="Book Antiqua" w:hAnsi="Book Antiqua" w:cs="Book Antiqua"/>
        <w:b/>
        <w:i/>
        <w:color w:val="000000"/>
        <w:sz w:val="16"/>
        <w:szCs w:val="16"/>
      </w:rPr>
    </w:pPr>
  </w:p>
  <w:p w14:paraId="5FCB505D" w14:textId="77777777" w:rsidR="002C2ABF" w:rsidRDefault="00000000">
    <w:pPr>
      <w:tabs>
        <w:tab w:val="left" w:pos="567"/>
      </w:tabs>
      <w:spacing w:after="120" w:line="240" w:lineRule="auto"/>
      <w:ind w:left="567" w:hanging="567"/>
      <w:rPr>
        <w:rFonts w:ascii="Book Antiqua" w:eastAsia="Book Antiqua" w:hAnsi="Book Antiqua" w:cs="Book Antiqua"/>
        <w:b/>
        <w:i/>
        <w:color w:val="000000"/>
        <w:sz w:val="16"/>
        <w:szCs w:val="16"/>
      </w:rPr>
    </w:pPr>
    <w:r>
      <w:rPr>
        <w:rFonts w:ascii="Book Antiqua" w:eastAsia="Book Antiqua" w:hAnsi="Book Antiqua" w:cs="Book Antiqua"/>
        <w:b/>
        <w:i/>
        <w:color w:val="000000"/>
        <w:sz w:val="16"/>
        <w:szCs w:val="16"/>
      </w:rPr>
      <w:tab/>
    </w:r>
  </w:p>
  <w:p w14:paraId="15D6F234" w14:textId="77777777" w:rsidR="002C2ABF" w:rsidRDefault="002C2ABF">
    <w:pPr>
      <w:pBdr>
        <w:top w:val="nil"/>
        <w:left w:val="nil"/>
        <w:bottom w:val="nil"/>
        <w:right w:val="nil"/>
        <w:between w:val="nil"/>
      </w:pBdr>
      <w:tabs>
        <w:tab w:val="center" w:pos="4680"/>
        <w:tab w:val="right" w:pos="9360"/>
      </w:tabs>
      <w:spacing w:after="0" w:line="240" w:lineRule="auto"/>
      <w:jc w:val="right"/>
      <w:rPr>
        <w:rFonts w:ascii="Book Antiqua" w:eastAsia="Book Antiqua" w:hAnsi="Book Antiqua" w:cs="Book Antiqua"/>
        <w:b/>
        <w:i/>
        <w:color w:val="000000"/>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08C8EF" w14:textId="77777777" w:rsidR="00E9445B" w:rsidRDefault="00E9445B">
      <w:pPr>
        <w:spacing w:after="0" w:line="240" w:lineRule="auto"/>
      </w:pPr>
      <w:r>
        <w:separator/>
      </w:r>
    </w:p>
  </w:footnote>
  <w:footnote w:type="continuationSeparator" w:id="0">
    <w:p w14:paraId="1EBA56AB" w14:textId="77777777" w:rsidR="00E9445B" w:rsidRDefault="00E9445B">
      <w:pPr>
        <w:spacing w:after="0" w:line="240" w:lineRule="auto"/>
      </w:pPr>
      <w:r>
        <w:continuationSeparator/>
      </w:r>
    </w:p>
  </w:footnote>
  <w:footnote w:id="1">
    <w:p w14:paraId="502C586A" w14:textId="52BBBEEB" w:rsidR="006C401D" w:rsidRPr="00F34EE3" w:rsidRDefault="006C401D" w:rsidP="004B7162">
      <w:pPr>
        <w:pStyle w:val="FootnoteText"/>
        <w:tabs>
          <w:tab w:val="left" w:pos="360"/>
        </w:tabs>
        <w:jc w:val="both"/>
        <w:rPr>
          <w:rFonts w:ascii="Book Antiqua" w:hAnsi="Book Antiqua"/>
          <w:sz w:val="16"/>
          <w:szCs w:val="16"/>
        </w:rPr>
      </w:pPr>
      <w:r w:rsidRPr="00F34EE3">
        <w:rPr>
          <w:rStyle w:val="FootnoteReference"/>
          <w:rFonts w:ascii="Book Antiqua" w:hAnsi="Book Antiqua"/>
          <w:sz w:val="16"/>
          <w:szCs w:val="16"/>
        </w:rPr>
        <w:footnoteRef/>
      </w:r>
      <w:r w:rsidRPr="00F34EE3">
        <w:rPr>
          <w:rFonts w:ascii="Book Antiqua" w:hAnsi="Book Antiqua"/>
          <w:sz w:val="16"/>
          <w:szCs w:val="16"/>
        </w:rPr>
        <w:t xml:space="preserve"> </w:t>
      </w:r>
      <w:r w:rsidRPr="00F34EE3">
        <w:rPr>
          <w:rFonts w:ascii="Book Antiqua" w:hAnsi="Book Antiqua"/>
          <w:sz w:val="16"/>
          <w:szCs w:val="16"/>
        </w:rPr>
        <w:fldChar w:fldCharType="begin" w:fldLock="1"/>
      </w:r>
      <w:r w:rsidRPr="00F34EE3">
        <w:rPr>
          <w:rFonts w:ascii="Book Antiqua" w:hAnsi="Book Antiqua"/>
          <w:sz w:val="16"/>
          <w:szCs w:val="16"/>
        </w:rPr>
        <w:instrText>ADDIN CSL_CITATION {"citationItems":[{"id":"ITEM-1","itemData":{"author":[{"dropping-particle":"","family":"Nury","given":"Muhammad Yuchbibun","non-dropping-particle":"","parse-names":false,"suffix":""},{"dropping-particle":"","family":"Hamzah","given":"Moh","non-dropping-particle":"","parse-names":false,"suffix":""}],"container-title":"Manarul Quran: Jurnal Studi Islam","id":"ITEM-1","issue":"1","issued":{"date-parts":[["2024"]]},"page":"10-26","title":"Tafsir Komprehensif Terhadap Ayat-Ayat Ekonomi Dalam Al-Qur ' an","type":"article-journal","volume":"24"},"uris":["http://www.mendeley.com/documents/?uuid=eec9f9e6-4824-4ebf-9eee-754a68555b32"]}],"mendeley":{"formattedCitation":"Muhammad Yuchbibun Nury and Moh Hamzah, “Tafsir Komprehensif Terhadap Ayat-Ayat Ekonomi Dalam Al-Qur ’ An,” &lt;i&gt;Manarul Quran: Jurnal Studi Islam&lt;/i&gt; 24, no. 1 (2024): 10–26.","plainTextFormattedCitation":"Muhammad Yuchbibun Nury and Moh Hamzah, “Tafsir Komprehensif Terhadap Ayat-Ayat Ekonomi Dalam Al-Qur ’ An,” Manarul Quran: Jurnal Studi Islam 24, no. 1 (2024): 10–26.","previouslyFormattedCitation":"Muhammad Yuchbibun Nury and Moh Hamzah, “Tafsir Komprehensif Terhadap Ayat-Ayat Ekonomi Dalam Al-Qur ’ An,” &lt;i&gt;Manarul Quran: Jurnal Studi Islam&lt;/i&gt; 24, no. 1 (2024): 10–26."},"properties":{"noteIndex":1},"schema":"https://github.com/citation-style-language/schema/raw/master/csl-citation.json"}</w:instrText>
      </w:r>
      <w:r w:rsidRPr="00F34EE3">
        <w:rPr>
          <w:rFonts w:ascii="Book Antiqua" w:hAnsi="Book Antiqua"/>
          <w:sz w:val="16"/>
          <w:szCs w:val="16"/>
        </w:rPr>
        <w:fldChar w:fldCharType="separate"/>
      </w:r>
      <w:r w:rsidRPr="00F34EE3">
        <w:rPr>
          <w:rFonts w:ascii="Book Antiqua" w:hAnsi="Book Antiqua"/>
          <w:noProof/>
          <w:sz w:val="16"/>
          <w:szCs w:val="16"/>
        </w:rPr>
        <w:t xml:space="preserve">Muhammad Yuchbibun Nury and Moh Hamzah, “Tafsir Komprehensif Terhadap Ayat-Ayat Ekonomi Dalam Al-Qur ’ An,” </w:t>
      </w:r>
      <w:r w:rsidRPr="00F34EE3">
        <w:rPr>
          <w:rFonts w:ascii="Book Antiqua" w:hAnsi="Book Antiqua"/>
          <w:i/>
          <w:noProof/>
          <w:sz w:val="16"/>
          <w:szCs w:val="16"/>
        </w:rPr>
        <w:t>Manarul Quran: Jurnal Studi Islam</w:t>
      </w:r>
      <w:r w:rsidRPr="00F34EE3">
        <w:rPr>
          <w:rFonts w:ascii="Book Antiqua" w:hAnsi="Book Antiqua"/>
          <w:noProof/>
          <w:sz w:val="16"/>
          <w:szCs w:val="16"/>
        </w:rPr>
        <w:t xml:space="preserve"> 24, no. 1 (2024): 10–26.</w:t>
      </w:r>
      <w:r w:rsidRPr="00F34EE3">
        <w:rPr>
          <w:rFonts w:ascii="Book Antiqua" w:hAnsi="Book Antiqua"/>
          <w:sz w:val="16"/>
          <w:szCs w:val="16"/>
        </w:rPr>
        <w:fldChar w:fldCharType="end"/>
      </w:r>
    </w:p>
  </w:footnote>
  <w:footnote w:id="2">
    <w:p w14:paraId="6F8C1160" w14:textId="57613BB6" w:rsidR="006C401D" w:rsidRPr="00F34EE3" w:rsidRDefault="006C401D" w:rsidP="004B7162">
      <w:pPr>
        <w:pStyle w:val="FootnoteText"/>
        <w:tabs>
          <w:tab w:val="left" w:pos="360"/>
        </w:tabs>
        <w:jc w:val="both"/>
        <w:rPr>
          <w:rFonts w:ascii="Book Antiqua" w:hAnsi="Book Antiqua"/>
          <w:sz w:val="16"/>
          <w:szCs w:val="16"/>
        </w:rPr>
      </w:pPr>
      <w:r w:rsidRPr="00F34EE3">
        <w:rPr>
          <w:rStyle w:val="FootnoteReference"/>
          <w:rFonts w:ascii="Book Antiqua" w:hAnsi="Book Antiqua"/>
          <w:sz w:val="16"/>
          <w:szCs w:val="16"/>
        </w:rPr>
        <w:footnoteRef/>
      </w:r>
      <w:r w:rsidRPr="00F34EE3">
        <w:rPr>
          <w:rFonts w:ascii="Book Antiqua" w:hAnsi="Book Antiqua"/>
          <w:sz w:val="16"/>
          <w:szCs w:val="16"/>
        </w:rPr>
        <w:t xml:space="preserve"> </w:t>
      </w:r>
      <w:r w:rsidRPr="00F34EE3">
        <w:rPr>
          <w:rFonts w:ascii="Book Antiqua" w:hAnsi="Book Antiqua"/>
          <w:sz w:val="16"/>
          <w:szCs w:val="16"/>
        </w:rPr>
        <w:fldChar w:fldCharType="begin" w:fldLock="1"/>
      </w:r>
      <w:r w:rsidR="000C65CF" w:rsidRPr="00F34EE3">
        <w:rPr>
          <w:rFonts w:ascii="Book Antiqua" w:hAnsi="Book Antiqua"/>
          <w:sz w:val="16"/>
          <w:szCs w:val="16"/>
        </w:rPr>
        <w:instrText>ADDIN CSL_CITATION {"citationItems":[{"id":"ITEM-1","itemData":{"DOI":"10.18196/aiijis.2014.0037.181-201","ISSN":"16934040","abstract":"Keywords: zakat, qardhul hasan, poverty avaliation, revolving fund ABSTRAK Artikel ini mengkaji dan mengevaluasi implementasi program penanggulangan kemiskinan yang dilakukan oleh Badan Amil Zakat Kota Bandung. Sebagaimana Badan Amil Zakat lainnya yang ada di Indonesia, BAZ Kota Bandung memiliki program-program pemberdayaan ekonomi untuk kaum miskin, salah satunya dalam bentuk dana bergulir. Dengan menggunakan kajian kualitatif, artikel ini secara khusus menganalisis problematika yang dihadapi oleh BAZ Kota Bandung, termasuk hambatan pelaksanaannya ditinjau dari berbagai aspek, yaitu: 1) Komunikasi; 2) sumber daya; 3) disposisi; dan 4) struktur birokrasi, dan 5) kondisi sosial ekonomi. Berdasarkan hasil kajian lapangan, dapat disimpulkan bahwa hambatan dari implementasi kebijakan program dana bergulir ini adalah minimnya komunikasi dua arah antara BAZ Kota dengan BAZ kecamatan, serta kurangnya kapasitas BAZ kecamatan dalam melakukan pendampingan terhadap penerima dana bergulir","author":[{"dropping-particle":"","family":"Widyani","given":"Hani","non-dropping-particle":"","parse-names":false,"suffix":""}],"container-title":"Afkaruna: Indonesian Interdiciplinary Journal of Islamic Studies","id":"ITEM-1","issue":"2","issued":{"date-parts":[["2014"]]},"page":"181-201","title":"Analisis Penanggulangan Kemiskinan Melalui Implementasi Program Dana Bergulir Badan Amil Zakat Kota Bandung","type":"article-journal","volume":"10"},"uris":["http://www.mendeley.com/documents/?uuid=6306e8b9-1002-482f-8857-55416f733d2d"]}],"mendeley":{"formattedCitation":"Hani Widyani, “Analisis Penanggulangan Kemiskinan Melalui Implementasi Program Dana Bergulir Badan Amil Zakat Kota Bandung,” &lt;i&gt;Afkaruna: Indonesian Interdiciplinary Journal of Islamic Studies&lt;/i&gt; 10, no. 2 (2014): 181–201, https://doi.org/10.18196/aiijis.2014.0037.181-201.","plainTextFormattedCitation":"Hani Widyani, “Analisis Penanggulangan Kemiskinan Melalui Implementasi Program Dana Bergulir Badan Amil Zakat Kota Bandung,” Afkaruna: Indonesian Interdiciplinary Journal of Islamic Studies 10, no. 2 (2014): 181–201, https://doi.org/10.18196/aiijis.2014.0037.181-201.","previouslyFormattedCitation":"Hani Widyani, “Analisis Penanggulangan Kemiskinan Melalui Implementasi Program Dana Bergulir Badan Amil Zakat Kota Bandung,” &lt;i&gt;Afkaruna: Indonesian Interdiciplinary Journal of Islamic Studies&lt;/i&gt; 10, no. 2 (2014): 181–201, https://doi.org/10.18196/aiijis.2014.0037.181-201."},"properties":{"noteIndex":2},"schema":"https://github.com/citation-style-language/schema/raw/master/csl-citation.json"}</w:instrText>
      </w:r>
      <w:r w:rsidRPr="00F34EE3">
        <w:rPr>
          <w:rFonts w:ascii="Book Antiqua" w:hAnsi="Book Antiqua"/>
          <w:sz w:val="16"/>
          <w:szCs w:val="16"/>
        </w:rPr>
        <w:fldChar w:fldCharType="separate"/>
      </w:r>
      <w:r w:rsidRPr="00F34EE3">
        <w:rPr>
          <w:rFonts w:ascii="Book Antiqua" w:hAnsi="Book Antiqua"/>
          <w:noProof/>
          <w:sz w:val="16"/>
          <w:szCs w:val="16"/>
        </w:rPr>
        <w:t xml:space="preserve">Hani Widyani, “Analisis Penanggulangan Kemiskinan Melalui Implementasi Program Dana Bergulir Badan Amil Zakat Kota Bandung,” </w:t>
      </w:r>
      <w:r w:rsidRPr="00F34EE3">
        <w:rPr>
          <w:rFonts w:ascii="Book Antiqua" w:hAnsi="Book Antiqua"/>
          <w:i/>
          <w:noProof/>
          <w:sz w:val="16"/>
          <w:szCs w:val="16"/>
        </w:rPr>
        <w:t>Afkaruna: Indonesian Interdiciplinary Journal of Islamic Studies</w:t>
      </w:r>
      <w:r w:rsidRPr="00F34EE3">
        <w:rPr>
          <w:rFonts w:ascii="Book Antiqua" w:hAnsi="Book Antiqua"/>
          <w:noProof/>
          <w:sz w:val="16"/>
          <w:szCs w:val="16"/>
        </w:rPr>
        <w:t xml:space="preserve"> 10, no. 2 (2014): 181–201, https://doi.org/10.18196/aiijis.2014.0037.181-201.</w:t>
      </w:r>
      <w:r w:rsidRPr="00F34EE3">
        <w:rPr>
          <w:rFonts w:ascii="Book Antiqua" w:hAnsi="Book Antiqua"/>
          <w:sz w:val="16"/>
          <w:szCs w:val="16"/>
        </w:rPr>
        <w:fldChar w:fldCharType="end"/>
      </w:r>
    </w:p>
  </w:footnote>
  <w:footnote w:id="3">
    <w:p w14:paraId="6EA0AD6F" w14:textId="1BFF5AB9" w:rsidR="000C65CF" w:rsidRPr="00F34EE3" w:rsidRDefault="000C65CF" w:rsidP="004B7162">
      <w:pPr>
        <w:pStyle w:val="FootnoteText"/>
        <w:tabs>
          <w:tab w:val="left" w:pos="360"/>
        </w:tabs>
        <w:jc w:val="both"/>
        <w:rPr>
          <w:rFonts w:ascii="Book Antiqua" w:hAnsi="Book Antiqua"/>
          <w:sz w:val="16"/>
          <w:szCs w:val="16"/>
        </w:rPr>
      </w:pPr>
      <w:r w:rsidRPr="00F34EE3">
        <w:rPr>
          <w:rStyle w:val="FootnoteReference"/>
          <w:rFonts w:ascii="Book Antiqua" w:hAnsi="Book Antiqua"/>
          <w:sz w:val="16"/>
          <w:szCs w:val="16"/>
        </w:rPr>
        <w:footnoteRef/>
      </w:r>
      <w:r w:rsidRPr="00F34EE3">
        <w:rPr>
          <w:rFonts w:ascii="Book Antiqua" w:hAnsi="Book Antiqua"/>
          <w:sz w:val="16"/>
          <w:szCs w:val="16"/>
        </w:rPr>
        <w:t xml:space="preserve"> </w:t>
      </w:r>
      <w:r w:rsidRPr="00F34EE3">
        <w:rPr>
          <w:rFonts w:ascii="Book Antiqua" w:hAnsi="Book Antiqua"/>
          <w:sz w:val="16"/>
          <w:szCs w:val="16"/>
        </w:rPr>
        <w:fldChar w:fldCharType="begin" w:fldLock="1"/>
      </w:r>
      <w:r w:rsidRPr="00F34EE3">
        <w:rPr>
          <w:rFonts w:ascii="Book Antiqua" w:hAnsi="Book Antiqua"/>
          <w:sz w:val="16"/>
          <w:szCs w:val="16"/>
        </w:rPr>
        <w:instrText>ADDIN CSL_CITATION {"citationItems":[{"id":"ITEM-1","itemData":{"DOI":"10.62109/ijiat.v5i1.80","ISSN":"3031-2876","abstract":"Zakat merupakan syari’at Islam yang jika ditinjau dari maqashid syariah berorientasi membantu dan mengurangi kemiskinan di tengah masyarakat. Ayat-ayat al-Qur’an dan Hadits Rasulullah saw menjelaskan perintah, prinsip serta beberapa contoh praktik pelaksanaanya. Namun, seiring berjalanya waktu potensi dan permasalahan baru muncul sehingga ulama berijtihad dalam melakukan transformasi dalam pelaksanaan zakat. Diantaranya penetapan pelaksanaan zakat profesi, ijtihad tersebut dilakukan oleh ulama di era kontemporer karena melihat potensi zakat dalam mengurangi angka kemiskinan. Salah satu ulama yang berperan penting dalam perkembagan pemikiran zakat profesi ialah Yusuf Qardhawi. Dalam fatwa-fatwanya, dia memberi pandangan bahwa profesi yang memiliki pendapatan sesuai dengan nishab zakat bisa membantu mengurangi kemiskinan. Penelitian ini berupaya menganalisis bagaimana penafsiran ayat-ayat dalam fatwanya yang berkaitan dengan zakat profesi. Metode library research atau metode dengan pengumpulan data dengan cara memahami dan mempelajari teori-teori dari berbagai literatur yang berhubungan dengan penelitian akan diterapkan dalam penulisan artikel ini. Dalam penafsiran terkait topik tersebut, Yusuf Al-Qaradhawi mengutip ayat-ayat yang bersifat umum, kemudian menggunakan Hadits atau Qiyas dalam menentukan suatu hukum dalam ijtihadnya. Kesimpulan yang didapatnya ialah penghasilan atau profesi wajib dikeluarkan zakatnya pada saat diterima, jika sampai pada nishab setelah dikurangi hutang dan kebutuhan pokok. Abstract Reviewing the maqashid shariah, zakat is an Islamic sharia that aims to alleviate and lessen poverty in society. The principles and commandments, together with certain examples of their practices, are explained in the Qur'an and the Hadith of the Prophet (peace and blessings be upon him). But as time went on, new opportunities and issues surfaced, and scholars became determined to implement changes in the way zakat was carried out. Among these, the academics of the medieval era established and carried out the ijtihad (the profession's zakat execution) because they recognized zakat's capacity to lower the rate of poverty. Yusuf Al-Al-Qaradhawi was one of the academics who significantly contributed to the evolution of the profession's zakat philosophy. In his fatwa, he expresses the opinion that poverty might be lessened by a career that pays according to zakat. This study looks at the relationship between professional talents and how the verses in th…","author":[{"dropping-particle":"","family":"Fathurrahman","given":"Muhammad Rifqi","non-dropping-particle":"","parse-names":false,"suffix":""},{"dropping-particle":"","family":"Hendraningsih","given":"Juniar Amalia","non-dropping-particle":"","parse-names":false,"suffix":""}],"container-title":"Izzatuna: Jurnal Ilmu Al-Qur'an dan Tafsir","id":"ITEM-1","issue":"1","issued":{"date-parts":[["2024"]]},"page":"1-13","title":"Fatwa Zakat Profesi dalam Timbangan al-Qur’an","type":"article-journal","volume":"5"},"uris":["http://www.mendeley.com/documents/?uuid=1a9075ae-bd3b-4990-a652-6461795bc3d5"]}],"mendeley":{"formattedCitation":"Muhammad Rifqi Fathurrahman and Juniar Amalia Hendraningsih, “Fatwa Zakat Profesi Dalam Timbangan Al-Qur’an,” &lt;i&gt;Izzatuna: Jurnal Ilmu Al-Qur’an Dan Tafsir&lt;/i&gt; 5, no. 1 (2024): 1–13, https://doi.org/10.62109/ijiat.v5i1.80.","plainTextFormattedCitation":"Muhammad Rifqi Fathurrahman and Juniar Amalia Hendraningsih, “Fatwa Zakat Profesi Dalam Timbangan Al-Qur’an,” Izzatuna: Jurnal Ilmu Al-Qur’an Dan Tafsir 5, no. 1 (2024): 1–13, https://doi.org/10.62109/ijiat.v5i1.80.","previouslyFormattedCitation":"Muhammad Rifqi Fathurrahman and Juniar Amalia Hendraningsih, “Fatwa Zakat Profesi Dalam Timbangan Al-Qur’an,” &lt;i&gt;Izzatuna: Jurnal Ilmu Al-Qur’an Dan Tafsir&lt;/i&gt; 5, no. 1 (2024): 1–13, https://doi.org/10.62109/ijiat.v5i1.80."},"properties":{"noteIndex":3},"schema":"https://github.com/citation-style-language/schema/raw/master/csl-citation.json"}</w:instrText>
      </w:r>
      <w:r w:rsidRPr="00F34EE3">
        <w:rPr>
          <w:rFonts w:ascii="Book Antiqua" w:hAnsi="Book Antiqua"/>
          <w:sz w:val="16"/>
          <w:szCs w:val="16"/>
        </w:rPr>
        <w:fldChar w:fldCharType="separate"/>
      </w:r>
      <w:r w:rsidRPr="00F34EE3">
        <w:rPr>
          <w:rFonts w:ascii="Book Antiqua" w:hAnsi="Book Antiqua"/>
          <w:noProof/>
          <w:sz w:val="16"/>
          <w:szCs w:val="16"/>
        </w:rPr>
        <w:t xml:space="preserve">Muhammad Rifqi Fathurrahman and Juniar Amalia Hendraningsih, “Fatwa Zakat Profesi Dalam Timbangan Al-Qur’an,” </w:t>
      </w:r>
      <w:r w:rsidRPr="00F34EE3">
        <w:rPr>
          <w:rFonts w:ascii="Book Antiqua" w:hAnsi="Book Antiqua"/>
          <w:i/>
          <w:noProof/>
          <w:sz w:val="16"/>
          <w:szCs w:val="16"/>
        </w:rPr>
        <w:t>Izzatuna: Jurnal Ilmu Al-Qur’an Dan Tafsir</w:t>
      </w:r>
      <w:r w:rsidRPr="00F34EE3">
        <w:rPr>
          <w:rFonts w:ascii="Book Antiqua" w:hAnsi="Book Antiqua"/>
          <w:noProof/>
          <w:sz w:val="16"/>
          <w:szCs w:val="16"/>
        </w:rPr>
        <w:t xml:space="preserve"> 5, no. 1 (2024): 1–13, https://doi.org/10.62109/ijiat.v5i1.80.</w:t>
      </w:r>
      <w:r w:rsidRPr="00F34EE3">
        <w:rPr>
          <w:rFonts w:ascii="Book Antiqua" w:hAnsi="Book Antiqua"/>
          <w:sz w:val="16"/>
          <w:szCs w:val="16"/>
        </w:rPr>
        <w:fldChar w:fldCharType="end"/>
      </w:r>
    </w:p>
  </w:footnote>
  <w:footnote w:id="4">
    <w:p w14:paraId="2B1914C0" w14:textId="2032F2BD" w:rsidR="000C65CF" w:rsidRPr="00F34EE3" w:rsidRDefault="000C65CF" w:rsidP="004B7162">
      <w:pPr>
        <w:pStyle w:val="FootnoteText"/>
        <w:tabs>
          <w:tab w:val="left" w:pos="360"/>
        </w:tabs>
        <w:jc w:val="both"/>
        <w:rPr>
          <w:rFonts w:ascii="Book Antiqua" w:hAnsi="Book Antiqua"/>
          <w:sz w:val="16"/>
          <w:szCs w:val="16"/>
        </w:rPr>
      </w:pPr>
      <w:r w:rsidRPr="00F34EE3">
        <w:rPr>
          <w:rStyle w:val="FootnoteReference"/>
          <w:rFonts w:ascii="Book Antiqua" w:hAnsi="Book Antiqua"/>
          <w:sz w:val="16"/>
          <w:szCs w:val="16"/>
        </w:rPr>
        <w:footnoteRef/>
      </w:r>
      <w:r w:rsidRPr="00F34EE3">
        <w:rPr>
          <w:rFonts w:ascii="Book Antiqua" w:hAnsi="Book Antiqua"/>
          <w:sz w:val="16"/>
          <w:szCs w:val="16"/>
        </w:rPr>
        <w:t xml:space="preserve"> </w:t>
      </w:r>
      <w:r w:rsidRPr="00F34EE3">
        <w:rPr>
          <w:rFonts w:ascii="Book Antiqua" w:hAnsi="Book Antiqua"/>
          <w:sz w:val="16"/>
          <w:szCs w:val="16"/>
        </w:rPr>
        <w:fldChar w:fldCharType="begin" w:fldLock="1"/>
      </w:r>
      <w:r w:rsidRPr="00F34EE3">
        <w:rPr>
          <w:rFonts w:ascii="Book Antiqua" w:hAnsi="Book Antiqua"/>
          <w:sz w:val="16"/>
          <w:szCs w:val="16"/>
        </w:rPr>
        <w:instrText>ADDIN CSL_CITATION {"citationItems":[{"id":"ITEM-1","itemData":{"author":[{"dropping-particle":"","family":"Nisa","given":"Farhatun","non-dropping-particle":"","parse-names":false,"suffix":""},{"dropping-particle":"","family":"Priyono","given":"Agus Puji","non-dropping-particle":"","parse-names":false,"suffix":""},{"dropping-particle":"","family":"Dwijayanti","given":"Anggraeni","non-dropping-particle":"","parse-names":false,"suffix":""}],"container-title":"Jurnal Penelitian Inovatif {JUPIN)","id":"ITEM-1","issue":"3","issued":{"date-parts":[["2024"]]},"page":"1787-1796","title":"Peran Zakat dalam Kebijakan Pengurangan Pajak : Evaluasi Implementasi dan Tantangan di Lembaga Amil Zakat","type":"article-journal","volume":"4"},"uris":["http://www.mendeley.com/documents/?uuid=81a6e8af-7f5b-4685-affb-a63d53b76aff"]}],"mendeley":{"formattedCitation":"Farhatun Nisa, Agus Puji Priyono, and Anggraeni Dwijayanti, “Peran Zakat Dalam Kebijakan Pengurangan Pajak</w:instrText>
      </w:r>
      <w:r w:rsidRPr="00F34EE3">
        <w:rPr>
          <w:rFonts w:cs="Times New Roman"/>
          <w:sz w:val="16"/>
          <w:szCs w:val="16"/>
        </w:rPr>
        <w:instrText> </w:instrText>
      </w:r>
      <w:r w:rsidRPr="00F34EE3">
        <w:rPr>
          <w:rFonts w:ascii="Book Antiqua" w:hAnsi="Book Antiqua"/>
          <w:sz w:val="16"/>
          <w:szCs w:val="16"/>
        </w:rPr>
        <w:instrText>: Evaluasi Implementasi Dan Tantangan Di Lembaga Amil Zakat,</w:instrText>
      </w:r>
      <w:r w:rsidRPr="00F34EE3">
        <w:rPr>
          <w:rFonts w:ascii="Book Antiqua" w:hAnsi="Book Antiqua" w:cs="Book Antiqua"/>
          <w:sz w:val="16"/>
          <w:szCs w:val="16"/>
        </w:rPr>
        <w:instrText>”</w:instrText>
      </w:r>
      <w:r w:rsidRPr="00F34EE3">
        <w:rPr>
          <w:rFonts w:ascii="Book Antiqua" w:hAnsi="Book Antiqua"/>
          <w:sz w:val="16"/>
          <w:szCs w:val="16"/>
        </w:rPr>
        <w:instrText xml:space="preserve"> &lt;i&gt;Jurnal Penelitian Inovatif {JUPIN)&lt;/i&gt; 4, no. 3 (2024): 1787–96.","plainTextFormattedCitation":"Farhatun Nisa, Agus Puji Priyono, and Anggraeni Dwijayanti, “Peran Zakat Dalam Kebijakan Pengurangan Pajak</w:instrText>
      </w:r>
      <w:r w:rsidRPr="00F34EE3">
        <w:rPr>
          <w:rFonts w:cs="Times New Roman"/>
          <w:sz w:val="16"/>
          <w:szCs w:val="16"/>
        </w:rPr>
        <w:instrText> </w:instrText>
      </w:r>
      <w:r w:rsidRPr="00F34EE3">
        <w:rPr>
          <w:rFonts w:ascii="Book Antiqua" w:hAnsi="Book Antiqua"/>
          <w:sz w:val="16"/>
          <w:szCs w:val="16"/>
        </w:rPr>
        <w:instrText>: Evaluasi Implementasi Dan Tantangan Di Lembaga Amil Zakat,</w:instrText>
      </w:r>
      <w:r w:rsidRPr="00F34EE3">
        <w:rPr>
          <w:rFonts w:ascii="Book Antiqua" w:hAnsi="Book Antiqua" w:cs="Book Antiqua"/>
          <w:sz w:val="16"/>
          <w:szCs w:val="16"/>
        </w:rPr>
        <w:instrText>”</w:instrText>
      </w:r>
      <w:r w:rsidRPr="00F34EE3">
        <w:rPr>
          <w:rFonts w:ascii="Book Antiqua" w:hAnsi="Book Antiqua"/>
          <w:sz w:val="16"/>
          <w:szCs w:val="16"/>
        </w:rPr>
        <w:instrText xml:space="preserve"> Jurnal Penelitian Inovatif {JUPIN) 4, no. 3 (2024): 1787</w:instrText>
      </w:r>
      <w:r w:rsidRPr="00F34EE3">
        <w:rPr>
          <w:rFonts w:ascii="Book Antiqua" w:hAnsi="Book Antiqua" w:cs="Book Antiqua"/>
          <w:sz w:val="16"/>
          <w:szCs w:val="16"/>
        </w:rPr>
        <w:instrText>–</w:instrText>
      </w:r>
      <w:r w:rsidRPr="00F34EE3">
        <w:rPr>
          <w:rFonts w:ascii="Book Antiqua" w:hAnsi="Book Antiqua"/>
          <w:sz w:val="16"/>
          <w:szCs w:val="16"/>
        </w:rPr>
        <w:instrText xml:space="preserve">96.","previouslyFormattedCitation":"Farhatun Nisa, Agus Puji Priyono, and Anggraeni Dwijayanti, </w:instrText>
      </w:r>
      <w:r w:rsidRPr="00F34EE3">
        <w:rPr>
          <w:rFonts w:ascii="Book Antiqua" w:hAnsi="Book Antiqua" w:cs="Book Antiqua"/>
          <w:sz w:val="16"/>
          <w:szCs w:val="16"/>
        </w:rPr>
        <w:instrText>“</w:instrText>
      </w:r>
      <w:r w:rsidRPr="00F34EE3">
        <w:rPr>
          <w:rFonts w:ascii="Book Antiqua" w:hAnsi="Book Antiqua"/>
          <w:sz w:val="16"/>
          <w:szCs w:val="16"/>
        </w:rPr>
        <w:instrText>Peran Zakat Dalam Kebijakan Pengurangan Pajak</w:instrText>
      </w:r>
      <w:r w:rsidRPr="00F34EE3">
        <w:rPr>
          <w:rFonts w:cs="Times New Roman"/>
          <w:sz w:val="16"/>
          <w:szCs w:val="16"/>
        </w:rPr>
        <w:instrText> </w:instrText>
      </w:r>
      <w:r w:rsidRPr="00F34EE3">
        <w:rPr>
          <w:rFonts w:ascii="Book Antiqua" w:hAnsi="Book Antiqua"/>
          <w:sz w:val="16"/>
          <w:szCs w:val="16"/>
        </w:rPr>
        <w:instrText>: Evaluasi Implementasi Dan Tantangan Di Lembaga Amil Zakat,” &lt;i&gt;Jurnal Penelitian Inovatif {JUPIN)&lt;/i&gt; 4, no. 3 (2024): 1787–96."},"properties":{"noteIndex":4},"schema":"https://github.com/citation-style-language/schema/raw/master/csl-citation.json"}</w:instrText>
      </w:r>
      <w:r w:rsidRPr="00F34EE3">
        <w:rPr>
          <w:rFonts w:ascii="Book Antiqua" w:hAnsi="Book Antiqua"/>
          <w:sz w:val="16"/>
          <w:szCs w:val="16"/>
        </w:rPr>
        <w:fldChar w:fldCharType="separate"/>
      </w:r>
      <w:r w:rsidRPr="00F34EE3">
        <w:rPr>
          <w:rFonts w:ascii="Book Antiqua" w:hAnsi="Book Antiqua"/>
          <w:noProof/>
          <w:sz w:val="16"/>
          <w:szCs w:val="16"/>
        </w:rPr>
        <w:t>Farhatun Nisa, Agus Puji Priyono, and Anggraeni Dwijayanti, “Peran Zakat Dalam Kebijakan Pengurangan Pajak</w:t>
      </w:r>
      <w:r w:rsidRPr="00F34EE3">
        <w:rPr>
          <w:rFonts w:cs="Times New Roman"/>
          <w:noProof/>
          <w:sz w:val="16"/>
          <w:szCs w:val="16"/>
        </w:rPr>
        <w:t> </w:t>
      </w:r>
      <w:r w:rsidRPr="00F34EE3">
        <w:rPr>
          <w:rFonts w:ascii="Book Antiqua" w:hAnsi="Book Antiqua"/>
          <w:noProof/>
          <w:sz w:val="16"/>
          <w:szCs w:val="16"/>
        </w:rPr>
        <w:t>: Evaluasi Implementasi Dan Tantangan Di Lembaga Amil Zakat,</w:t>
      </w:r>
      <w:r w:rsidRPr="00F34EE3">
        <w:rPr>
          <w:rFonts w:ascii="Book Antiqua" w:hAnsi="Book Antiqua" w:cs="Book Antiqua"/>
          <w:noProof/>
          <w:sz w:val="16"/>
          <w:szCs w:val="16"/>
        </w:rPr>
        <w:t>”</w:t>
      </w:r>
      <w:r w:rsidRPr="00F34EE3">
        <w:rPr>
          <w:rFonts w:ascii="Book Antiqua" w:hAnsi="Book Antiqua"/>
          <w:noProof/>
          <w:sz w:val="16"/>
          <w:szCs w:val="16"/>
        </w:rPr>
        <w:t xml:space="preserve"> </w:t>
      </w:r>
      <w:r w:rsidRPr="00F34EE3">
        <w:rPr>
          <w:rFonts w:ascii="Book Antiqua" w:hAnsi="Book Antiqua"/>
          <w:i/>
          <w:noProof/>
          <w:sz w:val="16"/>
          <w:szCs w:val="16"/>
        </w:rPr>
        <w:t>Jurnal Penelitian Inovatif {JUPIN)</w:t>
      </w:r>
      <w:r w:rsidRPr="00F34EE3">
        <w:rPr>
          <w:rFonts w:ascii="Book Antiqua" w:hAnsi="Book Antiqua"/>
          <w:noProof/>
          <w:sz w:val="16"/>
          <w:szCs w:val="16"/>
        </w:rPr>
        <w:t xml:space="preserve"> 4, no. 3 (2024): 1787–96.</w:t>
      </w:r>
      <w:r w:rsidRPr="00F34EE3">
        <w:rPr>
          <w:rFonts w:ascii="Book Antiqua" w:hAnsi="Book Antiqua"/>
          <w:sz w:val="16"/>
          <w:szCs w:val="16"/>
        </w:rPr>
        <w:fldChar w:fldCharType="end"/>
      </w:r>
    </w:p>
  </w:footnote>
  <w:footnote w:id="5">
    <w:p w14:paraId="3C3A543F" w14:textId="0CB082D9" w:rsidR="000C65CF" w:rsidRPr="00F34EE3" w:rsidRDefault="000C65CF" w:rsidP="004B7162">
      <w:pPr>
        <w:pStyle w:val="FootnoteText"/>
        <w:tabs>
          <w:tab w:val="left" w:pos="360"/>
        </w:tabs>
        <w:jc w:val="both"/>
        <w:rPr>
          <w:rFonts w:ascii="Book Antiqua" w:hAnsi="Book Antiqua"/>
          <w:sz w:val="16"/>
          <w:szCs w:val="16"/>
        </w:rPr>
      </w:pPr>
      <w:r w:rsidRPr="00F34EE3">
        <w:rPr>
          <w:rStyle w:val="FootnoteReference"/>
          <w:rFonts w:ascii="Book Antiqua" w:hAnsi="Book Antiqua"/>
          <w:sz w:val="16"/>
          <w:szCs w:val="16"/>
        </w:rPr>
        <w:footnoteRef/>
      </w:r>
      <w:r w:rsidRPr="00F34EE3">
        <w:rPr>
          <w:rFonts w:ascii="Book Antiqua" w:hAnsi="Book Antiqua"/>
          <w:sz w:val="16"/>
          <w:szCs w:val="16"/>
        </w:rPr>
        <w:t xml:space="preserve"> </w:t>
      </w:r>
      <w:r w:rsidRPr="00F34EE3">
        <w:rPr>
          <w:rFonts w:ascii="Book Antiqua" w:hAnsi="Book Antiqua"/>
          <w:sz w:val="16"/>
          <w:szCs w:val="16"/>
        </w:rPr>
        <w:fldChar w:fldCharType="begin" w:fldLock="1"/>
      </w:r>
      <w:r w:rsidR="004E2AE2" w:rsidRPr="00F34EE3">
        <w:rPr>
          <w:rFonts w:ascii="Book Antiqua" w:hAnsi="Book Antiqua"/>
          <w:sz w:val="16"/>
          <w:szCs w:val="16"/>
        </w:rPr>
        <w:instrText>ADDIN CSL_CITATION {"citationItems":[{"id":"ITEM-1","itemData":{"DOI":"10.32500/jematech.v3i2.1284","ISSN":"2622-8394","abstract":"BAZIS merupakan lembaga masyarakat yang bergerak dalam sosial keagamaan dalam konsep agama islam disebut dengan amil yaitu pengumpul zakat. Seiring perkembangan jaman bazis bermotamorfosa sebagai badan yang besar dalam pengumpulan zakat bahkan juga dalam pengumpulan dan penyaluran zakat sekaligus infaq dan sadaqoh. Dalam kegiatan operasional yang berhubungan dengan pengumpulan zakat infaq dan sadaqoh maka berhubungan dengan dana masyarakat maka penguatan kepercayaan terhadap bazis paling obyektif adalah menggunakan laporan keuangan yang transparan dan akuntabilitas berdasarkan standar yang berlaku yaitu PSAK 109. Tujuan dari penelitian ini adalah memaparkan PSAK 109 sebagai dasar standar pelaporan BAZIS dan sebagai pedoman yang menyederhanakan bahasa dari PSAK 109 agar tercapainya kepercayaan masyarakat terhadap BAZIS. Metode penelitian yang digunakan adalah penelitian kepustakaan , karena dalam masa pandemik mensyaratkan protokol kesehatan tidak diperbolehkan. melakukan penelitian lapangan maka peneliti menggunakan studi kepustakaan dalam membahas tema ini. Hasil dari penelitian ini adalah pemaparan dengan bahasa sederhana terhadap pelaporan keuangan BAZIS yang sesuai dengan PSAK 109 agar para pegawai BAZIS itu mampu memahami dan membuat laporan keuangan sehingga upaya penguatan transparansi dan akuntabilitas tercapai yang berdampak pada meningkatnya kepercayaan masyarakat.","author":[{"dropping-particle":"","family":"Akhmad Rifai","given":"Fuad Yanuar","non-dropping-particle":"","parse-names":false,"suffix":""},{"dropping-particle":"","family":"Priyono","given":"Nuwun","non-dropping-particle":"","parse-names":false,"suffix":""}],"container-title":"Journal of Economic, Management, Accounting and Technology","id":"ITEM-1","issue":"2","issued":{"date-parts":[["2020"]]},"page":"108-119","title":"Upaya Penguatan Transparansi dan Akuntabilitas Badan Amil Zakat Infaq dan Sadaqoh (BAZIS) Berbasis PSAK 109 dalam Kajian Literatur","type":"article-journal","volume":"3"},"uris":["http://www.mendeley.com/documents/?uuid=bc0d0904-9b07-48f7-91c7-fa9b21e03812"]}],"mendeley":{"formattedCitation":"Fuad Yanuar Akhmad Rifai and Nuwun Priyono, “Upaya Penguatan Transparansi Dan Akuntabilitas Badan Amil Zakat Infaq Dan Sadaqoh (BAZIS) Berbasis PSAK 109 Dalam Kajian Literatur,” &lt;i&gt;Journal of Economic, Management, Accounting and Technology&lt;/i&gt; 3, no. 2 (2020): 108–19, https://doi.org/10.32500/jematech.v3i2.1284.","plainTextFormattedCitation":"Fuad Yanuar Akhmad Rifai and Nuwun Priyono, “Upaya Penguatan Transparansi Dan Akuntabilitas Badan Amil Zakat Infaq Dan Sadaqoh (BAZIS) Berbasis PSAK 109 Dalam Kajian Literatur,” Journal of Economic, Management, Accounting and Technology 3, no. 2 (2020): 108–19, https://doi.org/10.32500/jematech.v3i2.1284.","previouslyFormattedCitation":"Fuad Yanuar Akhmad Rifai and Nuwun Priyono, “Upaya Penguatan Transparansi Dan Akuntabilitas Badan Amil Zakat Infaq Dan Sadaqoh (BAZIS) Berbasis PSAK 109 Dalam Kajian Literatur,” &lt;i&gt;Journal of Economic, Management, Accounting and Technology&lt;/i&gt; 3, no. 2 (2020): 108–19, https://doi.org/10.32500/jematech.v3i2.1284."},"properties":{"noteIndex":5},"schema":"https://github.com/citation-style-language/schema/raw/master/csl-citation.json"}</w:instrText>
      </w:r>
      <w:r w:rsidRPr="00F34EE3">
        <w:rPr>
          <w:rFonts w:ascii="Book Antiqua" w:hAnsi="Book Antiqua"/>
          <w:sz w:val="16"/>
          <w:szCs w:val="16"/>
        </w:rPr>
        <w:fldChar w:fldCharType="separate"/>
      </w:r>
      <w:r w:rsidRPr="00F34EE3">
        <w:rPr>
          <w:rFonts w:ascii="Book Antiqua" w:hAnsi="Book Antiqua"/>
          <w:noProof/>
          <w:sz w:val="16"/>
          <w:szCs w:val="16"/>
        </w:rPr>
        <w:t xml:space="preserve">Fuad Yanuar Akhmad Rifai and Nuwun Priyono, “Upaya Penguatan Transparansi Dan Akuntabilitas Badan Amil Zakat Infaq Dan Sadaqoh (BAZIS) Berbasis PSAK 109 Dalam Kajian Literatur,” </w:t>
      </w:r>
      <w:r w:rsidRPr="00F34EE3">
        <w:rPr>
          <w:rFonts w:ascii="Book Antiqua" w:hAnsi="Book Antiqua"/>
          <w:i/>
          <w:noProof/>
          <w:sz w:val="16"/>
          <w:szCs w:val="16"/>
        </w:rPr>
        <w:t>Journal of Economic, Management, Accounting and Technology</w:t>
      </w:r>
      <w:r w:rsidRPr="00F34EE3">
        <w:rPr>
          <w:rFonts w:ascii="Book Antiqua" w:hAnsi="Book Antiqua"/>
          <w:noProof/>
          <w:sz w:val="16"/>
          <w:szCs w:val="16"/>
        </w:rPr>
        <w:t xml:space="preserve"> 3, no. 2 (2020): 108–19, https://doi.org/10.32500/jematech.v3i2.1284.</w:t>
      </w:r>
      <w:r w:rsidRPr="00F34EE3">
        <w:rPr>
          <w:rFonts w:ascii="Book Antiqua" w:hAnsi="Book Antiqua"/>
          <w:sz w:val="16"/>
          <w:szCs w:val="16"/>
        </w:rPr>
        <w:fldChar w:fldCharType="end"/>
      </w:r>
    </w:p>
  </w:footnote>
  <w:footnote w:id="6">
    <w:p w14:paraId="36F9074D" w14:textId="22CD1D8D" w:rsidR="004E2AE2" w:rsidRPr="00F34EE3" w:rsidRDefault="004E2AE2" w:rsidP="004B7162">
      <w:pPr>
        <w:pStyle w:val="FootnoteText"/>
        <w:tabs>
          <w:tab w:val="left" w:pos="360"/>
        </w:tabs>
        <w:jc w:val="both"/>
        <w:rPr>
          <w:rFonts w:ascii="Book Antiqua" w:hAnsi="Book Antiqua"/>
          <w:sz w:val="16"/>
          <w:szCs w:val="16"/>
        </w:rPr>
      </w:pPr>
      <w:r w:rsidRPr="00F34EE3">
        <w:rPr>
          <w:rStyle w:val="FootnoteReference"/>
          <w:rFonts w:ascii="Book Antiqua" w:hAnsi="Book Antiqua"/>
          <w:sz w:val="16"/>
          <w:szCs w:val="16"/>
        </w:rPr>
        <w:footnoteRef/>
      </w:r>
      <w:r w:rsidRPr="00F34EE3">
        <w:rPr>
          <w:rFonts w:ascii="Book Antiqua" w:hAnsi="Book Antiqua"/>
          <w:sz w:val="16"/>
          <w:szCs w:val="16"/>
        </w:rPr>
        <w:t xml:space="preserve"> </w:t>
      </w:r>
      <w:r w:rsidRPr="00F34EE3">
        <w:rPr>
          <w:rFonts w:ascii="Book Antiqua" w:hAnsi="Book Antiqua"/>
          <w:sz w:val="16"/>
          <w:szCs w:val="16"/>
        </w:rPr>
        <w:fldChar w:fldCharType="begin" w:fldLock="1"/>
      </w:r>
      <w:r w:rsidRPr="00F34EE3">
        <w:rPr>
          <w:rFonts w:ascii="Book Antiqua" w:hAnsi="Book Antiqua"/>
          <w:sz w:val="16"/>
          <w:szCs w:val="16"/>
        </w:rPr>
        <w:instrText>ADDIN CSL_CITATION {"citationItems":[{"id":"ITEM-1","itemData":{"ISBN":"1976080720031","abstract":"… pihak Badan atau Lembaga Amil Zakat dengan Dirjen Pajak, … Sedangkan praktek pemotongan zakat dan pajak tidak … Zakat Pasal 14 ayat 3 karena di sini terjadi pemotongan secara …","author":[{"dropping-particle":"","family":"Fathullah","given":"Ridho","non-dropping-particle":"","parse-names":false,"suffix":""}],"id":"ITEM-1","issued":{"date-parts":[["2021"]]},"number-of-pages":"1-80","publisher":"Universitas Islam Negeri Syarif Hidayatullah Jakarta","title":"Implementasi Zakat Sebagai Pengurang Penghasilan Kena Pajak Dengan Sistem Payroll Di Lazismu Pusat","type":"thesis"},"uris":["http://www.mendeley.com/documents/?uuid=d91379b5-0360-417d-90a4-bf409eae99af"]}],"mendeley":{"formattedCitation":"Ridho Fathullah, “Implementasi Zakat Sebagai Pengurang Penghasilan Kena Pajak Dengan Sistem Payroll Di Lazismu Pusat” (Universitas Islam Negeri Syarif Hidayatullah Jakarta, 2021).","plainTextFormattedCitation":"Ridho Fathullah, “Implementasi Zakat Sebagai Pengurang Penghasilan Kena Pajak Dengan Sistem Payroll Di Lazismu Pusat” (Universitas Islam Negeri Syarif Hidayatullah Jakarta, 2021).","previouslyFormattedCitation":"Ridho Fathullah, “Implementasi Zakat Sebagai Pengurang Penghasilan Kena Pajak Dengan Sistem Payroll Di Lazismu Pusat” (Universitas Islam Negeri Syarif Hidayatullah Jakarta, 2021)."},"properties":{"noteIndex":6},"schema":"https://github.com/citation-style-language/schema/raw/master/csl-citation.json"}</w:instrText>
      </w:r>
      <w:r w:rsidRPr="00F34EE3">
        <w:rPr>
          <w:rFonts w:ascii="Book Antiqua" w:hAnsi="Book Antiqua"/>
          <w:sz w:val="16"/>
          <w:szCs w:val="16"/>
        </w:rPr>
        <w:fldChar w:fldCharType="separate"/>
      </w:r>
      <w:r w:rsidRPr="00F34EE3">
        <w:rPr>
          <w:rFonts w:ascii="Book Antiqua" w:hAnsi="Book Antiqua"/>
          <w:noProof/>
          <w:sz w:val="16"/>
          <w:szCs w:val="16"/>
        </w:rPr>
        <w:t>Ridho Fathullah, “Implementasi Zakat Sebagai Pengurang Penghasilan Kena Pajak Dengan Sistem Payroll Di Lazismu Pusat” (Universitas Islam Negeri Syarif Hidayatullah Jakarta, 2021).</w:t>
      </w:r>
      <w:r w:rsidRPr="00F34EE3">
        <w:rPr>
          <w:rFonts w:ascii="Book Antiqua" w:hAnsi="Book Antiqua"/>
          <w:sz w:val="16"/>
          <w:szCs w:val="16"/>
        </w:rPr>
        <w:fldChar w:fldCharType="end"/>
      </w:r>
    </w:p>
  </w:footnote>
  <w:footnote w:id="7">
    <w:p w14:paraId="79DB1F1D" w14:textId="4FC47FCE" w:rsidR="004E2AE2" w:rsidRPr="00F34EE3" w:rsidRDefault="004E2AE2" w:rsidP="004B7162">
      <w:pPr>
        <w:pStyle w:val="FootnoteText"/>
        <w:tabs>
          <w:tab w:val="left" w:pos="360"/>
        </w:tabs>
        <w:jc w:val="both"/>
        <w:rPr>
          <w:rFonts w:ascii="Book Antiqua" w:hAnsi="Book Antiqua"/>
          <w:sz w:val="16"/>
          <w:szCs w:val="16"/>
        </w:rPr>
      </w:pPr>
      <w:r w:rsidRPr="00F34EE3">
        <w:rPr>
          <w:rStyle w:val="FootnoteReference"/>
          <w:rFonts w:ascii="Book Antiqua" w:hAnsi="Book Antiqua"/>
          <w:sz w:val="16"/>
          <w:szCs w:val="16"/>
        </w:rPr>
        <w:footnoteRef/>
      </w:r>
      <w:r w:rsidRPr="00F34EE3">
        <w:rPr>
          <w:rFonts w:ascii="Book Antiqua" w:hAnsi="Book Antiqua"/>
          <w:sz w:val="16"/>
          <w:szCs w:val="16"/>
        </w:rPr>
        <w:t xml:space="preserve"> </w:t>
      </w:r>
      <w:r w:rsidRPr="00F34EE3">
        <w:rPr>
          <w:rFonts w:ascii="Book Antiqua" w:hAnsi="Book Antiqua"/>
          <w:sz w:val="16"/>
          <w:szCs w:val="16"/>
        </w:rPr>
        <w:fldChar w:fldCharType="begin" w:fldLock="1"/>
      </w:r>
      <w:r w:rsidR="00B3571A" w:rsidRPr="00F34EE3">
        <w:rPr>
          <w:rFonts w:ascii="Book Antiqua" w:hAnsi="Book Antiqua"/>
          <w:sz w:val="16"/>
          <w:szCs w:val="16"/>
        </w:rPr>
        <w:instrText>ADDIN CSL_CITATION {"citationItems":[{"id":"ITEM-1","itemData":{"DOI":"10.35878/jiose.v2i2.903","abstract":"The obligation to pay zakat and the obligation to pay taxes for Muslims causes double charges or double burdens so that it will make it difficult for property owners and cause counterproductive effects. As a solution so that zakat must not be exposed to a double burden, the government issued a regulation, namely Law Number 23 of 2011 article 22 concerning zakat as a deduction from income tax. The purpose of this study is as one of the socialization efforts to muzakki on zakat as an income tax deduction and provide a positive perception of zakat and tax management. The methods used are qualitative approaches with the type of field research (field research) and data analysis using qualitative descriptive methods. From the results of research and analysis on zakat regulations as income tax deductions cannot be implemented, because there is no cooperation between BAZNAS and Primary Tax even though there is clearly a law regulating it. The lack of socialization carried out by BAZNAS makes the muzakki unaware of the law on zakat as an income tax deduction and there are still many muzakki handing over their zakat directly to those who are entitled to receive it because the reach is easier.","author":[{"dropping-particle":"","family":"Maulida","given":"Minati","non-dropping-particle":"","parse-names":false,"suffix":""},{"dropping-particle":"","family":"Ulfah","given":"","non-dropping-particle":"","parse-names":false,"suffix":""}],"container-title":"JIOSE: Journal of Indonesian Sharia Economics","id":"ITEM-1","issue":"2","issued":{"date-parts":[["2023"]]},"page":"191-208","title":"Peluang dan Tantangan Pemberlakuan Undang-Undang No. 23 Pasal 22 Tahun 2011 Tentang Zakat Sebagai Pengurang Pajak Penghasilan","type":"article-journal","volume":"2"},"uris":["http://www.mendeley.com/documents/?uuid=18bcd48b-6319-4caf-813b-e0c92e88421c"]}],"mendeley":{"formattedCitation":"Minati Maulida and Ulfah, “Peluang Dan Tantangan Pemberlakuan Undang-Undang No. 23 Pasal 22 Tahun 2011 Tentang Zakat Sebagai Pengurang Pajak Penghasilan,” &lt;i&gt;JIOSE: Journal of Indonesian Sharia Economics&lt;/i&gt; 2, no. 2 (2023): 191–208, https://doi.org/10.35878/jiose.v2i2.903.","plainTextFormattedCitation":"Minati Maulida and Ulfah, “Peluang Dan Tantangan Pemberlakuan Undang-Undang No. 23 Pasal 22 Tahun 2011 Tentang Zakat Sebagai Pengurang Pajak Penghasilan,” JIOSE: Journal of Indonesian Sharia Economics 2, no. 2 (2023): 191–208, https://doi.org/10.35878/jiose.v2i2.903.","previouslyFormattedCitation":"Minati Maulida and Ulfah, “Peluang Dan Tantangan Pemberlakuan Undang-Undang No. 23 Pasal 22 Tahun 2011 Tentang Zakat Sebagai Pengurang Pajak Penghasilan,” &lt;i&gt;JIOSE: Journal of Indonesian Sharia Economics&lt;/i&gt; 2, no. 2 (2023): 191–208, https://doi.org/10.35878/jiose.v2i2.903."},"properties":{"noteIndex":7},"schema":"https://github.com/citation-style-language/schema/raw/master/csl-citation.json"}</w:instrText>
      </w:r>
      <w:r w:rsidRPr="00F34EE3">
        <w:rPr>
          <w:rFonts w:ascii="Book Antiqua" w:hAnsi="Book Antiqua"/>
          <w:sz w:val="16"/>
          <w:szCs w:val="16"/>
        </w:rPr>
        <w:fldChar w:fldCharType="separate"/>
      </w:r>
      <w:r w:rsidRPr="00F34EE3">
        <w:rPr>
          <w:rFonts w:ascii="Book Antiqua" w:hAnsi="Book Antiqua"/>
          <w:noProof/>
          <w:sz w:val="16"/>
          <w:szCs w:val="16"/>
        </w:rPr>
        <w:t xml:space="preserve">Minati Maulida and Ulfah, “Peluang Dan Tantangan Pemberlakuan Undang-Undang No. 23 Pasal 22 Tahun 2011 Tentang Zakat Sebagai Pengurang Pajak Penghasilan,” </w:t>
      </w:r>
      <w:r w:rsidRPr="00F34EE3">
        <w:rPr>
          <w:rFonts w:ascii="Book Antiqua" w:hAnsi="Book Antiqua"/>
          <w:i/>
          <w:noProof/>
          <w:sz w:val="16"/>
          <w:szCs w:val="16"/>
        </w:rPr>
        <w:t>JIOSE: Journal of Indonesian Sharia Economics</w:t>
      </w:r>
      <w:r w:rsidRPr="00F34EE3">
        <w:rPr>
          <w:rFonts w:ascii="Book Antiqua" w:hAnsi="Book Antiqua"/>
          <w:noProof/>
          <w:sz w:val="16"/>
          <w:szCs w:val="16"/>
        </w:rPr>
        <w:t xml:space="preserve"> 2, no. 2 (2023): 191–208, https://doi.org/10.35878/jiose.v2i2.903.</w:t>
      </w:r>
      <w:r w:rsidRPr="00F34EE3">
        <w:rPr>
          <w:rFonts w:ascii="Book Antiqua" w:hAnsi="Book Antiqua"/>
          <w:sz w:val="16"/>
          <w:szCs w:val="16"/>
        </w:rPr>
        <w:fldChar w:fldCharType="end"/>
      </w:r>
    </w:p>
  </w:footnote>
  <w:footnote w:id="8">
    <w:p w14:paraId="2618269B" w14:textId="04E7ADA9" w:rsidR="00BB5115" w:rsidRPr="00BB5115" w:rsidRDefault="00BB5115">
      <w:pPr>
        <w:pStyle w:val="FootnoteText"/>
        <w:rPr>
          <w:rFonts w:ascii="Book Antiqua" w:hAnsi="Book Antiqua"/>
          <w:sz w:val="16"/>
          <w:szCs w:val="16"/>
          <w:lang w:val="fi-FI"/>
        </w:rPr>
      </w:pPr>
      <w:r w:rsidRPr="00BB5115">
        <w:rPr>
          <w:rStyle w:val="FootnoteReference"/>
          <w:rFonts w:ascii="Book Antiqua" w:hAnsi="Book Antiqua"/>
          <w:sz w:val="16"/>
          <w:szCs w:val="16"/>
        </w:rPr>
        <w:footnoteRef/>
      </w:r>
      <w:r w:rsidRPr="00BB5115">
        <w:rPr>
          <w:rFonts w:ascii="Book Antiqua" w:hAnsi="Book Antiqua"/>
          <w:sz w:val="16"/>
          <w:szCs w:val="16"/>
          <w:lang w:val="fi-FI"/>
        </w:rPr>
        <w:t xml:space="preserve"> </w:t>
      </w:r>
      <w:r w:rsidRPr="00BB5115">
        <w:rPr>
          <w:rFonts w:ascii="Book Antiqua" w:hAnsi="Book Antiqua"/>
          <w:sz w:val="16"/>
          <w:szCs w:val="16"/>
        </w:rPr>
        <w:fldChar w:fldCharType="begin" w:fldLock="1"/>
      </w:r>
      <w:r>
        <w:rPr>
          <w:rFonts w:ascii="Book Antiqua" w:hAnsi="Book Antiqua"/>
          <w:sz w:val="16"/>
          <w:szCs w:val="16"/>
          <w:lang w:val="fi-FI"/>
        </w:rPr>
        <w:instrText>ADDIN CSL_CITATION {"citationItems":[{"id":"ITEM-1","itemData":{"author":[{"dropping-particle":"","family":"Marzuki","given":"Peter Mahmud","non-dropping-particle":"","parse-names":false,"suffix":""}],"edition":"Ketujuh Be","id":"ITEM-1","issued":{"date-parts":[["2023"]]},"publisher":"Kencana","publisher-place":"Jakarta","title":"Penelitian Hukum","type":"book"},"uris":["http://www.mendeley.com/documents/?uuid=0812352a-3bf9-4a32-9d2b-0f61d28e10dc"]}],"mendeley":{"formattedCitation":"Peter Mahmud Marzuki, &lt;i&gt;Penelitian Hukum&lt;/i&gt;, Ketujuh Be (Jakarta: Kencana, 2023).","manualFormatting":"Peter Mahmud Marzuki, Penelitian Hukum, Ketujuh Be (Jakarta: Kencana, 2023), p. 35-36.","plainTextFormattedCitation":"Peter Mahmud Marzuki, Penelitian Hukum, Ketujuh Be (Jakarta: Kencana, 2023).","previouslyFormattedCitation":"Peter Mahmud Marzuki, &lt;i&gt;Penelitian Hukum&lt;/i&gt;, Ketujuh Be (Jakarta: Kencana, 2023)."},"properties":{"noteIndex":8},"schema":"https://github.com/citation-style-language/schema/raw/master/csl-citation.json"}</w:instrText>
      </w:r>
      <w:r w:rsidRPr="00BB5115">
        <w:rPr>
          <w:rFonts w:ascii="Book Antiqua" w:hAnsi="Book Antiqua"/>
          <w:sz w:val="16"/>
          <w:szCs w:val="16"/>
        </w:rPr>
        <w:fldChar w:fldCharType="separate"/>
      </w:r>
      <w:r w:rsidRPr="00BB5115">
        <w:rPr>
          <w:rFonts w:ascii="Book Antiqua" w:hAnsi="Book Antiqua"/>
          <w:noProof/>
          <w:sz w:val="16"/>
          <w:szCs w:val="16"/>
          <w:lang w:val="fi-FI"/>
        </w:rPr>
        <w:t xml:space="preserve">Peter Mahmud Marzuki, </w:t>
      </w:r>
      <w:r w:rsidRPr="00BB5115">
        <w:rPr>
          <w:rFonts w:ascii="Book Antiqua" w:hAnsi="Book Antiqua"/>
          <w:i/>
          <w:noProof/>
          <w:sz w:val="16"/>
          <w:szCs w:val="16"/>
          <w:lang w:val="fi-FI"/>
        </w:rPr>
        <w:t>Penelitian Hukum</w:t>
      </w:r>
      <w:r w:rsidRPr="00BB5115">
        <w:rPr>
          <w:rFonts w:ascii="Book Antiqua" w:hAnsi="Book Antiqua"/>
          <w:noProof/>
          <w:sz w:val="16"/>
          <w:szCs w:val="16"/>
          <w:lang w:val="fi-FI"/>
        </w:rPr>
        <w:t>, Ketujuh Be (Jakarta: Kencana, 2023), p. 35-36.</w:t>
      </w:r>
      <w:r w:rsidRPr="00BB5115">
        <w:rPr>
          <w:rFonts w:ascii="Book Antiqua" w:hAnsi="Book Antiqua"/>
          <w:sz w:val="16"/>
          <w:szCs w:val="16"/>
        </w:rPr>
        <w:fldChar w:fldCharType="end"/>
      </w:r>
    </w:p>
  </w:footnote>
  <w:footnote w:id="9">
    <w:p w14:paraId="31E12732" w14:textId="4704430C" w:rsidR="00BB5115" w:rsidRDefault="00BB5115">
      <w:pPr>
        <w:pStyle w:val="FootnoteText"/>
      </w:pPr>
      <w:r>
        <w:rPr>
          <w:rStyle w:val="FootnoteReference"/>
        </w:rPr>
        <w:footnoteRef/>
      </w:r>
      <w:r>
        <w:t xml:space="preserve"> </w:t>
      </w:r>
      <w:r w:rsidRPr="00BB5115">
        <w:rPr>
          <w:rFonts w:ascii="Book Antiqua" w:hAnsi="Book Antiqua"/>
          <w:sz w:val="16"/>
          <w:szCs w:val="16"/>
        </w:rPr>
        <w:t xml:space="preserve">Ibid., </w:t>
      </w:r>
      <w:r w:rsidRPr="00DE488C">
        <w:rPr>
          <w:rFonts w:ascii="Book Antiqua" w:hAnsi="Book Antiqua"/>
          <w:noProof/>
          <w:sz w:val="16"/>
          <w:szCs w:val="16"/>
        </w:rPr>
        <w:t>p. 136-137</w:t>
      </w:r>
      <w:r w:rsidRPr="00BB5115">
        <w:rPr>
          <w:rFonts w:ascii="Book Antiqua" w:hAnsi="Book Antiqua"/>
          <w:sz w:val="16"/>
          <w:szCs w:val="16"/>
        </w:rPr>
        <w:fldChar w:fldCharType="begin" w:fldLock="1"/>
      </w:r>
      <w:r w:rsidR="00416840">
        <w:rPr>
          <w:rFonts w:ascii="Book Antiqua" w:hAnsi="Book Antiqua"/>
          <w:sz w:val="16"/>
          <w:szCs w:val="16"/>
        </w:rPr>
        <w:instrText>ADDIN CSL_CITATION {"citationItems":[{"id":"ITEM-1","itemData":{"author":[{"dropping-particle":"","family":"Marzuki","given":"Peter Mahmud","non-dropping-particle":"","parse-names":false,"suffix":""}],"edition":"Ketujuh Be","id":"ITEM-1","issued":{"date-parts":[["2023"]]},"publisher":"Kencana","publisher-place":"Jakarta","title":"Penelitian Hukum","type":"book"},"uris":["http://www.mendeley.com/documents/?uuid=0812352a-3bf9-4a32-9d2b-0f61d28e10dc"]}],"mendeley":{"formattedCitation":"Marzuki.","manualFormatting":".","plainTextFormattedCitation":"Marzuki.","previouslyFormattedCitation":"Marzuki."},"properties":{"noteIndex":9},"schema":"https://github.com/citation-style-language/schema/raw/master/csl-citation.json"}</w:instrText>
      </w:r>
      <w:r w:rsidRPr="00BB5115">
        <w:rPr>
          <w:rFonts w:ascii="Book Antiqua" w:hAnsi="Book Antiqua"/>
          <w:sz w:val="16"/>
          <w:szCs w:val="16"/>
        </w:rPr>
        <w:fldChar w:fldCharType="separate"/>
      </w:r>
      <w:r w:rsidRPr="00BB5115">
        <w:rPr>
          <w:rFonts w:ascii="Book Antiqua" w:hAnsi="Book Antiqua"/>
          <w:noProof/>
          <w:sz w:val="16"/>
          <w:szCs w:val="16"/>
        </w:rPr>
        <w:t>.</w:t>
      </w:r>
      <w:r w:rsidRPr="00BB5115">
        <w:rPr>
          <w:rFonts w:ascii="Book Antiqua" w:hAnsi="Book Antiqua"/>
          <w:sz w:val="16"/>
          <w:szCs w:val="16"/>
        </w:rPr>
        <w:fldChar w:fldCharType="end"/>
      </w:r>
    </w:p>
  </w:footnote>
  <w:footnote w:id="10">
    <w:p w14:paraId="76418E7A" w14:textId="3A983257" w:rsidR="00B3571A" w:rsidRPr="00DE488C" w:rsidRDefault="00B3571A" w:rsidP="004B7162">
      <w:pPr>
        <w:pStyle w:val="FootnoteText"/>
        <w:jc w:val="both"/>
        <w:rPr>
          <w:rFonts w:ascii="Book Antiqua" w:hAnsi="Book Antiqua"/>
          <w:sz w:val="16"/>
          <w:szCs w:val="16"/>
        </w:rPr>
      </w:pPr>
      <w:r w:rsidRPr="00F34EE3">
        <w:rPr>
          <w:rStyle w:val="FootnoteReference"/>
          <w:rFonts w:ascii="Book Antiqua" w:hAnsi="Book Antiqua"/>
          <w:sz w:val="16"/>
          <w:szCs w:val="16"/>
        </w:rPr>
        <w:footnoteRef/>
      </w:r>
      <w:r w:rsidRPr="00DE488C">
        <w:rPr>
          <w:rFonts w:ascii="Book Antiqua" w:hAnsi="Book Antiqua"/>
          <w:sz w:val="16"/>
          <w:szCs w:val="16"/>
        </w:rPr>
        <w:t xml:space="preserve"> </w:t>
      </w:r>
      <w:r w:rsidR="00C00BCC" w:rsidRPr="00DE488C">
        <w:rPr>
          <w:rFonts w:ascii="Book Antiqua" w:hAnsi="Book Antiqua"/>
          <w:noProof/>
          <w:sz w:val="16"/>
          <w:szCs w:val="16"/>
        </w:rPr>
        <w:t>Ibid., p. 177-178.</w:t>
      </w:r>
    </w:p>
  </w:footnote>
  <w:footnote w:id="11">
    <w:p w14:paraId="785AB7E4" w14:textId="180E50BA" w:rsidR="004B7162" w:rsidRPr="00DE488C" w:rsidRDefault="004B7162">
      <w:pPr>
        <w:pStyle w:val="FootnoteText"/>
        <w:rPr>
          <w:rFonts w:ascii="Book Antiqua" w:hAnsi="Book Antiqua"/>
          <w:sz w:val="16"/>
          <w:szCs w:val="16"/>
        </w:rPr>
      </w:pPr>
      <w:r w:rsidRPr="00F34EE3">
        <w:rPr>
          <w:rStyle w:val="FootnoteReference"/>
          <w:rFonts w:ascii="Book Antiqua" w:hAnsi="Book Antiqua"/>
          <w:sz w:val="16"/>
          <w:szCs w:val="16"/>
        </w:rPr>
        <w:footnoteRef/>
      </w:r>
      <w:r w:rsidRPr="00DE488C">
        <w:rPr>
          <w:rFonts w:ascii="Book Antiqua" w:hAnsi="Book Antiqua"/>
          <w:sz w:val="16"/>
          <w:szCs w:val="16"/>
        </w:rPr>
        <w:t xml:space="preserve"> </w:t>
      </w:r>
      <w:r w:rsidR="00C00BCC" w:rsidRPr="00DE488C">
        <w:rPr>
          <w:rFonts w:ascii="Book Antiqua" w:hAnsi="Book Antiqua"/>
          <w:sz w:val="16"/>
          <w:szCs w:val="16"/>
        </w:rPr>
        <w:t>Ibid., p. 195-203.</w:t>
      </w:r>
    </w:p>
  </w:footnote>
  <w:footnote w:id="12">
    <w:p w14:paraId="34EF4104" w14:textId="1E25DBC6" w:rsidR="00416840" w:rsidRPr="00DE488C" w:rsidRDefault="00416840">
      <w:pPr>
        <w:pStyle w:val="FootnoteText"/>
        <w:rPr>
          <w:rFonts w:ascii="Book Antiqua" w:hAnsi="Book Antiqua"/>
          <w:sz w:val="16"/>
          <w:szCs w:val="16"/>
        </w:rPr>
      </w:pPr>
      <w:r>
        <w:rPr>
          <w:rStyle w:val="FootnoteReference"/>
        </w:rPr>
        <w:footnoteRef/>
      </w:r>
      <w:r w:rsidRPr="00DE488C">
        <w:t xml:space="preserve"> </w:t>
      </w:r>
      <w:r w:rsidRPr="00416840">
        <w:rPr>
          <w:rFonts w:ascii="Book Antiqua" w:hAnsi="Book Antiqua"/>
          <w:sz w:val="16"/>
          <w:szCs w:val="16"/>
        </w:rPr>
        <w:fldChar w:fldCharType="begin" w:fldLock="1"/>
      </w:r>
      <w:r w:rsidRPr="00DE488C">
        <w:rPr>
          <w:rFonts w:ascii="Book Antiqua" w:hAnsi="Book Antiqua"/>
          <w:sz w:val="16"/>
          <w:szCs w:val="16"/>
        </w:rPr>
        <w:instrText>ADDIN CSL_CITATION {"citationItems":[{"id":"ITEM-1","itemData":{"author":[{"dropping-particle":"","family":"Amin","given":"Rahman","non-dropping-particle":"","parse-names":false,"suffix":""}],"edition":"Pertama","id":"ITEM-1","issued":{"date-parts":[["2019"]]},"number-of-pages":"1-291","publisher":"Deepublish","publisher-place":"Yogyakarta","title":"Pengantar Hukum Indonesia","type":"book"},"uris":["http://www.mendeley.com/documents/?uuid=95626b13-f23b-4bee-9fe5-ed25264535e8"]}],"mendeley":{"formattedCitation":"Rahman Amin, &lt;i&gt;Pengantar Hukum Indonesia&lt;/i&gt;, Pertama (Yogyakarta: Deepublish, 2019).","manualFormatting":"Rahman Amin, Pengantar Hukum Indonesia, Pertama (Yogyakarta: Deepublish, 2019), p. 64-79.","plainTextFormattedCitation":"Rahman Amin, Pengantar Hukum Indonesia, Pertama (Yogyakarta: Deepublish, 2019).","previouslyFormattedCitation":"Rahman Amin, &lt;i&gt;Pengantar Hukum Indonesia&lt;/i&gt;, Pertama (Yogyakarta: Deepublish, 2019)."},"properties":{"noteIndex":12},"schema":"https://github.com/citation-style-language/schema/raw/master/csl-citation.json"}</w:instrText>
      </w:r>
      <w:r w:rsidRPr="00416840">
        <w:rPr>
          <w:rFonts w:ascii="Book Antiqua" w:hAnsi="Book Antiqua"/>
          <w:sz w:val="16"/>
          <w:szCs w:val="16"/>
        </w:rPr>
        <w:fldChar w:fldCharType="separate"/>
      </w:r>
      <w:r w:rsidRPr="00DE488C">
        <w:rPr>
          <w:rFonts w:ascii="Book Antiqua" w:hAnsi="Book Antiqua"/>
          <w:noProof/>
          <w:sz w:val="16"/>
          <w:szCs w:val="16"/>
        </w:rPr>
        <w:t xml:space="preserve">Rahman Amin, </w:t>
      </w:r>
      <w:r w:rsidRPr="00DE488C">
        <w:rPr>
          <w:rFonts w:ascii="Book Antiqua" w:hAnsi="Book Antiqua"/>
          <w:i/>
          <w:noProof/>
          <w:sz w:val="16"/>
          <w:szCs w:val="16"/>
        </w:rPr>
        <w:t>Pengantar Hukum Indonesia</w:t>
      </w:r>
      <w:r w:rsidRPr="00DE488C">
        <w:rPr>
          <w:rFonts w:ascii="Book Antiqua" w:hAnsi="Book Antiqua"/>
          <w:noProof/>
          <w:sz w:val="16"/>
          <w:szCs w:val="16"/>
        </w:rPr>
        <w:t>, Pertama (Yogyakarta: Deepublish, 2019), p. 64-79.</w:t>
      </w:r>
      <w:r w:rsidRPr="00416840">
        <w:rPr>
          <w:rFonts w:ascii="Book Antiqua" w:hAnsi="Book Antiqua"/>
          <w:sz w:val="16"/>
          <w:szCs w:val="16"/>
        </w:rPr>
        <w:fldChar w:fldCharType="end"/>
      </w:r>
    </w:p>
  </w:footnote>
  <w:footnote w:id="13">
    <w:p w14:paraId="3BA61EBB" w14:textId="6D85A764" w:rsidR="00185B96" w:rsidRPr="00DE488C" w:rsidRDefault="00185B96">
      <w:pPr>
        <w:pStyle w:val="FootnoteText"/>
        <w:rPr>
          <w:rFonts w:ascii="Book Antiqua" w:hAnsi="Book Antiqua"/>
          <w:sz w:val="16"/>
          <w:szCs w:val="16"/>
        </w:rPr>
      </w:pPr>
      <w:r w:rsidRPr="00F34EE3">
        <w:rPr>
          <w:rStyle w:val="FootnoteReference"/>
          <w:rFonts w:ascii="Book Antiqua" w:hAnsi="Book Antiqua"/>
          <w:sz w:val="16"/>
          <w:szCs w:val="16"/>
        </w:rPr>
        <w:footnoteRef/>
      </w:r>
      <w:r w:rsidRPr="00DE488C">
        <w:rPr>
          <w:rFonts w:ascii="Book Antiqua" w:hAnsi="Book Antiqua"/>
          <w:sz w:val="16"/>
          <w:szCs w:val="16"/>
        </w:rPr>
        <w:t xml:space="preserve"> </w:t>
      </w:r>
      <w:r w:rsidRPr="00F34EE3">
        <w:rPr>
          <w:rFonts w:ascii="Book Antiqua" w:hAnsi="Book Antiqua"/>
          <w:sz w:val="16"/>
          <w:szCs w:val="16"/>
        </w:rPr>
        <w:fldChar w:fldCharType="begin" w:fldLock="1"/>
      </w:r>
      <w:r w:rsidRPr="00DE488C">
        <w:rPr>
          <w:rFonts w:ascii="Book Antiqua" w:hAnsi="Book Antiqua"/>
          <w:sz w:val="16"/>
          <w:szCs w:val="16"/>
        </w:rPr>
        <w:instrText>ADDIN CSL_CITATION {"citationItems":[{"id":"ITEM-1","itemData":{"abstract":"All the praise be to Allah Who Blesses us with His Mercy and His Grace to all the academics of State Institute for Islamic Studies (IAIN) Pekalongan.It is due to His mercy and blessing that IAIN Pekalongancontinuously attempts to improve its quality and contribution to education, especially in Pekalongan and its surroundings. Thanks to Allah, IAIN has successfully organized another international seminar titled Pekalongan International Conference on Islamic Studies (PICIS). PICIS event in 2016 was also a part of the fifth Dies Natalis of Postgraduate Program. PICIS is one of the commitments held by IAIN Pekalongan to develop sciences based on Islamic values as well as oriented to society's empowerment and social problem-solving. PICIS 2016 took Realizing Mental Revolution through Science Reconstruction in Islamic Higher Education as the theme that we believed relevant to the spirit of the Indonesian government to improve the nation through mental revolution. Mental revolution is a movement of the people as well as the government to ameliorate the nation's character for the sake of the better Indonesia. A lot of social problems area result of weakening character and moralof the nation. The rampant of corruption, humans' right violation, and criminalities are the results of the fading value of Bhinneka Tunggal Ika (unity in diversity). This event was conducted as a scientific endeavor to participate in character building through a variety of studies. The results of the studies and researches were explicated in this event so that it could give real contributions to people. Therefore, it is hoped that this program could be a part of the cause of mental revolution promotedby the government. We would like to express our thanks to the whole committee of the conference of Pekalongan International Conference on Islamic Studies(PICIS) 2016 who had done their best for the success ofthis event. We wouldalsolike to deliver thanks to allcontributors of the proceeding. We hope that the proceeding could serve as resourceful references for all concerned to Islamic Studies. Ameen","author":[{"dropping-particle":"","family":"Hafidh","given":"Ahmad","non-dropping-particle":"","parse-names":false,"suffix":""}],"container-title":"Proceeding of Pekalongan International Conference on Islamic Studies (PICIS)","id":"ITEM-1","issued":{"date-parts":[["2016"]]},"page":"356-381","title":"Politik Hukum Pemberdayaan Zakat di Indonesia (Dialektika Norma Fiqh Dengan Kebijakan Hukum Nasional Indonesia)","type":"article-journal"},"uris":["http://www.mendeley.com/documents/?uuid=052b5617-89e1-486a-9711-0b6e556ca4b6"]}],"mendeley":{"formattedCitation":"Ahmad Hafidh, “Politik Hukum Pemberdayaan Zakat Di Indonesia (Dialektika Norma Fiqh Dengan Kebijakan Hukum Nasional Indonesia),” &lt;i&gt;Proceeding of Pekalongan International Conference on Islamic Studies (PICIS)&lt;/i&gt;, 2016, 356–81.","plainTextFormattedCitation":"Ahmad Hafidh, “Politik Hukum Pemberdayaan Zakat Di Indonesia (Dialektika Norma Fiqh Dengan Kebijakan Hukum Nasional Indonesia),” Proceeding of Pekalongan International Conference on Islamic Studies (PICIS), 2016, 356–81.","previouslyFormattedCitation":"Ahmad Hafidh, “Politik Hukum Pemberdayaan Zakat Di Indonesia (Dialektika Norma Fiqh Dengan Kebijakan Hukum Nasional Indonesia),” &lt;i&gt;Proceeding of Pekalongan International Conference on Islamic Studies (PICIS)&lt;/i&gt;, 2016, 356–81."},"properties":{"noteIndex":13},"schema":"https://github.com/citation-style-language/schema/raw/master/csl-citation.json"}</w:instrText>
      </w:r>
      <w:r w:rsidRPr="00F34EE3">
        <w:rPr>
          <w:rFonts w:ascii="Book Antiqua" w:hAnsi="Book Antiqua"/>
          <w:sz w:val="16"/>
          <w:szCs w:val="16"/>
        </w:rPr>
        <w:fldChar w:fldCharType="separate"/>
      </w:r>
      <w:r w:rsidRPr="00DE488C">
        <w:rPr>
          <w:rFonts w:ascii="Book Antiqua" w:hAnsi="Book Antiqua"/>
          <w:noProof/>
          <w:sz w:val="16"/>
          <w:szCs w:val="16"/>
        </w:rPr>
        <w:t xml:space="preserve">Ahmad Hafidh, “Politik Hukum Pemberdayaan Zakat Di Indonesia (Dialektika Norma Fiqh Dengan Kebijakan Hukum Nasional Indonesia),” </w:t>
      </w:r>
      <w:r w:rsidRPr="00DE488C">
        <w:rPr>
          <w:rFonts w:ascii="Book Antiqua" w:hAnsi="Book Antiqua"/>
          <w:i/>
          <w:noProof/>
          <w:sz w:val="16"/>
          <w:szCs w:val="16"/>
        </w:rPr>
        <w:t>Proceeding of Pekalongan International Conference on Islamic Studies (PICIS)</w:t>
      </w:r>
      <w:r w:rsidRPr="00DE488C">
        <w:rPr>
          <w:rFonts w:ascii="Book Antiqua" w:hAnsi="Book Antiqua"/>
          <w:noProof/>
          <w:sz w:val="16"/>
          <w:szCs w:val="16"/>
        </w:rPr>
        <w:t>, 2016, 356–81.</w:t>
      </w:r>
      <w:r w:rsidRPr="00F34EE3">
        <w:rPr>
          <w:rFonts w:ascii="Book Antiqua" w:hAnsi="Book Antiqua"/>
          <w:sz w:val="16"/>
          <w:szCs w:val="16"/>
        </w:rPr>
        <w:fldChar w:fldCharType="end"/>
      </w:r>
    </w:p>
  </w:footnote>
  <w:footnote w:id="14">
    <w:p w14:paraId="4186699F" w14:textId="3CAFA68E" w:rsidR="00185B96" w:rsidRPr="00DE488C" w:rsidRDefault="00185B96">
      <w:pPr>
        <w:pStyle w:val="FootnoteText"/>
        <w:rPr>
          <w:rFonts w:ascii="Book Antiqua" w:hAnsi="Book Antiqua"/>
          <w:sz w:val="16"/>
          <w:szCs w:val="16"/>
        </w:rPr>
      </w:pPr>
      <w:r w:rsidRPr="00F34EE3">
        <w:rPr>
          <w:rStyle w:val="FootnoteReference"/>
          <w:rFonts w:ascii="Book Antiqua" w:hAnsi="Book Antiqua"/>
          <w:sz w:val="16"/>
          <w:szCs w:val="16"/>
        </w:rPr>
        <w:footnoteRef/>
      </w:r>
      <w:r w:rsidRPr="00DE488C">
        <w:rPr>
          <w:rFonts w:ascii="Book Antiqua" w:hAnsi="Book Antiqua"/>
          <w:sz w:val="16"/>
          <w:szCs w:val="16"/>
        </w:rPr>
        <w:t xml:space="preserve"> </w:t>
      </w:r>
      <w:r w:rsidRPr="00F34EE3">
        <w:rPr>
          <w:rFonts w:ascii="Book Antiqua" w:hAnsi="Book Antiqua"/>
          <w:sz w:val="16"/>
          <w:szCs w:val="16"/>
        </w:rPr>
        <w:fldChar w:fldCharType="begin" w:fldLock="1"/>
      </w:r>
      <w:r w:rsidRPr="00DE488C">
        <w:rPr>
          <w:rFonts w:ascii="Book Antiqua" w:hAnsi="Book Antiqua"/>
          <w:sz w:val="16"/>
          <w:szCs w:val="16"/>
        </w:rPr>
        <w:instrText>ADDIN CSL_CITATION {"citationItems":[{"id":"ITEM-1","itemData":{"author":[{"dropping-particle":"","family":"Hidayat","given":"Febriyan","non-dropping-particle":"","parse-names":false,"suffix":""}],"id":"ITEM-1","issued":{"date-parts":[["2021"]]},"number-of-pages":"160","publisher":"Sekolah Tinggi Ilmu Ekonomi Malangkucecwara","title":"Analisis Perbandingan Penentuan Pajak Penghasilan Badan Terutang Menurut PSAK No.46 dengan UU No.36 tahun 2008 pada Laporan Keuangan PT. Primarindo Asia Infrastructure Tbk","type":"thesis"},"uris":["http://www.mendeley.com/documents/?uuid=2ff6261e-3491-4c32-8f96-250f2d05d9a2"]}],"mendeley":{"formattedCitation":"Febriyan Hidayat, “Analisis Perbandingan Penentuan Pajak Penghasilan Badan Terutang Menurut PSAK No.46 Dengan UU No.36 Tahun 2008 Pada Laporan Keuangan PT. Primarindo Asia Infrastructure Tbk” (Sekolah Tinggi Ilmu Ekonomi Malangkucecwara, 2021).","plainTextFormattedCitation":"Febriyan Hidayat, “Analisis Perbandingan Penentuan Pajak Penghasilan Badan Terutang Menurut PSAK No.46 Dengan UU No.36 Tahun 2008 Pada Laporan Keuangan PT. Primarindo Asia Infrastructure Tbk” (Sekolah Tinggi Ilmu Ekonomi Malangkucecwara, 2021).","previouslyFormattedCitation":"Febriyan Hidayat, “Analisis Perbandingan Penentuan Pajak Penghasilan Badan Terutang Menurut PSAK No.46 Dengan UU No.36 Tahun 2008 Pada Laporan Keuangan PT. Primarindo Asia Infrastructure Tbk” (Sekolah Tinggi Ilmu Ekonomi Malangkucecwara, 2021)."},"properties":{"noteIndex":14},"schema":"https://github.com/citation-style-language/schema/raw/master/csl-citation.json"}</w:instrText>
      </w:r>
      <w:r w:rsidRPr="00F34EE3">
        <w:rPr>
          <w:rFonts w:ascii="Book Antiqua" w:hAnsi="Book Antiqua"/>
          <w:sz w:val="16"/>
          <w:szCs w:val="16"/>
        </w:rPr>
        <w:fldChar w:fldCharType="separate"/>
      </w:r>
      <w:r w:rsidRPr="00DE488C">
        <w:rPr>
          <w:rFonts w:ascii="Book Antiqua" w:hAnsi="Book Antiqua"/>
          <w:noProof/>
          <w:sz w:val="16"/>
          <w:szCs w:val="16"/>
        </w:rPr>
        <w:t>Febriyan Hidayat, “Analisis Perbandingan Penentuan Pajak Penghasilan Badan Terutang Menurut PSAK No.46 Dengan UU No.36 Tahun 2008 Pada Laporan Keuangan PT. Primarindo Asia Infrastructure Tbk” (Sekolah Tinggi Ilmu Ekonomi Malangkucecwara, 2021).</w:t>
      </w:r>
      <w:r w:rsidRPr="00F34EE3">
        <w:rPr>
          <w:rFonts w:ascii="Book Antiqua" w:hAnsi="Book Antiqua"/>
          <w:sz w:val="16"/>
          <w:szCs w:val="16"/>
        </w:rPr>
        <w:fldChar w:fldCharType="end"/>
      </w:r>
    </w:p>
  </w:footnote>
  <w:footnote w:id="15">
    <w:p w14:paraId="1CD996DC" w14:textId="4B578BF1" w:rsidR="00185B96" w:rsidRPr="00DE488C" w:rsidRDefault="00185B96">
      <w:pPr>
        <w:pStyle w:val="FootnoteText"/>
        <w:rPr>
          <w:rFonts w:ascii="Book Antiqua" w:hAnsi="Book Antiqua"/>
          <w:sz w:val="16"/>
          <w:szCs w:val="16"/>
        </w:rPr>
      </w:pPr>
      <w:r w:rsidRPr="00F34EE3">
        <w:rPr>
          <w:rStyle w:val="FootnoteReference"/>
          <w:rFonts w:ascii="Book Antiqua" w:hAnsi="Book Antiqua"/>
          <w:sz w:val="16"/>
          <w:szCs w:val="16"/>
        </w:rPr>
        <w:footnoteRef/>
      </w:r>
      <w:r w:rsidRPr="00DE488C">
        <w:rPr>
          <w:rFonts w:ascii="Book Antiqua" w:hAnsi="Book Antiqua"/>
          <w:sz w:val="16"/>
          <w:szCs w:val="16"/>
        </w:rPr>
        <w:t xml:space="preserve"> </w:t>
      </w:r>
      <w:r w:rsidRPr="00F34EE3">
        <w:rPr>
          <w:rFonts w:ascii="Book Antiqua" w:hAnsi="Book Antiqua"/>
          <w:sz w:val="16"/>
          <w:szCs w:val="16"/>
        </w:rPr>
        <w:fldChar w:fldCharType="begin" w:fldLock="1"/>
      </w:r>
      <w:r w:rsidRPr="00DE488C">
        <w:rPr>
          <w:rFonts w:ascii="Book Antiqua" w:hAnsi="Book Antiqua"/>
          <w:sz w:val="16"/>
          <w:szCs w:val="16"/>
        </w:rPr>
        <w:instrText>ADDIN CSL_CITATION {"citationItems":[{"id":"ITEM-1","itemData":{"DOI":"https://doi.org/10.19105/El Nubuwwah.v2i2.14581","author":[{"dropping-particle":"","family":"Aisyi","given":"Gheani Rihadatul","non-dropping-particle":"","parse-names":false,"suffix":""},{"dropping-particle":"","family":"Putri","given":"Dyah Amelia","non-dropping-particle":"","parse-names":false,"suffix":""},{"dropping-particle":"","family":"Dadah","given":"","non-dropping-particle":"","parse-names":false,"suffix":""}],"container-title":"El-Nubuwwah: Jurnal Studi Hadis","id":"ITEM-1","issue":"2","issued":{"date-parts":[["2024"]]},"page":"235-263","title":"Analisis Zakat Profesi dalam Zakat Mal Berdasarkan Kajian Hadis","type":"article-journal","volume":"2"},"uris":["http://www.mendeley.com/documents/?uuid=4a2334a7-b7aa-4ba8-ad5c-73374aa32e1d"]}],"mendeley":{"formattedCitation":"Gheani Rihadatul Aisyi, Dyah Amelia Putri, and Dadah, “Analisis Zakat Profesi Dalam Zakat Mal Berdasarkan Kajian Hadis,” &lt;i&gt;El-Nubuwwah: Jurnal Studi Hadis&lt;/i&gt; 2, no. 2 (2024): 235–63, https://doi.org/https://doi.org/10.19105/El Nubuwwah.v2i2.14581.","plainTextFormattedCitation":"Gheani Rihadatul Aisyi, Dyah Amelia Putri, and Dadah, “Analisis Zakat Profesi Dalam Zakat Mal Berdasarkan Kajian Hadis,” El-Nubuwwah: Jurnal Studi Hadis 2, no. 2 (2024): 235–63, https://doi.org/https://doi.org/10.19105/El Nubuwwah.v2i2.14581.","previouslyFormattedCitation":"Gheani Rihadatul Aisyi, Dyah Amelia Putri, and Dadah, “Analisis Zakat Profesi Dalam Zakat Mal Berdasarkan Kajian Hadis,” &lt;i&gt;El-Nubuwwah: Jurnal Studi Hadis&lt;/i&gt; 2, no. 2 (2024): 235–63, https://doi.org/https://doi.org/10.19105/El Nubuwwah.v2i2.14581."},"properties":{"noteIndex":15},"schema":"https://github.com/citation-style-language/schema/raw/master/csl-citation.json"}</w:instrText>
      </w:r>
      <w:r w:rsidRPr="00F34EE3">
        <w:rPr>
          <w:rFonts w:ascii="Book Antiqua" w:hAnsi="Book Antiqua"/>
          <w:sz w:val="16"/>
          <w:szCs w:val="16"/>
        </w:rPr>
        <w:fldChar w:fldCharType="separate"/>
      </w:r>
      <w:r w:rsidRPr="00DE488C">
        <w:rPr>
          <w:rFonts w:ascii="Book Antiqua" w:hAnsi="Book Antiqua"/>
          <w:noProof/>
          <w:sz w:val="16"/>
          <w:szCs w:val="16"/>
        </w:rPr>
        <w:t xml:space="preserve">Gheani Rihadatul Aisyi, Dyah Amelia Putri, and Dadah, “Analisis Zakat Profesi Dalam Zakat Mal Berdasarkan Kajian Hadis,” </w:t>
      </w:r>
      <w:r w:rsidRPr="00DE488C">
        <w:rPr>
          <w:rFonts w:ascii="Book Antiqua" w:hAnsi="Book Antiqua"/>
          <w:i/>
          <w:noProof/>
          <w:sz w:val="16"/>
          <w:szCs w:val="16"/>
        </w:rPr>
        <w:t>El-Nubuwwah: Jurnal Studi Hadis</w:t>
      </w:r>
      <w:r w:rsidRPr="00DE488C">
        <w:rPr>
          <w:rFonts w:ascii="Book Antiqua" w:hAnsi="Book Antiqua"/>
          <w:noProof/>
          <w:sz w:val="16"/>
          <w:szCs w:val="16"/>
        </w:rPr>
        <w:t xml:space="preserve"> 2, no. 2 (2024): 235–63, https://doi.org/https://doi.org/10.19105/El Nubuwwah.v2i2.14581.</w:t>
      </w:r>
      <w:r w:rsidRPr="00F34EE3">
        <w:rPr>
          <w:rFonts w:ascii="Book Antiqua" w:hAnsi="Book Antiqua"/>
          <w:sz w:val="16"/>
          <w:szCs w:val="16"/>
        </w:rPr>
        <w:fldChar w:fldCharType="end"/>
      </w:r>
    </w:p>
  </w:footnote>
  <w:footnote w:id="16">
    <w:p w14:paraId="66CCC374" w14:textId="7605C119" w:rsidR="00185B96" w:rsidRPr="00DE488C" w:rsidRDefault="00185B96">
      <w:pPr>
        <w:pStyle w:val="FootnoteText"/>
        <w:rPr>
          <w:rFonts w:ascii="Book Antiqua" w:hAnsi="Book Antiqua"/>
          <w:sz w:val="16"/>
          <w:szCs w:val="16"/>
        </w:rPr>
      </w:pPr>
      <w:r w:rsidRPr="00F34EE3">
        <w:rPr>
          <w:rStyle w:val="FootnoteReference"/>
          <w:rFonts w:ascii="Book Antiqua" w:hAnsi="Book Antiqua"/>
          <w:sz w:val="16"/>
          <w:szCs w:val="16"/>
        </w:rPr>
        <w:footnoteRef/>
      </w:r>
      <w:r w:rsidRPr="00DE488C">
        <w:rPr>
          <w:rFonts w:ascii="Book Antiqua" w:hAnsi="Book Antiqua"/>
          <w:sz w:val="16"/>
          <w:szCs w:val="16"/>
        </w:rPr>
        <w:t xml:space="preserve"> </w:t>
      </w:r>
      <w:r w:rsidRPr="00F34EE3">
        <w:rPr>
          <w:rFonts w:ascii="Book Antiqua" w:hAnsi="Book Antiqua"/>
          <w:sz w:val="16"/>
          <w:szCs w:val="16"/>
        </w:rPr>
        <w:fldChar w:fldCharType="begin" w:fldLock="1"/>
      </w:r>
      <w:r w:rsidRPr="00DE488C">
        <w:rPr>
          <w:rFonts w:ascii="Book Antiqua" w:hAnsi="Book Antiqua"/>
          <w:sz w:val="16"/>
          <w:szCs w:val="16"/>
        </w:rPr>
        <w:instrText>ADDIN CSL_CITATION {"citationItems":[{"id":"ITEM-1","itemData":{"ISBN":"2013206534","abstract":"Seiring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Kata","author":[{"dropping-particle":"","family":"Amir","given":"Shelfiana","non-dropping-particle":"","parse-names":false,"suffix":""}],"id":"ITEM-1","issued":{"date-parts":[["2023"]]},"number-of-pages":"1-71","publisher":"Institut Agama Islam Negeri (IAIN) Parepare","title":"Kontroversi Kewajiban Zakat Profesi Bagi ASN di BAZNAS Pakep","type":"thesis"},"uris":["http://www.mendeley.com/documents/?uuid=1d85feae-82b4-4caf-8878-6a85485df624"]}],"mendeley":{"formattedCitation":"Shelfiana Amir, “Kontroversi Kewajiban Zakat Profesi Bagi ASN Di BAZNAS Pakep” (Institut Agama Islam Negeri (IAIN) Parepare, 2023).","plainTextFormattedCitation":"Shelfiana Amir, “Kontroversi Kewajiban Zakat Profesi Bagi ASN Di BAZNAS Pakep” (Institut Agama Islam Negeri (IAIN) Parepare, 2023).","previouslyFormattedCitation":"Shelfiana Amir, “Kontroversi Kewajiban Zakat Profesi Bagi ASN Di BAZNAS Pakep” (Institut Agama Islam Negeri (IAIN) Parepare, 2023)."},"properties":{"noteIndex":16},"schema":"https://github.com/citation-style-language/schema/raw/master/csl-citation.json"}</w:instrText>
      </w:r>
      <w:r w:rsidRPr="00F34EE3">
        <w:rPr>
          <w:rFonts w:ascii="Book Antiqua" w:hAnsi="Book Antiqua"/>
          <w:sz w:val="16"/>
          <w:szCs w:val="16"/>
        </w:rPr>
        <w:fldChar w:fldCharType="separate"/>
      </w:r>
      <w:r w:rsidRPr="00DE488C">
        <w:rPr>
          <w:rFonts w:ascii="Book Antiqua" w:hAnsi="Book Antiqua"/>
          <w:noProof/>
          <w:sz w:val="16"/>
          <w:szCs w:val="16"/>
        </w:rPr>
        <w:t>Shelfiana Amir, “Kontroversi Kewajiban Zakat Profesi Bagi ASN Di BAZNAS Pakep” (Institut Agama Islam Negeri (IAIN) Parepare, 2023).</w:t>
      </w:r>
      <w:r w:rsidRPr="00F34EE3">
        <w:rPr>
          <w:rFonts w:ascii="Book Antiqua" w:hAnsi="Book Antiqua"/>
          <w:sz w:val="16"/>
          <w:szCs w:val="16"/>
        </w:rPr>
        <w:fldChar w:fldCharType="end"/>
      </w:r>
    </w:p>
  </w:footnote>
  <w:footnote w:id="17">
    <w:p w14:paraId="4C8DDAB0" w14:textId="7F635F4B" w:rsidR="00185B96" w:rsidRPr="00DE488C" w:rsidRDefault="00185B96">
      <w:pPr>
        <w:pStyle w:val="FootnoteText"/>
        <w:rPr>
          <w:rFonts w:ascii="Book Antiqua" w:hAnsi="Book Antiqua"/>
          <w:sz w:val="16"/>
          <w:szCs w:val="16"/>
        </w:rPr>
      </w:pPr>
      <w:r w:rsidRPr="00F34EE3">
        <w:rPr>
          <w:rStyle w:val="FootnoteReference"/>
          <w:rFonts w:ascii="Book Antiqua" w:hAnsi="Book Antiqua"/>
          <w:sz w:val="16"/>
          <w:szCs w:val="16"/>
        </w:rPr>
        <w:footnoteRef/>
      </w:r>
      <w:r w:rsidRPr="00DE488C">
        <w:rPr>
          <w:rFonts w:ascii="Book Antiqua" w:hAnsi="Book Antiqua"/>
          <w:sz w:val="16"/>
          <w:szCs w:val="16"/>
        </w:rPr>
        <w:t xml:space="preserve"> </w:t>
      </w:r>
      <w:r w:rsidRPr="00F34EE3">
        <w:rPr>
          <w:rFonts w:ascii="Book Antiqua" w:hAnsi="Book Antiqua"/>
          <w:sz w:val="16"/>
          <w:szCs w:val="16"/>
        </w:rPr>
        <w:fldChar w:fldCharType="begin" w:fldLock="1"/>
      </w:r>
      <w:r w:rsidR="001A0379" w:rsidRPr="00DE488C">
        <w:rPr>
          <w:rFonts w:ascii="Book Antiqua" w:hAnsi="Book Antiqua"/>
          <w:sz w:val="16"/>
          <w:szCs w:val="16"/>
        </w:rPr>
        <w:instrText>ADDIN CSL_CITATION {"citationItems":[{"id":"ITEM-1","itemData":{"ISBN":"2013206534","abstract":"Seiring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Kata","author":[{"dropping-particle":"","family":"Ilmie","given":"Muhammad Bahrul","non-dropping-particle":"","parse-names":false,"suffix":""}],"id":"ITEM-1","issued":{"date-parts":[["2020"]]},"number-of-pages":"1-85","publisher":"Universitas Islam Indonesia Yogyakarta","title":"Politik Hukum Pengelolaan Zakat Dan Zakat Di Indonesia:Kajian Terhadap Undang-Undang Nomor 23 Tahun 2011","type":"thesis"},"uris":["http://www.mendeley.com/documents/?uuid=6701dc32-7e7a-46e3-9d88-871368bdb52a"]}],"mendeley":{"formattedCitation":"Muhammad Bahrul Ilmie, “Politik Hukum Pengelolaan Zakat Dan Zakat Di Indonesia:Kajian Terhadap Undang-Undang Nomor 23 Tahun 2011” (Universitas Islam Indonesia Yogyakarta, 2020).","plainTextFormattedCitation":"Muhammad Bahrul Ilmie, “Politik Hukum Pengelolaan Zakat Dan Zakat Di Indonesia:Kajian Terhadap Undang-Undang Nomor 23 Tahun 2011” (Universitas Islam Indonesia Yogyakarta, 2020).","previouslyFormattedCitation":"Muhammad Bahrul Ilmie, “Politik Hukum Pengelolaan Zakat Dan Zakat Di Indonesia:Kajian Terhadap Undang-Undang Nomor 23 Tahun 2011” (Universitas Islam Indonesia Yogyakarta, 2020)."},"properties":{"noteIndex":17},"schema":"https://github.com/citation-style-language/schema/raw/master/csl-citation.json"}</w:instrText>
      </w:r>
      <w:r w:rsidRPr="00F34EE3">
        <w:rPr>
          <w:rFonts w:ascii="Book Antiqua" w:hAnsi="Book Antiqua"/>
          <w:sz w:val="16"/>
          <w:szCs w:val="16"/>
        </w:rPr>
        <w:fldChar w:fldCharType="separate"/>
      </w:r>
      <w:r w:rsidRPr="00DE488C">
        <w:rPr>
          <w:rFonts w:ascii="Book Antiqua" w:hAnsi="Book Antiqua"/>
          <w:noProof/>
          <w:sz w:val="16"/>
          <w:szCs w:val="16"/>
        </w:rPr>
        <w:t>Muhammad Bahrul Ilmie, “Politik Hukum Pengelolaan Zakat Dan Zakat Di Indonesia:Kajian Terhadap Undang-Undang Nomor 23 Tahun 2011” (Universitas Islam Indonesia Yogyakarta, 2020).</w:t>
      </w:r>
      <w:r w:rsidRPr="00F34EE3">
        <w:rPr>
          <w:rFonts w:ascii="Book Antiqua" w:hAnsi="Book Antiqua"/>
          <w:sz w:val="16"/>
          <w:szCs w:val="16"/>
        </w:rPr>
        <w:fldChar w:fldCharType="end"/>
      </w:r>
    </w:p>
  </w:footnote>
  <w:footnote w:id="18">
    <w:p w14:paraId="5B5F97F0" w14:textId="3AAC7D9B" w:rsidR="001A0379" w:rsidRPr="00F34EE3" w:rsidRDefault="001A0379">
      <w:pPr>
        <w:pStyle w:val="FootnoteText"/>
        <w:rPr>
          <w:rFonts w:ascii="Book Antiqua" w:hAnsi="Book Antiqua"/>
          <w:sz w:val="16"/>
          <w:szCs w:val="16"/>
        </w:rPr>
      </w:pPr>
      <w:r w:rsidRPr="00F34EE3">
        <w:rPr>
          <w:rStyle w:val="FootnoteReference"/>
          <w:rFonts w:ascii="Book Antiqua" w:hAnsi="Book Antiqua"/>
          <w:sz w:val="16"/>
          <w:szCs w:val="16"/>
        </w:rPr>
        <w:footnoteRef/>
      </w:r>
      <w:r w:rsidRPr="00F34EE3">
        <w:rPr>
          <w:rFonts w:ascii="Book Antiqua" w:hAnsi="Book Antiqua"/>
          <w:sz w:val="16"/>
          <w:szCs w:val="16"/>
        </w:rPr>
        <w:t xml:space="preserve"> </w:t>
      </w:r>
      <w:r w:rsidRPr="00F34EE3">
        <w:rPr>
          <w:rFonts w:ascii="Book Antiqua" w:hAnsi="Book Antiqua"/>
          <w:sz w:val="16"/>
          <w:szCs w:val="16"/>
        </w:rPr>
        <w:fldChar w:fldCharType="begin" w:fldLock="1"/>
      </w:r>
      <w:r w:rsidRPr="00F34EE3">
        <w:rPr>
          <w:rFonts w:ascii="Book Antiqua" w:hAnsi="Book Antiqua"/>
          <w:sz w:val="16"/>
          <w:szCs w:val="16"/>
        </w:rPr>
        <w:instrText>ADDIN CSL_CITATION {"citationItems":[{"id":"ITEM-1","itemData":{"author":[{"dropping-particle":"","family":"Emilia","given":"Inda","non-dropping-particle":"","parse-names":false,"suffix":""}],"id":"ITEM-1","issued":{"date-parts":[["2022"]]},"number-of-pages":"1-72","publisher":"Institut Agama Islam Negeri Madura","title":"Lembaga Amil Zakat Ilegal Perspektif UndangUndang No. 23 tahun 2011 Tentang Pengelolaan Zakat","type":"thesis"},"uris":["http://www.mendeley.com/documents/?uuid=99b54a0b-7a9e-4a57-b5ef-cef43b45b903"]}],"mendeley":{"formattedCitation":"Inda Emilia, “Lembaga Amil Zakat Ilegal Perspektif UndangUndang No. 23 Tahun 2011 Tentang Pengelolaan Zakat” (Institut Agama Islam Negeri Madura, 2022).","plainTextFormattedCitation":"Inda Emilia, “Lembaga Amil Zakat Ilegal Perspektif UndangUndang No. 23 Tahun 2011 Tentang Pengelolaan Zakat” (Institut Agama Islam Negeri Madura, 2022).","previouslyFormattedCitation":"Inda Emilia, “Lembaga Amil Zakat Ilegal Perspektif UndangUndang No. 23 Tahun 2011 Tentang Pengelolaan Zakat” (Institut Agama Islam Negeri Madura, 2022)."},"properties":{"noteIndex":18},"schema":"https://github.com/citation-style-language/schema/raw/master/csl-citation.json"}</w:instrText>
      </w:r>
      <w:r w:rsidRPr="00F34EE3">
        <w:rPr>
          <w:rFonts w:ascii="Book Antiqua" w:hAnsi="Book Antiqua"/>
          <w:sz w:val="16"/>
          <w:szCs w:val="16"/>
        </w:rPr>
        <w:fldChar w:fldCharType="separate"/>
      </w:r>
      <w:r w:rsidRPr="00F34EE3">
        <w:rPr>
          <w:rFonts w:ascii="Book Antiqua" w:hAnsi="Book Antiqua"/>
          <w:noProof/>
          <w:sz w:val="16"/>
          <w:szCs w:val="16"/>
        </w:rPr>
        <w:t>Inda Emilia, “Lembaga Amil Zakat Ilegal Perspektif UndangUndang No. 23 Tahun 2011 Tentang Pengelolaan Zakat” (Institut Agama Islam Negeri Madura, 2022).</w:t>
      </w:r>
      <w:r w:rsidRPr="00F34EE3">
        <w:rPr>
          <w:rFonts w:ascii="Book Antiqua" w:hAnsi="Book Antiqua"/>
          <w:sz w:val="16"/>
          <w:szCs w:val="16"/>
        </w:rPr>
        <w:fldChar w:fldCharType="end"/>
      </w:r>
    </w:p>
  </w:footnote>
  <w:footnote w:id="19">
    <w:p w14:paraId="4739CF42" w14:textId="4E830952" w:rsidR="001A0379" w:rsidRPr="00F34EE3" w:rsidRDefault="001A0379">
      <w:pPr>
        <w:pStyle w:val="FootnoteText"/>
        <w:rPr>
          <w:rFonts w:ascii="Book Antiqua" w:hAnsi="Book Antiqua"/>
          <w:sz w:val="16"/>
          <w:szCs w:val="16"/>
        </w:rPr>
      </w:pPr>
      <w:r w:rsidRPr="00F34EE3">
        <w:rPr>
          <w:rStyle w:val="FootnoteReference"/>
          <w:rFonts w:ascii="Book Antiqua" w:hAnsi="Book Antiqua"/>
          <w:sz w:val="16"/>
          <w:szCs w:val="16"/>
        </w:rPr>
        <w:footnoteRef/>
      </w:r>
      <w:r w:rsidRPr="00F34EE3">
        <w:rPr>
          <w:rFonts w:ascii="Book Antiqua" w:hAnsi="Book Antiqua"/>
          <w:sz w:val="16"/>
          <w:szCs w:val="16"/>
        </w:rPr>
        <w:t xml:space="preserve"> </w:t>
      </w:r>
      <w:r w:rsidRPr="00F34EE3">
        <w:rPr>
          <w:rFonts w:ascii="Book Antiqua" w:hAnsi="Book Antiqua"/>
          <w:sz w:val="16"/>
          <w:szCs w:val="16"/>
        </w:rPr>
        <w:fldChar w:fldCharType="begin" w:fldLock="1"/>
      </w:r>
      <w:r w:rsidRPr="00F34EE3">
        <w:rPr>
          <w:rFonts w:ascii="Book Antiqua" w:hAnsi="Book Antiqua"/>
          <w:sz w:val="16"/>
          <w:szCs w:val="16"/>
        </w:rPr>
        <w:instrText>ADDIN CSL_CITATION {"citationItems":[{"id":"ITEM-1","itemData":{"author":[{"dropping-particle":"","family":"Kurniawan","given":"Edi","non-dropping-particle":"","parse-names":false,"suffix":""}],"id":"ITEM-1","issued":{"date-parts":[["2025"]]},"number-of-pages":"1-67","publisher":"Institut Agama Islam Negeri Ponorogo","title":"Analisis Dampak Peraturan Bupati Nomor 2 Tahun 2020 Terhadap Penghimpunan Dana Zakat Profesi di Badan Amil Zakat Nasional Kabupaten Bengkalis","type":"thesis"},"uris":["http://www.mendeley.com/documents/?uuid=e82746eb-fa42-4f7c-a04f-99de97df7fcd"]}],"mendeley":{"formattedCitation":"Edi Kurniawan, “Analisis Dampak Peraturan Bupati Nomor 2 Tahun 2020 Terhadap Penghimpunan Dana Zakat Profesi Di Badan Amil Zakat Nasional Kabupaten Bengkalis” (Institut Agama Islam Negeri Ponorogo, 2025).","plainTextFormattedCitation":"Edi Kurniawan, “Analisis Dampak Peraturan Bupati Nomor 2 Tahun 2020 Terhadap Penghimpunan Dana Zakat Profesi Di Badan Amil Zakat Nasional Kabupaten Bengkalis” (Institut Agama Islam Negeri Ponorogo, 2025).","previouslyFormattedCitation":"Edi Kurniawan, “Analisis Dampak Peraturan Bupati Nomor 2 Tahun 2020 Terhadap Penghimpunan Dana Zakat Profesi Di Badan Amil Zakat Nasional Kabupaten Bengkalis” (Institut Agama Islam Negeri Ponorogo, 2025)."},"properties":{"noteIndex":19},"schema":"https://github.com/citation-style-language/schema/raw/master/csl-citation.json"}</w:instrText>
      </w:r>
      <w:r w:rsidRPr="00F34EE3">
        <w:rPr>
          <w:rFonts w:ascii="Book Antiqua" w:hAnsi="Book Antiqua"/>
          <w:sz w:val="16"/>
          <w:szCs w:val="16"/>
        </w:rPr>
        <w:fldChar w:fldCharType="separate"/>
      </w:r>
      <w:r w:rsidRPr="00F34EE3">
        <w:rPr>
          <w:rFonts w:ascii="Book Antiqua" w:hAnsi="Book Antiqua"/>
          <w:noProof/>
          <w:sz w:val="16"/>
          <w:szCs w:val="16"/>
        </w:rPr>
        <w:t>Edi Kurniawan, “Analisis Dampak Peraturan Bupati Nomor 2 Tahun 2020 Terhadap Penghimpunan Dana Zakat Profesi Di Badan Amil Zakat Nasional Kabupaten Bengkalis” (Institut Agama Islam Negeri Ponorogo, 2025).</w:t>
      </w:r>
      <w:r w:rsidRPr="00F34EE3">
        <w:rPr>
          <w:rFonts w:ascii="Book Antiqua" w:hAnsi="Book Antiqua"/>
          <w:sz w:val="16"/>
          <w:szCs w:val="16"/>
        </w:rPr>
        <w:fldChar w:fldCharType="end"/>
      </w:r>
    </w:p>
  </w:footnote>
  <w:footnote w:id="20">
    <w:p w14:paraId="2959BB38" w14:textId="26B43389" w:rsidR="001A0379" w:rsidRPr="00F34EE3" w:rsidRDefault="001A0379">
      <w:pPr>
        <w:pStyle w:val="FootnoteText"/>
        <w:rPr>
          <w:rFonts w:ascii="Book Antiqua" w:hAnsi="Book Antiqua"/>
          <w:sz w:val="16"/>
          <w:szCs w:val="16"/>
        </w:rPr>
      </w:pPr>
      <w:r w:rsidRPr="00F34EE3">
        <w:rPr>
          <w:rStyle w:val="FootnoteReference"/>
          <w:rFonts w:ascii="Book Antiqua" w:hAnsi="Book Antiqua"/>
          <w:sz w:val="16"/>
          <w:szCs w:val="16"/>
        </w:rPr>
        <w:footnoteRef/>
      </w:r>
      <w:r w:rsidRPr="00F34EE3">
        <w:rPr>
          <w:rFonts w:ascii="Book Antiqua" w:hAnsi="Book Antiqua"/>
          <w:sz w:val="16"/>
          <w:szCs w:val="16"/>
        </w:rPr>
        <w:t xml:space="preserve"> </w:t>
      </w:r>
      <w:r w:rsidRPr="00F34EE3">
        <w:rPr>
          <w:rFonts w:ascii="Book Antiqua" w:hAnsi="Book Antiqua"/>
          <w:sz w:val="16"/>
          <w:szCs w:val="16"/>
        </w:rPr>
        <w:fldChar w:fldCharType="begin" w:fldLock="1"/>
      </w:r>
      <w:r w:rsidRPr="00F34EE3">
        <w:rPr>
          <w:rFonts w:ascii="Book Antiqua" w:hAnsi="Book Antiqua"/>
          <w:sz w:val="16"/>
          <w:szCs w:val="16"/>
        </w:rPr>
        <w:instrText>ADDIN CSL_CITATION {"citationItems":[{"id":"ITEM-1","itemData":{"ISBN":"2013206534","abstract":"Seiring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Kata","author":[{"dropping-particle":"","family":"Yusri","given":"Muhammad Efri","non-dropping-particle":"","parse-names":false,"suffix":""}],"id":"ITEM-1","issued":{"date-parts":[["2021"]]},"number-of-pages":"1-62","publisher":"Universitas Islam Negeri Sultan Syarif Kasim Riau","title":"Analisis Perlakuan Akuntan Berdasarkan PSAK No. 109 Tentang Akuntansi Zakat, Infak dan Sedekah (Studi Kasus Pada Lembaga Amil Zakat Dompet Dhuafa Pekanbaru)","type":"thesis"},"uris":["http://www.mendeley.com/documents/?uuid=80bc8821-2a1e-4e84-8ca4-114816092040"]}],"mendeley":{"formattedCitation":"Muhammad Efri Yusri, “Analisis Perlakuan Akuntan Berdasarkan PSAK No. 109 Tentang Akuntansi Zakat, Infak Dan Sedekah (Studi Kasus Pada Lembaga Amil Zakat Dompet Dhuafa Pekanbaru)” (Universitas Islam Negeri Sultan Syarif Kasim Riau, 2021).","plainTextFormattedCitation":"Muhammad Efri Yusri, “Analisis Perlakuan Akuntan Berdasarkan PSAK No. 109 Tentang Akuntansi Zakat, Infak Dan Sedekah (Studi Kasus Pada Lembaga Amil Zakat Dompet Dhuafa Pekanbaru)” (Universitas Islam Negeri Sultan Syarif Kasim Riau, 2021).","previouslyFormattedCitation":"Muhammad Efri Yusri, “Analisis Perlakuan Akuntan Berdasarkan PSAK No. 109 Tentang Akuntansi Zakat, Infak Dan Sedekah (Studi Kasus Pada Lembaga Amil Zakat Dompet Dhuafa Pekanbaru)” (Universitas Islam Negeri Sultan Syarif Kasim Riau, 2021)."},"properties":{"noteIndex":20},"schema":"https://github.com/citation-style-language/schema/raw/master/csl-citation.json"}</w:instrText>
      </w:r>
      <w:r w:rsidRPr="00F34EE3">
        <w:rPr>
          <w:rFonts w:ascii="Book Antiqua" w:hAnsi="Book Antiqua"/>
          <w:sz w:val="16"/>
          <w:szCs w:val="16"/>
        </w:rPr>
        <w:fldChar w:fldCharType="separate"/>
      </w:r>
      <w:r w:rsidRPr="00F34EE3">
        <w:rPr>
          <w:rFonts w:ascii="Book Antiqua" w:hAnsi="Book Antiqua"/>
          <w:noProof/>
          <w:sz w:val="16"/>
          <w:szCs w:val="16"/>
        </w:rPr>
        <w:t>Muhammad Efri Yusri, “Analisis Perlakuan Akuntan Berdasarkan PSAK No. 109 Tentang Akuntansi Zakat, Infak Dan Sedekah (Studi Kasus Pada Lembaga Amil Zakat Dompet Dhuafa Pekanbaru)” (Universitas Islam Negeri Sultan Syarif Kasim Riau, 2021).</w:t>
      </w:r>
      <w:r w:rsidRPr="00F34EE3">
        <w:rPr>
          <w:rFonts w:ascii="Book Antiqua" w:hAnsi="Book Antiqua"/>
          <w:sz w:val="16"/>
          <w:szCs w:val="16"/>
        </w:rPr>
        <w:fldChar w:fldCharType="end"/>
      </w:r>
    </w:p>
  </w:footnote>
  <w:footnote w:id="21">
    <w:p w14:paraId="773CAF95" w14:textId="5E0E7876" w:rsidR="001A0379" w:rsidRPr="00F34EE3" w:rsidRDefault="001A0379">
      <w:pPr>
        <w:pStyle w:val="FootnoteText"/>
        <w:rPr>
          <w:rFonts w:ascii="Book Antiqua" w:hAnsi="Book Antiqua"/>
          <w:sz w:val="16"/>
          <w:szCs w:val="16"/>
        </w:rPr>
      </w:pPr>
      <w:r w:rsidRPr="00F34EE3">
        <w:rPr>
          <w:rStyle w:val="FootnoteReference"/>
          <w:rFonts w:ascii="Book Antiqua" w:hAnsi="Book Antiqua"/>
          <w:sz w:val="16"/>
          <w:szCs w:val="16"/>
        </w:rPr>
        <w:footnoteRef/>
      </w:r>
      <w:r w:rsidRPr="00F34EE3">
        <w:rPr>
          <w:rFonts w:ascii="Book Antiqua" w:hAnsi="Book Antiqua"/>
          <w:sz w:val="16"/>
          <w:szCs w:val="16"/>
        </w:rPr>
        <w:t xml:space="preserve"> </w:t>
      </w:r>
      <w:r w:rsidRPr="00F34EE3">
        <w:rPr>
          <w:rFonts w:ascii="Book Antiqua" w:hAnsi="Book Antiqua"/>
          <w:sz w:val="16"/>
          <w:szCs w:val="16"/>
        </w:rPr>
        <w:fldChar w:fldCharType="begin" w:fldLock="1"/>
      </w:r>
      <w:r w:rsidRPr="00F34EE3">
        <w:rPr>
          <w:rFonts w:ascii="Book Antiqua" w:hAnsi="Book Antiqua"/>
          <w:sz w:val="16"/>
          <w:szCs w:val="16"/>
        </w:rPr>
        <w:instrText>ADDIN CSL_CITATION {"citationItems":[{"id":"ITEM-1","itemData":{"ISBN":"9789896540821","abstract":"Fase aktif Frekuensi dan lamanya kontraksi uterus umumnya meningkat (kontraksi dianggap adekuat jika terjadi tiga kali atau lebih), serviks membuka dari 4 cm ke 10 cm, biasanya kecepatan 1 cm atau lebih per jam hingga pembukaan lengkap (10 cm) dan terjadi penurunan bagian terbawah janin. Pemantauan kala 1 fase aktif persalinan : Penggunaan Partograf Partograf adalah alat bantu yang digunakan selama fase aktif persalinan. Tujuan utama dari penggunaan partograf adalah untuk: Mencatat hasil observasi dan kemajuan persalinan dengan menilai pembukaan serviks melalui pemeriksaan dalam. b) Mendeteksi apakah proses persalinan berjalan secara normal. Dengan demikian, juga dapat melakukan deteksi secara dini setiap kemungkinan terjadinya partus lama. Halaman depan partograf untuk mencatat atau memantau : a) Kesejahteraan janin Denyut jantung janin (setiap ½ jam), warna air ketuban (setiap pemeriksaan dalam), penyusupan sutura (setiap pemeriksaan dalam). Kemajuan persalinan Frekuensi dan lamanya kontraksi uterus (setiap ½ jam), pembukaan serviks (setiap 4 jam), penurunan kepala (setiap 4 jam). c) Kesejahteraan ibu Nadi (setiap ½ jam), tekanan darah dan temperatur tubuh (setiap 4 jam), prodeksi urin , aseton dan protein (setiap 2 sampai 4 jam), makan dan minum (Prawirohardjo, 2010).","author":[{"dropping-particle":"","family":"Pratiwi","given":"Anisha Resti","non-dropping-particle":"","parse-names":false,"suffix":""}],"id":"ITEM-1","issued":{"date-parts":[["2020"]]},"number-of-pages":"1-114","publisher":"Universitas Islam Negeri Raden Intan Lampung","title":"Analisis Hukum Islam Terhadap Implementasi Peraturan Menteri Keuangan No 16/PMK.03/2011 Tentang Tata Cara Penghitungan dan Pengembalian Kelebihan Pembayaran Pajak (Kantor Pelayanan Pajak Pratama Kedaton)","type":"thesis"},"uris":["http://www.mendeley.com/documents/?uuid=bd749976-d1aa-4466-8b0a-8483051ba8f6"]}],"mendeley":{"formattedCitation":"Anisha Resti Pratiwi, “Analisis Hukum Islam Terhadap Implementasi Peraturan Menteri Keuangan No 16/PMK.03/2011 Tentang Tata Cara Penghitungan Dan Pengembalian Kelebihan Pembayaran Pajak (Kantor Pelayanan Pajak Pratama Kedaton)” (Universitas Islam Negeri Raden Intan Lampung, 2020).","plainTextFormattedCitation":"Anisha Resti Pratiwi, “Analisis Hukum Islam Terhadap Implementasi Peraturan Menteri Keuangan No 16/PMK.03/2011 Tentang Tata Cara Penghitungan Dan Pengembalian Kelebihan Pembayaran Pajak (Kantor Pelayanan Pajak Pratama Kedaton)” (Universitas Islam Negeri Raden Intan Lampung, 2020).","previouslyFormattedCitation":"Anisha Resti Pratiwi, “Analisis Hukum Islam Terhadap Implementasi Peraturan Menteri Keuangan No 16/PMK.03/2011 Tentang Tata Cara Penghitungan Dan Pengembalian Kelebihan Pembayaran Pajak (Kantor Pelayanan Pajak Pratama Kedaton)” (Universitas Islam Negeri Raden Intan Lampung, 2020)."},"properties":{"noteIndex":21},"schema":"https://github.com/citation-style-language/schema/raw/master/csl-citation.json"}</w:instrText>
      </w:r>
      <w:r w:rsidRPr="00F34EE3">
        <w:rPr>
          <w:rFonts w:ascii="Book Antiqua" w:hAnsi="Book Antiqua"/>
          <w:sz w:val="16"/>
          <w:szCs w:val="16"/>
        </w:rPr>
        <w:fldChar w:fldCharType="separate"/>
      </w:r>
      <w:r w:rsidRPr="00F34EE3">
        <w:rPr>
          <w:rFonts w:ascii="Book Antiqua" w:hAnsi="Book Antiqua"/>
          <w:noProof/>
          <w:sz w:val="16"/>
          <w:szCs w:val="16"/>
        </w:rPr>
        <w:t>Anisha Resti Pratiwi, “Analisis Hukum Islam Terhadap Implementasi Peraturan Menteri Keuangan No 16/PMK.03/2011 Tentang Tata Cara Penghitungan Dan Pengembalian Kelebihan Pembayaran Pajak (Kantor Pelayanan Pajak Pratama Kedaton)” (Universitas Islam Negeri Raden Intan Lampung, 2020).</w:t>
      </w:r>
      <w:r w:rsidRPr="00F34EE3">
        <w:rPr>
          <w:rFonts w:ascii="Book Antiqua" w:hAnsi="Book Antiqua"/>
          <w:sz w:val="16"/>
          <w:szCs w:val="16"/>
        </w:rPr>
        <w:fldChar w:fldCharType="end"/>
      </w:r>
    </w:p>
  </w:footnote>
  <w:footnote w:id="22">
    <w:p w14:paraId="6B3EEAE9" w14:textId="63108994" w:rsidR="001A0379" w:rsidRPr="00F34EE3" w:rsidRDefault="001A0379">
      <w:pPr>
        <w:pStyle w:val="FootnoteText"/>
        <w:rPr>
          <w:rFonts w:ascii="Book Antiqua" w:hAnsi="Book Antiqua"/>
          <w:sz w:val="16"/>
          <w:szCs w:val="16"/>
        </w:rPr>
      </w:pPr>
      <w:r w:rsidRPr="00F34EE3">
        <w:rPr>
          <w:rStyle w:val="FootnoteReference"/>
          <w:rFonts w:ascii="Book Antiqua" w:hAnsi="Book Antiqua"/>
          <w:sz w:val="16"/>
          <w:szCs w:val="16"/>
        </w:rPr>
        <w:footnoteRef/>
      </w:r>
      <w:r w:rsidRPr="00F34EE3">
        <w:rPr>
          <w:rFonts w:ascii="Book Antiqua" w:hAnsi="Book Antiqua"/>
          <w:sz w:val="16"/>
          <w:szCs w:val="16"/>
        </w:rPr>
        <w:t xml:space="preserve"> </w:t>
      </w:r>
      <w:r w:rsidRPr="00F34EE3">
        <w:rPr>
          <w:rFonts w:ascii="Book Antiqua" w:hAnsi="Book Antiqua"/>
          <w:sz w:val="16"/>
          <w:szCs w:val="16"/>
        </w:rPr>
        <w:fldChar w:fldCharType="begin" w:fldLock="1"/>
      </w:r>
      <w:r w:rsidRPr="00F34EE3">
        <w:rPr>
          <w:rFonts w:ascii="Book Antiqua" w:hAnsi="Book Antiqua"/>
          <w:sz w:val="16"/>
          <w:szCs w:val="16"/>
        </w:rPr>
        <w:instrText>ADDIN CSL_CITATION {"citationItems":[{"id":"ITEM-1","itemData":{"abstract":"Even though the majority of Indonesian people are Muslim, the money regulation system used by the government through monetary policy has not fully used the sharia system, the Indonesian government still uses a dual system in regulating the money supply in Indonesia, among the instruments used is the interest rate where if the interest rate interest is used as a means of regulating the money supply, then the motive for money demand will be influenced by the desire for speculation, where this motive is prohibited in the Islamic economic system. This study aims to determine the demand for money in Indonesia from an Islamic perspective, where the demand for money must be determined based on economic activity in the real sector. The research method used is quantitative method, the data used in this research is secondary data. Data obtained from literature study and documentation collected from the Central Bureau of Statistics and Bank Indonesia. then the data analysis used is descriptive analysis and simple linear regression, by looking at the effect of Gross Domestic Product (GDP) as a form of real economic activity on the amount of money in circulation as a form of money demand in Indonesia. As for the data processing carried out, it was found that the amount of money circulating in Indonesia as a form of the amount of money demanded is indeed influenced by real economic activity (GDP). This means that the demand for money in Indonesia is in accordance with the concept of demand for money from an Islamic perspective","author":[{"dropping-particle":"","family":"Wati","given":"Fitri Saras","non-dropping-particle":"","parse-names":false,"suffix":""}],"id":"ITEM-1","issued":{"date-parts":[["2023"]]},"number-of-pages":"1-96","publisher":"Universitas Islam Negeri Prof. K.H. Saifuddin Zuhri Purwokerto","title":"Optimalisasi Program Banyumas Sejahtera Pada BAZNAS Kabupaten Banyumas Terhadap Kesejahteraan Masyarakat","type":"thesis"},"uris":["http://www.mendeley.com/documents/?uuid=566d57da-8fbd-433a-a811-1b377371c6b4"]}],"mendeley":{"formattedCitation":"Fitri Saras Wati, “Optimalisasi Program Banyumas Sejahtera Pada BAZNAS Kabupaten Banyumas Terhadap Kesejahteraan Masyarakat” (Universitas Islam Negeri Prof. K.H. Saifuddin Zuhri Purwokerto, 2023).","plainTextFormattedCitation":"Fitri Saras Wati, “Optimalisasi Program Banyumas Sejahtera Pada BAZNAS Kabupaten Banyumas Terhadap Kesejahteraan Masyarakat” (Universitas Islam Negeri Prof. K.H. Saifuddin Zuhri Purwokerto, 2023).","previouslyFormattedCitation":"Fitri Saras Wati, “Optimalisasi Program Banyumas Sejahtera Pada BAZNAS Kabupaten Banyumas Terhadap Kesejahteraan Masyarakat” (Universitas Islam Negeri Prof. K.H. Saifuddin Zuhri Purwokerto, 2023)."},"properties":{"noteIndex":22},"schema":"https://github.com/citation-style-language/schema/raw/master/csl-citation.json"}</w:instrText>
      </w:r>
      <w:r w:rsidRPr="00F34EE3">
        <w:rPr>
          <w:rFonts w:ascii="Book Antiqua" w:hAnsi="Book Antiqua"/>
          <w:sz w:val="16"/>
          <w:szCs w:val="16"/>
        </w:rPr>
        <w:fldChar w:fldCharType="separate"/>
      </w:r>
      <w:r w:rsidRPr="00F34EE3">
        <w:rPr>
          <w:rFonts w:ascii="Book Antiqua" w:hAnsi="Book Antiqua"/>
          <w:noProof/>
          <w:sz w:val="16"/>
          <w:szCs w:val="16"/>
        </w:rPr>
        <w:t>Fitri Saras Wati, “Optimalisasi Program Banyumas Sejahtera Pada BAZNAS Kabupaten Banyumas Terhadap Kesejahteraan Masyarakat” (Universitas Islam Negeri Prof. K.H. Saifuddin Zuhri Purwokerto, 2023).</w:t>
      </w:r>
      <w:r w:rsidRPr="00F34EE3">
        <w:rPr>
          <w:rFonts w:ascii="Book Antiqua" w:hAnsi="Book Antiqua"/>
          <w:sz w:val="16"/>
          <w:szCs w:val="16"/>
        </w:rPr>
        <w:fldChar w:fldCharType="end"/>
      </w:r>
    </w:p>
  </w:footnote>
  <w:footnote w:id="23">
    <w:p w14:paraId="1B9CDC3A" w14:textId="2E31E457" w:rsidR="001A0379" w:rsidRPr="00F34EE3" w:rsidRDefault="001A0379">
      <w:pPr>
        <w:pStyle w:val="FootnoteText"/>
        <w:rPr>
          <w:rFonts w:ascii="Book Antiqua" w:hAnsi="Book Antiqua"/>
          <w:sz w:val="16"/>
          <w:szCs w:val="16"/>
        </w:rPr>
      </w:pPr>
      <w:r w:rsidRPr="00F34EE3">
        <w:rPr>
          <w:rStyle w:val="FootnoteReference"/>
          <w:rFonts w:ascii="Book Antiqua" w:hAnsi="Book Antiqua"/>
          <w:sz w:val="16"/>
          <w:szCs w:val="16"/>
        </w:rPr>
        <w:footnoteRef/>
      </w:r>
      <w:r w:rsidRPr="00F34EE3">
        <w:rPr>
          <w:rFonts w:ascii="Book Antiqua" w:hAnsi="Book Antiqua"/>
          <w:sz w:val="16"/>
          <w:szCs w:val="16"/>
        </w:rPr>
        <w:t xml:space="preserve"> </w:t>
      </w:r>
      <w:r w:rsidRPr="00F34EE3">
        <w:rPr>
          <w:rFonts w:ascii="Book Antiqua" w:hAnsi="Book Antiqua"/>
          <w:sz w:val="16"/>
          <w:szCs w:val="16"/>
        </w:rPr>
        <w:fldChar w:fldCharType="begin" w:fldLock="1"/>
      </w:r>
      <w:r w:rsidRPr="00F34EE3">
        <w:rPr>
          <w:rFonts w:ascii="Book Antiqua" w:hAnsi="Book Antiqua"/>
          <w:sz w:val="16"/>
          <w:szCs w:val="16"/>
        </w:rPr>
        <w:instrText>ADDIN CSL_CITATION {"citationItems":[{"id":"ITEM-1","itemData":{"abstract":"Kelahiran UU No. 23/2011 menandai era baru transformasi zakat nasional yang telah melahirkan paradigma baru pengelolaan zakat di tanah air. Beberapa aturan yang merupakan hasil ijtihad konstitutif dalam bidang zakat ini mendapat reaksi dari beberapa kalangan khususnya terkait kewenangan pengelolaan zakat oleh negara. Terlepas dari perdebatan yang berujung pada gugatan materil maupun formil undang- undang ini, terdapat beberapa isu utama untuk dianalisis lebih jauh dalam kaitannya dengan rekonstruksi paradigma fikih ditinjau dari perspektif hukum Islam kontemporer. Pertama, otoritas dan keterlibatan negara sebagai pengumpul zakat melalui badan atau lembaga yang secara resmi dibentuk atau diakui oleh negara, agar pengelolaan zakat dapat dilakukan secara efektif, terjamin dan mempunyai kepastian hukum. Kedua, ketiadaan sanksi bagi muzaki yang melalaikan kewajiban zakat dalam UU No.23/2011 ini menunjukkan bahwa pembayaran zakat masih bersifat sukarela, karena itu regulasi perzakatan di Indonesia masih dinilai lemah dalam kerangka hukum yang dapat mengikat bagi perseorangan atau badan usaha yang terkena wajib pajak. Ketiga, pembaharuan paradigma subyek, obyek dan bidang tasarruf zakat sudah terakomodir dalam UU No.23/2011 sesuai dengan prinsip maslahat dan keadilan. Keempat, relasi zakat dan pajak ditegaskan kembali dalam amandemen UU zakat yang baru sebagai insentif fiskal bagi pembayar zakat dengan menjadikan zakat sebagai pengurang PKP (tax deduction), meskipun ketentuan ini belum dapat merealisasikan posisi zakat yang lebih signifikan sebagai pengurang pajak (tax credit). Kata","author":[{"dropping-particle":"","family":"Hakim","given":"Budi Rahmat","non-dropping-particle":"","parse-names":false,"suffix":""}],"container-title":"Syariah: Jurnal Hukum Dan Pemikiran","id":"ITEM-1","issue":"2","issued":{"date-parts":[["2016"]]},"page":"155-166","title":"Budi Rahmat Hakim, Analisis terhadap Undang-Undang Nomor 23 Tahun 2011","type":"article-journal","volume":"15"},"uris":["http://www.mendeley.com/documents/?uuid=44e4df16-b734-43c9-b540-49ba274a99c8"]}],"mendeley":{"formattedCitation":"Budi Rahmat Hakim, “Budi Rahmat Hakim, Analisis Terhadap Undang-Undang Nomor 23 Tahun 2011,” &lt;i&gt;Syariah: Jurnal Hukum Dan Pemikiran&lt;/i&gt; 15, no. 2 (2016): 155–66.","plainTextFormattedCitation":"Budi Rahmat Hakim, “Budi Rahmat Hakim, Analisis Terhadap Undang-Undang Nomor 23 Tahun 2011,” Syariah: Jurnal Hukum Dan Pemikiran 15, no. 2 (2016): 155–66.","previouslyFormattedCitation":"Budi Rahmat Hakim, “Budi Rahmat Hakim, Analisis Terhadap Undang-Undang Nomor 23 Tahun 2011,” &lt;i&gt;Syariah: Jurnal Hukum Dan Pemikiran&lt;/i&gt; 15, no. 2 (2016): 155–66."},"properties":{"noteIndex":23},"schema":"https://github.com/citation-style-language/schema/raw/master/csl-citation.json"}</w:instrText>
      </w:r>
      <w:r w:rsidRPr="00F34EE3">
        <w:rPr>
          <w:rFonts w:ascii="Book Antiqua" w:hAnsi="Book Antiqua"/>
          <w:sz w:val="16"/>
          <w:szCs w:val="16"/>
        </w:rPr>
        <w:fldChar w:fldCharType="separate"/>
      </w:r>
      <w:r w:rsidRPr="00F34EE3">
        <w:rPr>
          <w:rFonts w:ascii="Book Antiqua" w:hAnsi="Book Antiqua"/>
          <w:noProof/>
          <w:sz w:val="16"/>
          <w:szCs w:val="16"/>
        </w:rPr>
        <w:t xml:space="preserve">Budi Rahmat Hakim, “Budi Rahmat Hakim, Analisis Terhadap Undang-Undang Nomor 23 Tahun 2011,” </w:t>
      </w:r>
      <w:r w:rsidRPr="00F34EE3">
        <w:rPr>
          <w:rFonts w:ascii="Book Antiqua" w:hAnsi="Book Antiqua"/>
          <w:i/>
          <w:noProof/>
          <w:sz w:val="16"/>
          <w:szCs w:val="16"/>
        </w:rPr>
        <w:t>Syariah: Jurnal Hukum Dan Pemikiran</w:t>
      </w:r>
      <w:r w:rsidRPr="00F34EE3">
        <w:rPr>
          <w:rFonts w:ascii="Book Antiqua" w:hAnsi="Book Antiqua"/>
          <w:noProof/>
          <w:sz w:val="16"/>
          <w:szCs w:val="16"/>
        </w:rPr>
        <w:t xml:space="preserve"> 15, no. 2 (2016): 155–66.</w:t>
      </w:r>
      <w:r w:rsidRPr="00F34EE3">
        <w:rPr>
          <w:rFonts w:ascii="Book Antiqua" w:hAnsi="Book Antiqua"/>
          <w:sz w:val="16"/>
          <w:szCs w:val="16"/>
        </w:rPr>
        <w:fldChar w:fldCharType="end"/>
      </w:r>
    </w:p>
  </w:footnote>
  <w:footnote w:id="24">
    <w:p w14:paraId="22C51AFA" w14:textId="372202A6" w:rsidR="001A0379" w:rsidRPr="00F34EE3" w:rsidRDefault="001A0379">
      <w:pPr>
        <w:pStyle w:val="FootnoteText"/>
        <w:rPr>
          <w:rFonts w:ascii="Book Antiqua" w:hAnsi="Book Antiqua"/>
          <w:sz w:val="16"/>
          <w:szCs w:val="16"/>
        </w:rPr>
      </w:pPr>
      <w:r w:rsidRPr="00F34EE3">
        <w:rPr>
          <w:rStyle w:val="FootnoteReference"/>
          <w:rFonts w:ascii="Book Antiqua" w:hAnsi="Book Antiqua"/>
          <w:sz w:val="16"/>
          <w:szCs w:val="16"/>
        </w:rPr>
        <w:footnoteRef/>
      </w:r>
      <w:r w:rsidRPr="00F34EE3">
        <w:rPr>
          <w:rFonts w:ascii="Book Antiqua" w:hAnsi="Book Antiqua"/>
          <w:sz w:val="16"/>
          <w:szCs w:val="16"/>
        </w:rPr>
        <w:t xml:space="preserve"> </w:t>
      </w:r>
      <w:r w:rsidRPr="00F34EE3">
        <w:rPr>
          <w:rFonts w:ascii="Book Antiqua" w:hAnsi="Book Antiqua"/>
          <w:sz w:val="16"/>
          <w:szCs w:val="16"/>
        </w:rPr>
        <w:fldChar w:fldCharType="begin" w:fldLock="1"/>
      </w:r>
      <w:r w:rsidRPr="00F34EE3">
        <w:rPr>
          <w:rFonts w:ascii="Book Antiqua" w:hAnsi="Book Antiqua"/>
          <w:sz w:val="16"/>
          <w:szCs w:val="16"/>
        </w:rPr>
        <w:instrText>ADDIN CSL_CITATION {"citationItems":[{"id":"ITEM-1","itemData":{"ISBN":"0910633053","abstract":"Keberlanjutan fiskal menjadi topik hangat akibat krisis yang melanda Asia pada tahun 1997-1998 dan kemudian negara-negara maju di Amerika, Eropa dan Asia pada tahun 2008. Keberlanjutan fiskal yang mengarah kepada krisis fiskal bukan hanya masalah bagi negara sedang berkembang. Berdasarkan literatur tentang risiko fiskal yang dikembangkan oleh Brixi (2001) dan Cottarelli (2014), dan telaah dokumen Nota Keuangan dan Rancangan Anggaran Pendapatan dan Belanja Negara Indonesia berbagai tahun, ditemukan bahwa walaupun rasio utang terhadap PDB hanya 26,15%, namun risiko fiskal di APBN Indonesia telah meningkat. Kewajiban kontijen pemerintah telah makin meluas cakupannya, demikian juga kewajiban mandatoris. Kedua hal tersebut membuat ruang gerak fiskal menjadi sangat terbatas, yang dapat memunculkan risiko lebih lanjut berupa turunnya kemampuan pemerintah untuk menjalankan fungsi stabilisasi, distribusi, dan alokasi.","author":[{"dropping-particle":"","family":"Al-Jaktsa","given":"Imam Islamuddinul Muhammad","non-dropping-particle":"","parse-names":false,"suffix":""}],"id":"ITEM-1","issued":{"date-parts":[["2021"]]},"number-of-pages":"1-177","publisher":"Universitas Islam Indonesia Yogyakarta","title":"Pengelolaan Zakat Prespektif Maqasid Syariah dan Legislasi Zakat (Studi Pada LAZISMU Aceh)","type":"thesis"},"uris":["http://www.mendeley.com/documents/?uuid=91492d72-5c12-48e3-a35c-73f2185ae509"]}],"mendeley":{"formattedCitation":"Imam Islamuddinul Muhammad Al-Jaktsa, “Pengelolaan Zakat Prespektif Maqasid Syariah Dan Legislasi Zakat (Studi Pada LAZISMU Aceh)” (Universitas Islam Indonesia Yogyakarta, 2021).","plainTextFormattedCitation":"Imam Islamuddinul Muhammad Al-Jaktsa, “Pengelolaan Zakat Prespektif Maqasid Syariah Dan Legislasi Zakat (Studi Pada LAZISMU Aceh)” (Universitas Islam Indonesia Yogyakarta, 2021).","previouslyFormattedCitation":"Imam Islamuddinul Muhammad Al-Jaktsa, “Pengelolaan Zakat Prespektif Maqasid Syariah Dan Legislasi Zakat (Studi Pada LAZISMU Aceh)” (Universitas Islam Indonesia Yogyakarta, 2021)."},"properties":{"noteIndex":24},"schema":"https://github.com/citation-style-language/schema/raw/master/csl-citation.json"}</w:instrText>
      </w:r>
      <w:r w:rsidRPr="00F34EE3">
        <w:rPr>
          <w:rFonts w:ascii="Book Antiqua" w:hAnsi="Book Antiqua"/>
          <w:sz w:val="16"/>
          <w:szCs w:val="16"/>
        </w:rPr>
        <w:fldChar w:fldCharType="separate"/>
      </w:r>
      <w:r w:rsidRPr="00F34EE3">
        <w:rPr>
          <w:rFonts w:ascii="Book Antiqua" w:hAnsi="Book Antiqua"/>
          <w:noProof/>
          <w:sz w:val="16"/>
          <w:szCs w:val="16"/>
        </w:rPr>
        <w:t>Imam Islamuddinul Muhammad Al-Jaktsa, “Pengelolaan Zakat Prespektif Maqasid Syariah Dan Legislasi Zakat (Studi Pada LAZISMU Aceh)” (Universitas Islam Indonesia Yogyakarta, 2021).</w:t>
      </w:r>
      <w:r w:rsidRPr="00F34EE3">
        <w:rPr>
          <w:rFonts w:ascii="Book Antiqua" w:hAnsi="Book Antiqua"/>
          <w:sz w:val="16"/>
          <w:szCs w:val="16"/>
        </w:rPr>
        <w:fldChar w:fldCharType="end"/>
      </w:r>
    </w:p>
  </w:footnote>
  <w:footnote w:id="25">
    <w:p w14:paraId="7E2951E8" w14:textId="3CF50718" w:rsidR="001A0379" w:rsidRPr="00F34EE3" w:rsidRDefault="001A0379">
      <w:pPr>
        <w:pStyle w:val="FootnoteText"/>
        <w:rPr>
          <w:rFonts w:ascii="Book Antiqua" w:hAnsi="Book Antiqua"/>
          <w:sz w:val="16"/>
          <w:szCs w:val="16"/>
        </w:rPr>
      </w:pPr>
      <w:r w:rsidRPr="00F34EE3">
        <w:rPr>
          <w:rStyle w:val="FootnoteReference"/>
          <w:rFonts w:ascii="Book Antiqua" w:hAnsi="Book Antiqua"/>
          <w:sz w:val="16"/>
          <w:szCs w:val="16"/>
        </w:rPr>
        <w:footnoteRef/>
      </w:r>
      <w:r w:rsidRPr="00F34EE3">
        <w:rPr>
          <w:rFonts w:ascii="Book Antiqua" w:hAnsi="Book Antiqua"/>
          <w:sz w:val="16"/>
          <w:szCs w:val="16"/>
        </w:rPr>
        <w:t xml:space="preserve"> </w:t>
      </w:r>
      <w:r w:rsidRPr="00F34EE3">
        <w:rPr>
          <w:rFonts w:ascii="Book Antiqua" w:hAnsi="Book Antiqua"/>
          <w:sz w:val="16"/>
          <w:szCs w:val="16"/>
        </w:rPr>
        <w:fldChar w:fldCharType="begin" w:fldLock="1"/>
      </w:r>
      <w:r w:rsidR="00253D30" w:rsidRPr="00F34EE3">
        <w:rPr>
          <w:rFonts w:ascii="Book Antiqua" w:hAnsi="Book Antiqua"/>
          <w:sz w:val="16"/>
          <w:szCs w:val="16"/>
        </w:rPr>
        <w:instrText>ADDIN CSL_CITATION {"citationItems":[{"id":"ITEM-1","itemData":{"ISSN":"0854-1272","abstract":"The Integration of Zakat and Taxation in Indonesia in the Views of Positive Law and Islamic Law. This paper propose a concept of integration between taxes and zakat to accelerate the achievement of social welfare in Indonesia. The integration is important as the growth of zakat steadily increases from time to time which is marked by the increasing number of Amil Zakat and alms acquisition from year to year. At the same time; the development of wealth and the service quality of obligatory zakat distributions; including utilization; is also increases progressively. Undoubtly; with this significant growth; charity; like the tax; can be utilized as a tool to achieve social walfare as well as to improve the economy of Indonesia.","author":[{"dropping-particle":"","family":"Tahir","given":"Masnun","non-dropping-particle":"","parse-names":false,"suffix":""},{"dropping-particle":"","family":"Triantini","given":"Zusiana Elly","non-dropping-particle":"","parse-names":false,"suffix":""}],"container-title":"Al-'Adalah","id":"ITEM-1","issue":"3","issued":{"date-parts":[["2017"]]},"page":"507-524","title":"Integrasi Zakat Dan Pajak Di Indonesia Dalam Tinjauan Hukum Positif Dan Hukum Islam","type":"article-journal","volume":"12"},"uris":["http://www.mendeley.com/documents/?uuid=6a0627fc-a6fe-44fa-a206-d6d0b86aef51"]}],"mendeley":{"formattedCitation":"Masnun Tahir and Zusiana Elly Triantini, “Integrasi Zakat Dan Pajak Di Indonesia Dalam Tinjauan Hukum Positif Dan Hukum Islam,” &lt;i&gt;Al-’Adalah&lt;/i&gt; 12, no. 3 (2017): 507–24.","plainTextFormattedCitation":"Masnun Tahir and Zusiana Elly Triantini, “Integrasi Zakat Dan Pajak Di Indonesia Dalam Tinjauan Hukum Positif Dan Hukum Islam,” Al-’Adalah 12, no. 3 (2017): 507–24.","previouslyFormattedCitation":"Masnun Tahir and Zusiana Elly Triantini, “Integrasi Zakat Dan Pajak Di Indonesia Dalam Tinjauan Hukum Positif Dan Hukum Islam,” &lt;i&gt;Al-’Adalah&lt;/i&gt; 12, no. 3 (2017): 507–24."},"properties":{"noteIndex":25},"schema":"https://github.com/citation-style-language/schema/raw/master/csl-citation.json"}</w:instrText>
      </w:r>
      <w:r w:rsidRPr="00F34EE3">
        <w:rPr>
          <w:rFonts w:ascii="Book Antiqua" w:hAnsi="Book Antiqua"/>
          <w:sz w:val="16"/>
          <w:szCs w:val="16"/>
        </w:rPr>
        <w:fldChar w:fldCharType="separate"/>
      </w:r>
      <w:r w:rsidRPr="00F34EE3">
        <w:rPr>
          <w:rFonts w:ascii="Book Antiqua" w:hAnsi="Book Antiqua"/>
          <w:noProof/>
          <w:sz w:val="16"/>
          <w:szCs w:val="16"/>
        </w:rPr>
        <w:t xml:space="preserve">Masnun Tahir and Zusiana Elly Triantini, “Integrasi Zakat Dan Pajak Di Indonesia Dalam Tinjauan Hukum Positif Dan Hukum Islam,” </w:t>
      </w:r>
      <w:r w:rsidRPr="00F34EE3">
        <w:rPr>
          <w:rFonts w:ascii="Book Antiqua" w:hAnsi="Book Antiqua"/>
          <w:i/>
          <w:noProof/>
          <w:sz w:val="16"/>
          <w:szCs w:val="16"/>
        </w:rPr>
        <w:t>Al-’Adalah</w:t>
      </w:r>
      <w:r w:rsidRPr="00F34EE3">
        <w:rPr>
          <w:rFonts w:ascii="Book Antiqua" w:hAnsi="Book Antiqua"/>
          <w:noProof/>
          <w:sz w:val="16"/>
          <w:szCs w:val="16"/>
        </w:rPr>
        <w:t xml:space="preserve"> 12, no. 3 (2017): 507–24.</w:t>
      </w:r>
      <w:r w:rsidRPr="00F34EE3">
        <w:rPr>
          <w:rFonts w:ascii="Book Antiqua" w:hAnsi="Book Antiqua"/>
          <w:sz w:val="16"/>
          <w:szCs w:val="16"/>
        </w:rPr>
        <w:fldChar w:fldCharType="end"/>
      </w:r>
    </w:p>
  </w:footnote>
  <w:footnote w:id="26">
    <w:p w14:paraId="1B2F85DD" w14:textId="0DD3630E" w:rsidR="00253D30" w:rsidRPr="0072654A" w:rsidRDefault="00253D30">
      <w:pPr>
        <w:pStyle w:val="FootnoteText"/>
        <w:rPr>
          <w:rFonts w:ascii="Book Antiqua" w:hAnsi="Book Antiqua"/>
          <w:sz w:val="16"/>
          <w:szCs w:val="16"/>
        </w:rPr>
      </w:pPr>
      <w:r w:rsidRPr="00F34EE3">
        <w:rPr>
          <w:rStyle w:val="FootnoteReference"/>
          <w:rFonts w:ascii="Book Antiqua" w:hAnsi="Book Antiqua"/>
          <w:sz w:val="16"/>
          <w:szCs w:val="16"/>
        </w:rPr>
        <w:footnoteRef/>
      </w:r>
      <w:r w:rsidRPr="0072654A">
        <w:rPr>
          <w:rFonts w:ascii="Book Antiqua" w:hAnsi="Book Antiqua"/>
          <w:sz w:val="16"/>
          <w:szCs w:val="16"/>
        </w:rPr>
        <w:t xml:space="preserve"> </w:t>
      </w:r>
      <w:r w:rsidRPr="00F34EE3">
        <w:rPr>
          <w:rFonts w:ascii="Book Antiqua" w:hAnsi="Book Antiqua"/>
          <w:sz w:val="16"/>
          <w:szCs w:val="16"/>
        </w:rPr>
        <w:fldChar w:fldCharType="begin" w:fldLock="1"/>
      </w:r>
      <w:r w:rsidRPr="0072654A">
        <w:rPr>
          <w:rFonts w:ascii="Book Antiqua" w:hAnsi="Book Antiqua"/>
          <w:sz w:val="16"/>
          <w:szCs w:val="16"/>
        </w:rPr>
        <w:instrText>ADDIN CSL_CITATION {"citationItems":[{"id":"ITEM-1","itemData":{"DOI":"10.22373/al-ijtimaiyyah.v8i1.13009","ISSN":"2654-5217","abstract":"Abstract: The condition of poverty and injustice that is felt, especially Muslims, will cause sustainable problems, it needs strategic and relevant efforts to unravel the deterioration through da'wah activities. That preaching is not just to spread religion and call for truth. Rather it's about how we can see what we can do for our surroundings. This study aims to know and analyze the potential, role and opportunities of Islamic philanthropy to alleviate poverty and injustice. This type of research is qualitative using descriptive-analytical approach. Data obtained from extracting information through interviews, observations and documentation. The results of the study explained that open transformative da'wah on the problems of poverty and injustice that occur in the community needs to be parsed through Islamic Da'wah. Islamic philanthropy is a manifestation of our love and care as fellow human beings elevates ethical values. The agenda of Islamic Da'wah through zakat, infaq, Sadaqah, and waqaf should be able to parse domestic issues. Effective communication channels, propaganda delivered on target, as well as support from government institutions and institutions, the implementation of Islamic philanthropy relies on solutions to address the problems of poverty and injustice in Indonesia.Keywords: Transformative Da'wah; Injustice; Poverty; Islamic Philanthropy. Abstrak: Kondisi kemiskinan dan ketidakadilan yang dirasakan khususnya umat Islam akan menimbulkan problematika berkelanjutan, maka perlu upaya strategis dan relevan mengurai keterpurukan melalui aktivitas dakwah. Bahwa dakwah bukan sekedar untuk menyebarkan agama dan menyerukan kebenaran. Melainkan dakwah itu tentang bagaimana kita dapat melihat apa yang bisa kita lakukan untuk sekitar kita. Penelitian ini bertujuan mengetahui dan menganalisis potensi, peran dan peluang filantropi Islam mengentaskan kemiskinan dan ketidakadilan. Jenis penelitian ini adalah kualitatif menggunakan pendekatan deskriptif-analitis. Data diperoleh dari penggalian informasi melalui wawancara, observasi dan dokumentasi. Hasil penelitian menjelaskan dakwah transformatif yang terbuka mengenai permasalahan kemiskinan dan ketidakadilan yang terjadi di masyarakat perlu diurai melalui dakwah Islam. Filantropi Islam merupakan wujud cinta dan peduli kita sebagai sesama manusia mengangkat nilai etis. Agenda dakwah Islam melalui zakat, infaq, shadaqah, dan waqaf hendaknya mampu mengurai persoalan domestik. Saluran komunikasi yang …","author":[{"dropping-particle":"","family":"Abrori","given":"Abrori","non-dropping-particle":"","parse-names":false,"suffix":""},{"dropping-particle":"","family":"Kharis","given":"Ahmad","non-dropping-particle":"","parse-names":false,"suffix":""}],"container-title":"Jurnal Al-Ijtimaiyyah","id":"ITEM-1","issue":"1","issued":{"date-parts":[["2022"]]},"page":"102","title":"Dakwah Transformatif Melalui Filantropi: Filantropi Islam Dalam Mengentas Kemiskinan Dan Ketidakadilan","type":"article-journal","volume":"8"},"uris":["http://www.mendeley.com/documents/?uuid=4c3fde84-1658-4848-b573-e1b06307770c"]}],"mendeley":{"formattedCitation":"Abrori Abrori and Ahmad Kharis, “Dakwah Transformatif Melalui Filantropi: Filantropi Islam Dalam Mengentas Kemiskinan Dan Ketidakadilan,” &lt;i&gt;Jurnal Al-Ijtimaiyyah&lt;/i&gt; 8, no. 1 (2022): 102, https://doi.org/10.22373/al-ijtimaiyyah.v8i1.13009.","plainTextFormattedCitation":"Abrori Abrori and Ahmad Kharis, “Dakwah Transformatif Melalui Filantropi: Filantropi Islam Dalam Mengentas Kemiskinan Dan Ketidakadilan,” Jurnal Al-Ijtimaiyyah 8, no. 1 (2022): 102, https://doi.org/10.22373/al-ijtimaiyyah.v8i1.13009.","previouslyFormattedCitation":"Abrori Abrori and Ahmad Kharis, “Dakwah Transformatif Melalui Filantropi: Filantropi Islam Dalam Mengentas Kemiskinan Dan Ketidakadilan,” &lt;i&gt;Jurnal Al-Ijtimaiyyah&lt;/i&gt; 8, no. 1 (2022): 102, https://doi.org/10.22373/al-ijtimaiyyah.v8i1.13009."},"properties":{"noteIndex":27},"schema":"https://github.com/citation-style-language/schema/raw/master/csl-citation.json"}</w:instrText>
      </w:r>
      <w:r w:rsidRPr="00F34EE3">
        <w:rPr>
          <w:rFonts w:ascii="Book Antiqua" w:hAnsi="Book Antiqua"/>
          <w:sz w:val="16"/>
          <w:szCs w:val="16"/>
        </w:rPr>
        <w:fldChar w:fldCharType="separate"/>
      </w:r>
      <w:r w:rsidRPr="0072654A">
        <w:rPr>
          <w:rFonts w:ascii="Book Antiqua" w:hAnsi="Book Antiqua"/>
          <w:noProof/>
          <w:sz w:val="16"/>
          <w:szCs w:val="16"/>
        </w:rPr>
        <w:t xml:space="preserve">Abrori Abrori and Ahmad Kharis, “Dakwah Transformatif Melalui Filantropi: Filantropi Islam Dalam Mengentas Kemiskinan Dan Ketidakadilan,” </w:t>
      </w:r>
      <w:r w:rsidRPr="0072654A">
        <w:rPr>
          <w:rFonts w:ascii="Book Antiqua" w:hAnsi="Book Antiqua"/>
          <w:i/>
          <w:noProof/>
          <w:sz w:val="16"/>
          <w:szCs w:val="16"/>
        </w:rPr>
        <w:t>Jurnal Al-Ijtimaiyyah</w:t>
      </w:r>
      <w:r w:rsidRPr="0072654A">
        <w:rPr>
          <w:rFonts w:ascii="Book Antiqua" w:hAnsi="Book Antiqua"/>
          <w:noProof/>
          <w:sz w:val="16"/>
          <w:szCs w:val="16"/>
        </w:rPr>
        <w:t xml:space="preserve"> 8, no. 1 (2022): 102, https://doi.org/10.22373/al-ijtimaiyyah.v8i1.13009.</w:t>
      </w:r>
      <w:r w:rsidRPr="00F34EE3">
        <w:rPr>
          <w:rFonts w:ascii="Book Antiqua" w:hAnsi="Book Antiqua"/>
          <w:sz w:val="16"/>
          <w:szCs w:val="16"/>
        </w:rPr>
        <w:fldChar w:fldCharType="end"/>
      </w:r>
    </w:p>
  </w:footnote>
  <w:footnote w:id="27">
    <w:p w14:paraId="364705AF" w14:textId="45809671" w:rsidR="00253D30" w:rsidRPr="004A2676" w:rsidRDefault="00253D30">
      <w:pPr>
        <w:pStyle w:val="FootnoteText"/>
        <w:rPr>
          <w:rFonts w:ascii="Book Antiqua" w:hAnsi="Book Antiqua"/>
          <w:sz w:val="16"/>
          <w:szCs w:val="16"/>
        </w:rPr>
      </w:pPr>
      <w:r w:rsidRPr="00F34EE3">
        <w:rPr>
          <w:rStyle w:val="FootnoteReference"/>
          <w:rFonts w:ascii="Book Antiqua" w:hAnsi="Book Antiqua"/>
          <w:sz w:val="16"/>
          <w:szCs w:val="16"/>
        </w:rPr>
        <w:footnoteRef/>
      </w:r>
      <w:r w:rsidRPr="004A2676">
        <w:rPr>
          <w:rFonts w:ascii="Book Antiqua" w:hAnsi="Book Antiqua"/>
          <w:sz w:val="16"/>
          <w:szCs w:val="16"/>
        </w:rPr>
        <w:t xml:space="preserve"> </w:t>
      </w:r>
      <w:r w:rsidRPr="00F34EE3">
        <w:rPr>
          <w:rFonts w:ascii="Book Antiqua" w:hAnsi="Book Antiqua"/>
          <w:sz w:val="16"/>
          <w:szCs w:val="16"/>
        </w:rPr>
        <w:fldChar w:fldCharType="begin" w:fldLock="1"/>
      </w:r>
      <w:r w:rsidRPr="004A2676">
        <w:rPr>
          <w:rFonts w:ascii="Book Antiqua" w:hAnsi="Book Antiqua"/>
          <w:sz w:val="16"/>
          <w:szCs w:val="16"/>
        </w:rPr>
        <w:instrText>ADDIN CSL_CITATION {"citationItems":[{"id":"ITEM-1","itemData":{"ISBN":"2013206534","abstract":"Seiring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Kata","author":[{"dropping-particle":"","family":"Ilmie","given":"Muhammad Bahrul","non-dropping-particle":"","parse-names":false,"suffix":""}],"id":"ITEM-1","issued":{"date-parts":[["2020"]]},"number-of-pages":"1-85","publisher":"Universitas Islam Indonesia Yogyakarta","title":"Politik Hukum Pengelolaan Zakat Dan Zakat Di Indonesia:Kajian Terhadap Undang-Undang Nomor 23 Tahun 2011","type":"thesis"},"uris":["http://www.mendeley.com/documents/?uuid=6701dc32-7e7a-46e3-9d88-871368bdb52a"]}],"mendeley":{"formattedCitation":"Ilmie, “Politik Hukum Pengelolaan Zakat Dan Zakat Di Indonesia:Kajian Terhadap Undang-Undang Nomor 23 Tahun 2011.”","plainTextFormattedCitation":"Ilmie, “Politik Hukum Pengelolaan Zakat Dan Zakat Di Indonesia:Kajian Terhadap Undang-Undang Nomor 23 Tahun 2011.”","previouslyFormattedCitation":"Ilmie, “Politik Hukum Pengelolaan Zakat Dan Zakat Di Indonesia:Kajian Terhadap Undang-Undang Nomor 23 Tahun 2011.”"},"properties":{"noteIndex":28},"schema":"https://github.com/citation-style-language/schema/raw/master/csl-citation.json"}</w:instrText>
      </w:r>
      <w:r w:rsidRPr="00F34EE3">
        <w:rPr>
          <w:rFonts w:ascii="Book Antiqua" w:hAnsi="Book Antiqua"/>
          <w:sz w:val="16"/>
          <w:szCs w:val="16"/>
        </w:rPr>
        <w:fldChar w:fldCharType="separate"/>
      </w:r>
      <w:r w:rsidRPr="004A2676">
        <w:rPr>
          <w:rFonts w:ascii="Book Antiqua" w:hAnsi="Book Antiqua"/>
          <w:noProof/>
          <w:sz w:val="16"/>
          <w:szCs w:val="16"/>
        </w:rPr>
        <w:t>Ilmie, “Politik Hukum Pengelolaan Zakat Dan Zakat Di Indonesia:Kajian Terhadap Undang-Undang Nomor 23 Tahun 2011.”</w:t>
      </w:r>
      <w:r w:rsidRPr="00F34EE3">
        <w:rPr>
          <w:rFonts w:ascii="Book Antiqua" w:hAnsi="Book Antiqua"/>
          <w:sz w:val="16"/>
          <w:szCs w:val="16"/>
        </w:rPr>
        <w:fldChar w:fldCharType="end"/>
      </w:r>
    </w:p>
  </w:footnote>
  <w:footnote w:id="28">
    <w:p w14:paraId="6D133134" w14:textId="2FC37A05" w:rsidR="00253D30" w:rsidRPr="00F34EE3" w:rsidRDefault="00253D30">
      <w:pPr>
        <w:pStyle w:val="FootnoteText"/>
        <w:rPr>
          <w:rFonts w:ascii="Book Antiqua" w:hAnsi="Book Antiqua"/>
          <w:sz w:val="16"/>
          <w:szCs w:val="16"/>
        </w:rPr>
      </w:pPr>
      <w:r w:rsidRPr="00F34EE3">
        <w:rPr>
          <w:rStyle w:val="FootnoteReference"/>
          <w:rFonts w:ascii="Book Antiqua" w:hAnsi="Book Antiqua"/>
          <w:sz w:val="16"/>
          <w:szCs w:val="16"/>
        </w:rPr>
        <w:footnoteRef/>
      </w:r>
      <w:r w:rsidRPr="004A2676">
        <w:rPr>
          <w:rFonts w:ascii="Book Antiqua" w:hAnsi="Book Antiqua"/>
          <w:sz w:val="16"/>
          <w:szCs w:val="16"/>
        </w:rPr>
        <w:t xml:space="preserve"> </w:t>
      </w:r>
      <w:r w:rsidRPr="00F34EE3">
        <w:rPr>
          <w:rFonts w:ascii="Book Antiqua" w:hAnsi="Book Antiqua"/>
          <w:sz w:val="16"/>
          <w:szCs w:val="16"/>
        </w:rPr>
        <w:fldChar w:fldCharType="begin" w:fldLock="1"/>
      </w:r>
      <w:r w:rsidRPr="004A2676">
        <w:rPr>
          <w:rFonts w:ascii="Book Antiqua" w:hAnsi="Book Antiqua"/>
          <w:sz w:val="16"/>
          <w:szCs w:val="16"/>
        </w:rPr>
        <w:instrText>ADDIN CSL_CITATION {"citationItems":[{"id":"ITEM-1","itemData":{"ISBN":"9786237786535","abstract":"Predicting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w:instrText>
      </w:r>
      <w:r w:rsidRPr="00F34EE3">
        <w:rPr>
          <w:rFonts w:ascii="Book Antiqua" w:hAnsi="Book Antiqua"/>
          <w:sz w:val="16"/>
          <w:szCs w:val="16"/>
          <w:lang w:val="fi-FI"/>
        </w:rPr>
        <w:instrText>α</w:instrText>
      </w:r>
      <w:r w:rsidRPr="004A2676">
        <w:rPr>
          <w:rFonts w:ascii="Book Antiqua" w:hAnsi="Book Antiqua"/>
          <w:sz w:val="16"/>
          <w:szCs w:val="16"/>
        </w:rPr>
        <w:instrText>-helical peptides and systematically improve pose prediction accuracy bynhancing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Rokhlinaari","given":"Sri","non-dropping-particle":"","parse-names":false,"suffix":""},{"dropping-particle":"","family":"Widagdo","given":"Ridwan","non-dropping-particle":"","parse-names":false,"suffix":""}],"container-title":"Elsi Pro","edition":"Pertama","id":"ITEM-1","issued":{"date-parts":[["2023"]]},"number-of-pages":"1-78","publisher":"CV. Elsi Pro","publisher-place":"Cirebon","title":"Zakat, Keuangan Inklusif dan Instrumen dalam mewujudkan SDGs dan Maqashid Syariah","type":"book"},"uris":["http://www.mendeley.com/documents/?uuid=700c25e2-a056-41f5-b44f-3f13e7a43771"]}],"mendeley":{"formattedCitation":"Sri Rokhlinaari and Ridwan Widagdo, &lt;i&gt;Zakat, Keuangan Inklusif Dan Instrumen Dalam Mewujudkan SDGs Dan Maqashid Syariah&lt;/i&gt;, &lt;i&gt;Elsi Pro&lt;/i&gt;, Pertama (Cirebon: CV. Elsi Pro, 2023), https://repository.syekhnurjati.ac.id/12381/1/Buku full.pdf.","plainTextFormattedCitation":"Sri Rokhlinaari and Ridwan Widagdo, Zakat, Keuangan Inklusif Dan Instrumen Dalam Mewujudkan SDGs Dan Maqashid Syariah, Elsi Pro, Pertama (Cirebon: CV. Elsi Pro, 2023), https://repository.syekhnurjati.ac.id/12381/1/Buku full.pdf.","previouslyFormattedCitation":"Sri Rokhlinaari and Ridwan Widagdo, &lt;i&gt;Zakat, Keuangan Inklusif Dan Instrumen Dalam Mewujudkan SDGs Dan Maqashid Syariah&lt;/i&gt;, &lt;i&gt;Elsi Pro&lt;/i&gt;, Pertama (Cirebon: CV. Elsi Pro, 2023), https://repository.syekhnurjati.ac.id/12381/1/Buku full.pdf."},"properties":{"noteIndex":29},"schema":"https://github.com/citation-style-language/schema/raw/master/csl-citation.json"}</w:instrText>
      </w:r>
      <w:r w:rsidRPr="00F34EE3">
        <w:rPr>
          <w:rFonts w:ascii="Book Antiqua" w:hAnsi="Book Antiqua"/>
          <w:sz w:val="16"/>
          <w:szCs w:val="16"/>
        </w:rPr>
        <w:fldChar w:fldCharType="separate"/>
      </w:r>
      <w:r w:rsidRPr="004A2676">
        <w:rPr>
          <w:rFonts w:ascii="Book Antiqua" w:hAnsi="Book Antiqua"/>
          <w:noProof/>
          <w:sz w:val="16"/>
          <w:szCs w:val="16"/>
        </w:rPr>
        <w:t xml:space="preserve">Sri Rokhlinaari and Ridwan Widagdo, </w:t>
      </w:r>
      <w:r w:rsidRPr="004A2676">
        <w:rPr>
          <w:rFonts w:ascii="Book Antiqua" w:hAnsi="Book Antiqua"/>
          <w:i/>
          <w:noProof/>
          <w:sz w:val="16"/>
          <w:szCs w:val="16"/>
        </w:rPr>
        <w:t>Zakat, Keuangan Inklusif Dan Instrumen Dalam Mewujudkan SDGs Dan Maqashid Syariah</w:t>
      </w:r>
      <w:r w:rsidRPr="004A2676">
        <w:rPr>
          <w:rFonts w:ascii="Book Antiqua" w:hAnsi="Book Antiqua"/>
          <w:noProof/>
          <w:sz w:val="16"/>
          <w:szCs w:val="16"/>
        </w:rPr>
        <w:t xml:space="preserve">, </w:t>
      </w:r>
      <w:r w:rsidRPr="004A2676">
        <w:rPr>
          <w:rFonts w:ascii="Book Antiqua" w:hAnsi="Book Antiqua"/>
          <w:i/>
          <w:noProof/>
          <w:sz w:val="16"/>
          <w:szCs w:val="16"/>
        </w:rPr>
        <w:t>Elsi Pro</w:t>
      </w:r>
      <w:r w:rsidRPr="004A2676">
        <w:rPr>
          <w:rFonts w:ascii="Book Antiqua" w:hAnsi="Book Antiqua"/>
          <w:noProof/>
          <w:sz w:val="16"/>
          <w:szCs w:val="16"/>
        </w:rPr>
        <w:t xml:space="preserve">, Pertama (Cirebon: CV. </w:t>
      </w:r>
      <w:r w:rsidRPr="00F34EE3">
        <w:rPr>
          <w:rFonts w:ascii="Book Antiqua" w:hAnsi="Book Antiqua"/>
          <w:noProof/>
          <w:sz w:val="16"/>
          <w:szCs w:val="16"/>
        </w:rPr>
        <w:t>Elsi Pro, 2023), https://repository.syekhnurjati.ac.id/12381/1/Buku full.pdf.</w:t>
      </w:r>
      <w:r w:rsidRPr="00F34EE3">
        <w:rPr>
          <w:rFonts w:ascii="Book Antiqua" w:hAnsi="Book Antiqua"/>
          <w:sz w:val="16"/>
          <w:szCs w:val="16"/>
        </w:rPr>
        <w:fldChar w:fldCharType="end"/>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CFEE63" w14:textId="77777777" w:rsidR="002C2ABF" w:rsidRDefault="002C2ABF">
    <w:pPr>
      <w:pBdr>
        <w:top w:val="nil"/>
        <w:left w:val="nil"/>
        <w:bottom w:val="nil"/>
        <w:right w:val="nil"/>
        <w:between w:val="nil"/>
      </w:pBdr>
      <w:tabs>
        <w:tab w:val="center" w:pos="4680"/>
        <w:tab w:val="right" w:pos="9360"/>
      </w:tabs>
      <w:spacing w:after="0" w:line="240" w:lineRule="auto"/>
      <w:rPr>
        <w:rFonts w:ascii="Pinyon Script" w:eastAsia="Pinyon Script" w:hAnsi="Pinyon Script" w:cs="Pinyon Script"/>
        <w:color w:val="000000"/>
        <w:sz w:val="56"/>
        <w:szCs w:val="56"/>
      </w:rPr>
    </w:pPr>
    <w:bookmarkStart w:id="1" w:name="_heading=h.30j0zll" w:colFirst="0" w:colLast="0"/>
    <w:bookmarkEnd w:id="1"/>
  </w:p>
  <w:p w14:paraId="68F9347D" w14:textId="77777777" w:rsidR="002C2ABF" w:rsidRDefault="002C2ABF">
    <w:pPr>
      <w:pBdr>
        <w:top w:val="nil"/>
        <w:left w:val="nil"/>
        <w:bottom w:val="nil"/>
        <w:right w:val="nil"/>
        <w:between w:val="nil"/>
      </w:pBdr>
      <w:tabs>
        <w:tab w:val="center" w:pos="4680"/>
        <w:tab w:val="right" w:pos="9360"/>
      </w:tabs>
      <w:spacing w:after="0" w:line="240" w:lineRule="auto"/>
      <w:jc w:val="right"/>
      <w:rPr>
        <w:rFonts w:ascii="Book Antiqua" w:eastAsia="Book Antiqua" w:hAnsi="Book Antiqua" w:cs="Book Antiqua"/>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9A6FDA"/>
    <w:multiLevelType w:val="hybridMultilevel"/>
    <w:tmpl w:val="B4C6C3FE"/>
    <w:lvl w:ilvl="0" w:tplc="84D66708">
      <w:start w:val="1"/>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F53479F"/>
    <w:multiLevelType w:val="hybridMultilevel"/>
    <w:tmpl w:val="D8F828F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689F5EEB"/>
    <w:multiLevelType w:val="multilevel"/>
    <w:tmpl w:val="5FBAE18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6CAD76E6"/>
    <w:multiLevelType w:val="multilevel"/>
    <w:tmpl w:val="48DC6DF4"/>
    <w:lvl w:ilvl="0">
      <w:start w:val="1"/>
      <w:numFmt w:val="decimal"/>
      <w:lvlText w:val="%1."/>
      <w:lvlJc w:val="left"/>
      <w:pPr>
        <w:ind w:left="720" w:hanging="360"/>
      </w:pPr>
      <w:rPr>
        <w:color w:val="0070C0"/>
        <w:sz w:val="24"/>
        <w:szCs w:val="24"/>
      </w:rPr>
    </w:lvl>
    <w:lvl w:ilvl="1">
      <w:start w:val="1"/>
      <w:numFmt w:val="upperLetter"/>
      <w:lvlText w:val="%2."/>
      <w:lvlJc w:val="left"/>
      <w:pPr>
        <w:ind w:left="720" w:hanging="360"/>
      </w:pPr>
      <w:rPr>
        <w:b/>
        <w:color w:val="000000"/>
        <w:sz w:val="24"/>
        <w:szCs w:val="24"/>
      </w:rPr>
    </w:lvl>
    <w:lvl w:ilvl="2">
      <w:start w:val="1"/>
      <w:numFmt w:val="decimal"/>
      <w:lvlText w:val="%1.%2.%3"/>
      <w:lvlJc w:val="left"/>
      <w:pPr>
        <w:ind w:left="1080" w:hanging="720"/>
      </w:pPr>
      <w:rPr>
        <w:b/>
      </w:rPr>
    </w:lvl>
    <w:lvl w:ilvl="3">
      <w:start w:val="1"/>
      <w:numFmt w:val="decimal"/>
      <w:lvlText w:val="%1.%2.%3.%4"/>
      <w:lvlJc w:val="left"/>
      <w:pPr>
        <w:ind w:left="1440" w:hanging="1080"/>
      </w:pPr>
      <w:rPr>
        <w:b w:val="0"/>
      </w:rPr>
    </w:lvl>
    <w:lvl w:ilvl="4">
      <w:start w:val="1"/>
      <w:numFmt w:val="decimal"/>
      <w:lvlText w:val="%1.%2.%3.%4.%5"/>
      <w:lvlJc w:val="left"/>
      <w:pPr>
        <w:ind w:left="1440" w:hanging="1080"/>
      </w:pPr>
      <w:rPr>
        <w:b w:val="0"/>
      </w:rPr>
    </w:lvl>
    <w:lvl w:ilvl="5">
      <w:start w:val="1"/>
      <w:numFmt w:val="decimal"/>
      <w:lvlText w:val="%1.%2.%3.%4.%5.%6"/>
      <w:lvlJc w:val="left"/>
      <w:pPr>
        <w:ind w:left="1800" w:hanging="1440"/>
      </w:pPr>
      <w:rPr>
        <w:b w:val="0"/>
      </w:rPr>
    </w:lvl>
    <w:lvl w:ilvl="6">
      <w:start w:val="1"/>
      <w:numFmt w:val="decimal"/>
      <w:lvlText w:val="%1.%2.%3.%4.%5.%6.%7"/>
      <w:lvlJc w:val="left"/>
      <w:pPr>
        <w:ind w:left="1800" w:hanging="1440"/>
      </w:pPr>
      <w:rPr>
        <w:b w:val="0"/>
      </w:rPr>
    </w:lvl>
    <w:lvl w:ilvl="7">
      <w:start w:val="1"/>
      <w:numFmt w:val="decimal"/>
      <w:lvlText w:val="%1.%2.%3.%4.%5.%6.%7.%8"/>
      <w:lvlJc w:val="left"/>
      <w:pPr>
        <w:ind w:left="2160" w:hanging="1800"/>
      </w:pPr>
      <w:rPr>
        <w:b w:val="0"/>
      </w:rPr>
    </w:lvl>
    <w:lvl w:ilvl="8">
      <w:start w:val="1"/>
      <w:numFmt w:val="decimal"/>
      <w:lvlText w:val="%1.%2.%3.%4.%5.%6.%7.%8.%9"/>
      <w:lvlJc w:val="left"/>
      <w:pPr>
        <w:ind w:left="2160" w:hanging="1800"/>
      </w:pPr>
      <w:rPr>
        <w:b w:val="0"/>
      </w:rPr>
    </w:lvl>
  </w:abstractNum>
  <w:num w:numId="1" w16cid:durableId="1525285183">
    <w:abstractNumId w:val="3"/>
  </w:num>
  <w:num w:numId="2" w16cid:durableId="2001929567">
    <w:abstractNumId w:val="2"/>
  </w:num>
  <w:num w:numId="3" w16cid:durableId="1134522574">
    <w:abstractNumId w:val="0"/>
  </w:num>
  <w:num w:numId="4" w16cid:durableId="5960593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TrueTypeFont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2ABF"/>
    <w:rsid w:val="00007C8C"/>
    <w:rsid w:val="00012141"/>
    <w:rsid w:val="000251FD"/>
    <w:rsid w:val="00037631"/>
    <w:rsid w:val="00062400"/>
    <w:rsid w:val="000B2ADC"/>
    <w:rsid w:val="000C65CF"/>
    <w:rsid w:val="00103C4A"/>
    <w:rsid w:val="00123727"/>
    <w:rsid w:val="00127683"/>
    <w:rsid w:val="00164772"/>
    <w:rsid w:val="00165E8A"/>
    <w:rsid w:val="00185B96"/>
    <w:rsid w:val="00186D4C"/>
    <w:rsid w:val="001A0379"/>
    <w:rsid w:val="001D5923"/>
    <w:rsid w:val="001F4BC7"/>
    <w:rsid w:val="00212F59"/>
    <w:rsid w:val="00253D30"/>
    <w:rsid w:val="00266A90"/>
    <w:rsid w:val="002853CA"/>
    <w:rsid w:val="00291D50"/>
    <w:rsid w:val="002C2ABF"/>
    <w:rsid w:val="00336F3B"/>
    <w:rsid w:val="003C6944"/>
    <w:rsid w:val="00416840"/>
    <w:rsid w:val="00471862"/>
    <w:rsid w:val="004A2676"/>
    <w:rsid w:val="004B7162"/>
    <w:rsid w:val="004C0787"/>
    <w:rsid w:val="004C39AF"/>
    <w:rsid w:val="004E2AE2"/>
    <w:rsid w:val="004E7DC9"/>
    <w:rsid w:val="004F0FF5"/>
    <w:rsid w:val="005E6C62"/>
    <w:rsid w:val="00612C71"/>
    <w:rsid w:val="006222EB"/>
    <w:rsid w:val="006B038A"/>
    <w:rsid w:val="006C401D"/>
    <w:rsid w:val="006D4ED9"/>
    <w:rsid w:val="006F039B"/>
    <w:rsid w:val="00710040"/>
    <w:rsid w:val="0072654A"/>
    <w:rsid w:val="00744BD5"/>
    <w:rsid w:val="00751383"/>
    <w:rsid w:val="007833C8"/>
    <w:rsid w:val="007B4FF8"/>
    <w:rsid w:val="007F05C5"/>
    <w:rsid w:val="00815169"/>
    <w:rsid w:val="00832ADB"/>
    <w:rsid w:val="00846E57"/>
    <w:rsid w:val="008C0A21"/>
    <w:rsid w:val="008E0444"/>
    <w:rsid w:val="008E2551"/>
    <w:rsid w:val="008E3EE1"/>
    <w:rsid w:val="00930B4B"/>
    <w:rsid w:val="00977038"/>
    <w:rsid w:val="00980933"/>
    <w:rsid w:val="00982592"/>
    <w:rsid w:val="009B28A4"/>
    <w:rsid w:val="00A123EE"/>
    <w:rsid w:val="00A40A35"/>
    <w:rsid w:val="00B30105"/>
    <w:rsid w:val="00B3571A"/>
    <w:rsid w:val="00B75F28"/>
    <w:rsid w:val="00B8677A"/>
    <w:rsid w:val="00BB5115"/>
    <w:rsid w:val="00BD5D66"/>
    <w:rsid w:val="00C00BCC"/>
    <w:rsid w:val="00C5314E"/>
    <w:rsid w:val="00CA661B"/>
    <w:rsid w:val="00D4340F"/>
    <w:rsid w:val="00DC1D9F"/>
    <w:rsid w:val="00DD347A"/>
    <w:rsid w:val="00DE488C"/>
    <w:rsid w:val="00E32ABD"/>
    <w:rsid w:val="00E828C2"/>
    <w:rsid w:val="00E9445B"/>
    <w:rsid w:val="00EA79CB"/>
    <w:rsid w:val="00ED05AD"/>
    <w:rsid w:val="00EE2EFA"/>
    <w:rsid w:val="00F34EE3"/>
    <w:rsid w:val="00FB19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F7FEE1"/>
  <w15:docId w15:val="{E34EB91F-3701-4E05-843D-62C539F3CE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6840"/>
    <w:rPr>
      <w:szCs w:val="28"/>
      <w:lang w:bidi="bn-IN"/>
    </w:rPr>
  </w:style>
  <w:style w:type="paragraph" w:styleId="Heading1">
    <w:name w:val="heading 1"/>
    <w:next w:val="Normal"/>
    <w:link w:val="Heading1Char"/>
    <w:uiPriority w:val="9"/>
    <w:qFormat/>
    <w:rsid w:val="00ED3A3F"/>
    <w:pPr>
      <w:keepNext/>
      <w:keepLines/>
      <w:pBdr>
        <w:top w:val="nil"/>
        <w:left w:val="nil"/>
        <w:bottom w:val="nil"/>
        <w:right w:val="nil"/>
        <w:between w:val="nil"/>
        <w:bar w:val="nil"/>
      </w:pBdr>
      <w:spacing w:before="240" w:after="120" w:line="360" w:lineRule="auto"/>
      <w:outlineLvl w:val="0"/>
    </w:pPr>
    <w:rPr>
      <w:rFonts w:ascii="Times New Roman Bold" w:eastAsia="Times New Roman Bold" w:hAnsi="Times New Roman Bold" w:cs="Times New Roman Bold"/>
      <w:color w:val="000000"/>
      <w:sz w:val="28"/>
      <w:szCs w:val="28"/>
      <w:u w:color="000000"/>
      <w:bdr w:val="nil"/>
      <w:lang w:eastAsia="fi-FI"/>
    </w:rPr>
  </w:style>
  <w:style w:type="paragraph" w:styleId="Heading2">
    <w:name w:val="heading 2"/>
    <w:next w:val="Normal"/>
    <w:link w:val="Heading2Char"/>
    <w:uiPriority w:val="9"/>
    <w:unhideWhenUsed/>
    <w:qFormat/>
    <w:rsid w:val="00ED3A3F"/>
    <w:pPr>
      <w:keepNext/>
      <w:keepLines/>
      <w:pBdr>
        <w:top w:val="nil"/>
        <w:left w:val="nil"/>
        <w:bottom w:val="nil"/>
        <w:right w:val="nil"/>
        <w:between w:val="nil"/>
        <w:bar w:val="nil"/>
      </w:pBdr>
      <w:spacing w:before="40" w:after="120" w:line="360" w:lineRule="auto"/>
      <w:outlineLvl w:val="1"/>
    </w:pPr>
    <w:rPr>
      <w:rFonts w:ascii="Times New Roman Bold" w:eastAsia="Times New Roman Bold" w:hAnsi="Times New Roman Bold" w:cs="Times New Roman Bold"/>
      <w:color w:val="000000"/>
      <w:sz w:val="24"/>
      <w:szCs w:val="24"/>
      <w:u w:color="000000"/>
      <w:bdr w:val="nil"/>
      <w:lang w:eastAsia="fi-FI"/>
    </w:rPr>
  </w:style>
  <w:style w:type="paragraph" w:styleId="Heading3">
    <w:name w:val="heading 3"/>
    <w:next w:val="Normal"/>
    <w:link w:val="Heading3Char"/>
    <w:uiPriority w:val="9"/>
    <w:unhideWhenUsed/>
    <w:qFormat/>
    <w:rsid w:val="00ED3A3F"/>
    <w:pPr>
      <w:keepNext/>
      <w:keepLines/>
      <w:pBdr>
        <w:top w:val="nil"/>
        <w:left w:val="nil"/>
        <w:bottom w:val="nil"/>
        <w:right w:val="nil"/>
        <w:between w:val="nil"/>
        <w:bar w:val="nil"/>
      </w:pBdr>
      <w:spacing w:before="40" w:after="120" w:line="360" w:lineRule="auto"/>
      <w:outlineLvl w:val="2"/>
    </w:pPr>
    <w:rPr>
      <w:rFonts w:ascii="Times New Roman" w:eastAsia="Times New Roman" w:hAnsi="Times New Roman"/>
      <w:color w:val="000000"/>
      <w:sz w:val="24"/>
      <w:szCs w:val="24"/>
      <w:u w:color="000000"/>
      <w:bdr w:val="nil"/>
      <w:lang w:eastAsia="fi-FI"/>
    </w:rPr>
  </w:style>
  <w:style w:type="paragraph" w:styleId="Heading4">
    <w:name w:val="heading 4"/>
    <w:basedOn w:val="Normal"/>
    <w:next w:val="Normal"/>
    <w:link w:val="Heading4Char"/>
    <w:uiPriority w:val="9"/>
    <w:semiHidden/>
    <w:unhideWhenUsed/>
    <w:qFormat/>
    <w:rsid w:val="00ED3A3F"/>
    <w:pPr>
      <w:keepNext/>
      <w:keepLines/>
      <w:pBdr>
        <w:top w:val="nil"/>
        <w:left w:val="nil"/>
        <w:bottom w:val="nil"/>
        <w:right w:val="nil"/>
        <w:between w:val="nil"/>
        <w:bar w:val="nil"/>
      </w:pBdr>
      <w:spacing w:before="200" w:after="0" w:line="360" w:lineRule="auto"/>
      <w:outlineLvl w:val="3"/>
    </w:pPr>
    <w:rPr>
      <w:rFonts w:ascii="Times New Roman" w:eastAsia="Times New Roman" w:hAnsi="Times New Roman"/>
      <w:bCs/>
      <w:iCs/>
      <w:sz w:val="24"/>
      <w:szCs w:val="24"/>
      <w:u w:color="000000"/>
      <w:bdr w:val="nil"/>
      <w:lang w:bidi="ar-SA"/>
    </w:rPr>
  </w:style>
  <w:style w:type="paragraph" w:styleId="Heading5">
    <w:name w:val="heading 5"/>
    <w:basedOn w:val="Normal"/>
    <w:next w:val="Normal"/>
    <w:uiPriority w:val="9"/>
    <w:semiHidden/>
    <w:unhideWhenUsed/>
    <w:qFormat/>
    <w:pPr>
      <w:keepNext/>
      <w:keepLines/>
      <w:spacing w:before="220" w:after="40"/>
      <w:outlineLvl w:val="4"/>
    </w:pPr>
    <w:rPr>
      <w:b/>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ED3A3F"/>
    <w:pPr>
      <w:pBdr>
        <w:top w:val="nil"/>
        <w:left w:val="nil"/>
        <w:bottom w:val="single" w:sz="8" w:space="4" w:color="4F81BD"/>
        <w:right w:val="nil"/>
        <w:between w:val="nil"/>
        <w:bar w:val="nil"/>
      </w:pBdr>
      <w:spacing w:after="300" w:line="240" w:lineRule="auto"/>
      <w:contextualSpacing/>
    </w:pPr>
    <w:rPr>
      <w:rFonts w:ascii="Cambria" w:eastAsia="Times New Roman" w:hAnsi="Cambria"/>
      <w:color w:val="17365D"/>
      <w:spacing w:val="5"/>
      <w:kern w:val="28"/>
      <w:sz w:val="52"/>
      <w:szCs w:val="52"/>
      <w:u w:color="000000"/>
      <w:bdr w:val="nil"/>
      <w:lang w:bidi="ar-SA"/>
    </w:rPr>
  </w:style>
  <w:style w:type="paragraph" w:styleId="FootnoteText">
    <w:name w:val="footnote text"/>
    <w:aliases w:val="Char,Footnote Text Char1 Char,Footnote Text Char Char1 Char,Footnote Text Char1 Char Char Char,Footnote Text Char Char1 Char Char Char,Footnote Text Char Char2 Char,Footnote Text Char1 Char1,Char Char Char Char,Char Char Char Char Char"/>
    <w:basedOn w:val="Normal"/>
    <w:link w:val="FootnoteTextChar"/>
    <w:uiPriority w:val="99"/>
    <w:qFormat/>
    <w:rsid w:val="00934130"/>
    <w:pPr>
      <w:spacing w:after="0" w:line="240" w:lineRule="auto"/>
    </w:pPr>
    <w:rPr>
      <w:rFonts w:ascii="Times New Roman" w:eastAsia="SimSun" w:hAnsi="Times New Roman"/>
      <w:sz w:val="20"/>
      <w:szCs w:val="20"/>
      <w:lang w:eastAsia="zh-CN" w:bidi="ar-SA"/>
    </w:rPr>
  </w:style>
  <w:style w:type="character" w:customStyle="1" w:styleId="FootnoteTextChar">
    <w:name w:val="Footnote Text Char"/>
    <w:aliases w:val="Char Char,Footnote Text Char1 Char Char,Footnote Text Char Char1 Char Char,Footnote Text Char1 Char Char Char Char,Footnote Text Char Char1 Char Char Char Char,Footnote Text Char Char2 Char Char,Footnote Text Char1 Char1 Char"/>
    <w:link w:val="FootnoteText"/>
    <w:uiPriority w:val="99"/>
    <w:qFormat/>
    <w:rsid w:val="00934130"/>
    <w:rPr>
      <w:rFonts w:ascii="Times New Roman" w:eastAsia="SimSun" w:hAnsi="Times New Roman" w:cs="Times New Roman"/>
      <w:sz w:val="20"/>
      <w:szCs w:val="20"/>
      <w:lang w:eastAsia="zh-CN" w:bidi="ar-SA"/>
    </w:rPr>
  </w:style>
  <w:style w:type="character" w:styleId="FootnoteReference">
    <w:name w:val="footnote reference"/>
    <w:uiPriority w:val="99"/>
    <w:qFormat/>
    <w:rsid w:val="00934130"/>
    <w:rPr>
      <w:vertAlign w:val="superscript"/>
    </w:rPr>
  </w:style>
  <w:style w:type="paragraph" w:styleId="ListParagraph">
    <w:name w:val="List Paragraph"/>
    <w:basedOn w:val="Normal"/>
    <w:uiPriority w:val="34"/>
    <w:qFormat/>
    <w:rsid w:val="00C37A21"/>
    <w:pPr>
      <w:ind w:left="720"/>
      <w:contextualSpacing/>
    </w:pPr>
  </w:style>
  <w:style w:type="paragraph" w:styleId="BalloonText">
    <w:name w:val="Balloon Text"/>
    <w:basedOn w:val="Normal"/>
    <w:link w:val="BalloonTextChar"/>
    <w:uiPriority w:val="99"/>
    <w:semiHidden/>
    <w:unhideWhenUsed/>
    <w:rsid w:val="00643BF3"/>
    <w:pPr>
      <w:spacing w:after="0" w:line="240" w:lineRule="auto"/>
    </w:pPr>
    <w:rPr>
      <w:rFonts w:ascii="Tahoma" w:hAnsi="Tahoma" w:cs="Tahoma"/>
      <w:sz w:val="16"/>
      <w:szCs w:val="20"/>
    </w:rPr>
  </w:style>
  <w:style w:type="character" w:customStyle="1" w:styleId="BalloonTextChar">
    <w:name w:val="Balloon Text Char"/>
    <w:link w:val="BalloonText"/>
    <w:uiPriority w:val="99"/>
    <w:semiHidden/>
    <w:rsid w:val="00643BF3"/>
    <w:rPr>
      <w:rFonts w:ascii="Tahoma" w:hAnsi="Tahoma" w:cs="Tahoma"/>
      <w:sz w:val="16"/>
      <w:szCs w:val="20"/>
    </w:rPr>
  </w:style>
  <w:style w:type="paragraph" w:styleId="Bibliography">
    <w:name w:val="Bibliography"/>
    <w:basedOn w:val="Normal"/>
    <w:next w:val="Normal"/>
    <w:uiPriority w:val="37"/>
    <w:unhideWhenUsed/>
    <w:rsid w:val="00D44E17"/>
  </w:style>
  <w:style w:type="paragraph" w:styleId="NoSpacing">
    <w:name w:val="No Spacing"/>
    <w:uiPriority w:val="1"/>
    <w:qFormat/>
    <w:rsid w:val="001A55CA"/>
    <w:pPr>
      <w:jc w:val="both"/>
    </w:pPr>
  </w:style>
  <w:style w:type="paragraph" w:styleId="Header">
    <w:name w:val="header"/>
    <w:basedOn w:val="Normal"/>
    <w:link w:val="HeaderChar"/>
    <w:uiPriority w:val="99"/>
    <w:unhideWhenUsed/>
    <w:rsid w:val="00A00C6D"/>
    <w:pPr>
      <w:tabs>
        <w:tab w:val="center" w:pos="4680"/>
        <w:tab w:val="right" w:pos="9360"/>
      </w:tabs>
      <w:spacing w:after="0" w:line="240" w:lineRule="auto"/>
    </w:pPr>
  </w:style>
  <w:style w:type="character" w:customStyle="1" w:styleId="HeaderChar">
    <w:name w:val="Header Char"/>
    <w:basedOn w:val="DefaultParagraphFont"/>
    <w:link w:val="Header"/>
    <w:uiPriority w:val="99"/>
    <w:rsid w:val="00A00C6D"/>
  </w:style>
  <w:style w:type="paragraph" w:styleId="Footer">
    <w:name w:val="footer"/>
    <w:basedOn w:val="Normal"/>
    <w:link w:val="FooterChar"/>
    <w:uiPriority w:val="99"/>
    <w:unhideWhenUsed/>
    <w:rsid w:val="00A00C6D"/>
    <w:pPr>
      <w:tabs>
        <w:tab w:val="center" w:pos="4680"/>
        <w:tab w:val="right" w:pos="9360"/>
      </w:tabs>
      <w:spacing w:after="0" w:line="240" w:lineRule="auto"/>
    </w:pPr>
  </w:style>
  <w:style w:type="character" w:customStyle="1" w:styleId="FooterChar">
    <w:name w:val="Footer Char"/>
    <w:basedOn w:val="DefaultParagraphFont"/>
    <w:link w:val="Footer"/>
    <w:uiPriority w:val="99"/>
    <w:rsid w:val="00A00C6D"/>
  </w:style>
  <w:style w:type="paragraph" w:styleId="EndnoteText">
    <w:name w:val="endnote text"/>
    <w:basedOn w:val="Normal"/>
    <w:link w:val="EndnoteTextChar"/>
    <w:uiPriority w:val="99"/>
    <w:semiHidden/>
    <w:unhideWhenUsed/>
    <w:rsid w:val="007811FE"/>
    <w:pPr>
      <w:spacing w:after="0" w:line="240" w:lineRule="auto"/>
    </w:pPr>
    <w:rPr>
      <w:sz w:val="20"/>
      <w:szCs w:val="25"/>
    </w:rPr>
  </w:style>
  <w:style w:type="character" w:customStyle="1" w:styleId="EndnoteTextChar">
    <w:name w:val="Endnote Text Char"/>
    <w:link w:val="EndnoteText"/>
    <w:uiPriority w:val="99"/>
    <w:semiHidden/>
    <w:rsid w:val="007811FE"/>
    <w:rPr>
      <w:sz w:val="20"/>
      <w:szCs w:val="25"/>
    </w:rPr>
  </w:style>
  <w:style w:type="character" w:styleId="EndnoteReference">
    <w:name w:val="endnote reference"/>
    <w:uiPriority w:val="99"/>
    <w:semiHidden/>
    <w:unhideWhenUsed/>
    <w:rsid w:val="007811FE"/>
    <w:rPr>
      <w:vertAlign w:val="superscript"/>
    </w:rPr>
  </w:style>
  <w:style w:type="character" w:styleId="Hyperlink">
    <w:name w:val="Hyperlink"/>
    <w:uiPriority w:val="99"/>
    <w:unhideWhenUsed/>
    <w:rsid w:val="00A07F33"/>
    <w:rPr>
      <w:color w:val="0000FF"/>
      <w:u w:val="single"/>
    </w:rPr>
  </w:style>
  <w:style w:type="paragraph" w:customStyle="1" w:styleId="Default">
    <w:name w:val="Default"/>
    <w:rsid w:val="00A07F33"/>
    <w:pPr>
      <w:autoSpaceDE w:val="0"/>
      <w:autoSpaceDN w:val="0"/>
      <w:adjustRightInd w:val="0"/>
    </w:pPr>
    <w:rPr>
      <w:rFonts w:ascii="Times New Roman" w:hAnsi="Times New Roman"/>
      <w:color w:val="000000"/>
      <w:sz w:val="24"/>
      <w:szCs w:val="24"/>
      <w:lang w:bidi="bn-IN"/>
    </w:rPr>
  </w:style>
  <w:style w:type="paragraph" w:customStyle="1" w:styleId="Style1">
    <w:name w:val="Style1"/>
    <w:basedOn w:val="NoSpacing"/>
    <w:link w:val="Style1Char"/>
    <w:qFormat/>
    <w:rsid w:val="00C76AB6"/>
    <w:pPr>
      <w:jc w:val="left"/>
    </w:pPr>
    <w:rPr>
      <w:rFonts w:cs="Vrinda"/>
    </w:rPr>
  </w:style>
  <w:style w:type="character" w:customStyle="1" w:styleId="Style1Char">
    <w:name w:val="Style1 Char"/>
    <w:link w:val="Style1"/>
    <w:rsid w:val="00C76AB6"/>
    <w:rPr>
      <w:rFonts w:ascii="Calibri" w:eastAsia="Calibri" w:hAnsi="Calibri" w:cs="Vrinda"/>
      <w:szCs w:val="22"/>
      <w:lang w:bidi="ar-SA"/>
    </w:rPr>
  </w:style>
  <w:style w:type="paragraph" w:styleId="BodyText2">
    <w:name w:val="Body Text 2"/>
    <w:basedOn w:val="Normal"/>
    <w:link w:val="BodyText2Char"/>
    <w:semiHidden/>
    <w:rsid w:val="00FC7AE1"/>
    <w:pPr>
      <w:tabs>
        <w:tab w:val="left" w:pos="748"/>
      </w:tabs>
      <w:spacing w:after="0" w:line="360" w:lineRule="auto"/>
    </w:pPr>
    <w:rPr>
      <w:rFonts w:ascii="Times New Roman" w:eastAsia="Times New Roman" w:hAnsi="Times New Roman"/>
      <w:sz w:val="26"/>
      <w:szCs w:val="20"/>
      <w:lang w:bidi="ar-SA"/>
    </w:rPr>
  </w:style>
  <w:style w:type="character" w:customStyle="1" w:styleId="BodyText2Char">
    <w:name w:val="Body Text 2 Char"/>
    <w:link w:val="BodyText2"/>
    <w:semiHidden/>
    <w:rsid w:val="00FC7AE1"/>
    <w:rPr>
      <w:rFonts w:ascii="Times New Roman" w:eastAsia="Times New Roman" w:hAnsi="Times New Roman" w:cs="Times New Roman"/>
      <w:sz w:val="26"/>
      <w:szCs w:val="20"/>
      <w:lang w:bidi="ar-SA"/>
    </w:rPr>
  </w:style>
  <w:style w:type="character" w:styleId="CommentReference">
    <w:name w:val="annotation reference"/>
    <w:uiPriority w:val="99"/>
    <w:semiHidden/>
    <w:unhideWhenUsed/>
    <w:rsid w:val="000F3B4F"/>
    <w:rPr>
      <w:sz w:val="16"/>
      <w:szCs w:val="16"/>
    </w:rPr>
  </w:style>
  <w:style w:type="paragraph" w:styleId="CommentText">
    <w:name w:val="annotation text"/>
    <w:basedOn w:val="Normal"/>
    <w:link w:val="CommentTextChar"/>
    <w:uiPriority w:val="99"/>
    <w:unhideWhenUsed/>
    <w:rsid w:val="000F3B4F"/>
    <w:pPr>
      <w:spacing w:line="240" w:lineRule="auto"/>
    </w:pPr>
    <w:rPr>
      <w:sz w:val="20"/>
      <w:szCs w:val="25"/>
    </w:rPr>
  </w:style>
  <w:style w:type="character" w:customStyle="1" w:styleId="CommentTextChar">
    <w:name w:val="Comment Text Char"/>
    <w:link w:val="CommentText"/>
    <w:uiPriority w:val="99"/>
    <w:rsid w:val="000F3B4F"/>
    <w:rPr>
      <w:sz w:val="20"/>
      <w:szCs w:val="25"/>
    </w:rPr>
  </w:style>
  <w:style w:type="paragraph" w:styleId="CommentSubject">
    <w:name w:val="annotation subject"/>
    <w:basedOn w:val="CommentText"/>
    <w:next w:val="CommentText"/>
    <w:link w:val="CommentSubjectChar"/>
    <w:uiPriority w:val="99"/>
    <w:semiHidden/>
    <w:unhideWhenUsed/>
    <w:rsid w:val="000F3B4F"/>
    <w:rPr>
      <w:b/>
      <w:bCs/>
    </w:rPr>
  </w:style>
  <w:style w:type="character" w:customStyle="1" w:styleId="CommentSubjectChar">
    <w:name w:val="Comment Subject Char"/>
    <w:link w:val="CommentSubject"/>
    <w:uiPriority w:val="99"/>
    <w:semiHidden/>
    <w:rsid w:val="000F3B4F"/>
    <w:rPr>
      <w:b/>
      <w:bCs/>
      <w:sz w:val="20"/>
      <w:szCs w:val="25"/>
    </w:rPr>
  </w:style>
  <w:style w:type="character" w:customStyle="1" w:styleId="apple-converted-space">
    <w:name w:val="apple-converted-space"/>
    <w:basedOn w:val="DefaultParagraphFont"/>
    <w:rsid w:val="00323A6E"/>
  </w:style>
  <w:style w:type="character" w:customStyle="1" w:styleId="Mention1">
    <w:name w:val="Mention1"/>
    <w:uiPriority w:val="99"/>
    <w:semiHidden/>
    <w:unhideWhenUsed/>
    <w:rsid w:val="0035562C"/>
    <w:rPr>
      <w:color w:val="2B579A"/>
      <w:shd w:val="clear" w:color="auto" w:fill="E6E6E6"/>
    </w:rPr>
  </w:style>
  <w:style w:type="character" w:customStyle="1" w:styleId="UnresolvedMention1">
    <w:name w:val="Unresolved Mention1"/>
    <w:uiPriority w:val="99"/>
    <w:semiHidden/>
    <w:unhideWhenUsed/>
    <w:rsid w:val="00AC017F"/>
    <w:rPr>
      <w:color w:val="808080"/>
      <w:shd w:val="clear" w:color="auto" w:fill="E6E6E6"/>
    </w:rPr>
  </w:style>
  <w:style w:type="character" w:customStyle="1" w:styleId="Heading1Char">
    <w:name w:val="Heading 1 Char"/>
    <w:link w:val="Heading1"/>
    <w:rsid w:val="00ED3A3F"/>
    <w:rPr>
      <w:rFonts w:ascii="Times New Roman Bold" w:eastAsia="Times New Roman Bold" w:hAnsi="Times New Roman Bold" w:cs="Times New Roman Bold"/>
      <w:color w:val="000000"/>
      <w:sz w:val="28"/>
      <w:u w:color="000000"/>
      <w:bdr w:val="nil"/>
      <w:lang w:eastAsia="fi-FI" w:bidi="ar-SA"/>
    </w:rPr>
  </w:style>
  <w:style w:type="character" w:customStyle="1" w:styleId="Heading2Char">
    <w:name w:val="Heading 2 Char"/>
    <w:link w:val="Heading2"/>
    <w:rsid w:val="00ED3A3F"/>
    <w:rPr>
      <w:rFonts w:ascii="Times New Roman Bold" w:eastAsia="Times New Roman Bold" w:hAnsi="Times New Roman Bold" w:cs="Times New Roman Bold"/>
      <w:color w:val="000000"/>
      <w:sz w:val="24"/>
      <w:szCs w:val="24"/>
      <w:u w:color="000000"/>
      <w:bdr w:val="nil"/>
      <w:lang w:eastAsia="fi-FI" w:bidi="ar-SA"/>
    </w:rPr>
  </w:style>
  <w:style w:type="character" w:customStyle="1" w:styleId="Heading3Char">
    <w:name w:val="Heading 3 Char"/>
    <w:link w:val="Heading3"/>
    <w:rsid w:val="00ED3A3F"/>
    <w:rPr>
      <w:rFonts w:ascii="Times New Roman" w:eastAsia="Times New Roman" w:hAnsi="Times New Roman" w:cs="Times New Roman"/>
      <w:color w:val="000000"/>
      <w:sz w:val="24"/>
      <w:szCs w:val="24"/>
      <w:u w:color="000000"/>
      <w:bdr w:val="nil"/>
      <w:lang w:eastAsia="fi-FI" w:bidi="ar-SA"/>
    </w:rPr>
  </w:style>
  <w:style w:type="character" w:customStyle="1" w:styleId="Heading4Char">
    <w:name w:val="Heading 4 Char"/>
    <w:link w:val="Heading4"/>
    <w:uiPriority w:val="9"/>
    <w:rsid w:val="00ED3A3F"/>
    <w:rPr>
      <w:rFonts w:ascii="Times New Roman" w:eastAsia="Times New Roman" w:hAnsi="Times New Roman" w:cs="Times New Roman"/>
      <w:bCs/>
      <w:iCs/>
      <w:sz w:val="24"/>
      <w:szCs w:val="24"/>
      <w:u w:color="000000"/>
      <w:bdr w:val="nil"/>
      <w:lang w:bidi="ar-SA"/>
    </w:rPr>
  </w:style>
  <w:style w:type="table" w:customStyle="1" w:styleId="TableNormal1">
    <w:name w:val="Table Normal1"/>
    <w:rsid w:val="00ED3A3F"/>
    <w:pPr>
      <w:pBdr>
        <w:top w:val="nil"/>
        <w:left w:val="nil"/>
        <w:bottom w:val="nil"/>
        <w:right w:val="nil"/>
        <w:between w:val="nil"/>
        <w:bar w:val="nil"/>
      </w:pBdr>
    </w:pPr>
    <w:rPr>
      <w:rFonts w:ascii="Times New Roman" w:eastAsia="Arial Unicode MS" w:hAnsi="Times New Roman"/>
      <w:sz w:val="24"/>
      <w:szCs w:val="24"/>
      <w:bdr w:val="nil"/>
      <w:lang w:val="fi-FI" w:eastAsia="fi-FI"/>
    </w:rPr>
    <w:tblPr>
      <w:tblInd w:w="0" w:type="dxa"/>
      <w:tblCellMar>
        <w:top w:w="0" w:type="dxa"/>
        <w:left w:w="0" w:type="dxa"/>
        <w:bottom w:w="0" w:type="dxa"/>
        <w:right w:w="0" w:type="dxa"/>
      </w:tblCellMar>
    </w:tblPr>
  </w:style>
  <w:style w:type="paragraph" w:customStyle="1" w:styleId="Yl-jaalaotsake">
    <w:name w:val="Ylä- ja alaotsake"/>
    <w:rsid w:val="00ED3A3F"/>
    <w:pPr>
      <w:pBdr>
        <w:top w:val="nil"/>
        <w:left w:val="nil"/>
        <w:bottom w:val="nil"/>
        <w:right w:val="nil"/>
        <w:between w:val="nil"/>
        <w:bar w:val="nil"/>
      </w:pBdr>
      <w:tabs>
        <w:tab w:val="right" w:pos="9020"/>
      </w:tabs>
    </w:pPr>
    <w:rPr>
      <w:rFonts w:ascii="Helvetica" w:eastAsia="Arial Unicode MS" w:hAnsi="Arial Unicode MS" w:cs="Arial Unicode MS"/>
      <w:color w:val="000000"/>
      <w:sz w:val="24"/>
      <w:szCs w:val="24"/>
      <w:bdr w:val="nil"/>
      <w:lang w:val="fi-FI" w:eastAsia="fi-FI"/>
    </w:rPr>
  </w:style>
  <w:style w:type="paragraph" w:styleId="TOCHeading">
    <w:name w:val="TOC Heading"/>
    <w:next w:val="Normal"/>
    <w:uiPriority w:val="39"/>
    <w:qFormat/>
    <w:rsid w:val="00ED3A3F"/>
    <w:pPr>
      <w:keepNext/>
      <w:keepLines/>
      <w:pBdr>
        <w:top w:val="nil"/>
        <w:left w:val="nil"/>
        <w:bottom w:val="nil"/>
        <w:right w:val="nil"/>
        <w:between w:val="nil"/>
        <w:bar w:val="nil"/>
      </w:pBdr>
      <w:spacing w:before="240" w:after="120" w:line="259" w:lineRule="auto"/>
    </w:pPr>
    <w:rPr>
      <w:rFonts w:ascii="Calibri Light" w:eastAsia="Calibri Light" w:hAnsi="Calibri Light" w:cs="Calibri Light"/>
      <w:color w:val="2E74B5"/>
      <w:sz w:val="32"/>
      <w:szCs w:val="32"/>
      <w:u w:color="2E74B5"/>
      <w:bdr w:val="nil"/>
      <w:lang w:eastAsia="fi-FI"/>
    </w:rPr>
  </w:style>
  <w:style w:type="paragraph" w:customStyle="1" w:styleId="TOC11">
    <w:name w:val="TOC 11"/>
    <w:rsid w:val="00ED3A3F"/>
    <w:pPr>
      <w:pBdr>
        <w:top w:val="nil"/>
        <w:left w:val="nil"/>
        <w:bottom w:val="nil"/>
        <w:right w:val="nil"/>
        <w:between w:val="nil"/>
        <w:bar w:val="nil"/>
      </w:pBdr>
      <w:tabs>
        <w:tab w:val="right" w:pos="9044"/>
      </w:tabs>
      <w:spacing w:after="100" w:line="360" w:lineRule="auto"/>
    </w:pPr>
    <w:rPr>
      <w:rFonts w:ascii="Times New Roman Bold" w:eastAsia="Times New Roman Bold" w:hAnsi="Times New Roman Bold" w:cs="Times New Roman Bold"/>
      <w:color w:val="000000"/>
      <w:sz w:val="28"/>
      <w:szCs w:val="28"/>
      <w:u w:color="000000"/>
      <w:bdr w:val="nil"/>
      <w:lang w:eastAsia="fi-FI"/>
    </w:rPr>
  </w:style>
  <w:style w:type="paragraph" w:customStyle="1" w:styleId="TOC21">
    <w:name w:val="TOC 21"/>
    <w:rsid w:val="00ED3A3F"/>
    <w:pPr>
      <w:pBdr>
        <w:top w:val="nil"/>
        <w:left w:val="nil"/>
        <w:bottom w:val="nil"/>
        <w:right w:val="nil"/>
        <w:between w:val="nil"/>
        <w:bar w:val="nil"/>
      </w:pBdr>
      <w:tabs>
        <w:tab w:val="right" w:pos="9044"/>
      </w:tabs>
      <w:spacing w:after="100" w:line="360" w:lineRule="auto"/>
    </w:pPr>
    <w:rPr>
      <w:rFonts w:ascii="Times New Roman Bold" w:eastAsia="Times New Roman Bold" w:hAnsi="Times New Roman Bold" w:cs="Times New Roman Bold"/>
      <w:color w:val="000000"/>
      <w:sz w:val="28"/>
      <w:szCs w:val="28"/>
      <w:u w:color="000000"/>
      <w:bdr w:val="nil"/>
      <w:lang w:val="fi-FI" w:eastAsia="fi-FI"/>
    </w:rPr>
  </w:style>
  <w:style w:type="paragraph" w:customStyle="1" w:styleId="TOC31">
    <w:name w:val="TOC 31"/>
    <w:rsid w:val="00ED3A3F"/>
    <w:pPr>
      <w:pBdr>
        <w:top w:val="nil"/>
        <w:left w:val="nil"/>
        <w:bottom w:val="nil"/>
        <w:right w:val="nil"/>
        <w:between w:val="nil"/>
        <w:bar w:val="nil"/>
      </w:pBdr>
      <w:tabs>
        <w:tab w:val="right" w:pos="9044"/>
      </w:tabs>
      <w:spacing w:after="100" w:line="360" w:lineRule="auto"/>
      <w:ind w:left="480"/>
    </w:pPr>
    <w:rPr>
      <w:rFonts w:ascii="Times New Roman" w:eastAsia="Times New Roman" w:hAnsi="Times New Roman"/>
      <w:color w:val="000000"/>
      <w:sz w:val="24"/>
      <w:szCs w:val="24"/>
      <w:u w:color="000000"/>
      <w:bdr w:val="nil"/>
      <w:lang w:eastAsia="fi-FI"/>
    </w:rPr>
  </w:style>
  <w:style w:type="numbering" w:customStyle="1" w:styleId="List0">
    <w:name w:val="List 0"/>
    <w:basedOn w:val="Tuotutyyli1"/>
    <w:rsid w:val="00ED3A3F"/>
  </w:style>
  <w:style w:type="numbering" w:customStyle="1" w:styleId="Tuotutyyli1">
    <w:name w:val="Tuotu tyyli: 1"/>
    <w:rsid w:val="00ED3A3F"/>
  </w:style>
  <w:style w:type="character" w:customStyle="1" w:styleId="Linkki">
    <w:name w:val="Linkki"/>
    <w:rsid w:val="00ED3A3F"/>
    <w:rPr>
      <w:color w:val="0563C1"/>
      <w:u w:val="single" w:color="0563C1"/>
    </w:rPr>
  </w:style>
  <w:style w:type="character" w:customStyle="1" w:styleId="Hyperlink0">
    <w:name w:val="Hyperlink.0"/>
    <w:rsid w:val="00ED3A3F"/>
    <w:rPr>
      <w:color w:val="0563C1"/>
      <w:sz w:val="22"/>
      <w:szCs w:val="22"/>
      <w:u w:val="single" w:color="0563C1"/>
      <w:lang w:val="en-US"/>
    </w:rPr>
  </w:style>
  <w:style w:type="character" w:customStyle="1" w:styleId="Hyperlink1">
    <w:name w:val="Hyperlink.1"/>
    <w:rsid w:val="00ED3A3F"/>
    <w:rPr>
      <w:color w:val="0563C1"/>
      <w:sz w:val="22"/>
      <w:szCs w:val="22"/>
      <w:u w:val="single" w:color="0563C1"/>
    </w:rPr>
  </w:style>
  <w:style w:type="character" w:customStyle="1" w:styleId="Hyperlink2">
    <w:name w:val="Hyperlink.2"/>
    <w:rsid w:val="00ED3A3F"/>
    <w:rPr>
      <w:color w:val="0563C1"/>
      <w:u w:val="single" w:color="0563C1"/>
      <w:lang w:val="en-US"/>
    </w:rPr>
  </w:style>
  <w:style w:type="paragraph" w:styleId="TOC1">
    <w:name w:val="toc 1"/>
    <w:basedOn w:val="Normal"/>
    <w:next w:val="Normal"/>
    <w:autoRedefine/>
    <w:uiPriority w:val="39"/>
    <w:unhideWhenUsed/>
    <w:rsid w:val="00ED3A3F"/>
    <w:pPr>
      <w:pBdr>
        <w:top w:val="nil"/>
        <w:left w:val="nil"/>
        <w:bottom w:val="nil"/>
        <w:right w:val="nil"/>
        <w:between w:val="nil"/>
        <w:bar w:val="nil"/>
      </w:pBdr>
      <w:spacing w:before="120" w:after="0" w:line="360" w:lineRule="auto"/>
    </w:pPr>
    <w:rPr>
      <w:rFonts w:eastAsia="Arial Unicode MS" w:cs="Arial Unicode MS"/>
      <w:b/>
      <w:caps/>
      <w:color w:val="000000"/>
      <w:szCs w:val="22"/>
      <w:u w:color="000000"/>
      <w:bdr w:val="nil"/>
      <w:lang w:bidi="ar-SA"/>
    </w:rPr>
  </w:style>
  <w:style w:type="paragraph" w:styleId="TOC2">
    <w:name w:val="toc 2"/>
    <w:basedOn w:val="Normal"/>
    <w:next w:val="Normal"/>
    <w:autoRedefine/>
    <w:uiPriority w:val="39"/>
    <w:unhideWhenUsed/>
    <w:rsid w:val="00ED3A3F"/>
    <w:pPr>
      <w:pBdr>
        <w:top w:val="nil"/>
        <w:left w:val="nil"/>
        <w:bottom w:val="nil"/>
        <w:right w:val="nil"/>
        <w:between w:val="nil"/>
        <w:bar w:val="nil"/>
      </w:pBdr>
      <w:tabs>
        <w:tab w:val="right" w:leader="dot" w:pos="9054"/>
      </w:tabs>
      <w:spacing w:after="0" w:line="360" w:lineRule="auto"/>
      <w:ind w:left="240"/>
    </w:pPr>
    <w:rPr>
      <w:rFonts w:eastAsia="Arial Unicode MS" w:cs="Arial Unicode MS"/>
      <w:smallCaps/>
      <w:noProof/>
      <w:color w:val="000000"/>
      <w:szCs w:val="22"/>
      <w:u w:color="000000"/>
      <w:bdr w:val="nil"/>
      <w:lang w:bidi="ar-SA"/>
    </w:rPr>
  </w:style>
  <w:style w:type="paragraph" w:styleId="TOC3">
    <w:name w:val="toc 3"/>
    <w:basedOn w:val="Normal"/>
    <w:next w:val="Normal"/>
    <w:autoRedefine/>
    <w:uiPriority w:val="39"/>
    <w:unhideWhenUsed/>
    <w:rsid w:val="00ED3A3F"/>
    <w:pPr>
      <w:pBdr>
        <w:top w:val="nil"/>
        <w:left w:val="nil"/>
        <w:bottom w:val="nil"/>
        <w:right w:val="nil"/>
        <w:between w:val="nil"/>
        <w:bar w:val="nil"/>
      </w:pBdr>
      <w:spacing w:after="0" w:line="360" w:lineRule="auto"/>
      <w:ind w:left="480"/>
    </w:pPr>
    <w:rPr>
      <w:rFonts w:eastAsia="Arial Unicode MS" w:cs="Arial Unicode MS"/>
      <w:i/>
      <w:color w:val="000000"/>
      <w:szCs w:val="22"/>
      <w:u w:color="000000"/>
      <w:bdr w:val="nil"/>
      <w:lang w:bidi="ar-SA"/>
    </w:rPr>
  </w:style>
  <w:style w:type="paragraph" w:styleId="TOC4">
    <w:name w:val="toc 4"/>
    <w:basedOn w:val="Normal"/>
    <w:next w:val="Normal"/>
    <w:autoRedefine/>
    <w:uiPriority w:val="39"/>
    <w:semiHidden/>
    <w:unhideWhenUsed/>
    <w:rsid w:val="00ED3A3F"/>
    <w:pPr>
      <w:pBdr>
        <w:top w:val="nil"/>
        <w:left w:val="nil"/>
        <w:bottom w:val="nil"/>
        <w:right w:val="nil"/>
        <w:between w:val="nil"/>
        <w:bar w:val="nil"/>
      </w:pBdr>
      <w:spacing w:after="0" w:line="360" w:lineRule="auto"/>
      <w:ind w:left="720"/>
    </w:pPr>
    <w:rPr>
      <w:rFonts w:eastAsia="Arial Unicode MS" w:cs="Arial Unicode MS"/>
      <w:color w:val="000000"/>
      <w:sz w:val="18"/>
      <w:szCs w:val="18"/>
      <w:u w:color="000000"/>
      <w:bdr w:val="nil"/>
      <w:lang w:bidi="ar-SA"/>
    </w:rPr>
  </w:style>
  <w:style w:type="paragraph" w:styleId="TOC5">
    <w:name w:val="toc 5"/>
    <w:basedOn w:val="Normal"/>
    <w:next w:val="Normal"/>
    <w:autoRedefine/>
    <w:uiPriority w:val="39"/>
    <w:semiHidden/>
    <w:unhideWhenUsed/>
    <w:rsid w:val="00ED3A3F"/>
    <w:pPr>
      <w:pBdr>
        <w:top w:val="nil"/>
        <w:left w:val="nil"/>
        <w:bottom w:val="nil"/>
        <w:right w:val="nil"/>
        <w:between w:val="nil"/>
        <w:bar w:val="nil"/>
      </w:pBdr>
      <w:spacing w:after="0" w:line="360" w:lineRule="auto"/>
      <w:ind w:left="960"/>
    </w:pPr>
    <w:rPr>
      <w:rFonts w:eastAsia="Arial Unicode MS" w:cs="Arial Unicode MS"/>
      <w:color w:val="000000"/>
      <w:sz w:val="18"/>
      <w:szCs w:val="18"/>
      <w:u w:color="000000"/>
      <w:bdr w:val="nil"/>
      <w:lang w:bidi="ar-SA"/>
    </w:rPr>
  </w:style>
  <w:style w:type="paragraph" w:styleId="TOC6">
    <w:name w:val="toc 6"/>
    <w:basedOn w:val="Normal"/>
    <w:next w:val="Normal"/>
    <w:autoRedefine/>
    <w:uiPriority w:val="39"/>
    <w:semiHidden/>
    <w:unhideWhenUsed/>
    <w:rsid w:val="00ED3A3F"/>
    <w:pPr>
      <w:pBdr>
        <w:top w:val="nil"/>
        <w:left w:val="nil"/>
        <w:bottom w:val="nil"/>
        <w:right w:val="nil"/>
        <w:between w:val="nil"/>
        <w:bar w:val="nil"/>
      </w:pBdr>
      <w:spacing w:after="0" w:line="360" w:lineRule="auto"/>
      <w:ind w:left="1200"/>
    </w:pPr>
    <w:rPr>
      <w:rFonts w:eastAsia="Arial Unicode MS" w:cs="Arial Unicode MS"/>
      <w:color w:val="000000"/>
      <w:sz w:val="18"/>
      <w:szCs w:val="18"/>
      <w:u w:color="000000"/>
      <w:bdr w:val="nil"/>
      <w:lang w:bidi="ar-SA"/>
    </w:rPr>
  </w:style>
  <w:style w:type="paragraph" w:styleId="TOC7">
    <w:name w:val="toc 7"/>
    <w:basedOn w:val="Normal"/>
    <w:next w:val="Normal"/>
    <w:autoRedefine/>
    <w:uiPriority w:val="39"/>
    <w:semiHidden/>
    <w:unhideWhenUsed/>
    <w:rsid w:val="00ED3A3F"/>
    <w:pPr>
      <w:pBdr>
        <w:top w:val="nil"/>
        <w:left w:val="nil"/>
        <w:bottom w:val="nil"/>
        <w:right w:val="nil"/>
        <w:between w:val="nil"/>
        <w:bar w:val="nil"/>
      </w:pBdr>
      <w:spacing w:after="0" w:line="360" w:lineRule="auto"/>
      <w:ind w:left="1440"/>
    </w:pPr>
    <w:rPr>
      <w:rFonts w:eastAsia="Arial Unicode MS" w:cs="Arial Unicode MS"/>
      <w:color w:val="000000"/>
      <w:sz w:val="18"/>
      <w:szCs w:val="18"/>
      <w:u w:color="000000"/>
      <w:bdr w:val="nil"/>
      <w:lang w:bidi="ar-SA"/>
    </w:rPr>
  </w:style>
  <w:style w:type="paragraph" w:styleId="TOC8">
    <w:name w:val="toc 8"/>
    <w:basedOn w:val="Normal"/>
    <w:next w:val="Normal"/>
    <w:autoRedefine/>
    <w:uiPriority w:val="39"/>
    <w:semiHidden/>
    <w:unhideWhenUsed/>
    <w:rsid w:val="00ED3A3F"/>
    <w:pPr>
      <w:pBdr>
        <w:top w:val="nil"/>
        <w:left w:val="nil"/>
        <w:bottom w:val="nil"/>
        <w:right w:val="nil"/>
        <w:between w:val="nil"/>
        <w:bar w:val="nil"/>
      </w:pBdr>
      <w:spacing w:after="0" w:line="360" w:lineRule="auto"/>
      <w:ind w:left="1680"/>
    </w:pPr>
    <w:rPr>
      <w:rFonts w:eastAsia="Arial Unicode MS" w:cs="Arial Unicode MS"/>
      <w:color w:val="000000"/>
      <w:sz w:val="18"/>
      <w:szCs w:val="18"/>
      <w:u w:color="000000"/>
      <w:bdr w:val="nil"/>
      <w:lang w:bidi="ar-SA"/>
    </w:rPr>
  </w:style>
  <w:style w:type="paragraph" w:styleId="TOC9">
    <w:name w:val="toc 9"/>
    <w:basedOn w:val="Normal"/>
    <w:next w:val="Normal"/>
    <w:autoRedefine/>
    <w:uiPriority w:val="39"/>
    <w:semiHidden/>
    <w:unhideWhenUsed/>
    <w:rsid w:val="00ED3A3F"/>
    <w:pPr>
      <w:pBdr>
        <w:top w:val="nil"/>
        <w:left w:val="nil"/>
        <w:bottom w:val="nil"/>
        <w:right w:val="nil"/>
        <w:between w:val="nil"/>
        <w:bar w:val="nil"/>
      </w:pBdr>
      <w:spacing w:after="0" w:line="360" w:lineRule="auto"/>
      <w:ind w:left="1920"/>
    </w:pPr>
    <w:rPr>
      <w:rFonts w:eastAsia="Arial Unicode MS" w:cs="Arial Unicode MS"/>
      <w:color w:val="000000"/>
      <w:sz w:val="18"/>
      <w:szCs w:val="18"/>
      <w:u w:color="000000"/>
      <w:bdr w:val="nil"/>
      <w:lang w:bidi="ar-SA"/>
    </w:rPr>
  </w:style>
  <w:style w:type="paragraph" w:customStyle="1" w:styleId="Alaviite">
    <w:name w:val="Alaviite"/>
    <w:rsid w:val="00ED3A3F"/>
    <w:pPr>
      <w:pBdr>
        <w:top w:val="nil"/>
        <w:left w:val="nil"/>
        <w:bottom w:val="nil"/>
        <w:right w:val="nil"/>
        <w:between w:val="nil"/>
        <w:bar w:val="nil"/>
      </w:pBdr>
    </w:pPr>
    <w:rPr>
      <w:rFonts w:ascii="Helvetica" w:eastAsia="Helvetica" w:hAnsi="Helvetica" w:cs="Helvetica"/>
      <w:color w:val="000000"/>
      <w:u w:color="000000"/>
      <w:bdr w:val="nil"/>
      <w:lang w:val="fi-FI" w:eastAsia="fi-FI"/>
    </w:rPr>
  </w:style>
  <w:style w:type="character" w:customStyle="1" w:styleId="TitleChar">
    <w:name w:val="Title Char"/>
    <w:link w:val="Title"/>
    <w:uiPriority w:val="10"/>
    <w:rsid w:val="00ED3A3F"/>
    <w:rPr>
      <w:rFonts w:ascii="Cambria" w:eastAsia="Times New Roman" w:hAnsi="Cambria" w:cs="Times New Roman"/>
      <w:color w:val="17365D"/>
      <w:spacing w:val="5"/>
      <w:kern w:val="28"/>
      <w:sz w:val="52"/>
      <w:szCs w:val="52"/>
      <w:u w:color="000000"/>
      <w:bdr w:val="nil"/>
      <w:lang w:bidi="ar-SA"/>
    </w:rPr>
  </w:style>
  <w:style w:type="paragraph" w:customStyle="1" w:styleId="Tyyli1">
    <w:name w:val="Tyyli1"/>
    <w:basedOn w:val="Heading2"/>
    <w:rsid w:val="00ED3A3F"/>
    <w:rPr>
      <w:b/>
    </w:rPr>
  </w:style>
  <w:style w:type="paragraph" w:customStyle="1" w:styleId="Heading21">
    <w:name w:val="Heading 21"/>
    <w:basedOn w:val="Heading2"/>
    <w:qFormat/>
    <w:rsid w:val="00ED3A3F"/>
    <w:rPr>
      <w:b/>
    </w:rPr>
  </w:style>
  <w:style w:type="paragraph" w:customStyle="1" w:styleId="LeiptekstiA">
    <w:name w:val="Leipäteksti A"/>
    <w:rsid w:val="00ED3A3F"/>
    <w:pPr>
      <w:pBdr>
        <w:top w:val="nil"/>
        <w:left w:val="nil"/>
        <w:bottom w:val="nil"/>
        <w:right w:val="nil"/>
        <w:between w:val="nil"/>
        <w:bar w:val="nil"/>
      </w:pBdr>
    </w:pPr>
    <w:rPr>
      <w:rFonts w:ascii="Times New Roman" w:eastAsia="Arial Unicode MS" w:hAnsi="Arial Unicode MS" w:cs="Arial Unicode MS"/>
      <w:color w:val="000000"/>
      <w:sz w:val="24"/>
      <w:szCs w:val="24"/>
      <w:u w:color="000000"/>
      <w:bdr w:val="nil"/>
      <w:lang w:eastAsia="fi-FI"/>
    </w:rPr>
  </w:style>
  <w:style w:type="character" w:styleId="FollowedHyperlink">
    <w:name w:val="FollowedHyperlink"/>
    <w:uiPriority w:val="99"/>
    <w:semiHidden/>
    <w:unhideWhenUsed/>
    <w:rsid w:val="00ED3A3F"/>
    <w:rPr>
      <w:color w:val="800080"/>
      <w:u w:val="single"/>
    </w:rPr>
  </w:style>
  <w:style w:type="paragraph" w:styleId="Revision">
    <w:name w:val="Revision"/>
    <w:hidden/>
    <w:uiPriority w:val="99"/>
    <w:semiHidden/>
    <w:rsid w:val="00ED3A3F"/>
    <w:rPr>
      <w:rFonts w:ascii="Times New Roman" w:eastAsia="Arial Unicode MS" w:hAnsi="Arial Unicode MS" w:cs="Arial Unicode MS"/>
      <w:color w:val="000000"/>
      <w:sz w:val="24"/>
      <w:szCs w:val="24"/>
      <w:u w:color="000000"/>
      <w:bdr w:val="nil"/>
    </w:rPr>
  </w:style>
  <w:style w:type="character" w:customStyle="1" w:styleId="allowtextselection">
    <w:name w:val="allowtextselection"/>
    <w:basedOn w:val="DefaultParagraphFont"/>
    <w:rsid w:val="00ED3A3F"/>
  </w:style>
  <w:style w:type="table" w:styleId="TableGrid">
    <w:name w:val="Table Grid"/>
    <w:basedOn w:val="TableNormal"/>
    <w:uiPriority w:val="59"/>
    <w:qFormat/>
    <w:rsid w:val="00363A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363A61"/>
    <w:rPr>
      <w:color w:val="808080"/>
    </w:rPr>
  </w:style>
  <w:style w:type="character" w:styleId="Emphasis">
    <w:name w:val="Emphasis"/>
    <w:uiPriority w:val="20"/>
    <w:qFormat/>
    <w:rsid w:val="003045E4"/>
    <w:rPr>
      <w:i/>
      <w:iCs/>
    </w:rPr>
  </w:style>
  <w:style w:type="character" w:customStyle="1" w:styleId="hps">
    <w:name w:val="hps"/>
    <w:rsid w:val="007B6169"/>
  </w:style>
  <w:style w:type="paragraph" w:styleId="IntenseQuote">
    <w:name w:val="Intense Quote"/>
    <w:basedOn w:val="Normal"/>
    <w:next w:val="Normal"/>
    <w:link w:val="IntenseQuoteChar"/>
    <w:uiPriority w:val="30"/>
    <w:qFormat/>
    <w:rsid w:val="00AC6E2E"/>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AC6E2E"/>
    <w:rPr>
      <w:i/>
      <w:iCs/>
      <w:color w:val="4472C4" w:themeColor="accent1"/>
      <w:sz w:val="22"/>
      <w:szCs w:val="28"/>
      <w:lang w:val="en-US" w:bidi="bn-IN"/>
    </w:rPr>
  </w:style>
  <w:style w:type="paragraph" w:styleId="NormalWeb">
    <w:name w:val="Normal (Web)"/>
    <w:basedOn w:val="Normal"/>
    <w:uiPriority w:val="99"/>
    <w:semiHidden/>
    <w:unhideWhenUsed/>
    <w:rsid w:val="00124D8C"/>
    <w:pPr>
      <w:spacing w:before="100" w:beforeAutospacing="1" w:after="100" w:afterAutospacing="1" w:line="240" w:lineRule="auto"/>
    </w:pPr>
    <w:rPr>
      <w:rFonts w:ascii="Times New Roman" w:eastAsia="Times New Roman" w:hAnsi="Times New Roman"/>
      <w:sz w:val="24"/>
      <w:szCs w:val="24"/>
      <w:lang w:val="en-ID" w:bidi="ar-SA"/>
    </w:rPr>
  </w:style>
  <w:style w:type="paragraph" w:styleId="HTMLPreformatted">
    <w:name w:val="HTML Preformatted"/>
    <w:basedOn w:val="Normal"/>
    <w:link w:val="HTMLPreformattedChar"/>
    <w:uiPriority w:val="99"/>
    <w:semiHidden/>
    <w:unhideWhenUsed/>
    <w:rsid w:val="00C50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bidi="ar-SA"/>
    </w:rPr>
  </w:style>
  <w:style w:type="character" w:customStyle="1" w:styleId="HTMLPreformattedChar">
    <w:name w:val="HTML Preformatted Char"/>
    <w:basedOn w:val="DefaultParagraphFont"/>
    <w:link w:val="HTMLPreformatted"/>
    <w:uiPriority w:val="99"/>
    <w:semiHidden/>
    <w:rsid w:val="00C50B71"/>
    <w:rPr>
      <w:rFonts w:ascii="Courier New" w:eastAsia="Times New Roman" w:hAnsi="Courier New" w:cs="Courier New"/>
      <w:lang w:val="en-US"/>
    </w:rPr>
  </w:style>
  <w:style w:type="character" w:customStyle="1" w:styleId="y2iqfc">
    <w:name w:val="y2iqfc"/>
    <w:basedOn w:val="DefaultParagraphFont"/>
    <w:rsid w:val="00C50B71"/>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character" w:styleId="UnresolvedMention">
    <w:name w:val="Unresolved Mention"/>
    <w:basedOn w:val="DefaultParagraphFont"/>
    <w:uiPriority w:val="99"/>
    <w:semiHidden/>
    <w:unhideWhenUsed/>
    <w:rsid w:val="008151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8.png"/><Relationship Id="rId18" Type="http://schemas.openxmlformats.org/officeDocument/2006/relationships/hyperlink" Target="https://creativecommons.org/licenses/by/4.0/" TargetMode="External"/><Relationship Id="rId3" Type="http://schemas.openxmlformats.org/officeDocument/2006/relationships/numbering" Target="numbering.xml"/><Relationship Id="rId21"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hyperlink" Target="https://doi.org/10.47268/pamali.v4i1.XXXX" TargetMode="External"/><Relationship Id="rId17" Type="http://schemas.openxmlformats.org/officeDocument/2006/relationships/hyperlink" Target="https://creativecommons.org/licenses/by/4.0/"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doi.org/10.47268/pamali.v4i1.XXXX"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footer" Target="footer3.xml"/><Relationship Id="rId10" Type="http://schemas.openxmlformats.org/officeDocument/2006/relationships/hyperlink" Target="https://fhukum.unpatti.ac.id/jurnal/pamali/index" TargetMode="External"/><Relationship Id="rId19" Type="http://schemas.openxmlformats.org/officeDocument/2006/relationships/image" Target="media/image5.png"/><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image" Target="media/image3.jpg"/><Relationship Id="rId22"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2.xml.rels><?xml version="1.0" encoding="UTF-8" standalone="yes"?>
<Relationships xmlns="http://schemas.openxmlformats.org/package/2006/relationships"><Relationship Id="rId2" Type="http://schemas.openxmlformats.org/officeDocument/2006/relationships/hyperlink" Target="https://pasca.unpatti.ac.id/" TargetMode="External"/><Relationship Id="rId1" Type="http://schemas.openxmlformats.org/officeDocument/2006/relationships/hyperlink" Target="https://sinta.ristekbrin.go.id/authors/detail?id=6710041&amp;view=overvie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xg5rQOwhNXzVrYi7cXjyB6wfBOQ==">CgMxLjAyCGguZ2pkZ3hzMgloLjMwajB6bGw4AHIhMWNPcF9TT0FWbXQ3QXRNQ0p2U0tlbnZRU3hpeEpZMmF5</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A545F1A0-E4E7-4376-9E78-90FD73AA89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370</TotalTime>
  <Pages>14</Pages>
  <Words>6593</Words>
  <Characters>37582</Characters>
  <Application>Microsoft Office Word</Application>
  <DocSecurity>0</DocSecurity>
  <Lines>313</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Review</dc:creator>
  <cp:lastModifiedBy>moh syaiful</cp:lastModifiedBy>
  <cp:revision>39</cp:revision>
  <dcterms:created xsi:type="dcterms:W3CDTF">2024-05-12T01:59:00Z</dcterms:created>
  <dcterms:modified xsi:type="dcterms:W3CDTF">2025-06-10T03:36:00Z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30ad8103-531c-36d2-950b-6e6c72924956</vt:lpwstr>
  </property>
  <property fmtid="{D5CDD505-2E9C-101B-9397-08002B2CF9AE}" pid="4" name="Mendeley Citation Style_1">
    <vt:lpwstr>http://www.zotero.org/styles/chicago-fullnote-bibliography</vt:lpwstr>
  </property>
  <property fmtid="{D5CDD505-2E9C-101B-9397-08002B2CF9AE}" pid="5" name="Mendeley Recent Style Id 0_1">
    <vt:lpwstr>http://www.zotero.org/styles/apa</vt:lpwstr>
  </property>
  <property fmtid="{D5CDD505-2E9C-101B-9397-08002B2CF9AE}" pid="6" name="Mendeley Recent Style Name 0_1">
    <vt:lpwstr>American Psychological Association 7th edition</vt:lpwstr>
  </property>
  <property fmtid="{D5CDD505-2E9C-101B-9397-08002B2CF9AE}" pid="7" name="Mendeley Recent Style Id 1_1">
    <vt:lpwstr>http://www.zotero.org/styles/american-sociological-association</vt:lpwstr>
  </property>
  <property fmtid="{D5CDD505-2E9C-101B-9397-08002B2CF9AE}" pid="8" name="Mendeley Recent Style Name 1_1">
    <vt:lpwstr>American Sociological Association 6th edition</vt:lpwstr>
  </property>
  <property fmtid="{D5CDD505-2E9C-101B-9397-08002B2CF9AE}" pid="9" name="Mendeley Recent Style Id 2_1">
    <vt:lpwstr>http://www.zotero.org/styles/chicago-author-date</vt:lpwstr>
  </property>
  <property fmtid="{D5CDD505-2E9C-101B-9397-08002B2CF9AE}" pid="10" name="Mendeley Recent Style Name 2_1">
    <vt:lpwstr>Chicago Manual of Style 17th edition (author-date)</vt:lpwstr>
  </property>
  <property fmtid="{D5CDD505-2E9C-101B-9397-08002B2CF9AE}" pid="11" name="Mendeley Recent Style Id 3_1">
    <vt:lpwstr>http://www.zotero.org/styles/chicago-fullnote-bibliography</vt:lpwstr>
  </property>
  <property fmtid="{D5CDD505-2E9C-101B-9397-08002B2CF9AE}" pid="12" name="Mendeley Recent Style Name 3_1">
    <vt:lpwstr>Chicago Manual of Style 17th edition (full note)</vt:lpwstr>
  </property>
  <property fmtid="{D5CDD505-2E9C-101B-9397-08002B2CF9AE}" pid="13" name="Mendeley Recent Style Id 4_1">
    <vt:lpwstr>http://www.zotero.org/styles/chicago-note-bibliography</vt:lpwstr>
  </property>
  <property fmtid="{D5CDD505-2E9C-101B-9397-08002B2CF9AE}" pid="14" name="Mendeley Recent Style Name 4_1">
    <vt:lpwstr>Chicago Manual of Style 17th edition (note)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http://www.zotero.org/styles/harvard-cite-them-right-no-et-al</vt:lpwstr>
  </property>
  <property fmtid="{D5CDD505-2E9C-101B-9397-08002B2CF9AE}" pid="18" name="Mendeley Recent Style Name 6_1">
    <vt:lpwstr>Cite Them Right 12th edition - Harvard (no "et al.")</vt:lpwstr>
  </property>
  <property fmtid="{D5CDD505-2E9C-101B-9397-08002B2CF9AE}" pid="19" name="Mendeley Recent Style Id 7_1">
    <vt:lpwstr>http://www.zotero.org/styles/harvard1</vt:lpwstr>
  </property>
  <property fmtid="{D5CDD505-2E9C-101B-9397-08002B2CF9AE}" pid="20" name="Mendeley Recent Style Name 7_1">
    <vt:lpwstr>Harvard reference format 1 (deprecated)</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