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CF3"/>
  <w:body>
    <w:p w14:paraId="7A7EA152" w14:textId="77777777" w:rsidR="004562F9" w:rsidRDefault="004562F9">
      <w:pPr>
        <w:widowControl w:val="0"/>
        <w:pBdr>
          <w:top w:val="nil"/>
          <w:left w:val="nil"/>
          <w:bottom w:val="nil"/>
          <w:right w:val="nil"/>
          <w:between w:val="nil"/>
        </w:pBdr>
        <w:spacing w:after="0"/>
      </w:pPr>
    </w:p>
    <w:p w14:paraId="66FFD05B" w14:textId="77777777" w:rsidR="004562F9" w:rsidRDefault="00000000">
      <w:pPr>
        <w:pBdr>
          <w:top w:val="nil"/>
          <w:left w:val="nil"/>
          <w:bottom w:val="nil"/>
          <w:right w:val="nil"/>
          <w:between w:val="nil"/>
        </w:pBdr>
        <w:spacing w:after="0" w:line="240" w:lineRule="auto"/>
        <w:jc w:val="right"/>
        <w:rPr>
          <w:rFonts w:ascii="Book Antiqua" w:eastAsia="Book Antiqua" w:hAnsi="Book Antiqua" w:cs="Book Antiqua"/>
          <w:color w:val="000000"/>
          <w:sz w:val="20"/>
          <w:szCs w:val="20"/>
        </w:rPr>
      </w:pPr>
      <w:bookmarkStart w:id="0" w:name="_heading=h.gjdgxs" w:colFirst="0" w:colLast="0"/>
      <w:bookmarkEnd w:id="0"/>
      <w:r>
        <w:rPr>
          <w:noProof/>
        </w:rPr>
        <w:drawing>
          <wp:anchor distT="0" distB="0" distL="114300" distR="114300" simplePos="0" relativeHeight="251658240" behindDoc="0" locked="0" layoutInCell="1" hidden="0" allowOverlap="1" wp14:anchorId="3A5A8656" wp14:editId="3DE05B6C">
            <wp:simplePos x="0" y="0"/>
            <wp:positionH relativeFrom="column">
              <wp:posOffset>-758188</wp:posOffset>
            </wp:positionH>
            <wp:positionV relativeFrom="paragraph">
              <wp:posOffset>-329564</wp:posOffset>
            </wp:positionV>
            <wp:extent cx="7607300" cy="455930"/>
            <wp:effectExtent l="0" t="0" r="0" b="0"/>
            <wp:wrapNone/>
            <wp:docPr id="19" name="image3.jpg" descr="E:\FileKu\JURNAL FH UNPATTI\PAMALI\Logo Template PAMALI.jpg"/>
            <wp:cNvGraphicFramePr/>
            <a:graphic xmlns:a="http://schemas.openxmlformats.org/drawingml/2006/main">
              <a:graphicData uri="http://schemas.openxmlformats.org/drawingml/2006/picture">
                <pic:pic xmlns:pic="http://schemas.openxmlformats.org/drawingml/2006/picture">
                  <pic:nvPicPr>
                    <pic:cNvPr id="0" name="image3.jpg" descr="E:\FileKu\JURNAL FH UNPATTI\PAMALI\Logo Template PAMALI.jpg"/>
                    <pic:cNvPicPr preferRelativeResize="0"/>
                  </pic:nvPicPr>
                  <pic:blipFill>
                    <a:blip r:embed="rId8"/>
                    <a:srcRect/>
                    <a:stretch>
                      <a:fillRect/>
                    </a:stretch>
                  </pic:blipFill>
                  <pic:spPr>
                    <a:xfrm>
                      <a:off x="0" y="0"/>
                      <a:ext cx="7607300" cy="455930"/>
                    </a:xfrm>
                    <a:prstGeom prst="rect">
                      <a:avLst/>
                    </a:prstGeom>
                    <a:ln/>
                  </pic:spPr>
                </pic:pic>
              </a:graphicData>
            </a:graphic>
          </wp:anchor>
        </w:drawing>
      </w:r>
    </w:p>
    <w:p w14:paraId="7EE91FC7" w14:textId="77777777" w:rsidR="004562F9" w:rsidRDefault="00000000">
      <w:pPr>
        <w:pBdr>
          <w:top w:val="nil"/>
          <w:left w:val="nil"/>
          <w:bottom w:val="nil"/>
          <w:right w:val="nil"/>
          <w:between w:val="nil"/>
        </w:pBdr>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Volume X </w:t>
      </w:r>
      <w:proofErr w:type="spellStart"/>
      <w:r>
        <w:rPr>
          <w:rFonts w:ascii="Book Antiqua" w:eastAsia="Book Antiqua" w:hAnsi="Book Antiqua" w:cs="Book Antiqua"/>
          <w:color w:val="000000"/>
          <w:sz w:val="20"/>
          <w:szCs w:val="20"/>
        </w:rPr>
        <w:t>Nomor</w:t>
      </w:r>
      <w:proofErr w:type="spellEnd"/>
      <w:r>
        <w:rPr>
          <w:rFonts w:ascii="Book Antiqua" w:eastAsia="Book Antiqua" w:hAnsi="Book Antiqua" w:cs="Book Antiqua"/>
          <w:color w:val="000000"/>
          <w:sz w:val="20"/>
          <w:szCs w:val="20"/>
        </w:rPr>
        <w:t xml:space="preserve"> X, Bulan </w:t>
      </w:r>
      <w:proofErr w:type="spellStart"/>
      <w:r>
        <w:rPr>
          <w:rFonts w:ascii="Book Antiqua" w:eastAsia="Book Antiqua" w:hAnsi="Book Antiqua" w:cs="Book Antiqua"/>
          <w:color w:val="000000"/>
          <w:sz w:val="20"/>
          <w:szCs w:val="20"/>
        </w:rPr>
        <w:t>Tahun</w:t>
      </w:r>
      <w:proofErr w:type="spellEnd"/>
      <w:r>
        <w:rPr>
          <w:rFonts w:ascii="Book Antiqua" w:eastAsia="Book Antiqua" w:hAnsi="Book Antiqua" w:cs="Book Antiqua"/>
          <w:color w:val="000000"/>
          <w:sz w:val="20"/>
          <w:szCs w:val="20"/>
        </w:rPr>
        <w:t>: h. XX-XX</w:t>
      </w:r>
    </w:p>
    <w:p w14:paraId="507504A3" w14:textId="77777777" w:rsidR="004562F9" w:rsidRDefault="0000000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 E-ISSN: 2775-5649</w:t>
      </w:r>
    </w:p>
    <w:p w14:paraId="343FB80F" w14:textId="77777777" w:rsidR="004562F9" w:rsidRDefault="0000000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hyperlink r:id="rId9">
        <w:r>
          <w:rPr>
            <w:rFonts w:ascii="Book Antiqua" w:eastAsia="Book Antiqua" w:hAnsi="Book Antiqua" w:cs="Book Antiqua"/>
            <w:color w:val="0000FF"/>
            <w:sz w:val="20"/>
            <w:szCs w:val="20"/>
          </w:rPr>
          <w:t>https://fhukum.unpatti.ac.id/jurnal/pamali/index</w:t>
        </w:r>
      </w:hyperlink>
      <w:r>
        <w:rPr>
          <w:noProof/>
        </w:rPr>
        <w:drawing>
          <wp:anchor distT="0" distB="0" distL="114300" distR="114300" simplePos="0" relativeHeight="251659264" behindDoc="0" locked="0" layoutInCell="1" hidden="0" allowOverlap="1" wp14:anchorId="63201154" wp14:editId="6045AE36">
            <wp:simplePos x="0" y="0"/>
            <wp:positionH relativeFrom="column">
              <wp:posOffset>4222115</wp:posOffset>
            </wp:positionH>
            <wp:positionV relativeFrom="paragraph">
              <wp:posOffset>162560</wp:posOffset>
            </wp:positionV>
            <wp:extent cx="180975" cy="180975"/>
            <wp:effectExtent l="0" t="0" r="0" b="0"/>
            <wp:wrapNone/>
            <wp:docPr id="20" name="image1.png" descr="1200px-DOI_logo"/>
            <wp:cNvGraphicFramePr/>
            <a:graphic xmlns:a="http://schemas.openxmlformats.org/drawingml/2006/main">
              <a:graphicData uri="http://schemas.openxmlformats.org/drawingml/2006/picture">
                <pic:pic xmlns:pic="http://schemas.openxmlformats.org/drawingml/2006/picture">
                  <pic:nvPicPr>
                    <pic:cNvPr id="0" name="image1.png" descr="1200px-DOI_logo"/>
                    <pic:cNvPicPr preferRelativeResize="0"/>
                  </pic:nvPicPr>
                  <pic:blipFill>
                    <a:blip r:embed="rId10"/>
                    <a:srcRect/>
                    <a:stretch>
                      <a:fillRect/>
                    </a:stretch>
                  </pic:blipFill>
                  <pic:spPr>
                    <a:xfrm>
                      <a:off x="0" y="0"/>
                      <a:ext cx="180975" cy="18097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6C3940A1" wp14:editId="6B7159B8">
                <wp:simplePos x="0" y="0"/>
                <wp:positionH relativeFrom="column">
                  <wp:posOffset>-355599</wp:posOffset>
                </wp:positionH>
                <wp:positionV relativeFrom="paragraph">
                  <wp:posOffset>152400</wp:posOffset>
                </wp:positionV>
                <wp:extent cx="2762250" cy="295275"/>
                <wp:effectExtent l="0" t="0" r="0" b="0"/>
                <wp:wrapNone/>
                <wp:docPr id="17" name="Rectangle 17"/>
                <wp:cNvGraphicFramePr/>
                <a:graphic xmlns:a="http://schemas.openxmlformats.org/drawingml/2006/main">
                  <a:graphicData uri="http://schemas.microsoft.com/office/word/2010/wordprocessingShape">
                    <wps:wsp>
                      <wps:cNvSpPr/>
                      <wps:spPr>
                        <a:xfrm>
                          <a:off x="3969638" y="3637125"/>
                          <a:ext cx="2752725" cy="285750"/>
                        </a:xfrm>
                        <a:prstGeom prst="rect">
                          <a:avLst/>
                        </a:prstGeom>
                        <a:noFill/>
                        <a:ln>
                          <a:noFill/>
                        </a:ln>
                      </wps:spPr>
                      <wps:txbx>
                        <w:txbxContent>
                          <w:p w14:paraId="59A014A8" w14:textId="77777777" w:rsidR="004562F9" w:rsidRDefault="00000000">
                            <w:pPr>
                              <w:spacing w:after="60" w:line="240" w:lineRule="auto"/>
                              <w:ind w:left="425"/>
                              <w:textDirection w:val="btLr"/>
                            </w:pPr>
                            <w:r>
                              <w:rPr>
                                <w:rFonts w:ascii="Book Antiqua" w:eastAsia="Book Antiqua" w:hAnsi="Book Antiqua" w:cs="Book Antiqua"/>
                                <w:b/>
                                <w:color w:val="000000"/>
                                <w:sz w:val="18"/>
                              </w:rPr>
                              <w:t xml:space="preserve">PAMALI: </w:t>
                            </w:r>
                            <w:proofErr w:type="spellStart"/>
                            <w:r>
                              <w:rPr>
                                <w:rFonts w:ascii="Book Antiqua" w:eastAsia="Book Antiqua" w:hAnsi="Book Antiqua" w:cs="Book Antiqua"/>
                                <w:b/>
                                <w:color w:val="000000"/>
                                <w:sz w:val="18"/>
                              </w:rPr>
                              <w:t>Pattimura</w:t>
                            </w:r>
                            <w:proofErr w:type="spellEnd"/>
                            <w:r>
                              <w:rPr>
                                <w:rFonts w:ascii="Book Antiqua" w:eastAsia="Book Antiqua" w:hAnsi="Book Antiqua" w:cs="Book Antiqua"/>
                                <w:b/>
                                <w:color w:val="000000"/>
                                <w:sz w:val="18"/>
                              </w:rPr>
                              <w:t xml:space="preserve"> Magister Law Review</w:t>
                            </w:r>
                          </w:p>
                        </w:txbxContent>
                      </wps:txbx>
                      <wps:bodyPr spcFirstLastPara="1" wrap="square" lIns="91425" tIns="45700" rIns="91425" bIns="45700" anchor="ctr" anchorCtr="0">
                        <a:noAutofit/>
                      </wps:bodyPr>
                    </wps:wsp>
                  </a:graphicData>
                </a:graphic>
              </wp:anchor>
            </w:drawing>
          </mc:Choice>
          <mc:Fallback>
            <w:pict>
              <v:rect w14:anchorId="6C3940A1" id="Rectangle 17" o:spid="_x0000_s1026" style="position:absolute;left:0;text-align:left;margin-left:-28pt;margin-top:12pt;width:217.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" filled="f" stroked="f">
                <v:textbox inset="2.53958mm,1.2694mm,2.53958mm,1.2694mm">
                  <w:txbxContent>
                    <w:p w14:paraId="59A014A8" w14:textId="77777777" w:rsidR="004562F9" w:rsidRDefault="00000000">
                      <w:pPr>
                        <w:spacing w:after="60" w:line="240" w:lineRule="auto"/>
                        <w:ind w:left="425"/>
                        <w:textDirection w:val="btLr"/>
                      </w:pPr>
                      <w:r>
                        <w:rPr>
                          <w:rFonts w:ascii="Book Antiqua" w:eastAsia="Book Antiqua" w:hAnsi="Book Antiqua" w:cs="Book Antiqua"/>
                          <w:b/>
                          <w:color w:val="000000"/>
                          <w:sz w:val="18"/>
                        </w:rPr>
                        <w:t xml:space="preserve">PAMALI: </w:t>
                      </w:r>
                      <w:proofErr w:type="spellStart"/>
                      <w:r>
                        <w:rPr>
                          <w:rFonts w:ascii="Book Antiqua" w:eastAsia="Book Antiqua" w:hAnsi="Book Antiqua" w:cs="Book Antiqua"/>
                          <w:b/>
                          <w:color w:val="000000"/>
                          <w:sz w:val="18"/>
                        </w:rPr>
                        <w:t>Pattimura</w:t>
                      </w:r>
                      <w:proofErr w:type="spellEnd"/>
                      <w:r>
                        <w:rPr>
                          <w:rFonts w:ascii="Book Antiqua" w:eastAsia="Book Antiqua" w:hAnsi="Book Antiqua" w:cs="Book Antiqua"/>
                          <w:b/>
                          <w:color w:val="000000"/>
                          <w:sz w:val="18"/>
                        </w:rPr>
                        <w:t xml:space="preserve"> Magister Law Review</w:t>
                      </w:r>
                    </w:p>
                  </w:txbxContent>
                </v:textbox>
              </v:rect>
            </w:pict>
          </mc:Fallback>
        </mc:AlternateContent>
      </w:r>
    </w:p>
    <w:p w14:paraId="0B84DEEF" w14:textId="77777777" w:rsidR="004562F9" w:rsidRDefault="0000000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2F5496"/>
          <w:sz w:val="18"/>
          <w:szCs w:val="18"/>
        </w:rPr>
      </w:pPr>
      <w:r>
        <w:rPr>
          <w:rFonts w:ascii="Book Antiqua" w:eastAsia="Book Antiqua" w:hAnsi="Book Antiqua" w:cs="Book Antiqua"/>
          <w:color w:val="2F5496"/>
          <w:sz w:val="18"/>
          <w:szCs w:val="18"/>
        </w:rPr>
        <w:t xml:space="preserve"> : </w:t>
      </w:r>
      <w:hyperlink r:id="rId11">
        <w:r>
          <w:rPr>
            <w:rFonts w:ascii="Book Antiqua" w:eastAsia="Book Antiqua" w:hAnsi="Book Antiqua" w:cs="Book Antiqua"/>
            <w:color w:val="0000FF"/>
            <w:sz w:val="20"/>
            <w:szCs w:val="20"/>
          </w:rPr>
          <w:t>10.47268/</w:t>
        </w:r>
        <w:proofErr w:type="spellStart"/>
        <w:r>
          <w:rPr>
            <w:rFonts w:ascii="Book Antiqua" w:eastAsia="Book Antiqua" w:hAnsi="Book Antiqua" w:cs="Book Antiqua"/>
            <w:color w:val="0000FF"/>
            <w:sz w:val="20"/>
            <w:szCs w:val="20"/>
          </w:rPr>
          <w:t>pamali.vXiX.XXXX</w:t>
        </w:r>
        <w:proofErr w:type="spellEnd"/>
      </w:hyperlink>
      <w:r>
        <w:rPr>
          <w:noProof/>
        </w:rPr>
        <mc:AlternateContent>
          <mc:Choice Requires="wps">
            <w:drawing>
              <wp:anchor distT="0" distB="0" distL="114300" distR="114300" simplePos="0" relativeHeight="251661312" behindDoc="0" locked="0" layoutInCell="1" hidden="0" allowOverlap="1" wp14:anchorId="768BE426" wp14:editId="6FBC6CD4">
                <wp:simplePos x="0" y="0"/>
                <wp:positionH relativeFrom="column">
                  <wp:posOffset>-711199</wp:posOffset>
                </wp:positionH>
                <wp:positionV relativeFrom="paragraph">
                  <wp:posOffset>190500</wp:posOffset>
                </wp:positionV>
                <wp:extent cx="0" cy="76200"/>
                <wp:effectExtent l="0" t="0" r="0" b="0"/>
                <wp:wrapNone/>
                <wp:docPr id="18" name="Straight Arrow Connector 18"/>
                <wp:cNvGraphicFramePr/>
                <a:graphic xmlns:a="http://schemas.openxmlformats.org/drawingml/2006/main">
                  <a:graphicData uri="http://schemas.microsoft.com/office/word/2010/wordprocessingShape">
                    <wps:wsp>
                      <wps:cNvCnPr/>
                      <wps:spPr>
                        <a:xfrm>
                          <a:off x="1566163" y="3780000"/>
                          <a:ext cx="7559675" cy="0"/>
                        </a:xfrm>
                        <a:prstGeom prst="straightConnector1">
                          <a:avLst/>
                        </a:prstGeom>
                        <a:noFill/>
                        <a:ln w="76200" cap="flat" cmpd="dbl">
                          <a:solidFill>
                            <a:srgbClr val="AEABAB"/>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-711199</wp:posOffset>
                </wp:positionH>
                <wp:positionV relativeFrom="paragraph">
                  <wp:posOffset>190500</wp:posOffset>
                </wp:positionV>
                <wp:extent cx="0" cy="76200"/>
                <wp:effectExtent b="0" l="0" r="0" t="0"/>
                <wp:wrapNone/>
                <wp:docPr id="18"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0" cy="76200"/>
                        </a:xfrm>
                        <a:prstGeom prst="rect"/>
                        <a:ln/>
                      </pic:spPr>
                    </pic:pic>
                  </a:graphicData>
                </a:graphic>
              </wp:anchor>
            </w:drawing>
          </mc:Fallback>
        </mc:AlternateContent>
      </w:r>
    </w:p>
    <w:p w14:paraId="0369353E" w14:textId="77777777" w:rsidR="004562F9" w:rsidRDefault="004562F9">
      <w:pPr>
        <w:pBdr>
          <w:top w:val="nil"/>
          <w:left w:val="nil"/>
          <w:bottom w:val="nil"/>
          <w:right w:val="nil"/>
          <w:between w:val="nil"/>
        </w:pBdr>
        <w:spacing w:after="120" w:line="240" w:lineRule="auto"/>
        <w:rPr>
          <w:rFonts w:ascii="Book Antiqua" w:eastAsia="Book Antiqua" w:hAnsi="Book Antiqua" w:cs="Book Antiqua"/>
          <w:b/>
          <w:sz w:val="28"/>
        </w:rPr>
      </w:pPr>
    </w:p>
    <w:p w14:paraId="6A783CCD" w14:textId="77777777" w:rsidR="00F655DA" w:rsidRPr="000E4780" w:rsidRDefault="00F655DA" w:rsidP="00F655DA">
      <w:pPr>
        <w:spacing w:line="240" w:lineRule="auto"/>
        <w:jc w:val="both"/>
        <w:rPr>
          <w:rFonts w:ascii="Book Antiqua" w:hAnsi="Book Antiqua"/>
          <w:b/>
          <w:bCs/>
          <w:sz w:val="28"/>
        </w:rPr>
      </w:pPr>
      <w:r w:rsidRPr="000E4780">
        <w:rPr>
          <w:rFonts w:ascii="Book Antiqua" w:hAnsi="Book Antiqua"/>
          <w:b/>
          <w:bCs/>
          <w:sz w:val="28"/>
        </w:rPr>
        <w:t>Challenges and Solutions for Law Enforcement in Handling Online Pornography and Prostitution Crimes</w:t>
      </w:r>
    </w:p>
    <w:p w14:paraId="21C17F95" w14:textId="77777777" w:rsidR="00F655DA" w:rsidRPr="000E4780" w:rsidRDefault="00F655DA" w:rsidP="00F655DA">
      <w:pPr>
        <w:spacing w:after="120" w:line="240" w:lineRule="auto"/>
        <w:rPr>
          <w:rFonts w:ascii="Book Antiqua" w:hAnsi="Book Antiqua"/>
          <w:color w:val="000000" w:themeColor="text1"/>
          <w:sz w:val="24"/>
          <w:szCs w:val="24"/>
          <w:vertAlign w:val="superscript"/>
        </w:rPr>
      </w:pPr>
      <w:r w:rsidRPr="000E4780">
        <w:rPr>
          <w:rFonts w:ascii="Book Antiqua" w:hAnsi="Book Antiqua"/>
          <w:sz w:val="24"/>
          <w:szCs w:val="24"/>
        </w:rPr>
        <w:t>Sarip Hidayat</w:t>
      </w:r>
      <w:r w:rsidRPr="000E4780">
        <w:rPr>
          <w:rFonts w:ascii="Book Antiqua" w:hAnsi="Book Antiqua"/>
          <w:sz w:val="24"/>
          <w:szCs w:val="24"/>
          <w:vertAlign w:val="superscript"/>
        </w:rPr>
        <w:t xml:space="preserve"> 1</w:t>
      </w:r>
    </w:p>
    <w:p w14:paraId="17483B51" w14:textId="77777777" w:rsidR="00F655DA" w:rsidRPr="00C446EC" w:rsidRDefault="00F655DA" w:rsidP="00F655DA">
      <w:pPr>
        <w:spacing w:after="0"/>
        <w:rPr>
          <w:rFonts w:ascii="Book Antiqua" w:hAnsi="Book Antiqua"/>
          <w:sz w:val="20"/>
          <w:szCs w:val="20"/>
        </w:rPr>
      </w:pPr>
      <w:r w:rsidRPr="00C446EC">
        <w:rPr>
          <w:rFonts w:ascii="Book Antiqua" w:hAnsi="Book Antiqua"/>
          <w:bCs/>
          <w:sz w:val="20"/>
          <w:szCs w:val="20"/>
          <w:vertAlign w:val="superscript"/>
        </w:rPr>
        <w:t>1</w:t>
      </w:r>
      <w:r w:rsidRPr="00C446EC">
        <w:rPr>
          <w:rFonts w:ascii="Book Antiqua" w:hAnsi="Book Antiqua"/>
          <w:sz w:val="20"/>
          <w:szCs w:val="20"/>
        </w:rPr>
        <w:t xml:space="preserve">Faculty of Law, </w:t>
      </w:r>
      <w:proofErr w:type="spellStart"/>
      <w:r w:rsidRPr="00C446EC">
        <w:rPr>
          <w:rFonts w:ascii="Book Antiqua" w:hAnsi="Book Antiqua"/>
          <w:sz w:val="20"/>
          <w:szCs w:val="20"/>
        </w:rPr>
        <w:t>Kuningan</w:t>
      </w:r>
      <w:proofErr w:type="spellEnd"/>
      <w:r w:rsidRPr="00C446EC">
        <w:rPr>
          <w:rFonts w:ascii="Book Antiqua" w:hAnsi="Book Antiqua"/>
          <w:sz w:val="20"/>
          <w:szCs w:val="20"/>
        </w:rPr>
        <w:t xml:space="preserve"> University, Indonesia</w:t>
      </w:r>
    </w:p>
    <w:p w14:paraId="2912864F" w14:textId="308C564B" w:rsidR="004562F9" w:rsidRDefault="00000000">
      <w:pPr>
        <w:spacing w:after="0" w:line="240" w:lineRule="auto"/>
        <w:rPr>
          <w:rFonts w:ascii="Book Antiqua" w:eastAsia="Book Antiqua" w:hAnsi="Book Antiqua" w:cs="Book Antiqua"/>
          <w:color w:val="000000"/>
        </w:rPr>
      </w:pPr>
      <w:r>
        <w:rPr>
          <w:rFonts w:ascii="Book Antiqua" w:eastAsia="Book Antiqua" w:hAnsi="Book Antiqua" w:cs="Book Antiqua"/>
          <w:sz w:val="18"/>
          <w:szCs w:val="18"/>
        </w:rPr>
        <w:t xml:space="preserve">        </w:t>
      </w:r>
      <w:r>
        <w:rPr>
          <w:rFonts w:ascii="Book Antiqua" w:eastAsia="Book Antiqua" w:hAnsi="Book Antiqua" w:cs="Book Antiqua"/>
        </w:rPr>
        <w:t>:</w:t>
      </w:r>
      <w:r>
        <w:rPr>
          <w:rFonts w:ascii="Book Antiqua" w:eastAsia="Book Antiqua" w:hAnsi="Book Antiqua" w:cs="Book Antiqua"/>
          <w:vertAlign w:val="superscript"/>
        </w:rPr>
        <w:t xml:space="preserve"> </w:t>
      </w:r>
      <w:r>
        <w:rPr>
          <w:noProof/>
        </w:rPr>
        <w:drawing>
          <wp:anchor distT="0" distB="0" distL="0" distR="0" simplePos="0" relativeHeight="251662336" behindDoc="1" locked="0" layoutInCell="1" hidden="0" allowOverlap="1" wp14:anchorId="2AA7F7EE" wp14:editId="08DF2321">
            <wp:simplePos x="0" y="0"/>
            <wp:positionH relativeFrom="column">
              <wp:posOffset>5814060</wp:posOffset>
            </wp:positionH>
            <wp:positionV relativeFrom="paragraph">
              <wp:posOffset>13970</wp:posOffset>
            </wp:positionV>
            <wp:extent cx="324000" cy="338727"/>
            <wp:effectExtent l="0" t="0" r="0" b="0"/>
            <wp:wrapNone/>
            <wp:docPr id="2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324000" cy="338727"/>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73536F45" wp14:editId="62E09271">
            <wp:simplePos x="0" y="0"/>
            <wp:positionH relativeFrom="column">
              <wp:posOffset>1</wp:posOffset>
            </wp:positionH>
            <wp:positionV relativeFrom="paragraph">
              <wp:posOffset>0</wp:posOffset>
            </wp:positionV>
            <wp:extent cx="208169" cy="144000"/>
            <wp:effectExtent l="0" t="0" r="0" b="0"/>
            <wp:wrapNone/>
            <wp:docPr id="23" name="image2.png" descr="E:\FileKu\Jurnal BALOBE\download.png"/>
            <wp:cNvGraphicFramePr/>
            <a:graphic xmlns:a="http://schemas.openxmlformats.org/drawingml/2006/main">
              <a:graphicData uri="http://schemas.openxmlformats.org/drawingml/2006/picture">
                <pic:pic xmlns:pic="http://schemas.openxmlformats.org/drawingml/2006/picture">
                  <pic:nvPicPr>
                    <pic:cNvPr id="0" name="image2.png" descr="E:\FileKu\Jurnal BALOBE\download.png"/>
                    <pic:cNvPicPr preferRelativeResize="0"/>
                  </pic:nvPicPr>
                  <pic:blipFill>
                    <a:blip r:embed="rId15"/>
                    <a:srcRect/>
                    <a:stretch>
                      <a:fillRect/>
                    </a:stretch>
                  </pic:blipFill>
                  <pic:spPr>
                    <a:xfrm>
                      <a:off x="0" y="0"/>
                      <a:ext cx="208169" cy="144000"/>
                    </a:xfrm>
                    <a:prstGeom prst="rect">
                      <a:avLst/>
                    </a:prstGeom>
                    <a:ln/>
                  </pic:spPr>
                </pic:pic>
              </a:graphicData>
            </a:graphic>
          </wp:anchor>
        </w:drawing>
      </w:r>
      <w:r w:rsidR="00F655DA">
        <w:rPr>
          <w:rFonts w:ascii="Book Antiqua" w:eastAsia="Book Antiqua" w:hAnsi="Book Antiqua" w:cs="Book Antiqua"/>
          <w:sz w:val="20"/>
          <w:szCs w:val="20"/>
        </w:rPr>
        <w:t>sarip.hidayat@uniku.ac.id</w:t>
      </w:r>
    </w:p>
    <w:p w14:paraId="46B73CAC" w14:textId="71BB44FF" w:rsidR="004562F9" w:rsidRPr="000E4780" w:rsidRDefault="000E4780" w:rsidP="000E4780">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sidRPr="00023DA6">
        <w:rPr>
          <w:rFonts w:ascii="Book Antiqua" w:hAnsi="Book Antiqua"/>
          <w:bCs/>
          <w:sz w:val="20"/>
          <w:szCs w:val="24"/>
          <w:vertAlign w:val="superscript"/>
        </w:rPr>
        <w:t>*</w:t>
      </w:r>
    </w:p>
    <w:tbl>
      <w:tblPr>
        <w:tblStyle w:val="a"/>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8"/>
        <w:gridCol w:w="2300"/>
        <w:gridCol w:w="2410"/>
        <w:gridCol w:w="2551"/>
      </w:tblGrid>
      <w:tr w:rsidR="004562F9" w14:paraId="433CB2A5" w14:textId="77777777">
        <w:tc>
          <w:tcPr>
            <w:tcW w:w="9639" w:type="dxa"/>
            <w:gridSpan w:val="4"/>
            <w:tcBorders>
              <w:top w:val="single" w:sz="4" w:space="0" w:color="000000"/>
              <w:left w:val="nil"/>
              <w:bottom w:val="nil"/>
              <w:right w:val="nil"/>
            </w:tcBorders>
            <w:shd w:val="clear" w:color="auto" w:fill="D9E2F3"/>
            <w:vAlign w:val="center"/>
          </w:tcPr>
          <w:p w14:paraId="7E9F6042" w14:textId="77777777" w:rsidR="004562F9" w:rsidRDefault="00000000">
            <w:pPr>
              <w:spacing w:after="0" w:line="240" w:lineRule="auto"/>
              <w:jc w:val="center"/>
              <w:rPr>
                <w:rFonts w:ascii="Book Antiqua" w:eastAsia="Book Antiqua" w:hAnsi="Book Antiqua" w:cs="Book Antiqua"/>
                <w:b/>
                <w:i/>
                <w:color w:val="000000"/>
              </w:rPr>
            </w:pPr>
            <w:r>
              <w:rPr>
                <w:rFonts w:ascii="Book Antiqua" w:eastAsia="Book Antiqua" w:hAnsi="Book Antiqua" w:cs="Book Antiqua"/>
                <w:b/>
                <w:i/>
                <w:color w:val="000000"/>
              </w:rPr>
              <w:t>Abstract</w:t>
            </w:r>
          </w:p>
        </w:tc>
      </w:tr>
      <w:tr w:rsidR="004562F9" w14:paraId="75837787" w14:textId="77777777">
        <w:tc>
          <w:tcPr>
            <w:tcW w:w="9639" w:type="dxa"/>
            <w:gridSpan w:val="4"/>
            <w:tcBorders>
              <w:top w:val="nil"/>
              <w:left w:val="nil"/>
              <w:bottom w:val="single" w:sz="4" w:space="0" w:color="000000"/>
              <w:right w:val="nil"/>
            </w:tcBorders>
            <w:shd w:val="clear" w:color="auto" w:fill="FFFFFF"/>
            <w:vAlign w:val="center"/>
          </w:tcPr>
          <w:p w14:paraId="46C72104" w14:textId="2E7317E5" w:rsidR="00C07EBB" w:rsidRPr="00C07EBB" w:rsidRDefault="00C07EBB">
            <w:pPr>
              <w:spacing w:after="120" w:line="240" w:lineRule="auto"/>
              <w:ind w:left="-108" w:right="-108"/>
              <w:jc w:val="both"/>
              <w:rPr>
                <w:rFonts w:ascii="Book Antiqua" w:hAnsi="Book Antiqua"/>
                <w:i/>
                <w:iCs/>
                <w:sz w:val="20"/>
                <w:szCs w:val="20"/>
                <w:lang w:val="en-GB"/>
              </w:rPr>
            </w:pPr>
            <w:r w:rsidRPr="00C07EBB">
              <w:rPr>
                <w:rFonts w:ascii="Book Antiqua" w:hAnsi="Book Antiqua"/>
                <w:i/>
                <w:iCs/>
                <w:sz w:val="20"/>
                <w:szCs w:val="20"/>
                <w:lang w:val="en-GB"/>
              </w:rPr>
              <w:t>The development of digital technology has pushed the emergence of various forms of cybercrime, including criminal acts of pornography and online prostitution which are increasingly rampant in Indonesia. This crime not only impacts the morality of society, but also gives rise to serious challenges in the process of law enforcement. This research aims to identify various challenges faced by law enforcement apparatus in uncovering and handling criminal acts mentioned, as well as offering strategic solutions that can be applied. The method used in this study is a normative legal approach with analysis to regulatory legislation, literature studies, and actual cases. Research results show that challenges main covering weakness regulation, limited source Power humans and technology, anonymity of actors in the digital world, as well as lack of Work The same international. To overcome the problem said, legal reform is needed, increasing capacity of law enforcers, utilization of digital forensic technology, as well as a collaborative inter-agency and participation society approach. With a comprehensive and adaptive strategy, it is hoped that law enforcement against criminal acts of online pornography and prostitution can be more effective and sustainable.</w:t>
            </w:r>
          </w:p>
          <w:p w14:paraId="65C29964" w14:textId="01184222" w:rsidR="004562F9" w:rsidRPr="00C07EBB" w:rsidRDefault="00000000">
            <w:pPr>
              <w:spacing w:after="120" w:line="240" w:lineRule="auto"/>
              <w:ind w:left="-108" w:right="-108"/>
              <w:jc w:val="both"/>
              <w:rPr>
                <w:rFonts w:ascii="Book Antiqua" w:eastAsia="Book Antiqua" w:hAnsi="Book Antiqua" w:cs="Book Antiqua"/>
                <w:b/>
                <w:i/>
                <w:color w:val="000000"/>
                <w:sz w:val="20"/>
                <w:szCs w:val="20"/>
              </w:rPr>
            </w:pPr>
            <w:r w:rsidRPr="00C07EBB">
              <w:rPr>
                <w:rFonts w:ascii="Book Antiqua" w:eastAsia="Book Antiqua" w:hAnsi="Book Antiqua" w:cs="Book Antiqua"/>
                <w:b/>
                <w:i/>
                <w:color w:val="000000"/>
                <w:sz w:val="20"/>
                <w:szCs w:val="20"/>
              </w:rPr>
              <w:t>Keywords:</w:t>
            </w:r>
            <w:r w:rsidRPr="00C07EBB">
              <w:rPr>
                <w:rFonts w:ascii="Book Antiqua" w:eastAsia="Book Antiqua" w:hAnsi="Book Antiqua" w:cs="Book Antiqua"/>
                <w:b/>
                <w:i/>
                <w:color w:val="FFC000"/>
                <w:sz w:val="20"/>
                <w:szCs w:val="20"/>
              </w:rPr>
              <w:t xml:space="preserve"> </w:t>
            </w:r>
            <w:proofErr w:type="spellStart"/>
            <w:r w:rsidR="00C07EBB" w:rsidRPr="00C07EBB">
              <w:rPr>
                <w:rFonts w:ascii="Book Antiqua" w:hAnsi="Book Antiqua"/>
                <w:b/>
                <w:bCs/>
                <w:i/>
                <w:iCs/>
                <w:color w:val="000000" w:themeColor="text1"/>
                <w:sz w:val="20"/>
                <w:szCs w:val="20"/>
                <w:lang w:val="id-ID"/>
              </w:rPr>
              <w:t>Enforcement</w:t>
            </w:r>
            <w:proofErr w:type="spellEnd"/>
            <w:r w:rsidR="00C07EBB" w:rsidRPr="00C07EBB">
              <w:rPr>
                <w:rFonts w:ascii="Book Antiqua" w:hAnsi="Book Antiqua"/>
                <w:b/>
                <w:bCs/>
                <w:i/>
                <w:iCs/>
                <w:color w:val="000000" w:themeColor="text1"/>
                <w:sz w:val="20"/>
                <w:szCs w:val="20"/>
                <w:lang w:val="id-ID"/>
              </w:rPr>
              <w:t xml:space="preserve"> </w:t>
            </w:r>
            <w:proofErr w:type="spellStart"/>
            <w:r w:rsidR="00C07EBB" w:rsidRPr="00C07EBB">
              <w:rPr>
                <w:rFonts w:ascii="Book Antiqua" w:hAnsi="Book Antiqua"/>
                <w:b/>
                <w:bCs/>
                <w:i/>
                <w:iCs/>
                <w:color w:val="000000" w:themeColor="text1"/>
                <w:sz w:val="20"/>
                <w:szCs w:val="20"/>
                <w:lang w:val="id-ID"/>
              </w:rPr>
              <w:t>law</w:t>
            </w:r>
            <w:proofErr w:type="spellEnd"/>
            <w:r w:rsidR="00C07EBB" w:rsidRPr="00C07EBB">
              <w:rPr>
                <w:rFonts w:ascii="Book Antiqua" w:hAnsi="Book Antiqua"/>
                <w:b/>
                <w:bCs/>
                <w:i/>
                <w:iCs/>
                <w:color w:val="000000" w:themeColor="text1"/>
                <w:sz w:val="20"/>
                <w:szCs w:val="20"/>
                <w:lang w:val="id-ID"/>
              </w:rPr>
              <w:t xml:space="preserve">, </w:t>
            </w:r>
            <w:proofErr w:type="spellStart"/>
            <w:r w:rsidR="00C07EBB" w:rsidRPr="00C07EBB">
              <w:rPr>
                <w:rFonts w:ascii="Book Antiqua" w:hAnsi="Book Antiqua"/>
                <w:b/>
                <w:bCs/>
                <w:i/>
                <w:iCs/>
                <w:color w:val="000000" w:themeColor="text1"/>
                <w:sz w:val="20"/>
                <w:szCs w:val="20"/>
                <w:lang w:val="id-ID"/>
              </w:rPr>
              <w:t>pornography</w:t>
            </w:r>
            <w:proofErr w:type="spellEnd"/>
            <w:r w:rsidR="00C07EBB" w:rsidRPr="00C07EBB">
              <w:rPr>
                <w:rFonts w:ascii="Book Antiqua" w:hAnsi="Book Antiqua"/>
                <w:b/>
                <w:bCs/>
                <w:i/>
                <w:iCs/>
                <w:color w:val="000000" w:themeColor="text1"/>
                <w:sz w:val="20"/>
                <w:szCs w:val="20"/>
                <w:lang w:val="id-ID"/>
              </w:rPr>
              <w:t xml:space="preserve">, </w:t>
            </w:r>
            <w:proofErr w:type="spellStart"/>
            <w:r w:rsidR="00C07EBB" w:rsidRPr="00C07EBB">
              <w:rPr>
                <w:rFonts w:ascii="Book Antiqua" w:hAnsi="Book Antiqua"/>
                <w:b/>
                <w:bCs/>
                <w:i/>
                <w:iCs/>
                <w:color w:val="000000" w:themeColor="text1"/>
                <w:sz w:val="20"/>
                <w:szCs w:val="20"/>
                <w:lang w:val="id-ID"/>
              </w:rPr>
              <w:t>prostitution</w:t>
            </w:r>
            <w:proofErr w:type="spellEnd"/>
            <w:r w:rsidR="00C07EBB" w:rsidRPr="00C07EBB">
              <w:rPr>
                <w:rFonts w:ascii="Book Antiqua" w:hAnsi="Book Antiqua"/>
                <w:b/>
                <w:bCs/>
                <w:i/>
                <w:iCs/>
                <w:color w:val="000000" w:themeColor="text1"/>
                <w:sz w:val="20"/>
                <w:szCs w:val="20"/>
                <w:lang w:val="id-ID"/>
              </w:rPr>
              <w:t xml:space="preserve">, </w:t>
            </w:r>
            <w:proofErr w:type="spellStart"/>
            <w:r w:rsidR="00C07EBB" w:rsidRPr="00C07EBB">
              <w:rPr>
                <w:rFonts w:ascii="Book Antiqua" w:hAnsi="Book Antiqua"/>
                <w:b/>
                <w:bCs/>
                <w:i/>
                <w:iCs/>
                <w:color w:val="000000" w:themeColor="text1"/>
                <w:sz w:val="20"/>
                <w:szCs w:val="20"/>
                <w:lang w:val="id-ID"/>
              </w:rPr>
              <w:t>cybercrime</w:t>
            </w:r>
            <w:proofErr w:type="spellEnd"/>
            <w:r w:rsidR="00C07EBB" w:rsidRPr="00C07EBB">
              <w:rPr>
                <w:rFonts w:ascii="Book Antiqua" w:hAnsi="Book Antiqua"/>
                <w:b/>
                <w:bCs/>
                <w:i/>
                <w:iCs/>
                <w:color w:val="000000" w:themeColor="text1"/>
                <w:sz w:val="20"/>
                <w:szCs w:val="20"/>
                <w:lang w:val="id-ID"/>
              </w:rPr>
              <w:t xml:space="preserve">, </w:t>
            </w:r>
            <w:proofErr w:type="spellStart"/>
            <w:r w:rsidR="00C07EBB" w:rsidRPr="00C07EBB">
              <w:rPr>
                <w:rFonts w:ascii="Book Antiqua" w:hAnsi="Book Antiqua"/>
                <w:b/>
                <w:bCs/>
                <w:i/>
                <w:iCs/>
                <w:color w:val="000000" w:themeColor="text1"/>
                <w:sz w:val="20"/>
                <w:szCs w:val="20"/>
                <w:lang w:val="id-ID"/>
              </w:rPr>
              <w:t>solutions</w:t>
            </w:r>
            <w:proofErr w:type="spellEnd"/>
            <w:r w:rsidR="00C07EBB" w:rsidRPr="00C07EBB">
              <w:rPr>
                <w:rFonts w:ascii="Book Antiqua" w:hAnsi="Book Antiqua"/>
                <w:b/>
                <w:bCs/>
                <w:i/>
                <w:iCs/>
                <w:color w:val="000000" w:themeColor="text1"/>
                <w:sz w:val="20"/>
                <w:szCs w:val="20"/>
                <w:lang w:val="id-ID"/>
              </w:rPr>
              <w:t xml:space="preserve"> </w:t>
            </w:r>
            <w:proofErr w:type="spellStart"/>
            <w:r w:rsidR="00C07EBB" w:rsidRPr="00C07EBB">
              <w:rPr>
                <w:rFonts w:ascii="Book Antiqua" w:hAnsi="Book Antiqua"/>
                <w:b/>
                <w:bCs/>
                <w:i/>
                <w:iCs/>
                <w:color w:val="000000" w:themeColor="text1"/>
                <w:sz w:val="20"/>
                <w:szCs w:val="20"/>
                <w:lang w:val="id-ID"/>
              </w:rPr>
              <w:t>law</w:t>
            </w:r>
            <w:proofErr w:type="spellEnd"/>
            <w:r w:rsidR="00C07EBB" w:rsidRPr="00C07EBB">
              <w:rPr>
                <w:rFonts w:ascii="Book Antiqua" w:hAnsi="Book Antiqua"/>
                <w:b/>
                <w:bCs/>
                <w:i/>
                <w:iCs/>
                <w:color w:val="000000" w:themeColor="text1"/>
                <w:sz w:val="20"/>
                <w:szCs w:val="20"/>
                <w:lang w:val="id-ID"/>
              </w:rPr>
              <w:t>.</w:t>
            </w:r>
          </w:p>
        </w:tc>
      </w:tr>
      <w:tr w:rsidR="004562F9" w14:paraId="7F99B0AB" w14:textId="77777777">
        <w:tc>
          <w:tcPr>
            <w:tcW w:w="9639" w:type="dxa"/>
            <w:gridSpan w:val="4"/>
            <w:tcBorders>
              <w:top w:val="single" w:sz="4" w:space="0" w:color="000000"/>
              <w:left w:val="nil"/>
              <w:bottom w:val="nil"/>
              <w:right w:val="nil"/>
            </w:tcBorders>
            <w:shd w:val="clear" w:color="auto" w:fill="D9E2F3"/>
            <w:vAlign w:val="center"/>
          </w:tcPr>
          <w:p w14:paraId="4F8D6CF4" w14:textId="77777777" w:rsidR="004562F9" w:rsidRDefault="00000000">
            <w:pPr>
              <w:spacing w:after="0" w:line="240" w:lineRule="auto"/>
              <w:jc w:val="center"/>
              <w:rPr>
                <w:rFonts w:ascii="Book Antiqua" w:eastAsia="Book Antiqua" w:hAnsi="Book Antiqua" w:cs="Book Antiqua"/>
                <w:b/>
                <w:i/>
                <w:color w:val="000000"/>
              </w:rPr>
            </w:pPr>
            <w:proofErr w:type="spellStart"/>
            <w:r>
              <w:rPr>
                <w:rFonts w:ascii="Book Antiqua" w:eastAsia="Book Antiqua" w:hAnsi="Book Antiqua" w:cs="Book Antiqua"/>
                <w:b/>
                <w:color w:val="000000"/>
              </w:rPr>
              <w:t>Abstrak</w:t>
            </w:r>
            <w:proofErr w:type="spellEnd"/>
          </w:p>
        </w:tc>
      </w:tr>
      <w:tr w:rsidR="004562F9" w14:paraId="1D8B2DDA" w14:textId="77777777">
        <w:tc>
          <w:tcPr>
            <w:tcW w:w="9639" w:type="dxa"/>
            <w:gridSpan w:val="4"/>
            <w:tcBorders>
              <w:top w:val="nil"/>
              <w:left w:val="nil"/>
              <w:bottom w:val="single" w:sz="4" w:space="0" w:color="000000"/>
              <w:right w:val="nil"/>
            </w:tcBorders>
            <w:vAlign w:val="center"/>
          </w:tcPr>
          <w:p w14:paraId="2CCD0966" w14:textId="77777777" w:rsidR="00C07EBB" w:rsidRPr="00C07EBB" w:rsidRDefault="00C07EBB" w:rsidP="00C07EBB">
            <w:pPr>
              <w:widowControl w:val="0"/>
              <w:autoSpaceDE w:val="0"/>
              <w:autoSpaceDN w:val="0"/>
              <w:adjustRightInd w:val="0"/>
              <w:spacing w:after="0" w:line="240" w:lineRule="auto"/>
              <w:ind w:left="-107"/>
              <w:jc w:val="both"/>
              <w:rPr>
                <w:rFonts w:ascii="Book Antiqua" w:hAnsi="Book Antiqua"/>
                <w:sz w:val="20"/>
                <w:szCs w:val="20"/>
                <w:lang w:val="en-GB"/>
              </w:rPr>
            </w:pPr>
            <w:proofErr w:type="spellStart"/>
            <w:r w:rsidRPr="00C07EBB">
              <w:rPr>
                <w:rFonts w:ascii="Book Antiqua" w:hAnsi="Book Antiqua"/>
                <w:sz w:val="20"/>
                <w:szCs w:val="20"/>
                <w:lang w:val="en-GB"/>
              </w:rPr>
              <w:t>Perkembangan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teknologi</w:t>
            </w:r>
            <w:proofErr w:type="spellEnd"/>
            <w:r w:rsidRPr="00C07EBB">
              <w:rPr>
                <w:rFonts w:ascii="Book Antiqua" w:hAnsi="Book Antiqua"/>
                <w:sz w:val="20"/>
                <w:szCs w:val="20"/>
                <w:lang w:val="en-GB"/>
              </w:rPr>
              <w:t xml:space="preserve"> digital </w:t>
            </w:r>
            <w:proofErr w:type="spellStart"/>
            <w:r w:rsidRPr="00C07EBB">
              <w:rPr>
                <w:rFonts w:ascii="Book Antiqua" w:hAnsi="Book Antiqua"/>
                <w:sz w:val="20"/>
                <w:szCs w:val="20"/>
                <w:lang w:val="en-GB"/>
              </w:rPr>
              <w:t>telah</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mendorong</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munculnya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berbagai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bentuk</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kejahatan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siber</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termasuk</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tindak</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pidana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pornografi</w:t>
            </w:r>
            <w:proofErr w:type="spellEnd"/>
            <w:r w:rsidRPr="00C07EBB">
              <w:rPr>
                <w:rFonts w:ascii="Book Antiqua" w:hAnsi="Book Antiqua"/>
                <w:sz w:val="20"/>
                <w:szCs w:val="20"/>
                <w:lang w:val="en-GB"/>
              </w:rPr>
              <w:t xml:space="preserve"> dan </w:t>
            </w:r>
            <w:proofErr w:type="spellStart"/>
            <w:r w:rsidRPr="00C07EBB">
              <w:rPr>
                <w:rFonts w:ascii="Book Antiqua" w:hAnsi="Book Antiqua"/>
                <w:sz w:val="20"/>
                <w:szCs w:val="20"/>
                <w:lang w:val="en-GB"/>
              </w:rPr>
              <w:t>prostitusi</w:t>
            </w:r>
            <w:proofErr w:type="spellEnd"/>
            <w:r w:rsidRPr="00C07EBB">
              <w:rPr>
                <w:rFonts w:ascii="Book Antiqua" w:hAnsi="Book Antiqua"/>
                <w:sz w:val="20"/>
                <w:szCs w:val="20"/>
                <w:lang w:val="en-GB"/>
              </w:rPr>
              <w:t xml:space="preserve"> online yang </w:t>
            </w:r>
            <w:proofErr w:type="spellStart"/>
            <w:r w:rsidRPr="00C07EBB">
              <w:rPr>
                <w:rFonts w:ascii="Book Antiqua" w:hAnsi="Book Antiqua"/>
                <w:sz w:val="20"/>
                <w:szCs w:val="20"/>
                <w:lang w:val="en-GB"/>
              </w:rPr>
              <w:t>kian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marak</w:t>
            </w:r>
            <w:proofErr w:type="spellEnd"/>
            <w:r w:rsidRPr="00C07EBB">
              <w:rPr>
                <w:rFonts w:ascii="Book Antiqua" w:hAnsi="Book Antiqua"/>
                <w:sz w:val="20"/>
                <w:szCs w:val="20"/>
                <w:lang w:val="en-GB"/>
              </w:rPr>
              <w:t xml:space="preserve"> di Indonesia. </w:t>
            </w:r>
            <w:proofErr w:type="spellStart"/>
            <w:r w:rsidRPr="00C07EBB">
              <w:rPr>
                <w:rFonts w:ascii="Book Antiqua" w:hAnsi="Book Antiqua"/>
                <w:sz w:val="20"/>
                <w:szCs w:val="20"/>
                <w:lang w:val="en-GB"/>
              </w:rPr>
              <w:t>Kejahatan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ini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tidak</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hanya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berdampak</w:t>
            </w:r>
            <w:proofErr w:type="spellEnd"/>
            <w:r w:rsidRPr="00C07EBB">
              <w:rPr>
                <w:rFonts w:ascii="Book Antiqua" w:hAnsi="Book Antiqua"/>
                <w:sz w:val="20"/>
                <w:szCs w:val="20"/>
                <w:lang w:val="en-GB"/>
              </w:rPr>
              <w:t xml:space="preserve"> pada </w:t>
            </w:r>
            <w:proofErr w:type="spellStart"/>
            <w:r w:rsidRPr="00C07EBB">
              <w:rPr>
                <w:rFonts w:ascii="Book Antiqua" w:hAnsi="Book Antiqua"/>
                <w:sz w:val="20"/>
                <w:szCs w:val="20"/>
                <w:lang w:val="en-GB"/>
              </w:rPr>
              <w:t>moralitas</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masyarakat</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tetapi</w:t>
            </w:r>
            <w:proofErr w:type="spellEnd"/>
            <w:r w:rsidRPr="00C07EBB">
              <w:rPr>
                <w:rFonts w:ascii="Book Antiqua" w:hAnsi="Book Antiqua"/>
                <w:sz w:val="20"/>
                <w:szCs w:val="20"/>
                <w:lang w:val="en-GB"/>
              </w:rPr>
              <w:t xml:space="preserve"> juga </w:t>
            </w:r>
            <w:proofErr w:type="spellStart"/>
            <w:r w:rsidRPr="00C07EBB">
              <w:rPr>
                <w:rFonts w:ascii="Book Antiqua" w:hAnsi="Book Antiqua"/>
                <w:sz w:val="20"/>
                <w:szCs w:val="20"/>
                <w:lang w:val="en-GB"/>
              </w:rPr>
              <w:t>menimbulkan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tantangan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serius</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dalam</w:t>
            </w:r>
            <w:proofErr w:type="spellEnd"/>
            <w:r w:rsidRPr="00C07EBB">
              <w:rPr>
                <w:rFonts w:ascii="Book Antiqua" w:hAnsi="Book Antiqua"/>
                <w:sz w:val="20"/>
                <w:szCs w:val="20"/>
                <w:lang w:val="en-GB"/>
              </w:rPr>
              <w:t xml:space="preserve"> proses </w:t>
            </w:r>
            <w:proofErr w:type="spellStart"/>
            <w:r w:rsidRPr="00C07EBB">
              <w:rPr>
                <w:rFonts w:ascii="Book Antiqua" w:hAnsi="Book Antiqua"/>
                <w:sz w:val="20"/>
                <w:szCs w:val="20"/>
                <w:lang w:val="en-GB"/>
              </w:rPr>
              <w:t>penegakan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hukum</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Penelitian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ini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bertujuan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untuk</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mengidentifikasi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berbagai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tantangan</w:t>
            </w:r>
            <w:proofErr w:type="spellEnd"/>
            <w:r w:rsidRPr="00C07EBB">
              <w:rPr>
                <w:rFonts w:ascii="Book Antiqua" w:hAnsi="Book Antiqua"/>
                <w:sz w:val="20"/>
                <w:szCs w:val="20"/>
                <w:lang w:val="en-GB"/>
              </w:rPr>
              <w:t xml:space="preserve"> yang </w:t>
            </w:r>
            <w:proofErr w:type="spellStart"/>
            <w:r w:rsidRPr="00C07EBB">
              <w:rPr>
                <w:rFonts w:ascii="Book Antiqua" w:hAnsi="Book Antiqua"/>
                <w:sz w:val="20"/>
                <w:szCs w:val="20"/>
                <w:lang w:val="en-GB"/>
              </w:rPr>
              <w:t>dihadapi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aparat</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penegak</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hukum</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dalam</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mengungkap</w:t>
            </w:r>
            <w:proofErr w:type="spellEnd"/>
            <w:r w:rsidRPr="00C07EBB">
              <w:rPr>
                <w:rFonts w:ascii="Book Antiqua" w:hAnsi="Book Antiqua"/>
                <w:sz w:val="20"/>
                <w:szCs w:val="20"/>
                <w:lang w:val="en-GB"/>
              </w:rPr>
              <w:t xml:space="preserve"> dan </w:t>
            </w:r>
            <w:proofErr w:type="spellStart"/>
            <w:r w:rsidRPr="00C07EBB">
              <w:rPr>
                <w:rFonts w:ascii="Book Antiqua" w:hAnsi="Book Antiqua"/>
                <w:sz w:val="20"/>
                <w:szCs w:val="20"/>
                <w:lang w:val="en-GB"/>
              </w:rPr>
              <w:t>menangani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tindak</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pidana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tersebut</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serta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menawarkan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solusi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strategis</w:t>
            </w:r>
            <w:proofErr w:type="spellEnd"/>
            <w:r w:rsidRPr="00C07EBB">
              <w:rPr>
                <w:rFonts w:ascii="Book Antiqua" w:hAnsi="Book Antiqua"/>
                <w:sz w:val="20"/>
                <w:szCs w:val="20"/>
                <w:lang w:val="en-GB"/>
              </w:rPr>
              <w:t xml:space="preserve"> yang </w:t>
            </w:r>
            <w:proofErr w:type="spellStart"/>
            <w:r w:rsidRPr="00C07EBB">
              <w:rPr>
                <w:rFonts w:ascii="Book Antiqua" w:hAnsi="Book Antiqua"/>
                <w:sz w:val="20"/>
                <w:szCs w:val="20"/>
                <w:lang w:val="en-GB"/>
              </w:rPr>
              <w:t>dapat</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diterapkan</w:t>
            </w:r>
            <w:proofErr w:type="spellEnd"/>
            <w:r w:rsidRPr="00C07EBB">
              <w:rPr>
                <w:rFonts w:ascii="Book Antiqua" w:hAnsi="Book Antiqua"/>
                <w:sz w:val="20"/>
                <w:szCs w:val="20"/>
                <w:lang w:val="en-GB"/>
              </w:rPr>
              <w:t xml:space="preserve">. Metode yang </w:t>
            </w:r>
            <w:proofErr w:type="spellStart"/>
            <w:r w:rsidRPr="00C07EBB">
              <w:rPr>
                <w:rFonts w:ascii="Book Antiqua" w:hAnsi="Book Antiqua"/>
                <w:sz w:val="20"/>
                <w:szCs w:val="20"/>
                <w:lang w:val="en-GB"/>
              </w:rPr>
              <w:t>digunakan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dalam</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penelitian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ini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adalah</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pendekatan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yuridis</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normatif</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dengan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analisis</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terhadap</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peraturan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perundang-undangan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studi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literatur</w:t>
            </w:r>
            <w:proofErr w:type="spellEnd"/>
            <w:r w:rsidRPr="00C07EBB">
              <w:rPr>
                <w:rFonts w:ascii="Book Antiqua" w:hAnsi="Book Antiqua"/>
                <w:sz w:val="20"/>
                <w:szCs w:val="20"/>
                <w:lang w:val="en-GB"/>
              </w:rPr>
              <w:t xml:space="preserve">, dan </w:t>
            </w:r>
            <w:proofErr w:type="spellStart"/>
            <w:r w:rsidRPr="00C07EBB">
              <w:rPr>
                <w:rFonts w:ascii="Book Antiqua" w:hAnsi="Book Antiqua"/>
                <w:sz w:val="20"/>
                <w:szCs w:val="20"/>
                <w:lang w:val="en-GB"/>
              </w:rPr>
              <w:t>kasus-kasus</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aktual</w:t>
            </w:r>
            <w:proofErr w:type="spellEnd"/>
            <w:r w:rsidRPr="00C07EBB">
              <w:rPr>
                <w:rFonts w:ascii="Book Antiqua" w:hAnsi="Book Antiqua"/>
                <w:sz w:val="20"/>
                <w:szCs w:val="20"/>
                <w:lang w:val="en-GB"/>
              </w:rPr>
              <w:t xml:space="preserve">. Hasil </w:t>
            </w:r>
            <w:proofErr w:type="spellStart"/>
            <w:r w:rsidRPr="00C07EBB">
              <w:rPr>
                <w:rFonts w:ascii="Book Antiqua" w:hAnsi="Book Antiqua"/>
                <w:sz w:val="20"/>
                <w:szCs w:val="20"/>
                <w:lang w:val="en-GB"/>
              </w:rPr>
              <w:t>penelitian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menunjukkan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bahwa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tantangan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utama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meliputi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lemahnya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regulasi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keterbatasan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sumber</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daya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manusia</w:t>
            </w:r>
            <w:proofErr w:type="spellEnd"/>
            <w:r w:rsidRPr="00C07EBB">
              <w:rPr>
                <w:rFonts w:ascii="Book Antiqua" w:hAnsi="Book Antiqua"/>
                <w:sz w:val="20"/>
                <w:szCs w:val="20"/>
                <w:lang w:val="en-GB"/>
              </w:rPr>
              <w:t xml:space="preserve"> dan </w:t>
            </w:r>
            <w:proofErr w:type="spellStart"/>
            <w:r w:rsidRPr="00C07EBB">
              <w:rPr>
                <w:rFonts w:ascii="Book Antiqua" w:hAnsi="Book Antiqua"/>
                <w:sz w:val="20"/>
                <w:szCs w:val="20"/>
                <w:lang w:val="en-GB"/>
              </w:rPr>
              <w:t>teknologi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anonimitas</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pelaku</w:t>
            </w:r>
            <w:proofErr w:type="spellEnd"/>
            <w:r w:rsidRPr="00C07EBB">
              <w:rPr>
                <w:rFonts w:ascii="Book Antiqua" w:hAnsi="Book Antiqua"/>
                <w:sz w:val="20"/>
                <w:szCs w:val="20"/>
                <w:lang w:val="en-GB"/>
              </w:rPr>
              <w:t xml:space="preserve"> di dunia digital, </w:t>
            </w:r>
            <w:proofErr w:type="spellStart"/>
            <w:r w:rsidRPr="00C07EBB">
              <w:rPr>
                <w:rFonts w:ascii="Book Antiqua" w:hAnsi="Book Antiqua"/>
                <w:sz w:val="20"/>
                <w:szCs w:val="20"/>
                <w:lang w:val="en-GB"/>
              </w:rPr>
              <w:t>serta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kurangnya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kerja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sama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internasional</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Untuk</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mengatasi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permasalahan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tersebut</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diperlukan</w:t>
            </w:r>
            <w:proofErr w:type="spellEnd"/>
            <w:r w:rsidRPr="00C07EBB">
              <w:rPr>
                <w:rFonts w:ascii="Book Antiqua" w:hAnsi="Book Antiqua"/>
                <w:sz w:val="20"/>
                <w:szCs w:val="20"/>
                <w:lang w:val="en-GB"/>
              </w:rPr>
              <w:t xml:space="preserve"> reformasi </w:t>
            </w:r>
            <w:proofErr w:type="spellStart"/>
            <w:r w:rsidRPr="00C07EBB">
              <w:rPr>
                <w:rFonts w:ascii="Book Antiqua" w:hAnsi="Book Antiqua"/>
                <w:sz w:val="20"/>
                <w:szCs w:val="20"/>
                <w:lang w:val="en-GB"/>
              </w:rPr>
              <w:t>hukum</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peningkatan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kapasitas</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penegak</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hukum</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pemanfaatan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teknologi</w:t>
            </w:r>
            <w:proofErr w:type="spellEnd"/>
            <w:r w:rsidRPr="00C07EBB">
              <w:rPr>
                <w:rFonts w:ascii="Book Antiqua" w:hAnsi="Book Antiqua"/>
                <w:sz w:val="20"/>
                <w:szCs w:val="20"/>
                <w:lang w:val="en-GB"/>
              </w:rPr>
              <w:t xml:space="preserve"> digital </w:t>
            </w:r>
            <w:proofErr w:type="spellStart"/>
            <w:r w:rsidRPr="00C07EBB">
              <w:rPr>
                <w:rFonts w:ascii="Book Antiqua" w:hAnsi="Book Antiqua"/>
                <w:sz w:val="20"/>
                <w:szCs w:val="20"/>
                <w:lang w:val="en-GB"/>
              </w:rPr>
              <w:t>forensik</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serta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pendekatan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kolaboratif</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antar</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instansi</w:t>
            </w:r>
            <w:proofErr w:type="spellEnd"/>
            <w:r w:rsidRPr="00C07EBB">
              <w:rPr>
                <w:rFonts w:ascii="Book Antiqua" w:hAnsi="Book Antiqua"/>
                <w:sz w:val="20"/>
                <w:szCs w:val="20"/>
                <w:lang w:val="en-GB"/>
              </w:rPr>
              <w:t xml:space="preserve"> dan </w:t>
            </w:r>
            <w:proofErr w:type="spellStart"/>
            <w:r w:rsidRPr="00C07EBB">
              <w:rPr>
                <w:rFonts w:ascii="Book Antiqua" w:hAnsi="Book Antiqua"/>
                <w:sz w:val="20"/>
                <w:szCs w:val="20"/>
                <w:lang w:val="en-GB"/>
              </w:rPr>
              <w:t>partisipasi</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masyarakat</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Dengan</w:t>
            </w:r>
            <w:proofErr w:type="spellEnd"/>
            <w:r w:rsidRPr="00C07EBB">
              <w:rPr>
                <w:rFonts w:ascii="Book Antiqua" w:hAnsi="Book Antiqua"/>
                <w:sz w:val="20"/>
                <w:szCs w:val="20"/>
                <w:lang w:val="en-GB"/>
              </w:rPr>
              <w:t xml:space="preserve"> strategi yang </w:t>
            </w:r>
            <w:proofErr w:type="spellStart"/>
            <w:r w:rsidRPr="00C07EBB">
              <w:rPr>
                <w:rFonts w:ascii="Book Antiqua" w:hAnsi="Book Antiqua"/>
                <w:sz w:val="20"/>
                <w:szCs w:val="20"/>
                <w:lang w:val="en-GB"/>
              </w:rPr>
              <w:t>komprehensif</w:t>
            </w:r>
            <w:proofErr w:type="spellEnd"/>
            <w:r w:rsidRPr="00C07EBB">
              <w:rPr>
                <w:rFonts w:ascii="Book Antiqua" w:hAnsi="Book Antiqua"/>
                <w:sz w:val="20"/>
                <w:szCs w:val="20"/>
                <w:lang w:val="en-GB"/>
              </w:rPr>
              <w:t xml:space="preserve"> dan </w:t>
            </w:r>
            <w:proofErr w:type="spellStart"/>
            <w:r w:rsidRPr="00C07EBB">
              <w:rPr>
                <w:rFonts w:ascii="Book Antiqua" w:hAnsi="Book Antiqua"/>
                <w:sz w:val="20"/>
                <w:szCs w:val="20"/>
                <w:lang w:val="en-GB"/>
              </w:rPr>
              <w:t>adaptif</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diharapkan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penegakan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hukum</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terhadap</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tindak</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pidana</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pornografi</w:t>
            </w:r>
            <w:proofErr w:type="spellEnd"/>
            <w:r w:rsidRPr="00C07EBB">
              <w:rPr>
                <w:rFonts w:ascii="Book Antiqua" w:hAnsi="Book Antiqua"/>
                <w:sz w:val="20"/>
                <w:szCs w:val="20"/>
                <w:lang w:val="en-GB"/>
              </w:rPr>
              <w:t xml:space="preserve"> dan </w:t>
            </w:r>
            <w:proofErr w:type="spellStart"/>
            <w:r w:rsidRPr="00C07EBB">
              <w:rPr>
                <w:rFonts w:ascii="Book Antiqua" w:hAnsi="Book Antiqua"/>
                <w:sz w:val="20"/>
                <w:szCs w:val="20"/>
                <w:lang w:val="en-GB"/>
              </w:rPr>
              <w:t>prostitusi</w:t>
            </w:r>
            <w:proofErr w:type="spellEnd"/>
            <w:r w:rsidRPr="00C07EBB">
              <w:rPr>
                <w:rFonts w:ascii="Book Antiqua" w:hAnsi="Book Antiqua"/>
                <w:sz w:val="20"/>
                <w:szCs w:val="20"/>
                <w:lang w:val="en-GB"/>
              </w:rPr>
              <w:t xml:space="preserve"> online </w:t>
            </w:r>
            <w:proofErr w:type="spellStart"/>
            <w:r w:rsidRPr="00C07EBB">
              <w:rPr>
                <w:rFonts w:ascii="Book Antiqua" w:hAnsi="Book Antiqua"/>
                <w:sz w:val="20"/>
                <w:szCs w:val="20"/>
                <w:lang w:val="en-GB"/>
              </w:rPr>
              <w:t>dapat</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berjalan</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lebih</w:t>
            </w:r>
            <w:proofErr w:type="spellEnd"/>
            <w:r w:rsidRPr="00C07EBB">
              <w:rPr>
                <w:rFonts w:ascii="Book Antiqua" w:hAnsi="Book Antiqua"/>
                <w:sz w:val="20"/>
                <w:szCs w:val="20"/>
                <w:lang w:val="en-GB"/>
              </w:rPr>
              <w:t xml:space="preserve"> </w:t>
            </w:r>
            <w:proofErr w:type="spellStart"/>
            <w:r w:rsidRPr="00C07EBB">
              <w:rPr>
                <w:rFonts w:ascii="Book Antiqua" w:hAnsi="Book Antiqua"/>
                <w:sz w:val="20"/>
                <w:szCs w:val="20"/>
                <w:lang w:val="en-GB"/>
              </w:rPr>
              <w:t>efektif</w:t>
            </w:r>
            <w:proofErr w:type="spellEnd"/>
            <w:r w:rsidRPr="00C07EBB">
              <w:rPr>
                <w:rFonts w:ascii="Book Antiqua" w:hAnsi="Book Antiqua"/>
                <w:sz w:val="20"/>
                <w:szCs w:val="20"/>
                <w:lang w:val="en-GB"/>
              </w:rPr>
              <w:t xml:space="preserve"> dan </w:t>
            </w:r>
            <w:proofErr w:type="spellStart"/>
            <w:r w:rsidRPr="00C07EBB">
              <w:rPr>
                <w:rFonts w:ascii="Book Antiqua" w:hAnsi="Book Antiqua"/>
                <w:sz w:val="20"/>
                <w:szCs w:val="20"/>
                <w:lang w:val="en-GB"/>
              </w:rPr>
              <w:t>berkelanjutan</w:t>
            </w:r>
            <w:proofErr w:type="spellEnd"/>
            <w:r w:rsidRPr="00C07EBB">
              <w:rPr>
                <w:rFonts w:ascii="Book Antiqua" w:hAnsi="Book Antiqua"/>
                <w:sz w:val="20"/>
                <w:szCs w:val="20"/>
                <w:lang w:val="en-GB"/>
              </w:rPr>
              <w:t>.</w:t>
            </w:r>
          </w:p>
          <w:p w14:paraId="51DD8921" w14:textId="77777777" w:rsidR="00C07EBB" w:rsidRPr="00C07EBB" w:rsidRDefault="00C07EBB" w:rsidP="00C07EBB">
            <w:pPr>
              <w:widowControl w:val="0"/>
              <w:autoSpaceDE w:val="0"/>
              <w:autoSpaceDN w:val="0"/>
              <w:adjustRightInd w:val="0"/>
              <w:spacing w:after="0" w:line="240" w:lineRule="auto"/>
              <w:ind w:left="-107"/>
              <w:jc w:val="both"/>
              <w:rPr>
                <w:rFonts w:ascii="Book Antiqua" w:hAnsi="Book Antiqua"/>
                <w:sz w:val="20"/>
                <w:szCs w:val="20"/>
                <w:lang w:val="en-GB"/>
              </w:rPr>
            </w:pPr>
          </w:p>
          <w:p w14:paraId="6B46FE00" w14:textId="12341E8B" w:rsidR="004562F9" w:rsidRDefault="00000000">
            <w:pPr>
              <w:spacing w:after="120" w:line="240" w:lineRule="auto"/>
              <w:ind w:left="-108" w:right="-108"/>
              <w:jc w:val="both"/>
              <w:rPr>
                <w:rFonts w:ascii="Book Antiqua" w:eastAsia="Book Antiqua" w:hAnsi="Book Antiqua" w:cs="Book Antiqua"/>
                <w:b/>
                <w:i/>
                <w:color w:val="000000"/>
                <w:sz w:val="20"/>
                <w:szCs w:val="20"/>
              </w:rPr>
            </w:pPr>
            <w:r w:rsidRPr="00C07EBB">
              <w:rPr>
                <w:rFonts w:ascii="Book Antiqua" w:eastAsia="Book Antiqua" w:hAnsi="Book Antiqua" w:cs="Book Antiqua"/>
                <w:b/>
                <w:color w:val="000000"/>
                <w:sz w:val="20"/>
                <w:szCs w:val="20"/>
              </w:rPr>
              <w:t>Kata Kunci:</w:t>
            </w:r>
            <w:r w:rsidRPr="00C07EBB">
              <w:rPr>
                <w:rFonts w:ascii="Book Antiqua" w:eastAsia="Book Antiqua" w:hAnsi="Book Antiqua" w:cs="Book Antiqua"/>
                <w:b/>
                <w:color w:val="FFC000"/>
                <w:sz w:val="20"/>
                <w:szCs w:val="20"/>
              </w:rPr>
              <w:t xml:space="preserve"> </w:t>
            </w:r>
            <w:proofErr w:type="spellStart"/>
            <w:r w:rsidR="00C07EBB" w:rsidRPr="00C07EBB">
              <w:rPr>
                <w:rFonts w:ascii="Book Antiqua" w:hAnsi="Book Antiqua"/>
                <w:b/>
                <w:bCs/>
                <w:sz w:val="20"/>
                <w:szCs w:val="20"/>
                <w:lang w:val="en-GB"/>
              </w:rPr>
              <w:t>Penegakan</w:t>
            </w:r>
            <w:proofErr w:type="spellEnd"/>
            <w:r w:rsidR="00C07EBB" w:rsidRPr="00C07EBB">
              <w:rPr>
                <w:rFonts w:ascii="Book Antiqua" w:hAnsi="Book Antiqua"/>
                <w:b/>
                <w:bCs/>
                <w:iCs/>
                <w:sz w:val="20"/>
                <w:szCs w:val="20"/>
              </w:rPr>
              <w:t xml:space="preserve"> </w:t>
            </w:r>
            <w:proofErr w:type="spellStart"/>
            <w:r w:rsidR="00C07EBB" w:rsidRPr="00C07EBB">
              <w:rPr>
                <w:rFonts w:ascii="Book Antiqua" w:hAnsi="Book Antiqua"/>
                <w:b/>
                <w:bCs/>
                <w:iCs/>
                <w:sz w:val="20"/>
                <w:szCs w:val="20"/>
              </w:rPr>
              <w:t>hukum</w:t>
            </w:r>
            <w:proofErr w:type="spellEnd"/>
            <w:r w:rsidR="00C07EBB" w:rsidRPr="00C07EBB">
              <w:rPr>
                <w:rFonts w:ascii="Book Antiqua" w:hAnsi="Book Antiqua"/>
                <w:b/>
                <w:bCs/>
                <w:iCs/>
                <w:sz w:val="20"/>
                <w:szCs w:val="20"/>
              </w:rPr>
              <w:t xml:space="preserve">, </w:t>
            </w:r>
            <w:proofErr w:type="spellStart"/>
            <w:r w:rsidR="00C07EBB" w:rsidRPr="00C07EBB">
              <w:rPr>
                <w:rFonts w:ascii="Book Antiqua" w:hAnsi="Book Antiqua"/>
                <w:b/>
                <w:bCs/>
                <w:iCs/>
                <w:sz w:val="20"/>
                <w:szCs w:val="20"/>
              </w:rPr>
              <w:t>Pornografi</w:t>
            </w:r>
            <w:proofErr w:type="spellEnd"/>
            <w:r w:rsidR="00C07EBB" w:rsidRPr="00C07EBB">
              <w:rPr>
                <w:rFonts w:ascii="Book Antiqua" w:hAnsi="Book Antiqua"/>
                <w:b/>
                <w:bCs/>
                <w:iCs/>
                <w:sz w:val="20"/>
                <w:szCs w:val="20"/>
              </w:rPr>
              <w:t xml:space="preserve">, </w:t>
            </w:r>
            <w:proofErr w:type="spellStart"/>
            <w:r w:rsidR="00C07EBB" w:rsidRPr="00C07EBB">
              <w:rPr>
                <w:rFonts w:ascii="Book Antiqua" w:hAnsi="Book Antiqua"/>
                <w:b/>
                <w:bCs/>
                <w:iCs/>
                <w:sz w:val="20"/>
                <w:szCs w:val="20"/>
              </w:rPr>
              <w:t>Prostitusi</w:t>
            </w:r>
            <w:proofErr w:type="spellEnd"/>
            <w:r w:rsidR="00C07EBB" w:rsidRPr="00C07EBB">
              <w:rPr>
                <w:rFonts w:ascii="Book Antiqua" w:hAnsi="Book Antiqua"/>
                <w:b/>
                <w:bCs/>
                <w:iCs/>
                <w:sz w:val="20"/>
                <w:szCs w:val="20"/>
              </w:rPr>
              <w:t xml:space="preserve">, Cybercrime, Solusi </w:t>
            </w:r>
            <w:proofErr w:type="spellStart"/>
            <w:r w:rsidR="00C07EBB" w:rsidRPr="00C07EBB">
              <w:rPr>
                <w:rFonts w:ascii="Book Antiqua" w:hAnsi="Book Antiqua"/>
                <w:b/>
                <w:bCs/>
                <w:iCs/>
                <w:sz w:val="20"/>
                <w:szCs w:val="20"/>
              </w:rPr>
              <w:t>hukum</w:t>
            </w:r>
            <w:proofErr w:type="spellEnd"/>
            <w:r w:rsidR="00C07EBB" w:rsidRPr="00C07EBB">
              <w:rPr>
                <w:rFonts w:ascii="Book Antiqua" w:hAnsi="Book Antiqua"/>
                <w:b/>
                <w:bCs/>
                <w:iCs/>
                <w:sz w:val="20"/>
                <w:szCs w:val="20"/>
              </w:rPr>
              <w:t>.</w:t>
            </w:r>
          </w:p>
        </w:tc>
      </w:tr>
      <w:tr w:rsidR="004562F9" w14:paraId="6A2DB512" w14:textId="77777777">
        <w:tc>
          <w:tcPr>
            <w:tcW w:w="2378" w:type="dxa"/>
            <w:tcBorders>
              <w:left w:val="nil"/>
              <w:bottom w:val="single" w:sz="4" w:space="0" w:color="000000"/>
              <w:right w:val="nil"/>
            </w:tcBorders>
            <w:shd w:val="clear" w:color="auto" w:fill="F2F2F2"/>
            <w:vAlign w:val="center"/>
          </w:tcPr>
          <w:p w14:paraId="7F6AD4BD" w14:textId="77777777" w:rsidR="004562F9" w:rsidRDefault="00000000">
            <w:pPr>
              <w:spacing w:after="0" w:line="240" w:lineRule="auto"/>
              <w:ind w:left="-108"/>
              <w:jc w:val="center"/>
              <w:rPr>
                <w:rFonts w:ascii="Book Antiqua" w:eastAsia="Book Antiqua" w:hAnsi="Book Antiqua" w:cs="Book Antiqua"/>
                <w:b/>
                <w:i/>
                <w:color w:val="FFC000"/>
                <w:sz w:val="18"/>
                <w:szCs w:val="18"/>
              </w:rPr>
            </w:pPr>
            <w:proofErr w:type="spellStart"/>
            <w:r>
              <w:rPr>
                <w:rFonts w:ascii="Book Antiqua" w:eastAsia="Book Antiqua" w:hAnsi="Book Antiqua" w:cs="Book Antiqua"/>
                <w:i/>
                <w:color w:val="000000"/>
                <w:sz w:val="18"/>
                <w:szCs w:val="18"/>
              </w:rPr>
              <w:t>Kirim</w:t>
            </w:r>
            <w:proofErr w:type="spellEnd"/>
            <w:r>
              <w:rPr>
                <w:rFonts w:ascii="Book Antiqua" w:eastAsia="Book Antiqua" w:hAnsi="Book Antiqua" w:cs="Book Antiqua"/>
                <w:i/>
                <w:color w:val="000000"/>
                <w:sz w:val="18"/>
                <w:szCs w:val="18"/>
              </w:rPr>
              <w:t>: 2023-12-12</w:t>
            </w:r>
          </w:p>
        </w:tc>
        <w:tc>
          <w:tcPr>
            <w:tcW w:w="2300" w:type="dxa"/>
            <w:tcBorders>
              <w:left w:val="nil"/>
              <w:bottom w:val="single" w:sz="4" w:space="0" w:color="000000"/>
              <w:right w:val="nil"/>
            </w:tcBorders>
            <w:shd w:val="clear" w:color="auto" w:fill="F2F2F2"/>
            <w:vAlign w:val="center"/>
          </w:tcPr>
          <w:p w14:paraId="407060FA" w14:textId="77777777" w:rsidR="004562F9" w:rsidRDefault="00000000">
            <w:pPr>
              <w:spacing w:after="0" w:line="240" w:lineRule="auto"/>
              <w:jc w:val="center"/>
              <w:rPr>
                <w:rFonts w:ascii="Book Antiqua" w:eastAsia="Book Antiqua" w:hAnsi="Book Antiqua" w:cs="Book Antiqua"/>
                <w:b/>
                <w:i/>
                <w:color w:val="FFC000"/>
                <w:sz w:val="18"/>
                <w:szCs w:val="18"/>
              </w:rPr>
            </w:pPr>
            <w:proofErr w:type="spellStart"/>
            <w:r>
              <w:rPr>
                <w:rFonts w:ascii="Book Antiqua" w:eastAsia="Book Antiqua" w:hAnsi="Book Antiqua" w:cs="Book Antiqua"/>
                <w:i/>
                <w:color w:val="000000"/>
                <w:sz w:val="18"/>
                <w:szCs w:val="18"/>
              </w:rPr>
              <w:t>Revisi</w:t>
            </w:r>
            <w:proofErr w:type="spellEnd"/>
            <w:r>
              <w:rPr>
                <w:rFonts w:ascii="Book Antiqua" w:eastAsia="Book Antiqua" w:hAnsi="Book Antiqua" w:cs="Book Antiqua"/>
                <w:i/>
                <w:color w:val="000000"/>
                <w:sz w:val="18"/>
                <w:szCs w:val="18"/>
              </w:rPr>
              <w:t>: 2024-03-03</w:t>
            </w:r>
          </w:p>
        </w:tc>
        <w:tc>
          <w:tcPr>
            <w:tcW w:w="2410" w:type="dxa"/>
            <w:tcBorders>
              <w:left w:val="nil"/>
              <w:bottom w:val="single" w:sz="4" w:space="0" w:color="000000"/>
              <w:right w:val="nil"/>
            </w:tcBorders>
            <w:shd w:val="clear" w:color="auto" w:fill="F2F2F2"/>
            <w:vAlign w:val="center"/>
          </w:tcPr>
          <w:p w14:paraId="32453CA6" w14:textId="77777777" w:rsidR="004562F9" w:rsidRDefault="00000000">
            <w:pPr>
              <w:spacing w:after="0" w:line="240" w:lineRule="auto"/>
              <w:jc w:val="center"/>
              <w:rPr>
                <w:rFonts w:ascii="Book Antiqua" w:eastAsia="Book Antiqua" w:hAnsi="Book Antiqua" w:cs="Book Antiqua"/>
                <w:b/>
                <w:i/>
                <w:color w:val="FFC000"/>
                <w:sz w:val="18"/>
                <w:szCs w:val="18"/>
              </w:rPr>
            </w:pPr>
            <w:proofErr w:type="spellStart"/>
            <w:r>
              <w:rPr>
                <w:rFonts w:ascii="Book Antiqua" w:eastAsia="Book Antiqua" w:hAnsi="Book Antiqua" w:cs="Book Antiqua"/>
                <w:i/>
                <w:color w:val="000000"/>
                <w:sz w:val="18"/>
                <w:szCs w:val="18"/>
              </w:rPr>
              <w:t>Diterima</w:t>
            </w:r>
            <w:proofErr w:type="spellEnd"/>
            <w:r>
              <w:rPr>
                <w:rFonts w:ascii="Book Antiqua" w:eastAsia="Book Antiqua" w:hAnsi="Book Antiqua" w:cs="Book Antiqua"/>
                <w:i/>
                <w:color w:val="000000"/>
                <w:sz w:val="18"/>
                <w:szCs w:val="18"/>
              </w:rPr>
              <w:t>: 2024-03-03</w:t>
            </w:r>
          </w:p>
        </w:tc>
        <w:tc>
          <w:tcPr>
            <w:tcW w:w="2551" w:type="dxa"/>
            <w:tcBorders>
              <w:left w:val="nil"/>
              <w:bottom w:val="single" w:sz="4" w:space="0" w:color="000000"/>
              <w:right w:val="nil"/>
            </w:tcBorders>
            <w:shd w:val="clear" w:color="auto" w:fill="F2F2F2"/>
            <w:vAlign w:val="center"/>
          </w:tcPr>
          <w:p w14:paraId="25348060" w14:textId="77777777" w:rsidR="004562F9" w:rsidRDefault="00000000">
            <w:pPr>
              <w:spacing w:after="0" w:line="240" w:lineRule="auto"/>
              <w:jc w:val="center"/>
              <w:rPr>
                <w:rFonts w:ascii="Book Antiqua" w:eastAsia="Book Antiqua" w:hAnsi="Book Antiqua" w:cs="Book Antiqua"/>
                <w:b/>
                <w:i/>
                <w:color w:val="FFC000"/>
                <w:sz w:val="18"/>
                <w:szCs w:val="18"/>
              </w:rPr>
            </w:pPr>
            <w:proofErr w:type="spellStart"/>
            <w:r>
              <w:rPr>
                <w:rFonts w:ascii="Book Antiqua" w:eastAsia="Book Antiqua" w:hAnsi="Book Antiqua" w:cs="Book Antiqua"/>
                <w:i/>
                <w:color w:val="000000"/>
                <w:sz w:val="18"/>
                <w:szCs w:val="18"/>
              </w:rPr>
              <w:t>Terbit</w:t>
            </w:r>
            <w:proofErr w:type="spellEnd"/>
            <w:r>
              <w:rPr>
                <w:rFonts w:ascii="Book Antiqua" w:eastAsia="Book Antiqua" w:hAnsi="Book Antiqua" w:cs="Book Antiqua"/>
                <w:i/>
                <w:color w:val="000000"/>
                <w:sz w:val="18"/>
                <w:szCs w:val="18"/>
              </w:rPr>
              <w:t>: 2024-03-31</w:t>
            </w:r>
          </w:p>
        </w:tc>
      </w:tr>
      <w:tr w:rsidR="004562F9" w14:paraId="678BA2B5" w14:textId="77777777">
        <w:trPr>
          <w:trHeight w:val="521"/>
        </w:trPr>
        <w:tc>
          <w:tcPr>
            <w:tcW w:w="9639" w:type="dxa"/>
            <w:gridSpan w:val="4"/>
            <w:tcBorders>
              <w:top w:val="single" w:sz="4" w:space="0" w:color="000000"/>
              <w:left w:val="nil"/>
              <w:bottom w:val="single" w:sz="4" w:space="0" w:color="000000"/>
              <w:right w:val="nil"/>
            </w:tcBorders>
            <w:shd w:val="clear" w:color="auto" w:fill="F2F2F2"/>
            <w:vAlign w:val="center"/>
          </w:tcPr>
          <w:p w14:paraId="76885757" w14:textId="77777777" w:rsidR="004562F9" w:rsidRDefault="00000000">
            <w:pPr>
              <w:spacing w:after="0" w:line="240" w:lineRule="auto"/>
              <w:ind w:left="-108"/>
              <w:jc w:val="both"/>
              <w:rPr>
                <w:rFonts w:ascii="Book Antiqua" w:eastAsia="Book Antiqua" w:hAnsi="Book Antiqua" w:cs="Book Antiqua"/>
                <w:color w:val="4472C4"/>
                <w:sz w:val="16"/>
                <w:szCs w:val="16"/>
              </w:rPr>
            </w:pPr>
            <w:r>
              <w:rPr>
                <w:rFonts w:ascii="Book Antiqua" w:eastAsia="Book Antiqua" w:hAnsi="Book Antiqua" w:cs="Book Antiqua"/>
                <w:sz w:val="16"/>
                <w:szCs w:val="16"/>
              </w:rPr>
              <w:t xml:space="preserve">Cara </w:t>
            </w:r>
            <w:proofErr w:type="spellStart"/>
            <w:r>
              <w:rPr>
                <w:rFonts w:ascii="Book Antiqua" w:eastAsia="Book Antiqua" w:hAnsi="Book Antiqua" w:cs="Book Antiqua"/>
                <w:sz w:val="16"/>
                <w:szCs w:val="16"/>
              </w:rPr>
              <w:t>Mengutip</w:t>
            </w:r>
            <w:proofErr w:type="spellEnd"/>
            <w:r>
              <w:rPr>
                <w:rFonts w:ascii="Book Antiqua" w:eastAsia="Book Antiqua" w:hAnsi="Book Antiqua" w:cs="Book Antiqua"/>
                <w:sz w:val="16"/>
                <w:szCs w:val="16"/>
              </w:rPr>
              <w:t xml:space="preserve">: </w:t>
            </w:r>
            <w:r>
              <w:rPr>
                <w:rFonts w:ascii="Book Antiqua" w:eastAsia="Book Antiqua" w:hAnsi="Book Antiqua" w:cs="Book Antiqua"/>
                <w:color w:val="000000"/>
                <w:sz w:val="16"/>
                <w:szCs w:val="16"/>
              </w:rPr>
              <w:t xml:space="preserve">Sarah Selvina Kuahaty, Muchtar </w:t>
            </w:r>
            <w:proofErr w:type="spellStart"/>
            <w:r>
              <w:rPr>
                <w:rFonts w:ascii="Book Antiqua" w:eastAsia="Book Antiqua" w:hAnsi="Book Antiqua" w:cs="Book Antiqua"/>
                <w:color w:val="000000"/>
                <w:sz w:val="16"/>
                <w:szCs w:val="16"/>
              </w:rPr>
              <w:t>Anshary</w:t>
            </w:r>
            <w:proofErr w:type="spellEnd"/>
            <w:r>
              <w:rPr>
                <w:rFonts w:ascii="Book Antiqua" w:eastAsia="Book Antiqua" w:hAnsi="Book Antiqua" w:cs="Book Antiqua"/>
                <w:color w:val="000000"/>
                <w:sz w:val="16"/>
                <w:szCs w:val="16"/>
              </w:rPr>
              <w:t xml:space="preserve"> Hamid Labetubun, and Rory Jeff Akyuwen. “</w:t>
            </w:r>
            <w:r>
              <w:rPr>
                <w:rFonts w:ascii="Book Antiqua" w:eastAsia="Book Antiqua" w:hAnsi="Book Antiqua" w:cs="Book Antiqua"/>
                <w:sz w:val="16"/>
                <w:szCs w:val="16"/>
              </w:rPr>
              <w:t>A Legal Awareness of Copyright on Regional Song Creators</w:t>
            </w:r>
            <w:r>
              <w:rPr>
                <w:rFonts w:ascii="Book Antiqua" w:eastAsia="Book Antiqua" w:hAnsi="Book Antiqua" w:cs="Book Antiqua"/>
                <w:color w:val="000000"/>
                <w:sz w:val="16"/>
                <w:szCs w:val="16"/>
              </w:rPr>
              <w:t xml:space="preserve">.” </w:t>
            </w:r>
            <w:r>
              <w:rPr>
                <w:rFonts w:ascii="Book Antiqua" w:eastAsia="Book Antiqua" w:hAnsi="Book Antiqua" w:cs="Book Antiqua"/>
                <w:i/>
                <w:color w:val="000000"/>
                <w:sz w:val="16"/>
                <w:szCs w:val="16"/>
              </w:rPr>
              <w:t xml:space="preserve">PAMALI: </w:t>
            </w:r>
            <w:proofErr w:type="spellStart"/>
            <w:r>
              <w:rPr>
                <w:rFonts w:ascii="Book Antiqua" w:eastAsia="Book Antiqua" w:hAnsi="Book Antiqua" w:cs="Book Antiqua"/>
                <w:i/>
                <w:color w:val="000000"/>
                <w:sz w:val="16"/>
                <w:szCs w:val="16"/>
              </w:rPr>
              <w:t>Pattimura</w:t>
            </w:r>
            <w:proofErr w:type="spellEnd"/>
            <w:r>
              <w:rPr>
                <w:rFonts w:ascii="Book Antiqua" w:eastAsia="Book Antiqua" w:hAnsi="Book Antiqua" w:cs="Book Antiqua"/>
                <w:i/>
                <w:color w:val="000000"/>
                <w:sz w:val="16"/>
                <w:szCs w:val="16"/>
              </w:rPr>
              <w:t xml:space="preserve"> Magister Law Review</w:t>
            </w:r>
            <w:r>
              <w:rPr>
                <w:rFonts w:ascii="Book Antiqua" w:eastAsia="Book Antiqua" w:hAnsi="Book Antiqua" w:cs="Book Antiqua"/>
                <w:color w:val="000000"/>
                <w:sz w:val="16"/>
                <w:szCs w:val="16"/>
              </w:rPr>
              <w:t xml:space="preserve"> X no. X (</w:t>
            </w:r>
            <w:proofErr w:type="spellStart"/>
            <w:r>
              <w:rPr>
                <w:rFonts w:ascii="Book Antiqua" w:eastAsia="Book Antiqua" w:hAnsi="Book Antiqua" w:cs="Book Antiqua"/>
                <w:color w:val="000000"/>
                <w:sz w:val="16"/>
                <w:szCs w:val="16"/>
              </w:rPr>
              <w:t>Tahun</w:t>
            </w:r>
            <w:proofErr w:type="spellEnd"/>
            <w:r>
              <w:rPr>
                <w:rFonts w:ascii="Book Antiqua" w:eastAsia="Book Antiqua" w:hAnsi="Book Antiqua" w:cs="Book Antiqua"/>
                <w:color w:val="000000"/>
                <w:sz w:val="16"/>
                <w:szCs w:val="16"/>
              </w:rPr>
              <w:t>): XXX-</w:t>
            </w:r>
            <w:proofErr w:type="spellStart"/>
            <w:r>
              <w:rPr>
                <w:rFonts w:ascii="Book Antiqua" w:eastAsia="Book Antiqua" w:hAnsi="Book Antiqua" w:cs="Book Antiqua"/>
                <w:color w:val="000000"/>
                <w:sz w:val="16"/>
                <w:szCs w:val="16"/>
              </w:rPr>
              <w:t>XXX.</w:t>
            </w:r>
            <w:r>
              <w:rPr>
                <w:rFonts w:ascii="Book Antiqua" w:eastAsia="Book Antiqua" w:hAnsi="Book Antiqua" w:cs="Book Antiqua"/>
                <w:sz w:val="16"/>
                <w:szCs w:val="16"/>
              </w:rPr>
              <w:t>https</w:t>
            </w:r>
            <w:proofErr w:type="spellEnd"/>
            <w:r>
              <w:rPr>
                <w:rFonts w:ascii="Book Antiqua" w:eastAsia="Book Antiqua" w:hAnsi="Book Antiqua" w:cs="Book Antiqua"/>
                <w:sz w:val="16"/>
                <w:szCs w:val="16"/>
              </w:rPr>
              <w:t>://doi.org/</w:t>
            </w:r>
            <w:hyperlink r:id="rId16">
              <w:r>
                <w:rPr>
                  <w:rFonts w:ascii="Book Antiqua" w:eastAsia="Book Antiqua" w:hAnsi="Book Antiqua" w:cs="Book Antiqua"/>
                  <w:color w:val="4472C4"/>
                  <w:sz w:val="16"/>
                  <w:szCs w:val="16"/>
                </w:rPr>
                <w:t xml:space="preserve">10.47268/pamali.v4i1.XXXXX </w:t>
              </w:r>
            </w:hyperlink>
          </w:p>
        </w:tc>
      </w:tr>
      <w:tr w:rsidR="004562F9" w14:paraId="1133D002" w14:textId="77777777">
        <w:tc>
          <w:tcPr>
            <w:tcW w:w="2378" w:type="dxa"/>
            <w:tcBorders>
              <w:top w:val="single" w:sz="4" w:space="0" w:color="000000"/>
              <w:left w:val="nil"/>
              <w:bottom w:val="single" w:sz="4" w:space="0" w:color="000000"/>
              <w:right w:val="nil"/>
            </w:tcBorders>
            <w:shd w:val="clear" w:color="auto" w:fill="F2F2F2"/>
            <w:vAlign w:val="center"/>
          </w:tcPr>
          <w:p w14:paraId="72EDEE90" w14:textId="77777777" w:rsidR="004562F9" w:rsidRDefault="00000000">
            <w:pPr>
              <w:spacing w:before="120" w:after="0" w:line="240" w:lineRule="auto"/>
              <w:ind w:left="-108"/>
              <w:jc w:val="both"/>
              <w:rPr>
                <w:color w:val="4472C4"/>
                <w:sz w:val="18"/>
                <w:szCs w:val="18"/>
              </w:rPr>
            </w:pPr>
            <w:r>
              <w:rPr>
                <w:rFonts w:ascii="Book Antiqua" w:eastAsia="Book Antiqua" w:hAnsi="Book Antiqua" w:cs="Book Antiqua"/>
                <w:sz w:val="16"/>
                <w:szCs w:val="16"/>
              </w:rPr>
              <w:t>Copyright</w:t>
            </w:r>
            <w:r>
              <w:rPr>
                <w:rFonts w:ascii="Book Antiqua" w:eastAsia="Book Antiqua" w:hAnsi="Book Antiqua" w:cs="Book Antiqua"/>
                <w:sz w:val="18"/>
                <w:szCs w:val="18"/>
              </w:rPr>
              <w:t xml:space="preserve"> © 2024 Author(s)</w:t>
            </w:r>
          </w:p>
        </w:tc>
        <w:tc>
          <w:tcPr>
            <w:tcW w:w="7261" w:type="dxa"/>
            <w:gridSpan w:val="3"/>
            <w:tcBorders>
              <w:top w:val="single" w:sz="4" w:space="0" w:color="000000"/>
              <w:left w:val="nil"/>
              <w:bottom w:val="single" w:sz="4" w:space="0" w:color="000000"/>
              <w:right w:val="nil"/>
            </w:tcBorders>
            <w:shd w:val="clear" w:color="auto" w:fill="F2F2F2"/>
            <w:vAlign w:val="center"/>
          </w:tcPr>
          <w:p w14:paraId="2CE61156" w14:textId="77777777" w:rsidR="004562F9" w:rsidRDefault="00000000">
            <w:pPr>
              <w:spacing w:before="120" w:after="0" w:line="240" w:lineRule="auto"/>
              <w:ind w:left="491"/>
              <w:jc w:val="both"/>
              <w:rPr>
                <w:color w:val="4472C4"/>
                <w:sz w:val="18"/>
                <w:szCs w:val="18"/>
              </w:rPr>
            </w:pPr>
            <w:hyperlink r:id="rId17">
              <w:r>
                <w:t xml:space="preserve"> </w:t>
              </w:r>
            </w:hyperlink>
            <w:hyperlink r:id="rId18">
              <w:r>
                <w:rPr>
                  <w:rFonts w:ascii="Book Antiqua" w:eastAsia="Book Antiqua" w:hAnsi="Book Antiqua" w:cs="Book Antiqua"/>
                  <w:color w:val="000000"/>
                  <w:sz w:val="18"/>
                  <w:szCs w:val="18"/>
                </w:rPr>
                <w:t>Creative Commons Attribution-</w:t>
              </w:r>
              <w:proofErr w:type="spellStart"/>
              <w:r>
                <w:rPr>
                  <w:rFonts w:ascii="Book Antiqua" w:eastAsia="Book Antiqua" w:hAnsi="Book Antiqua" w:cs="Book Antiqua"/>
                  <w:color w:val="000000"/>
                  <w:sz w:val="18"/>
                  <w:szCs w:val="18"/>
                </w:rPr>
                <w:t>NonCommercial</w:t>
              </w:r>
              <w:proofErr w:type="spellEnd"/>
              <w:r>
                <w:rPr>
                  <w:rFonts w:ascii="Book Antiqua" w:eastAsia="Book Antiqua" w:hAnsi="Book Antiqua" w:cs="Book Antiqua"/>
                  <w:color w:val="000000"/>
                  <w:sz w:val="18"/>
                  <w:szCs w:val="18"/>
                </w:rPr>
                <w:t xml:space="preserve"> 4.0 International License</w:t>
              </w:r>
            </w:hyperlink>
            <w:r>
              <w:rPr>
                <w:noProof/>
              </w:rPr>
              <w:drawing>
                <wp:anchor distT="0" distB="0" distL="114300" distR="114300" simplePos="0" relativeHeight="251664384" behindDoc="0" locked="0" layoutInCell="1" hidden="0" allowOverlap="1" wp14:anchorId="5C5ED3F0" wp14:editId="3CF584B1">
                  <wp:simplePos x="0" y="0"/>
                  <wp:positionH relativeFrom="column">
                    <wp:posOffset>-144144</wp:posOffset>
                  </wp:positionH>
                  <wp:positionV relativeFrom="paragraph">
                    <wp:posOffset>15875</wp:posOffset>
                  </wp:positionV>
                  <wp:extent cx="424180" cy="211455"/>
                  <wp:effectExtent l="0" t="0" r="0" b="0"/>
                  <wp:wrapNone/>
                  <wp:docPr id="22" name="image5.png" descr="E:\FileKu\Jurnal SASI\Logo Lisensi SASI.png"/>
                  <wp:cNvGraphicFramePr/>
                  <a:graphic xmlns:a="http://schemas.openxmlformats.org/drawingml/2006/main">
                    <a:graphicData uri="http://schemas.openxmlformats.org/drawingml/2006/picture">
                      <pic:pic xmlns:pic="http://schemas.openxmlformats.org/drawingml/2006/picture">
                        <pic:nvPicPr>
                          <pic:cNvPr id="0" name="image5.png" descr="E:\FileKu\Jurnal SASI\Logo Lisensi SASI.png"/>
                          <pic:cNvPicPr preferRelativeResize="0"/>
                        </pic:nvPicPr>
                        <pic:blipFill>
                          <a:blip r:embed="rId19"/>
                          <a:srcRect/>
                          <a:stretch>
                            <a:fillRect/>
                          </a:stretch>
                        </pic:blipFill>
                        <pic:spPr>
                          <a:xfrm>
                            <a:off x="0" y="0"/>
                            <a:ext cx="424180" cy="211455"/>
                          </a:xfrm>
                          <a:prstGeom prst="rect">
                            <a:avLst/>
                          </a:prstGeom>
                          <a:ln/>
                        </pic:spPr>
                      </pic:pic>
                    </a:graphicData>
                  </a:graphic>
                </wp:anchor>
              </w:drawing>
            </w:r>
          </w:p>
        </w:tc>
      </w:tr>
    </w:tbl>
    <w:p w14:paraId="0BBFA64F" w14:textId="77777777" w:rsidR="004562F9" w:rsidRDefault="004562F9">
      <w:pPr>
        <w:spacing w:after="0" w:line="240" w:lineRule="auto"/>
        <w:jc w:val="both"/>
        <w:rPr>
          <w:rFonts w:ascii="Book Antiqua" w:eastAsia="Book Antiqua" w:hAnsi="Book Antiqua" w:cs="Book Antiqua"/>
          <w:b/>
          <w:color w:val="FFC000"/>
          <w:sz w:val="24"/>
          <w:szCs w:val="24"/>
        </w:rPr>
      </w:pPr>
    </w:p>
    <w:p w14:paraId="7965619D" w14:textId="77777777" w:rsidR="00C07EBB" w:rsidRDefault="00C07EBB" w:rsidP="00C07EBB">
      <w:pPr>
        <w:spacing w:after="0" w:line="360" w:lineRule="auto"/>
        <w:rPr>
          <w:rFonts w:ascii="Book Antiqua" w:hAnsi="Book Antiqua"/>
          <w:b/>
          <w:bCs/>
          <w:color w:val="FF0000"/>
          <w:sz w:val="24"/>
          <w:szCs w:val="24"/>
        </w:rPr>
      </w:pPr>
    </w:p>
    <w:p w14:paraId="68B78530" w14:textId="77777777" w:rsidR="00C07EBB" w:rsidRDefault="00C07EBB" w:rsidP="00C07EBB">
      <w:pPr>
        <w:spacing w:after="0" w:line="360" w:lineRule="auto"/>
        <w:rPr>
          <w:rFonts w:ascii="Book Antiqua" w:hAnsi="Book Antiqua"/>
          <w:b/>
          <w:bCs/>
          <w:color w:val="FF0000"/>
          <w:sz w:val="24"/>
          <w:szCs w:val="24"/>
        </w:rPr>
      </w:pPr>
    </w:p>
    <w:p w14:paraId="5D242C20" w14:textId="77777777" w:rsidR="00C07EBB" w:rsidRDefault="00C07EBB" w:rsidP="00C07EBB">
      <w:pPr>
        <w:spacing w:after="0" w:line="360" w:lineRule="auto"/>
        <w:rPr>
          <w:rFonts w:ascii="Book Antiqua" w:hAnsi="Book Antiqua"/>
          <w:b/>
          <w:bCs/>
          <w:color w:val="FF0000"/>
          <w:sz w:val="24"/>
          <w:szCs w:val="24"/>
        </w:rPr>
      </w:pPr>
    </w:p>
    <w:p w14:paraId="088A4ECC" w14:textId="637D68A3" w:rsidR="00C07EBB" w:rsidRPr="00F655DA" w:rsidRDefault="00C07EBB" w:rsidP="00C07EBB">
      <w:pPr>
        <w:spacing w:after="0" w:line="360" w:lineRule="auto"/>
        <w:rPr>
          <w:rFonts w:ascii="Book Antiqua" w:hAnsi="Book Antiqua"/>
          <w:b/>
          <w:bCs/>
          <w:color w:val="0070C0"/>
          <w:sz w:val="24"/>
          <w:szCs w:val="22"/>
          <w:lang w:val="id-ID"/>
        </w:rPr>
      </w:pPr>
      <w:r w:rsidRPr="00F655DA">
        <w:rPr>
          <w:rFonts w:ascii="Book Antiqua" w:hAnsi="Book Antiqua"/>
          <w:b/>
          <w:bCs/>
          <w:color w:val="0070C0"/>
          <w:sz w:val="24"/>
          <w:szCs w:val="24"/>
        </w:rPr>
        <w:lastRenderedPageBreak/>
        <w:t>INTRODUCTION</w:t>
      </w:r>
    </w:p>
    <w:p w14:paraId="3CFDABC5" w14:textId="77777777" w:rsidR="00C07EBB" w:rsidRPr="00FB6040" w:rsidRDefault="00C07EBB" w:rsidP="00C07EBB">
      <w:pPr>
        <w:spacing w:after="0" w:line="360" w:lineRule="auto"/>
        <w:ind w:firstLine="284"/>
        <w:jc w:val="both"/>
        <w:rPr>
          <w:rFonts w:ascii="Book Antiqua" w:hAnsi="Book Antiqua"/>
          <w:sz w:val="24"/>
          <w:szCs w:val="24"/>
        </w:rPr>
      </w:pPr>
      <w:r w:rsidRPr="00FB6040">
        <w:rPr>
          <w:rFonts w:ascii="Book Antiqua" w:hAnsi="Book Antiqua"/>
          <w:sz w:val="24"/>
          <w:szCs w:val="24"/>
        </w:rPr>
        <w:t>According to Article 1 paragraph (1) of Law Number 2 of 2002 concerning the Republic of Indonesia Police, the police are all matters relating to the functions and institutions of the police in accordance with statutory regulations. The Republic of Indonesia Police is the highest law enforcement and criminal justice institution in Indonesia. According to Article 2 of Law Number 2 of 2002 concerning the Republic of Indonesia Police, the function of the police is to carry out the functions of state government in the field of maintaining public security and order, law enforcement, protection, patronage, and service to the community. In addition, Article 5 of Law Number 2 of 2002 concerning the Republic of Indonesia Police stipulates that the police are a state apparatus tasked with carrying out the functions of state government.</w:t>
      </w:r>
    </w:p>
    <w:p w14:paraId="6AB37F3A" w14:textId="77777777" w:rsidR="00C07EBB" w:rsidRPr="00FB6040" w:rsidRDefault="00C07EBB" w:rsidP="00C07EBB">
      <w:pPr>
        <w:spacing w:after="0" w:line="360" w:lineRule="auto"/>
        <w:ind w:firstLine="284"/>
        <w:jc w:val="both"/>
        <w:rPr>
          <w:rFonts w:ascii="Book Antiqua" w:hAnsi="Book Antiqua"/>
          <w:sz w:val="24"/>
          <w:szCs w:val="24"/>
        </w:rPr>
      </w:pPr>
      <w:r w:rsidRPr="00FB6040">
        <w:rPr>
          <w:rFonts w:ascii="Book Antiqua" w:hAnsi="Book Antiqua"/>
          <w:sz w:val="24"/>
          <w:szCs w:val="24"/>
        </w:rPr>
        <w:t>Criminal acts are acts that are prohibited by law and are punishable by certain sanctions or criminal threats.</w:t>
      </w:r>
      <w:r w:rsidRPr="00556503">
        <w:rPr>
          <w:rFonts w:ascii="Book Antiqua" w:hAnsi="Book Antiqua"/>
          <w:sz w:val="24"/>
          <w:szCs w:val="24"/>
          <w:vertAlign w:val="superscript"/>
        </w:rPr>
        <w:footnoteReference w:id="1"/>
      </w:r>
      <w:r>
        <w:rPr>
          <w:rFonts w:ascii="Book Antiqua" w:hAnsi="Book Antiqua"/>
          <w:sz w:val="24"/>
          <w:szCs w:val="24"/>
        </w:rPr>
        <w:t xml:space="preserve"> </w:t>
      </w:r>
      <w:r w:rsidRPr="00FB6040">
        <w:rPr>
          <w:rFonts w:ascii="Book Antiqua" w:hAnsi="Book Antiqua"/>
          <w:sz w:val="24"/>
          <w:szCs w:val="24"/>
        </w:rPr>
        <w:t>If someone violates this law, there are 3 (three) things that need to be considered: First, criminal acts are actions that are prohibited by law and are threatened with criminal sanctions. Second, a condition or event caused by someone's actions, while the criminal threat is aimed at the person who did it, because the relationship between the event and the person who caused it is very close. Therefore, people cannot be threatened with a crime unless the incident itself gives rise to it. Third, circumstances cannot be prohibited if the cause is not an individual.</w:t>
      </w:r>
    </w:p>
    <w:p w14:paraId="0324CC09" w14:textId="77777777" w:rsidR="00C07EBB" w:rsidRPr="00FB6040" w:rsidRDefault="00C07EBB" w:rsidP="00C07EBB">
      <w:pPr>
        <w:spacing w:after="0" w:line="360" w:lineRule="auto"/>
        <w:ind w:firstLine="284"/>
        <w:jc w:val="both"/>
        <w:rPr>
          <w:rFonts w:ascii="Book Antiqua" w:hAnsi="Book Antiqua"/>
          <w:sz w:val="24"/>
          <w:szCs w:val="24"/>
        </w:rPr>
      </w:pPr>
      <w:r w:rsidRPr="00FB6040">
        <w:rPr>
          <w:rFonts w:ascii="Book Antiqua" w:hAnsi="Book Antiqua"/>
          <w:sz w:val="24"/>
          <w:szCs w:val="24"/>
        </w:rPr>
        <w:t>Every person needs legal protection for their body, life, freedom, and feelings or peace of mind based on their dignity and worth. Because criminal law provides this legal protection through the formulation of criminal acts in the law, the legal interests to be protected are always contained within the formulation of criminal acts. Online prostitution is prostitution conducted online, which is a sexual transaction with another person using electronic media.</w:t>
      </w:r>
      <w:r w:rsidRPr="00556503">
        <w:rPr>
          <w:rFonts w:ascii="Book Antiqua" w:hAnsi="Book Antiqua"/>
          <w:sz w:val="24"/>
          <w:szCs w:val="24"/>
          <w:vertAlign w:val="superscript"/>
        </w:rPr>
        <w:footnoteReference w:id="2"/>
      </w:r>
      <w:r w:rsidRPr="00FB6040">
        <w:rPr>
          <w:rFonts w:ascii="Book Antiqua" w:hAnsi="Book Antiqua"/>
          <w:sz w:val="24"/>
          <w:szCs w:val="24"/>
        </w:rPr>
        <w:t xml:space="preserve"> Many Indonesians are currently concerned about prostitution because it concerns issues of religion, morality, and standard of living. Furthermore, prostitution is a religious issue prohibited by all religions in the world, especially Islam, as Indonesia has one of the largest </w:t>
      </w:r>
      <w:r w:rsidRPr="00FB6040">
        <w:rPr>
          <w:rFonts w:ascii="Book Antiqua" w:hAnsi="Book Antiqua"/>
          <w:sz w:val="24"/>
          <w:szCs w:val="24"/>
        </w:rPr>
        <w:lastRenderedPageBreak/>
        <w:t>Muslim populations in the world.</w:t>
      </w:r>
      <w:r w:rsidRPr="00556503">
        <w:rPr>
          <w:rFonts w:ascii="Book Antiqua" w:hAnsi="Book Antiqua"/>
          <w:sz w:val="24"/>
          <w:szCs w:val="24"/>
          <w:vertAlign w:val="superscript"/>
        </w:rPr>
        <w:footnoteReference w:id="3"/>
      </w:r>
      <w:r>
        <w:rPr>
          <w:rFonts w:ascii="Book Antiqua" w:hAnsi="Book Antiqua"/>
          <w:sz w:val="24"/>
          <w:szCs w:val="24"/>
        </w:rPr>
        <w:t xml:space="preserve"> </w:t>
      </w:r>
      <w:r w:rsidRPr="00FB6040">
        <w:rPr>
          <w:rFonts w:ascii="Book Antiqua" w:hAnsi="Book Antiqua"/>
          <w:sz w:val="24"/>
          <w:szCs w:val="24"/>
        </w:rPr>
        <w:t>Prostitution is an act that violates ethics, religion, and societal norms such as morality, decency, and religious norms.</w:t>
      </w:r>
      <w:r w:rsidRPr="00556503">
        <w:rPr>
          <w:rFonts w:ascii="Book Antiqua" w:hAnsi="Book Antiqua"/>
          <w:sz w:val="24"/>
          <w:szCs w:val="24"/>
          <w:vertAlign w:val="superscript"/>
        </w:rPr>
        <w:footnoteReference w:id="4"/>
      </w:r>
      <w:r>
        <w:rPr>
          <w:rFonts w:ascii="Book Antiqua" w:hAnsi="Book Antiqua"/>
          <w:sz w:val="24"/>
          <w:szCs w:val="24"/>
        </w:rPr>
        <w:t xml:space="preserve"> </w:t>
      </w:r>
      <w:r w:rsidRPr="00FB6040">
        <w:rPr>
          <w:rFonts w:ascii="Book Antiqua" w:hAnsi="Book Antiqua"/>
          <w:sz w:val="24"/>
          <w:szCs w:val="24"/>
        </w:rPr>
        <w:t>Because prostitution also constitutes sexual exploitation, perpetrators must be punished or given appropriate punishment because it violates the law and because the practice of prostitution can endanger health.</w:t>
      </w:r>
    </w:p>
    <w:p w14:paraId="35B42154" w14:textId="77777777" w:rsidR="00C07EBB" w:rsidRPr="00FB6040" w:rsidRDefault="00C07EBB" w:rsidP="00C07EBB">
      <w:pPr>
        <w:spacing w:after="0" w:line="360" w:lineRule="auto"/>
        <w:ind w:firstLine="284"/>
        <w:jc w:val="both"/>
        <w:rPr>
          <w:rFonts w:ascii="Book Antiqua" w:hAnsi="Book Antiqua"/>
          <w:sz w:val="24"/>
          <w:szCs w:val="24"/>
        </w:rPr>
      </w:pPr>
      <w:r w:rsidRPr="00FB6040">
        <w:rPr>
          <w:rFonts w:ascii="Book Antiqua" w:hAnsi="Book Antiqua"/>
          <w:sz w:val="24"/>
          <w:szCs w:val="24"/>
        </w:rPr>
        <w:t>Global technological developments, particularly information and communication technology, have been accelerating.</w:t>
      </w:r>
      <w:r w:rsidRPr="00556503">
        <w:rPr>
          <w:rFonts w:ascii="Book Antiqua" w:hAnsi="Book Antiqua"/>
          <w:sz w:val="24"/>
          <w:szCs w:val="24"/>
          <w:vertAlign w:val="superscript"/>
        </w:rPr>
        <w:footnoteReference w:id="5"/>
      </w:r>
      <w:r>
        <w:rPr>
          <w:rFonts w:ascii="Book Antiqua" w:hAnsi="Book Antiqua"/>
          <w:sz w:val="24"/>
          <w:szCs w:val="24"/>
        </w:rPr>
        <w:t xml:space="preserve"> </w:t>
      </w:r>
      <w:r w:rsidRPr="00FB6040">
        <w:rPr>
          <w:rFonts w:ascii="Book Antiqua" w:hAnsi="Book Antiqua"/>
          <w:sz w:val="24"/>
          <w:szCs w:val="24"/>
        </w:rPr>
        <w:t>Technology today is not only beneficial for improving human welfare, progress, and civilization, but also serves as a tool for illegal acts. In Indonesia, prostitution is considered a crime that violates the law and violates morality. Prostitution is a form of social deviance that has been practiced since ancient times. Prostitution occurs when someone sells their body, honor, and personality to multiple people in exchange for money to fulfill their sexual desires.</w:t>
      </w:r>
      <w:r w:rsidRPr="006E372B">
        <w:rPr>
          <w:rFonts w:ascii="Book Antiqua" w:hAnsi="Book Antiqua"/>
          <w:sz w:val="24"/>
          <w:szCs w:val="24"/>
          <w:vertAlign w:val="superscript"/>
        </w:rPr>
        <w:footnoteReference w:id="6"/>
      </w:r>
      <w:r>
        <w:rPr>
          <w:rFonts w:ascii="Book Antiqua" w:hAnsi="Book Antiqua"/>
          <w:sz w:val="24"/>
          <w:szCs w:val="24"/>
        </w:rPr>
        <w:t xml:space="preserve"> </w:t>
      </w:r>
      <w:r w:rsidRPr="00FB6040">
        <w:rPr>
          <w:rFonts w:ascii="Book Antiqua" w:hAnsi="Book Antiqua"/>
          <w:sz w:val="24"/>
          <w:szCs w:val="24"/>
        </w:rPr>
        <w:t>Due to its complex nature, prostitution requires special public attention. The number of online prostitution cases in Indonesia has shown a steady increase in recent years. According to data from the National Crime Information Center of the Indonesian National Police Criminal Investigation Agency</w:t>
      </w:r>
      <w:r>
        <w:rPr>
          <w:rFonts w:ascii="Book Antiqua" w:hAnsi="Book Antiqua"/>
          <w:sz w:val="24"/>
          <w:szCs w:val="24"/>
        </w:rPr>
        <w:t xml:space="preserve">, </w:t>
      </w:r>
      <w:r w:rsidRPr="00FB6040">
        <w:rPr>
          <w:rFonts w:ascii="Book Antiqua" w:hAnsi="Book Antiqua"/>
          <w:sz w:val="24"/>
          <w:szCs w:val="24"/>
        </w:rPr>
        <w:t>from 2020 to September 2023, 1,491 reports related to online pornography, prostitution, and sexual exploitation were recorded. Cases of online prostitution increased sharply in 2022, with a fivefold increase compared to the previous year. Several regions such as Depok and Malang recorded more than 100 and 50 cases of online prostitution throughout 2022. In Denpasar, 15 cases involving foreign nationals were found in 2024.</w:t>
      </w:r>
      <w:r w:rsidRPr="006E372B">
        <w:rPr>
          <w:rFonts w:ascii="Book Antiqua" w:hAnsi="Book Antiqua"/>
          <w:sz w:val="24"/>
          <w:szCs w:val="24"/>
          <w:vertAlign w:val="superscript"/>
        </w:rPr>
        <w:footnoteReference w:id="7"/>
      </w:r>
      <w:r>
        <w:rPr>
          <w:rFonts w:ascii="Book Antiqua" w:hAnsi="Book Antiqua"/>
          <w:sz w:val="24"/>
          <w:szCs w:val="24"/>
        </w:rPr>
        <w:t xml:space="preserve"> </w:t>
      </w:r>
      <w:r w:rsidRPr="00FB6040">
        <w:rPr>
          <w:rFonts w:ascii="Book Antiqua" w:hAnsi="Book Antiqua"/>
          <w:sz w:val="24"/>
          <w:szCs w:val="24"/>
        </w:rPr>
        <w:t xml:space="preserve">This increase was influenced by technological advances, the use of social media, and weak digital oversight of online activities involving sexual exploitation. Article 296 of the Criminal Code (KUHP) reads as follows: "Anyone whose livelihood or habit is to intentionally organize or facilitate obscene acts with other people." Article 45 paragraph (1) of Law Number 19 of 2016 </w:t>
      </w:r>
      <w:r w:rsidRPr="00FB6040">
        <w:rPr>
          <w:rFonts w:ascii="Book Antiqua" w:hAnsi="Book Antiqua"/>
          <w:sz w:val="24"/>
          <w:szCs w:val="24"/>
        </w:rPr>
        <w:lastRenderedPageBreak/>
        <w:t>concerning Amendments to Law Number 11 of 2008 concerning Information and Electronic Transactions states that anyone who intentionally and without the right to distribute, transmit, or make accessible Electronic Information and/or Electronic Documents containing content that violates morality will be subject to punishment if this act of prostitution is carried out online.</w:t>
      </w:r>
    </w:p>
    <w:p w14:paraId="5A6F65DD" w14:textId="77777777" w:rsidR="00C07EBB" w:rsidRPr="00FB6040" w:rsidRDefault="00C07EBB" w:rsidP="00C07EBB">
      <w:pPr>
        <w:spacing w:after="0" w:line="360" w:lineRule="auto"/>
        <w:ind w:firstLine="284"/>
        <w:jc w:val="both"/>
        <w:rPr>
          <w:rFonts w:ascii="Book Antiqua" w:hAnsi="Book Antiqua"/>
          <w:sz w:val="24"/>
          <w:szCs w:val="24"/>
        </w:rPr>
      </w:pPr>
      <w:r w:rsidRPr="00FB6040">
        <w:rPr>
          <w:rFonts w:ascii="Book Antiqua" w:hAnsi="Book Antiqua"/>
          <w:sz w:val="24"/>
          <w:szCs w:val="24"/>
        </w:rPr>
        <w:t>Based on Article 284 of the Criminal Code concerning adultery, customers or people who use online prostitution services are threatened with imprisonment for 9 (nine) months. However, in some cases, the injured party (for example, the husband of a wife who commits adultery or the wife of a husband who commits adultery) can be subject to criminal penalties. The Criminal Code as the lex generalis of Indonesian criminal law does not regulate the crime of online prostitution practices. Article 27 paragraph (1) of Law Number 11 of 2008 concerning Information and Electronic Transactions regulates the practice of online prostitution. This is the only article in the regulations outside the Criminal Code that regulates online prostitution. The increasing number of online prostitution cases indicates the demoralization of Indonesian society and the erosion of the archipelago's culture and religion that upholds the dignity of women, morality, and decency. Current punishment is ineffective as a social engineering tool to change society because it cannot punish perpetrators of online prostitution and cannot change people's behavior positively.</w:t>
      </w:r>
    </w:p>
    <w:p w14:paraId="7EA3B1AA" w14:textId="77777777" w:rsidR="00C07EBB" w:rsidRPr="00FB6040" w:rsidRDefault="00C07EBB" w:rsidP="00C07EBB">
      <w:pPr>
        <w:spacing w:after="0" w:line="360" w:lineRule="auto"/>
        <w:ind w:firstLine="284"/>
        <w:jc w:val="both"/>
        <w:rPr>
          <w:rFonts w:ascii="Book Antiqua" w:hAnsi="Book Antiqua"/>
          <w:sz w:val="24"/>
          <w:szCs w:val="24"/>
        </w:rPr>
      </w:pPr>
      <w:r w:rsidRPr="00FB6040">
        <w:rPr>
          <w:rFonts w:ascii="Book Antiqua" w:hAnsi="Book Antiqua"/>
          <w:sz w:val="24"/>
          <w:szCs w:val="24"/>
        </w:rPr>
        <w:t>In terms of regulations, the crime of Pornography and Online Prostitution overlaps if there is a case of spreading pornographic content via the internet in this case, the perpetrator can be charged by the Pornography Law for spreading pornographic content and for using information technology to spread illegal content or Case of making and spreading pornographic content via social media, in this case, the perpetrator can be charged by the Pornography Law and the Electronic Transaction Information Law for making and spreading pornographic content. The impact of this case, First, Legal ambiguity, overlapping laws can cause legal ambiguity and difficulty in determining which law should be applied in a particular case. Second, Imposition of double sanctions, overlapping laws can also cause the same perpetrator to be sanctioned twice, which can be considered unfair.</w:t>
      </w:r>
    </w:p>
    <w:p w14:paraId="68E3B38D" w14:textId="77777777" w:rsidR="00C07EBB" w:rsidRPr="00FB6040" w:rsidRDefault="00C07EBB" w:rsidP="00C07EBB">
      <w:pPr>
        <w:spacing w:after="0" w:line="360" w:lineRule="auto"/>
        <w:ind w:firstLine="284"/>
        <w:jc w:val="both"/>
        <w:rPr>
          <w:rFonts w:ascii="Book Antiqua" w:hAnsi="Book Antiqua"/>
          <w:sz w:val="24"/>
          <w:szCs w:val="24"/>
        </w:rPr>
      </w:pPr>
      <w:r w:rsidRPr="00FB6040">
        <w:rPr>
          <w:rFonts w:ascii="Book Antiqua" w:hAnsi="Book Antiqua"/>
          <w:sz w:val="24"/>
          <w:szCs w:val="24"/>
        </w:rPr>
        <w:t xml:space="preserve">The context of this research represents the current reality of law enforcement in addressing online pornography and prostitution. In reality, these digital-based crimes continue to grow rapidly along with technological advances, while law enforcement still faces numerous obstacles, such as weak regulations, limited human and technological </w:t>
      </w:r>
      <w:r w:rsidRPr="00FB6040">
        <w:rPr>
          <w:rFonts w:ascii="Book Antiqua" w:hAnsi="Book Antiqua"/>
          <w:sz w:val="24"/>
          <w:szCs w:val="24"/>
        </w:rPr>
        <w:lastRenderedPageBreak/>
        <w:t>resources, and difficulties in establishing evidence in the digital realm. Law enforcement officials often struggle to identify perpetrators who use anonymous accounts, encrypted applications, or store data on overseas servers. Furthermore, the public's low level of legal and digital literacy exacerbates this situation. Meanwhile, the creation of a law enforcement system that is adaptive to technological developments and able to accommodate new forms of cybercrime is crucial. This includes more comprehensive regulations, increased technical capacity of officers, cross-border cooperation, and the optimal use of digital forensic technology. This research aims to provide strategic solutions to ensure more effective, efficient, and equitable law enforcement against online pornography and prostitution in the digital era. This research focuses on the study of cooperation between law enforcement agencies and other institutions in addressing online pornography and prostitution.</w:t>
      </w:r>
    </w:p>
    <w:p w14:paraId="026C1E8A" w14:textId="77777777" w:rsidR="00C07EBB" w:rsidRPr="00F655DA" w:rsidRDefault="00C07EBB" w:rsidP="00C07EBB">
      <w:pPr>
        <w:spacing w:after="0" w:line="360" w:lineRule="auto"/>
        <w:rPr>
          <w:rFonts w:ascii="Book Antiqua" w:hAnsi="Book Antiqua"/>
          <w:b/>
          <w:color w:val="0070C0"/>
          <w:sz w:val="24"/>
          <w:szCs w:val="24"/>
        </w:rPr>
      </w:pPr>
    </w:p>
    <w:p w14:paraId="08DC4058" w14:textId="77777777" w:rsidR="00C07EBB" w:rsidRPr="00F655DA" w:rsidRDefault="00C07EBB" w:rsidP="00C07EBB">
      <w:pPr>
        <w:spacing w:after="0" w:line="360" w:lineRule="auto"/>
        <w:rPr>
          <w:rFonts w:ascii="Book Antiqua" w:hAnsi="Book Antiqua"/>
          <w:b/>
          <w:color w:val="0070C0"/>
          <w:sz w:val="24"/>
          <w:szCs w:val="24"/>
        </w:rPr>
      </w:pPr>
      <w:r w:rsidRPr="00F655DA">
        <w:rPr>
          <w:rFonts w:ascii="Book Antiqua" w:hAnsi="Book Antiqua"/>
          <w:b/>
          <w:color w:val="0070C0"/>
          <w:sz w:val="24"/>
          <w:szCs w:val="24"/>
        </w:rPr>
        <w:t>METHODS OF THE RESEARCH</w:t>
      </w:r>
    </w:p>
    <w:p w14:paraId="049D29E5" w14:textId="77777777" w:rsidR="00C07EBB" w:rsidRDefault="00C07EBB" w:rsidP="00C07EBB">
      <w:pPr>
        <w:spacing w:after="0" w:line="360" w:lineRule="auto"/>
        <w:ind w:firstLine="284"/>
        <w:jc w:val="both"/>
        <w:rPr>
          <w:rFonts w:ascii="Book Antiqua" w:hAnsi="Book Antiqua"/>
          <w:color w:val="000000" w:themeColor="text1"/>
          <w:sz w:val="24"/>
          <w:szCs w:val="24"/>
        </w:rPr>
      </w:pPr>
      <w:r w:rsidRPr="00FB6040">
        <w:rPr>
          <w:rFonts w:ascii="Book Antiqua" w:hAnsi="Book Antiqua"/>
          <w:color w:val="000000" w:themeColor="text1"/>
          <w:sz w:val="24"/>
          <w:szCs w:val="24"/>
        </w:rPr>
        <w:t>This research uses a normative juridical approach</w:t>
      </w:r>
      <w:r>
        <w:rPr>
          <w:rFonts w:ascii="Book Antiqua" w:hAnsi="Book Antiqua"/>
          <w:color w:val="000000" w:themeColor="text1"/>
          <w:sz w:val="24"/>
          <w:szCs w:val="24"/>
        </w:rPr>
        <w:t>.</w:t>
      </w:r>
      <w:r w:rsidRPr="00F43411">
        <w:rPr>
          <w:rFonts w:ascii="Book Antiqua" w:hAnsi="Book Antiqua"/>
          <w:color w:val="000000" w:themeColor="text1"/>
          <w:sz w:val="24"/>
          <w:szCs w:val="24"/>
          <w:vertAlign w:val="superscript"/>
        </w:rPr>
        <w:footnoteReference w:id="8"/>
      </w:r>
      <w:r>
        <w:rPr>
          <w:rFonts w:ascii="Book Antiqua" w:hAnsi="Book Antiqua"/>
          <w:color w:val="000000" w:themeColor="text1"/>
          <w:sz w:val="24"/>
          <w:szCs w:val="24"/>
        </w:rPr>
        <w:t xml:space="preserve"> </w:t>
      </w:r>
      <w:r w:rsidRPr="00FB6040">
        <w:rPr>
          <w:rFonts w:ascii="Book Antiqua" w:hAnsi="Book Antiqua"/>
          <w:color w:val="000000" w:themeColor="text1"/>
          <w:sz w:val="24"/>
          <w:szCs w:val="24"/>
        </w:rPr>
        <w:t>which focuses on descriptive research. This method focuses on primary data in the form of regulations related to online pornography and prostitution crimes. In addition, secondary data obtained from books and legal research journals are also used as valuable sources of information. Literature study techniques are used to collect secondary data, which are then analyzed and grouped based on the type of legal material available. The results of the research are presented in a paper that adopts a qualitative approach. In this method, the collected data are described in paragraphs that are arranged logically, systematically, and innovatively. Conclusions are then drawn deductively in response to questions regarding the challenges and solutions for law enforcement in handling online pornography and prostitution crimes.</w:t>
      </w:r>
    </w:p>
    <w:p w14:paraId="1C5CE9F6" w14:textId="77777777" w:rsidR="00C07EBB" w:rsidRPr="00FB6040" w:rsidRDefault="00C07EBB" w:rsidP="00C07EBB">
      <w:pPr>
        <w:spacing w:after="0" w:line="360" w:lineRule="auto"/>
        <w:ind w:firstLine="284"/>
        <w:jc w:val="both"/>
        <w:rPr>
          <w:rFonts w:ascii="Book Antiqua" w:hAnsi="Book Antiqua"/>
          <w:color w:val="000000" w:themeColor="text1"/>
          <w:sz w:val="24"/>
          <w:szCs w:val="24"/>
        </w:rPr>
      </w:pPr>
    </w:p>
    <w:p w14:paraId="33883A4B" w14:textId="77777777" w:rsidR="00C07EBB" w:rsidRPr="00F655DA" w:rsidRDefault="00C07EBB" w:rsidP="00C07EBB">
      <w:pPr>
        <w:spacing w:after="0" w:line="360" w:lineRule="auto"/>
        <w:rPr>
          <w:rFonts w:ascii="Book Antiqua" w:hAnsi="Book Antiqua"/>
          <w:b/>
          <w:color w:val="0070C0"/>
          <w:sz w:val="24"/>
          <w:szCs w:val="24"/>
        </w:rPr>
      </w:pPr>
      <w:r w:rsidRPr="00F655DA">
        <w:rPr>
          <w:rFonts w:ascii="Book Antiqua" w:hAnsi="Book Antiqua"/>
          <w:b/>
          <w:color w:val="0070C0"/>
          <w:sz w:val="24"/>
          <w:szCs w:val="24"/>
        </w:rPr>
        <w:t xml:space="preserve">RESULTS AND DISCUSSION </w:t>
      </w:r>
    </w:p>
    <w:p w14:paraId="0C311D7A" w14:textId="77777777" w:rsidR="00C07EBB" w:rsidRPr="00FB6040" w:rsidRDefault="00C07EBB" w:rsidP="00C07EBB">
      <w:pPr>
        <w:pStyle w:val="ListParagraph"/>
        <w:numPr>
          <w:ilvl w:val="0"/>
          <w:numId w:val="4"/>
        </w:numPr>
        <w:autoSpaceDE w:val="0"/>
        <w:autoSpaceDN w:val="0"/>
        <w:adjustRightInd w:val="0"/>
        <w:spacing w:after="0" w:line="360" w:lineRule="auto"/>
        <w:ind w:left="378" w:right="-1" w:hanging="364"/>
        <w:jc w:val="both"/>
        <w:rPr>
          <w:rFonts w:ascii="Book Antiqua" w:hAnsi="Book Antiqua"/>
          <w:b/>
          <w:bCs/>
          <w:sz w:val="28"/>
          <w:szCs w:val="36"/>
        </w:rPr>
      </w:pPr>
      <w:r w:rsidRPr="00FB6040">
        <w:rPr>
          <w:rFonts w:ascii="Book Antiqua" w:hAnsi="Book Antiqua"/>
          <w:b/>
          <w:bCs/>
          <w:color w:val="000000"/>
          <w:sz w:val="24"/>
          <w:szCs w:val="24"/>
        </w:rPr>
        <w:t>Phenomenon Online Pornography and Prostitution in the Digital Age</w:t>
      </w:r>
    </w:p>
    <w:p w14:paraId="534476B5" w14:textId="77777777" w:rsidR="00C07EBB" w:rsidRPr="00FB6040" w:rsidRDefault="00C07EBB" w:rsidP="00C07EBB">
      <w:pPr>
        <w:spacing w:after="0" w:line="360" w:lineRule="auto"/>
        <w:ind w:firstLine="284"/>
        <w:jc w:val="both"/>
        <w:rPr>
          <w:rFonts w:ascii="Book Antiqua" w:hAnsi="Book Antiqua"/>
          <w:color w:val="000000" w:themeColor="text1"/>
          <w:sz w:val="24"/>
          <w:szCs w:val="24"/>
        </w:rPr>
      </w:pPr>
      <w:r w:rsidRPr="00FB6040">
        <w:rPr>
          <w:rFonts w:ascii="Book Antiqua" w:hAnsi="Book Antiqua"/>
          <w:color w:val="000000" w:themeColor="text1"/>
          <w:sz w:val="24"/>
          <w:szCs w:val="24"/>
        </w:rPr>
        <w:t xml:space="preserve">The </w:t>
      </w:r>
      <w:r w:rsidRPr="00620169">
        <w:rPr>
          <w:rFonts w:ascii="Book Antiqua" w:hAnsi="Book Antiqua"/>
          <w:sz w:val="24"/>
        </w:rPr>
        <w:t>development</w:t>
      </w:r>
      <w:r w:rsidRPr="00FB6040">
        <w:rPr>
          <w:rFonts w:ascii="Book Antiqua" w:hAnsi="Book Antiqua"/>
          <w:color w:val="000000" w:themeColor="text1"/>
          <w:sz w:val="24"/>
          <w:szCs w:val="24"/>
        </w:rPr>
        <w:t xml:space="preserve"> of information technology has significantly transformed social life. On the one hand, this progress brings significant benefits to communication, education, and the digital economy. However, on the other hand, cyberspace has also become fertile ground for various crimes, including pornography and online prostitution. These crimes have </w:t>
      </w:r>
      <w:r w:rsidRPr="00FB6040">
        <w:rPr>
          <w:rFonts w:ascii="Book Antiqua" w:hAnsi="Book Antiqua"/>
          <w:color w:val="000000" w:themeColor="text1"/>
          <w:sz w:val="24"/>
          <w:szCs w:val="24"/>
        </w:rPr>
        <w:lastRenderedPageBreak/>
        <w:t>distinct characteristics from conventional forms.</w:t>
      </w:r>
      <w:r w:rsidRPr="00013A7E">
        <w:rPr>
          <w:rFonts w:ascii="Book Antiqua" w:hAnsi="Book Antiqua"/>
          <w:color w:val="000000" w:themeColor="text1"/>
          <w:sz w:val="24"/>
          <w:szCs w:val="24"/>
          <w:vertAlign w:val="superscript"/>
        </w:rPr>
        <w:footnoteReference w:id="9"/>
      </w:r>
      <w:r>
        <w:rPr>
          <w:rFonts w:ascii="Book Antiqua" w:hAnsi="Book Antiqua"/>
          <w:color w:val="000000" w:themeColor="text1"/>
          <w:sz w:val="24"/>
          <w:szCs w:val="24"/>
        </w:rPr>
        <w:t xml:space="preserve"> </w:t>
      </w:r>
      <w:r w:rsidRPr="00FB6040">
        <w:rPr>
          <w:rFonts w:ascii="Book Antiqua" w:hAnsi="Book Antiqua"/>
          <w:color w:val="000000" w:themeColor="text1"/>
          <w:sz w:val="24"/>
          <w:szCs w:val="24"/>
        </w:rPr>
        <w:t>The methods used are highly varied, such as the distribution of sexual content through social media, prostitution services through instant messaging applications, and transactions through online websites. This phenomenon creates new challenges for law enforcement, as perpetrators not only exploit technological advances but also tend to cross national borders and use anonymous identities.</w:t>
      </w:r>
    </w:p>
    <w:p w14:paraId="048AF019" w14:textId="77777777" w:rsidR="00C07EBB" w:rsidRPr="00FB6040" w:rsidRDefault="00C07EBB" w:rsidP="00C07EBB">
      <w:pPr>
        <w:spacing w:after="0" w:line="360" w:lineRule="auto"/>
        <w:ind w:firstLine="284"/>
        <w:jc w:val="both"/>
        <w:rPr>
          <w:rFonts w:ascii="Book Antiqua" w:hAnsi="Book Antiqua"/>
          <w:color w:val="000000" w:themeColor="text1"/>
          <w:sz w:val="24"/>
          <w:szCs w:val="24"/>
        </w:rPr>
      </w:pPr>
      <w:r w:rsidRPr="00FB6040">
        <w:rPr>
          <w:rFonts w:ascii="Book Antiqua" w:hAnsi="Book Antiqua"/>
          <w:color w:val="000000" w:themeColor="text1"/>
          <w:sz w:val="24"/>
          <w:szCs w:val="24"/>
        </w:rPr>
        <w:t>Online pornography and prostitution often target vulnerable groups, particularly women and children. Victims are often ensnared through seduction, deception, or even economic exploitation. Furthermore, many perpetrators exploit legal loopholes or authorities' difficulties in accessing digital data. Therefore, addressing these two crimes requires a comprehensive approach, encompassing not only legal enforcement but also regulatory, technological, social, and cultural aspects. The phenomenon of pornography crimes in Indonesia has undergone significant transformation along with technological advancements and social changes. While previously</w:t>
      </w:r>
      <w:r>
        <w:rPr>
          <w:rFonts w:ascii="Book Antiqua" w:hAnsi="Book Antiqua"/>
          <w:color w:val="000000" w:themeColor="text1"/>
          <w:sz w:val="24"/>
          <w:szCs w:val="24"/>
        </w:rPr>
        <w:t>,</w:t>
      </w:r>
      <w:r w:rsidRPr="00013A7E">
        <w:rPr>
          <w:rFonts w:ascii="Book Antiqua" w:hAnsi="Book Antiqua"/>
          <w:color w:val="000000" w:themeColor="text1"/>
          <w:sz w:val="24"/>
          <w:szCs w:val="24"/>
          <w:vertAlign w:val="superscript"/>
        </w:rPr>
        <w:footnoteReference w:id="10"/>
      </w:r>
      <w:r>
        <w:rPr>
          <w:rFonts w:ascii="Book Antiqua" w:hAnsi="Book Antiqua"/>
          <w:color w:val="000000" w:themeColor="text1"/>
          <w:sz w:val="24"/>
          <w:szCs w:val="24"/>
        </w:rPr>
        <w:t xml:space="preserve"> </w:t>
      </w:r>
      <w:r w:rsidRPr="00FB6040">
        <w:rPr>
          <w:rFonts w:ascii="Book Antiqua" w:hAnsi="Book Antiqua"/>
          <w:color w:val="000000" w:themeColor="text1"/>
          <w:sz w:val="24"/>
          <w:szCs w:val="24"/>
        </w:rPr>
        <w:t>the distribution of pornographic material was limited to print media or videotapes, its distribution has now shifted to the digital space, which is much broader, faster, and more difficult to monitor. Pornographic content can be accessed through various platforms such as websites, social media, instant messaging apps, and streaming services, which often lack strict oversight.</w:t>
      </w:r>
    </w:p>
    <w:p w14:paraId="6129A999" w14:textId="77777777" w:rsidR="00C07EBB" w:rsidRPr="00FB6040" w:rsidRDefault="00C07EBB" w:rsidP="00C07EBB">
      <w:pPr>
        <w:spacing w:after="0" w:line="360" w:lineRule="auto"/>
        <w:ind w:firstLine="284"/>
        <w:jc w:val="both"/>
        <w:rPr>
          <w:rFonts w:ascii="Book Antiqua" w:hAnsi="Book Antiqua"/>
          <w:color w:val="000000" w:themeColor="text1"/>
          <w:sz w:val="24"/>
          <w:szCs w:val="24"/>
        </w:rPr>
      </w:pPr>
      <w:r w:rsidRPr="00FB6040">
        <w:rPr>
          <w:rFonts w:ascii="Book Antiqua" w:hAnsi="Book Antiqua"/>
          <w:color w:val="000000" w:themeColor="text1"/>
          <w:sz w:val="24"/>
          <w:szCs w:val="24"/>
        </w:rPr>
        <w:t>Pornography is legally defined in Law No. 44 of 2008 concerning Pornography as images, sketches, illustrations, photographs, writings, voices, sounds, body movements, or other forms of messages through various forms of communication media that contain elements of obscenity or sexual exploitation. Under this law, the act of illegally producing, distributing, trading, or accessing pornographic content can be categorized as a criminal offense. The rise of pornography crimes is inseparable from various factors. One of them is easy access to the internet, which is not balanced with digital literacy education.</w:t>
      </w:r>
      <w:r w:rsidRPr="002C73B2">
        <w:rPr>
          <w:rFonts w:ascii="Book Antiqua" w:hAnsi="Book Antiqua"/>
          <w:color w:val="000000" w:themeColor="text1"/>
          <w:sz w:val="24"/>
          <w:szCs w:val="24"/>
          <w:vertAlign w:val="superscript"/>
        </w:rPr>
        <w:footnoteReference w:id="11"/>
      </w:r>
      <w:r>
        <w:rPr>
          <w:rFonts w:ascii="Book Antiqua" w:hAnsi="Book Antiqua"/>
          <w:color w:val="000000" w:themeColor="text1"/>
          <w:sz w:val="24"/>
          <w:szCs w:val="24"/>
        </w:rPr>
        <w:t xml:space="preserve"> </w:t>
      </w:r>
      <w:r w:rsidRPr="00FB6040">
        <w:rPr>
          <w:rFonts w:ascii="Book Antiqua" w:hAnsi="Book Antiqua"/>
          <w:color w:val="000000" w:themeColor="text1"/>
          <w:sz w:val="24"/>
          <w:szCs w:val="24"/>
        </w:rPr>
        <w:t xml:space="preserve">Many children and adolescents become victims or perpetrators of the distribution of pornographic content because they do not understand the legal and psychological impacts of such actions. </w:t>
      </w:r>
      <w:r w:rsidRPr="00FB6040">
        <w:rPr>
          <w:rFonts w:ascii="Book Antiqua" w:hAnsi="Book Antiqua"/>
          <w:color w:val="000000" w:themeColor="text1"/>
          <w:sz w:val="24"/>
          <w:szCs w:val="24"/>
        </w:rPr>
        <w:lastRenderedPageBreak/>
        <w:t>Furthermore, socioeconomic conditions, such as poverty and low education, are often exploited by certain parties to exploit others in the pornography industry, both covertly and openly.</w:t>
      </w:r>
      <w:r w:rsidRPr="002C73B2">
        <w:rPr>
          <w:rFonts w:ascii="Book Antiqua" w:hAnsi="Book Antiqua"/>
          <w:color w:val="000000" w:themeColor="text1"/>
          <w:sz w:val="24"/>
          <w:szCs w:val="24"/>
          <w:vertAlign w:val="superscript"/>
        </w:rPr>
        <w:footnoteReference w:id="12"/>
      </w:r>
      <w:r w:rsidRPr="002C73B2">
        <w:rPr>
          <w:rFonts w:ascii="Book Antiqua" w:hAnsi="Book Antiqua"/>
          <w:color w:val="000000" w:themeColor="text1"/>
          <w:sz w:val="24"/>
          <w:szCs w:val="24"/>
          <w:vertAlign w:val="superscript"/>
        </w:rPr>
        <w:t xml:space="preserve"> </w:t>
      </w:r>
      <w:r w:rsidRPr="00FB6040">
        <w:rPr>
          <w:rFonts w:ascii="Book Antiqua" w:hAnsi="Book Antiqua"/>
          <w:color w:val="000000" w:themeColor="text1"/>
          <w:sz w:val="24"/>
          <w:szCs w:val="24"/>
        </w:rPr>
        <w:t>This phenomenon is also exacerbated by a permissive culture on social media, where sexually explicit content is often considered part of self-expression or ordinary entertainment.</w:t>
      </w:r>
      <w:r w:rsidRPr="002C73B2">
        <w:rPr>
          <w:rFonts w:ascii="Book Antiqua" w:hAnsi="Book Antiqua"/>
          <w:color w:val="000000" w:themeColor="text1"/>
          <w:sz w:val="24"/>
          <w:szCs w:val="24"/>
          <w:vertAlign w:val="superscript"/>
        </w:rPr>
        <w:footnoteReference w:id="13"/>
      </w:r>
      <w:r>
        <w:rPr>
          <w:rFonts w:ascii="Book Antiqua" w:hAnsi="Book Antiqua"/>
          <w:color w:val="000000" w:themeColor="text1"/>
          <w:sz w:val="24"/>
          <w:szCs w:val="24"/>
        </w:rPr>
        <w:t xml:space="preserve"> </w:t>
      </w:r>
      <w:r w:rsidRPr="00FB6040">
        <w:rPr>
          <w:rFonts w:ascii="Book Antiqua" w:hAnsi="Book Antiqua"/>
          <w:color w:val="000000" w:themeColor="text1"/>
          <w:sz w:val="24"/>
          <w:szCs w:val="24"/>
        </w:rPr>
        <w:t>Influencers or certain social media users even use sexual content as a tool to attract attention and gain financial gain. This makes society, especially the younger generation, more open to exposure to pornography and considers it normal.</w:t>
      </w:r>
    </w:p>
    <w:p w14:paraId="165C4D78" w14:textId="77777777" w:rsidR="00C07EBB" w:rsidRPr="00FB6040" w:rsidRDefault="00C07EBB" w:rsidP="00C07EBB">
      <w:pPr>
        <w:spacing w:after="0" w:line="360" w:lineRule="auto"/>
        <w:ind w:firstLine="284"/>
        <w:jc w:val="both"/>
        <w:rPr>
          <w:rFonts w:ascii="Book Antiqua" w:hAnsi="Book Antiqua"/>
          <w:color w:val="000000" w:themeColor="text1"/>
          <w:sz w:val="24"/>
          <w:szCs w:val="24"/>
        </w:rPr>
      </w:pPr>
      <w:r w:rsidRPr="00FB6040">
        <w:rPr>
          <w:rFonts w:ascii="Book Antiqua" w:hAnsi="Book Antiqua"/>
          <w:color w:val="000000" w:themeColor="text1"/>
          <w:sz w:val="24"/>
          <w:szCs w:val="24"/>
        </w:rPr>
        <w:t>Legally, handling pornography cases faces serious challenges. Many pornography sites operate from overseas, making them difficult for Indonesian law enforcement to access. Furthermore, perpetrators often use encryption technology and virtual private networks (VPNs) to conceal their identities.</w:t>
      </w:r>
      <w:r w:rsidRPr="002C73B2">
        <w:rPr>
          <w:rFonts w:ascii="Book Antiqua" w:hAnsi="Book Antiqua"/>
          <w:color w:val="000000" w:themeColor="text1"/>
          <w:sz w:val="24"/>
          <w:szCs w:val="24"/>
          <w:vertAlign w:val="superscript"/>
        </w:rPr>
        <w:footnoteReference w:id="14"/>
      </w:r>
      <w:r>
        <w:rPr>
          <w:rFonts w:ascii="Book Antiqua" w:hAnsi="Book Antiqua"/>
          <w:color w:val="000000" w:themeColor="text1"/>
          <w:sz w:val="24"/>
          <w:szCs w:val="24"/>
        </w:rPr>
        <w:t xml:space="preserve"> </w:t>
      </w:r>
      <w:r w:rsidRPr="00FB6040">
        <w:rPr>
          <w:rFonts w:ascii="Book Antiqua" w:hAnsi="Book Antiqua"/>
          <w:color w:val="000000" w:themeColor="text1"/>
          <w:sz w:val="24"/>
          <w:szCs w:val="24"/>
        </w:rPr>
        <w:t>Furthermore, the public remains reluctant to report pornography cases due to perceived taboos or fear of legal action. Law enforcement needs to improve its capabilities in handling digital-based crimes, including tracking electronic evidence, international cooperation, and public education to collectively prevent and combat the spread of pornographic content. Preventive measures are also crucial, given that pornography crimes often serve as a gateway to other crimes such as human trafficking, child sexual exploitation, and online prostitution.</w:t>
      </w:r>
    </w:p>
    <w:p w14:paraId="6E14A3DF" w14:textId="77777777" w:rsidR="00C07EBB" w:rsidRPr="00FB6040" w:rsidRDefault="00C07EBB" w:rsidP="00C07EBB">
      <w:pPr>
        <w:spacing w:after="0" w:line="360" w:lineRule="auto"/>
        <w:ind w:firstLine="284"/>
        <w:jc w:val="both"/>
        <w:rPr>
          <w:rFonts w:ascii="Book Antiqua" w:hAnsi="Book Antiqua"/>
          <w:color w:val="000000" w:themeColor="text1"/>
          <w:sz w:val="24"/>
          <w:szCs w:val="24"/>
        </w:rPr>
      </w:pPr>
      <w:r w:rsidRPr="00FB6040">
        <w:rPr>
          <w:rFonts w:ascii="Book Antiqua" w:hAnsi="Book Antiqua"/>
          <w:color w:val="000000" w:themeColor="text1"/>
          <w:sz w:val="24"/>
          <w:szCs w:val="24"/>
        </w:rPr>
        <w:t>Online prostitution is a modern form of conventional prostitution that utilizes information technology as a means of communication, promotion, and transaction between service providers and consumers.</w:t>
      </w:r>
      <w:r w:rsidRPr="002C73B2">
        <w:rPr>
          <w:rFonts w:ascii="Book Antiqua" w:hAnsi="Book Antiqua"/>
          <w:color w:val="000000" w:themeColor="text1"/>
          <w:sz w:val="24"/>
          <w:szCs w:val="24"/>
          <w:vertAlign w:val="superscript"/>
        </w:rPr>
        <w:footnoteReference w:id="15"/>
      </w:r>
      <w:r w:rsidRPr="002C73B2">
        <w:rPr>
          <w:rFonts w:ascii="Book Antiqua" w:hAnsi="Book Antiqua"/>
          <w:color w:val="000000" w:themeColor="text1"/>
          <w:sz w:val="24"/>
          <w:szCs w:val="24"/>
          <w:vertAlign w:val="superscript"/>
        </w:rPr>
        <w:t xml:space="preserve"> </w:t>
      </w:r>
      <w:r w:rsidRPr="00FB6040">
        <w:rPr>
          <w:rFonts w:ascii="Book Antiqua" w:hAnsi="Book Antiqua"/>
          <w:color w:val="000000" w:themeColor="text1"/>
          <w:sz w:val="24"/>
          <w:szCs w:val="24"/>
        </w:rPr>
        <w:t xml:space="preserve">In today's digital era, prostitution no longer occurs openly on the streets or in certain locations, but has shifted to private spaces hidden behind mobile screens. The modus operandi of online prostitution is increasingly sophisticated, ranging from disguised advertisements on social media, the use of special terms like to offering services through instant messaging apps and adult websites. Online prostitution is growing rapidly due to easy internet access, the anonymity of digital identities, and high </w:t>
      </w:r>
      <w:r w:rsidRPr="00FB6040">
        <w:rPr>
          <w:rFonts w:ascii="Book Antiqua" w:hAnsi="Book Antiqua"/>
          <w:color w:val="000000" w:themeColor="text1"/>
          <w:sz w:val="24"/>
          <w:szCs w:val="24"/>
        </w:rPr>
        <w:lastRenderedPageBreak/>
        <w:t>market demand. Perpetrators no longer need to meet clients in person to offer their services; they simply share photos, rates, and contact information online. In many cases, service providers or pimps use false identities, change phone numbers frequently, and disguise financial transactions to avoid detection by law enforcement.</w:t>
      </w:r>
    </w:p>
    <w:p w14:paraId="28DF9374" w14:textId="77777777" w:rsidR="00C07EBB" w:rsidRPr="00FB6040" w:rsidRDefault="00C07EBB" w:rsidP="00C07EBB">
      <w:pPr>
        <w:spacing w:after="0" w:line="360" w:lineRule="auto"/>
        <w:ind w:firstLine="284"/>
        <w:jc w:val="both"/>
        <w:rPr>
          <w:rFonts w:ascii="Book Antiqua" w:hAnsi="Book Antiqua"/>
          <w:color w:val="000000" w:themeColor="text1"/>
          <w:sz w:val="24"/>
          <w:szCs w:val="24"/>
        </w:rPr>
      </w:pPr>
      <w:r w:rsidRPr="00FB6040">
        <w:rPr>
          <w:rFonts w:ascii="Book Antiqua" w:hAnsi="Book Antiqua"/>
          <w:color w:val="000000" w:themeColor="text1"/>
          <w:sz w:val="24"/>
          <w:szCs w:val="24"/>
        </w:rPr>
        <w:t>One area of concern is the increasing involvement of adolescents and minors in online prostitution.</w:t>
      </w:r>
      <w:r w:rsidRPr="002C73B2">
        <w:rPr>
          <w:rFonts w:ascii="Book Antiqua" w:hAnsi="Book Antiqua"/>
          <w:color w:val="000000" w:themeColor="text1"/>
          <w:sz w:val="24"/>
          <w:szCs w:val="24"/>
          <w:vertAlign w:val="superscript"/>
        </w:rPr>
        <w:footnoteReference w:id="16"/>
      </w:r>
      <w:r>
        <w:rPr>
          <w:rFonts w:ascii="Book Antiqua" w:hAnsi="Book Antiqua"/>
          <w:color w:val="000000" w:themeColor="text1"/>
          <w:sz w:val="24"/>
          <w:szCs w:val="24"/>
        </w:rPr>
        <w:t xml:space="preserve"> </w:t>
      </w:r>
      <w:r w:rsidRPr="00FB6040">
        <w:rPr>
          <w:rFonts w:ascii="Book Antiqua" w:hAnsi="Book Antiqua"/>
          <w:color w:val="000000" w:themeColor="text1"/>
          <w:sz w:val="24"/>
          <w:szCs w:val="24"/>
        </w:rPr>
        <w:t>Factors such as economic pressure, the influence of social media, lack of family supervision, and the need for a consumerist lifestyle often drive young people to engage in this activity. Many victims are initially deceived by enticements or promises of employment, but ultimately fall prey to online sexual exploitation. In addition to individual victims, this phenomenon also involves organized networks that systematically and professionally operate prostitution, including location providers, photographers, account managers, and transaction arrangers. In some cases, online prostitution has even become integrated with other crimes such as human trafficking, extortion, and money laundering. From a law enforcement perspective, the main challenge in addressing online prostitution is the difficulty of establishing evidence and tracking the network.</w:t>
      </w:r>
      <w:r w:rsidRPr="002C73B2">
        <w:rPr>
          <w:rFonts w:ascii="Book Antiqua" w:hAnsi="Book Antiqua"/>
          <w:color w:val="000000" w:themeColor="text1"/>
          <w:sz w:val="24"/>
          <w:szCs w:val="24"/>
          <w:vertAlign w:val="superscript"/>
        </w:rPr>
        <w:footnoteReference w:id="17"/>
      </w:r>
      <w:r>
        <w:rPr>
          <w:rFonts w:ascii="Book Antiqua" w:hAnsi="Book Antiqua"/>
          <w:color w:val="000000" w:themeColor="text1"/>
          <w:sz w:val="24"/>
          <w:szCs w:val="24"/>
        </w:rPr>
        <w:t xml:space="preserve"> </w:t>
      </w:r>
      <w:r w:rsidRPr="00FB6040">
        <w:rPr>
          <w:rFonts w:ascii="Book Antiqua" w:hAnsi="Book Antiqua"/>
          <w:color w:val="000000" w:themeColor="text1"/>
          <w:sz w:val="24"/>
          <w:szCs w:val="24"/>
        </w:rPr>
        <w:t>Many cases result in prosecution of the perpetrators on the ground or sex workers, while the pimps and main perpetrators who manage the online network are difficult to prosecute because they operate anonymously and covertly. Furthermore, Law No. 21 of 2007 concerning the Eradication of the Crime of Human Trafficking and the Criminal Code do not specifically regulate legal mechanisms related to information technology-based online prostitution. Law enforcement officials still rely on general articles or a combination of these with the ITE Law, which in practice has been ineffective. Online prostitution also poses a social and cultural challenge. Some people view prostitution as a career option or a form of sexual freedom, creating moral and legal dilemmas. On the other hand, social media often promotes hedonistic lifestyles and normalizes transactional sexual activity, disregarding legal and moral considerations.</w:t>
      </w:r>
    </w:p>
    <w:p w14:paraId="2428A348" w14:textId="77777777" w:rsidR="00C07EBB" w:rsidRPr="00FB6040" w:rsidRDefault="00C07EBB" w:rsidP="00C07EBB">
      <w:pPr>
        <w:spacing w:after="0" w:line="360" w:lineRule="auto"/>
        <w:ind w:firstLine="284"/>
        <w:jc w:val="both"/>
        <w:rPr>
          <w:rFonts w:ascii="Book Antiqua" w:hAnsi="Book Antiqua"/>
          <w:color w:val="000000" w:themeColor="text1"/>
          <w:sz w:val="24"/>
          <w:szCs w:val="24"/>
        </w:rPr>
      </w:pPr>
      <w:r w:rsidRPr="00FB6040">
        <w:rPr>
          <w:rFonts w:ascii="Book Antiqua" w:hAnsi="Book Antiqua"/>
          <w:color w:val="000000" w:themeColor="text1"/>
          <w:sz w:val="24"/>
          <w:szCs w:val="24"/>
        </w:rPr>
        <w:t xml:space="preserve">Combating online prostitution requires a multidisciplinary approach. In addition to firm law enforcement against perpetrator networks, preventative measures are also needed through healthy sexual education, critical digital literacy, and economic empowerment for </w:t>
      </w:r>
      <w:r w:rsidRPr="00FB6040">
        <w:rPr>
          <w:rFonts w:ascii="Book Antiqua" w:hAnsi="Book Antiqua"/>
          <w:color w:val="000000" w:themeColor="text1"/>
          <w:sz w:val="24"/>
          <w:szCs w:val="24"/>
        </w:rPr>
        <w:lastRenderedPageBreak/>
        <w:t>vulnerable groups. The government also needs to collaborate with digital platforms to tighten content moderation policies and provide effective complaint channels for the public to report suspected online prostitution practices. Developments in information and communication technology have brought about significant changes in social interaction patterns, including sexual crimes. In the digital era, pornography and prostitution have undergone significant transformations in their form, modus operandi, and reach. While previously conventional and confined to specific physical spaces, these activities have now shifted to a much broader and more difficult-to-control virtual space. These changes pose serious challenges to law enforcement and social resilience within communities.</w:t>
      </w:r>
    </w:p>
    <w:p w14:paraId="460CC857" w14:textId="77777777" w:rsidR="00C07EBB" w:rsidRPr="00FB6040" w:rsidRDefault="00C07EBB" w:rsidP="00C07EBB">
      <w:pPr>
        <w:spacing w:after="0" w:line="360" w:lineRule="auto"/>
        <w:ind w:firstLine="284"/>
        <w:jc w:val="both"/>
        <w:rPr>
          <w:rFonts w:ascii="Book Antiqua" w:hAnsi="Book Antiqua"/>
          <w:color w:val="000000" w:themeColor="text1"/>
          <w:sz w:val="24"/>
          <w:szCs w:val="24"/>
        </w:rPr>
      </w:pPr>
      <w:r w:rsidRPr="00FB6040">
        <w:rPr>
          <w:rFonts w:ascii="Book Antiqua" w:hAnsi="Book Antiqua"/>
          <w:color w:val="000000" w:themeColor="text1"/>
          <w:sz w:val="24"/>
          <w:szCs w:val="24"/>
        </w:rPr>
        <w:t>Online pornography is the distribution and consumption of sexually explicit content via the internet. This content includes images, videos, text, audio, and even live broadcasts</w:t>
      </w:r>
      <w:r>
        <w:rPr>
          <w:rFonts w:ascii="Book Antiqua" w:hAnsi="Book Antiqua"/>
          <w:color w:val="000000" w:themeColor="text1"/>
          <w:sz w:val="24"/>
          <w:szCs w:val="24"/>
        </w:rPr>
        <w:t>.</w:t>
      </w:r>
      <w:r w:rsidRPr="002C73B2">
        <w:rPr>
          <w:rFonts w:ascii="Book Antiqua" w:hAnsi="Book Antiqua"/>
          <w:color w:val="000000" w:themeColor="text1"/>
          <w:sz w:val="24"/>
          <w:szCs w:val="24"/>
          <w:vertAlign w:val="superscript"/>
        </w:rPr>
        <w:footnoteReference w:id="18"/>
      </w:r>
      <w:r w:rsidRPr="00FB6040">
        <w:rPr>
          <w:rFonts w:ascii="Book Antiqua" w:hAnsi="Book Antiqua"/>
          <w:color w:val="000000" w:themeColor="text1"/>
          <w:sz w:val="24"/>
          <w:szCs w:val="24"/>
        </w:rPr>
        <w:t xml:space="preserve"> </w:t>
      </w:r>
      <w:r>
        <w:rPr>
          <w:rFonts w:ascii="Book Antiqua" w:hAnsi="Book Antiqua"/>
          <w:color w:val="000000" w:themeColor="text1"/>
          <w:sz w:val="24"/>
          <w:szCs w:val="24"/>
        </w:rPr>
        <w:t>(</w:t>
      </w:r>
      <w:r w:rsidRPr="00FB6040">
        <w:rPr>
          <w:rFonts w:ascii="Book Antiqua" w:hAnsi="Book Antiqua"/>
          <w:color w:val="000000" w:themeColor="text1"/>
          <w:sz w:val="24"/>
          <w:szCs w:val="24"/>
        </w:rPr>
        <w:t>streaming) that can be easily accessed through websites, social media, and paid platforms. On the other hand, online prostitution is the provision of sexual services facilitated through digital media, such as instant messaging apps, online advertising sites, and social media.</w:t>
      </w:r>
      <w:r w:rsidRPr="002C73B2">
        <w:rPr>
          <w:rFonts w:ascii="Book Antiqua" w:hAnsi="Book Antiqua"/>
          <w:color w:val="000000" w:themeColor="text1"/>
          <w:sz w:val="24"/>
          <w:szCs w:val="24"/>
          <w:vertAlign w:val="superscript"/>
        </w:rPr>
        <w:footnoteReference w:id="19"/>
      </w:r>
      <w:r w:rsidRPr="002C73B2">
        <w:rPr>
          <w:rFonts w:ascii="Book Antiqua" w:hAnsi="Book Antiqua"/>
          <w:color w:val="000000" w:themeColor="text1"/>
          <w:sz w:val="24"/>
          <w:szCs w:val="24"/>
          <w:vertAlign w:val="superscript"/>
        </w:rPr>
        <w:t xml:space="preserve"> </w:t>
      </w:r>
      <w:r w:rsidRPr="00FB6040">
        <w:rPr>
          <w:rFonts w:ascii="Book Antiqua" w:hAnsi="Book Antiqua"/>
          <w:color w:val="000000" w:themeColor="text1"/>
          <w:sz w:val="24"/>
          <w:szCs w:val="24"/>
        </w:rPr>
        <w:t>This activity is generally hidden under specific terms such as or " booking." " online " or certain codes that are difficult for the general public to understand but well-understood by certain communities. These two phenomena overlap and often support each other. Pornographic content can be a promotional tool in online prostitution practices, and conversely, digital-based prostitution can produce pornographic material that is then redistributed online. This creates a systematic cycle of exploitation that is difficult to break if not addressed comprehensively. One of the main factors accelerating the growth of pornography and online prostitution is easy internet access, especially through mobile devices. In Indonesia, high internet penetration is not matched by adequate digital literacy. Many internet users, especially teenagers and children, are exposed to pornographic content from an early age. Without proper supervision and education, they can become victims or even perpetrators in prostitution networks and the distribution of digital pornography. This also indicates a shift in cultural values within society.</w:t>
      </w:r>
      <w:r w:rsidRPr="002C73B2">
        <w:rPr>
          <w:rFonts w:ascii="Book Antiqua" w:hAnsi="Book Antiqua"/>
          <w:color w:val="000000" w:themeColor="text1"/>
          <w:sz w:val="24"/>
          <w:szCs w:val="24"/>
          <w:vertAlign w:val="superscript"/>
        </w:rPr>
        <w:footnoteReference w:id="20"/>
      </w:r>
      <w:r>
        <w:rPr>
          <w:rFonts w:ascii="Book Antiqua" w:hAnsi="Book Antiqua"/>
          <w:color w:val="000000" w:themeColor="text1"/>
          <w:sz w:val="24"/>
          <w:szCs w:val="24"/>
        </w:rPr>
        <w:t xml:space="preserve"> </w:t>
      </w:r>
      <w:r w:rsidRPr="00FB6040">
        <w:rPr>
          <w:rFonts w:ascii="Book Antiqua" w:hAnsi="Book Antiqua"/>
          <w:color w:val="000000" w:themeColor="text1"/>
          <w:sz w:val="24"/>
          <w:szCs w:val="24"/>
        </w:rPr>
        <w:t xml:space="preserve">On social media, sexual content is often considered normal or even used as a tool to increase popularity and income. Certain </w:t>
      </w:r>
      <w:r w:rsidRPr="00FB6040">
        <w:rPr>
          <w:rFonts w:ascii="Book Antiqua" w:hAnsi="Book Antiqua"/>
          <w:color w:val="000000" w:themeColor="text1"/>
          <w:sz w:val="24"/>
          <w:szCs w:val="24"/>
        </w:rPr>
        <w:lastRenderedPageBreak/>
        <w:t>influencers and content creators even openly monetize sensual content to gain support (donations, gifts, or subscriptions). In this context, sexuality is becoming a commodity, no longer a moral or legal issue. solely.</w:t>
      </w:r>
    </w:p>
    <w:p w14:paraId="736E7A82" w14:textId="77777777" w:rsidR="00C07EBB" w:rsidRPr="00FB6040" w:rsidRDefault="00C07EBB" w:rsidP="00C07EBB">
      <w:pPr>
        <w:spacing w:after="0" w:line="360" w:lineRule="auto"/>
        <w:ind w:firstLine="284"/>
        <w:jc w:val="both"/>
        <w:rPr>
          <w:rFonts w:ascii="Book Antiqua" w:hAnsi="Book Antiqua"/>
          <w:color w:val="000000" w:themeColor="text1"/>
          <w:sz w:val="24"/>
          <w:szCs w:val="24"/>
        </w:rPr>
      </w:pPr>
      <w:r w:rsidRPr="00FB6040">
        <w:rPr>
          <w:rFonts w:ascii="Book Antiqua" w:hAnsi="Book Antiqua"/>
          <w:color w:val="000000" w:themeColor="text1"/>
          <w:sz w:val="24"/>
          <w:szCs w:val="24"/>
        </w:rPr>
        <w:t>From a legal perspective, the crimes of pornography and online prostitution are regulated by several national regulations, such as Law Number 44 of 2008 concerning Pornography, the Electronic Information and Transactions Law, and Law Number 21 of 2007 concerning the Eradication of Human Trafficking. However, these regulations are not fully capable of addressing the complexity of the methods used in the digital space. Perpetrators often utilize encryption technology, fake accounts, and foreign platforms that are difficult to access under national law. Furthermore, the anonymity and speed of information dissemination on the internet make law enforcement increasingly difficult. This requires digital forensic skills, international cooperation, and adaptive technology regulations. Unfortunately, law enforcement officials are still often hampered by a lack of competent tools and human resources to handle cybercrime cases, particularly those related to sexual exploitation. Therefore, it must be understood as a multidimensional problem that requires not only a legal approach, but also social, educational, and technological ones. Digital literacy must be strengthened from an early age, especially among students and families. In addition, there needs to be collaboration between the government, digital platform providers, civil society, and educational institutions to create a digital environment that is safe and free from sexual exploitation.</w:t>
      </w:r>
    </w:p>
    <w:p w14:paraId="705EC350" w14:textId="77777777" w:rsidR="00C07EBB" w:rsidRPr="00FB6040" w:rsidRDefault="00C07EBB" w:rsidP="00C07EBB">
      <w:pPr>
        <w:spacing w:after="0" w:line="360" w:lineRule="auto"/>
        <w:ind w:firstLine="284"/>
        <w:jc w:val="both"/>
        <w:rPr>
          <w:rFonts w:ascii="Book Antiqua" w:hAnsi="Book Antiqua"/>
          <w:color w:val="000000" w:themeColor="text1"/>
          <w:sz w:val="24"/>
          <w:szCs w:val="24"/>
        </w:rPr>
      </w:pPr>
    </w:p>
    <w:p w14:paraId="7E77B817" w14:textId="77777777" w:rsidR="00C07EBB" w:rsidRDefault="00C07EBB" w:rsidP="00C07EBB">
      <w:pPr>
        <w:pStyle w:val="ListParagraph"/>
        <w:numPr>
          <w:ilvl w:val="0"/>
          <w:numId w:val="4"/>
        </w:numPr>
        <w:autoSpaceDE w:val="0"/>
        <w:autoSpaceDN w:val="0"/>
        <w:adjustRightInd w:val="0"/>
        <w:spacing w:after="0" w:line="360" w:lineRule="auto"/>
        <w:ind w:left="378" w:right="-1" w:hanging="364"/>
        <w:jc w:val="both"/>
        <w:rPr>
          <w:rFonts w:ascii="Book Antiqua" w:hAnsi="Book Antiqua"/>
          <w:b/>
          <w:bCs/>
          <w:color w:val="000000"/>
          <w:sz w:val="24"/>
          <w:szCs w:val="24"/>
        </w:rPr>
      </w:pPr>
      <w:r w:rsidRPr="00620169">
        <w:rPr>
          <w:rFonts w:ascii="Book Antiqua" w:hAnsi="Book Antiqua"/>
          <w:b/>
          <w:bCs/>
          <w:color w:val="000000"/>
          <w:sz w:val="24"/>
          <w:szCs w:val="24"/>
        </w:rPr>
        <w:t>Challenges and Solutions for Law Enforcement Action Criminal Prostitution and Online Pornography</w:t>
      </w:r>
    </w:p>
    <w:p w14:paraId="51DE3713" w14:textId="77777777" w:rsidR="00C07EBB" w:rsidRDefault="00C07EBB" w:rsidP="00C07EBB">
      <w:pPr>
        <w:pStyle w:val="ListParagraph"/>
        <w:numPr>
          <w:ilvl w:val="0"/>
          <w:numId w:val="6"/>
        </w:numPr>
        <w:spacing w:after="0" w:line="360" w:lineRule="auto"/>
        <w:ind w:left="406" w:hanging="406"/>
        <w:jc w:val="both"/>
        <w:rPr>
          <w:rFonts w:ascii="Book Antiqua" w:hAnsi="Book Antiqua"/>
          <w:color w:val="000000" w:themeColor="text1"/>
          <w:sz w:val="24"/>
          <w:szCs w:val="24"/>
        </w:rPr>
      </w:pPr>
      <w:r w:rsidRPr="00620169">
        <w:rPr>
          <w:rFonts w:ascii="Book Antiqua" w:hAnsi="Book Antiqua"/>
          <w:color w:val="000000" w:themeColor="text1"/>
          <w:sz w:val="24"/>
          <w:szCs w:val="24"/>
        </w:rPr>
        <w:t>Challenge Law Enforcement in reveal Crimes of Prostitution and Online Pornography</w:t>
      </w:r>
    </w:p>
    <w:p w14:paraId="54F3C352" w14:textId="77777777" w:rsidR="00C07EBB" w:rsidRPr="00620169" w:rsidRDefault="00C07EBB" w:rsidP="00C07EBB">
      <w:pPr>
        <w:pStyle w:val="ListParagraph"/>
        <w:spacing w:after="0" w:line="360" w:lineRule="auto"/>
        <w:ind w:left="426" w:hanging="20"/>
        <w:jc w:val="both"/>
        <w:rPr>
          <w:rFonts w:ascii="Book Antiqua" w:hAnsi="Book Antiqua"/>
          <w:color w:val="000000" w:themeColor="text1"/>
          <w:sz w:val="24"/>
          <w:szCs w:val="24"/>
        </w:rPr>
      </w:pPr>
      <w:r w:rsidRPr="00620169">
        <w:rPr>
          <w:rFonts w:ascii="Book Antiqua" w:hAnsi="Book Antiqua"/>
          <w:color w:val="000000" w:themeColor="text1"/>
          <w:sz w:val="24"/>
          <w:szCs w:val="24"/>
        </w:rPr>
        <w:t>Enforcement law to action criminal online prostitution and pornography are facing various complex challenges, both</w:t>
      </w:r>
      <w:r w:rsidRPr="00620169">
        <w:rPr>
          <w:rFonts w:ascii="Times New Roman" w:hAnsi="Times New Roman"/>
          <w:color w:val="000000" w:themeColor="text1"/>
          <w:sz w:val="24"/>
          <w:szCs w:val="24"/>
        </w:rPr>
        <w:t>​</w:t>
      </w:r>
      <w:r w:rsidRPr="00620169">
        <w:rPr>
          <w:rFonts w:ascii="Book Antiqua" w:hAnsi="Book Antiqua"/>
          <w:color w:val="000000" w:themeColor="text1"/>
          <w:sz w:val="24"/>
          <w:szCs w:val="24"/>
        </w:rPr>
        <w:t xml:space="preserve"> from side technology, regulation, resources Power humans, until factor social culture.</w:t>
      </w:r>
      <w:r w:rsidRPr="00BB6F7F">
        <w:rPr>
          <w:vertAlign w:val="superscript"/>
        </w:rPr>
        <w:footnoteReference w:id="21"/>
      </w:r>
      <w:r>
        <w:rPr>
          <w:rFonts w:ascii="Book Antiqua" w:hAnsi="Book Antiqua"/>
          <w:color w:val="000000" w:themeColor="text1"/>
          <w:sz w:val="24"/>
          <w:szCs w:val="24"/>
        </w:rPr>
        <w:t xml:space="preserve"> </w:t>
      </w:r>
      <w:r w:rsidRPr="00620169">
        <w:rPr>
          <w:rFonts w:ascii="Book Antiqua" w:hAnsi="Book Antiqua"/>
          <w:color w:val="000000" w:themeColor="text1"/>
          <w:sz w:val="24"/>
          <w:szCs w:val="24"/>
        </w:rPr>
        <w:t xml:space="preserve">As it develops technology information, the perpetrators crime </w:t>
      </w:r>
      <w:proofErr w:type="spellStart"/>
      <w:r w:rsidRPr="00620169">
        <w:rPr>
          <w:rFonts w:ascii="Book Antiqua" w:hAnsi="Book Antiqua"/>
          <w:color w:val="000000" w:themeColor="text1"/>
          <w:sz w:val="24"/>
          <w:szCs w:val="24"/>
        </w:rPr>
        <w:t>utilise</w:t>
      </w:r>
      <w:proofErr w:type="spellEnd"/>
      <w:r w:rsidRPr="00620169">
        <w:rPr>
          <w:rFonts w:ascii="Book Antiqua" w:hAnsi="Book Antiqua"/>
          <w:color w:val="000000" w:themeColor="text1"/>
          <w:sz w:val="24"/>
          <w:szCs w:val="24"/>
        </w:rPr>
        <w:t xml:space="preserve"> various digital gaps and features that are difficult reachable </w:t>
      </w:r>
      <w:r w:rsidRPr="00620169">
        <w:rPr>
          <w:rFonts w:ascii="Book Antiqua" w:hAnsi="Book Antiqua"/>
          <w:color w:val="000000" w:themeColor="text1"/>
          <w:sz w:val="24"/>
          <w:szCs w:val="24"/>
        </w:rPr>
        <w:lastRenderedPageBreak/>
        <w:t>with approach conventional. The following is a number of challenge main issues faced apparatus enforcer law:</w:t>
      </w:r>
    </w:p>
    <w:p w14:paraId="2698FE74" w14:textId="77777777" w:rsidR="00C07EBB" w:rsidRDefault="00C07EBB" w:rsidP="00C07EBB">
      <w:pPr>
        <w:pStyle w:val="ListParagraph"/>
        <w:numPr>
          <w:ilvl w:val="0"/>
          <w:numId w:val="5"/>
        </w:numPr>
        <w:spacing w:after="0" w:line="360" w:lineRule="auto"/>
        <w:ind w:left="714" w:hanging="294"/>
        <w:jc w:val="both"/>
        <w:rPr>
          <w:rFonts w:ascii="Book Antiqua" w:eastAsia="Times New Roman" w:hAnsi="Book Antiqua"/>
          <w:sz w:val="24"/>
          <w:szCs w:val="24"/>
        </w:rPr>
      </w:pPr>
      <w:r w:rsidRPr="00620169">
        <w:rPr>
          <w:rFonts w:ascii="Book Antiqua" w:eastAsia="Times New Roman" w:hAnsi="Book Antiqua"/>
          <w:sz w:val="24"/>
          <w:szCs w:val="24"/>
        </w:rPr>
        <w:t>Anonymity and Speed Digital Technology</w:t>
      </w:r>
    </w:p>
    <w:p w14:paraId="56665D90" w14:textId="77777777" w:rsidR="00C07EBB" w:rsidRPr="00620169" w:rsidRDefault="00C07EBB" w:rsidP="00C07EBB">
      <w:pPr>
        <w:pStyle w:val="ListParagraph"/>
        <w:spacing w:after="0" w:line="360" w:lineRule="auto"/>
        <w:ind w:left="714"/>
        <w:jc w:val="both"/>
        <w:rPr>
          <w:rFonts w:ascii="Book Antiqua" w:eastAsia="Times New Roman" w:hAnsi="Book Antiqua"/>
          <w:sz w:val="24"/>
          <w:szCs w:val="24"/>
        </w:rPr>
      </w:pPr>
      <w:r w:rsidRPr="00620169">
        <w:rPr>
          <w:rFonts w:ascii="Book Antiqua" w:eastAsia="Times New Roman" w:hAnsi="Book Antiqua"/>
          <w:sz w:val="24"/>
          <w:szCs w:val="24"/>
        </w:rPr>
        <w:t>Perpetrator Online prostitution and pornography often use social media, chat apps (such as Telegram, Mi</w:t>
      </w:r>
      <w:r>
        <w:rPr>
          <w:rFonts w:ascii="Book Antiqua" w:eastAsia="Times New Roman" w:hAnsi="Book Antiqua"/>
          <w:sz w:val="24"/>
          <w:szCs w:val="24"/>
        </w:rPr>
        <w:t xml:space="preserve"> </w:t>
      </w:r>
      <w:r w:rsidRPr="00620169">
        <w:rPr>
          <w:rFonts w:ascii="Book Antiqua" w:eastAsia="Times New Roman" w:hAnsi="Book Antiqua"/>
          <w:sz w:val="24"/>
          <w:szCs w:val="24"/>
        </w:rPr>
        <w:t>Chat, or WhatsApp), and online sites that allow for anonymity. The use of fake accounts, pseudonyms, Virtual Private Networks (VPNs), and encrypted apps makes tracking and identifying perpetrators extremely difficult. Furthermore, online activity is real-time and easily deleted, meaning evidence can disappear within minutes.</w:t>
      </w:r>
    </w:p>
    <w:p w14:paraId="30204AB6" w14:textId="77777777" w:rsidR="00C07EBB" w:rsidRPr="00620169" w:rsidRDefault="00C07EBB" w:rsidP="00C07EBB">
      <w:pPr>
        <w:pStyle w:val="ListParagraph"/>
        <w:numPr>
          <w:ilvl w:val="0"/>
          <w:numId w:val="5"/>
        </w:numPr>
        <w:spacing w:after="0" w:line="360" w:lineRule="auto"/>
        <w:ind w:left="714" w:hanging="294"/>
        <w:jc w:val="both"/>
        <w:rPr>
          <w:rFonts w:ascii="Book Antiqua" w:eastAsia="Times New Roman" w:hAnsi="Book Antiqua"/>
          <w:sz w:val="24"/>
          <w:szCs w:val="24"/>
        </w:rPr>
      </w:pPr>
      <w:r w:rsidRPr="00620169">
        <w:rPr>
          <w:rFonts w:ascii="Book Antiqua" w:eastAsia="Times New Roman" w:hAnsi="Book Antiqua"/>
          <w:sz w:val="24"/>
          <w:szCs w:val="24"/>
        </w:rPr>
        <w:t>The lack of Responsive Regulation</w:t>
      </w:r>
      <w:r w:rsidRPr="00620169">
        <w:rPr>
          <w:rFonts w:ascii="Times New Roman" w:eastAsia="Times New Roman" w:hAnsi="Times New Roman"/>
          <w:sz w:val="24"/>
          <w:szCs w:val="24"/>
        </w:rPr>
        <w:t>​</w:t>
      </w:r>
      <w:r w:rsidRPr="00620169">
        <w:rPr>
          <w:rFonts w:ascii="Book Antiqua" w:eastAsia="Times New Roman" w:hAnsi="Book Antiqua"/>
          <w:sz w:val="24"/>
          <w:szCs w:val="24"/>
        </w:rPr>
        <w:t xml:space="preserve"> against New Mode</w:t>
      </w:r>
    </w:p>
    <w:p w14:paraId="61DEE316" w14:textId="77777777" w:rsidR="00C07EBB" w:rsidRPr="00620169" w:rsidRDefault="00C07EBB" w:rsidP="00C07EBB">
      <w:pPr>
        <w:pStyle w:val="ListParagraph"/>
        <w:spacing w:after="0" w:line="360" w:lineRule="auto"/>
        <w:ind w:left="714"/>
        <w:jc w:val="both"/>
        <w:rPr>
          <w:rFonts w:ascii="Book Antiqua" w:eastAsia="Times New Roman" w:hAnsi="Book Antiqua"/>
          <w:sz w:val="24"/>
          <w:szCs w:val="24"/>
        </w:rPr>
      </w:pPr>
      <w:r w:rsidRPr="00620169">
        <w:rPr>
          <w:rFonts w:ascii="Book Antiqua" w:eastAsia="Times New Roman" w:hAnsi="Book Antiqua"/>
          <w:sz w:val="24"/>
          <w:szCs w:val="24"/>
        </w:rPr>
        <w:t>Existing laws, such as Law no. 44 of 2008 concerning Pornography and the ITE Law, often do not capable accommodate development of the modus operandi of digital crime. For example, not all form content</w:t>
      </w:r>
      <w:r>
        <w:rPr>
          <w:rFonts w:ascii="Book Antiqua" w:eastAsia="Times New Roman" w:hAnsi="Book Antiqua"/>
          <w:sz w:val="24"/>
          <w:szCs w:val="24"/>
        </w:rPr>
        <w:t xml:space="preserve"> </w:t>
      </w:r>
      <w:r w:rsidRPr="00620169">
        <w:rPr>
          <w:rFonts w:ascii="Book Antiqua" w:eastAsia="Times New Roman" w:hAnsi="Book Antiqua"/>
          <w:sz w:val="24"/>
          <w:szCs w:val="24"/>
        </w:rPr>
        <w:t>sexual explicit in circulation via live streaming or paid platforms enter to in definition of " pornography " according to law. This is cause interpretation narrow laws and loopholes</w:t>
      </w:r>
      <w:r w:rsidRPr="00620169">
        <w:rPr>
          <w:rFonts w:ascii="Times New Roman" w:eastAsia="Times New Roman" w:hAnsi="Times New Roman"/>
          <w:sz w:val="24"/>
          <w:szCs w:val="24"/>
        </w:rPr>
        <w:t>​</w:t>
      </w:r>
      <w:r w:rsidRPr="00620169">
        <w:rPr>
          <w:rFonts w:ascii="Book Antiqua" w:eastAsia="Times New Roman" w:hAnsi="Book Antiqua"/>
          <w:sz w:val="24"/>
          <w:szCs w:val="24"/>
        </w:rPr>
        <w:t xml:space="preserve"> laws that can utilized perpetrator.</w:t>
      </w:r>
    </w:p>
    <w:p w14:paraId="3EBA9AF5" w14:textId="77777777" w:rsidR="00C07EBB" w:rsidRPr="00620169" w:rsidRDefault="00C07EBB" w:rsidP="00C07EBB">
      <w:pPr>
        <w:pStyle w:val="ListParagraph"/>
        <w:numPr>
          <w:ilvl w:val="0"/>
          <w:numId w:val="5"/>
        </w:numPr>
        <w:spacing w:after="0" w:line="360" w:lineRule="auto"/>
        <w:ind w:left="714" w:hanging="294"/>
        <w:jc w:val="both"/>
        <w:rPr>
          <w:rFonts w:ascii="Book Antiqua" w:eastAsia="Times New Roman" w:hAnsi="Book Antiqua"/>
          <w:sz w:val="24"/>
          <w:szCs w:val="24"/>
        </w:rPr>
      </w:pPr>
      <w:r w:rsidRPr="00620169">
        <w:rPr>
          <w:rFonts w:ascii="Book Antiqua" w:eastAsia="Times New Roman" w:hAnsi="Book Antiqua"/>
          <w:sz w:val="24"/>
          <w:szCs w:val="24"/>
        </w:rPr>
        <w:t>Limitations Human Resources and Technology</w:t>
      </w:r>
      <w:r w:rsidRPr="00620169">
        <w:rPr>
          <w:rFonts w:ascii="Times New Roman" w:eastAsia="Times New Roman" w:hAnsi="Times New Roman"/>
          <w:sz w:val="24"/>
          <w:szCs w:val="24"/>
        </w:rPr>
        <w:t>​</w:t>
      </w:r>
    </w:p>
    <w:p w14:paraId="17D78C49" w14:textId="77777777" w:rsidR="00C07EBB" w:rsidRPr="00620169" w:rsidRDefault="00C07EBB" w:rsidP="00C07EBB">
      <w:pPr>
        <w:pStyle w:val="ListParagraph"/>
        <w:spacing w:after="0" w:line="360" w:lineRule="auto"/>
        <w:ind w:left="714"/>
        <w:jc w:val="both"/>
        <w:rPr>
          <w:rFonts w:ascii="Book Antiqua" w:eastAsia="Times New Roman" w:hAnsi="Book Antiqua"/>
          <w:sz w:val="24"/>
          <w:szCs w:val="24"/>
        </w:rPr>
      </w:pPr>
      <w:r w:rsidRPr="00620169">
        <w:rPr>
          <w:rFonts w:ascii="Book Antiqua" w:eastAsia="Times New Roman" w:hAnsi="Book Antiqua"/>
          <w:sz w:val="24"/>
          <w:szCs w:val="24"/>
        </w:rPr>
        <w:t>Not all apparatus enforcer law own competence in field of cybercrime or digital forensics. Investigation cases involving digital data require skill technical special, including in matter IP address tracking, deleted data recovery, and metadata analysis. Limitations This exacerbated by the lack of facility laboratory digital forensics and devices soft investigation.</w:t>
      </w:r>
    </w:p>
    <w:p w14:paraId="432D99D8" w14:textId="77777777" w:rsidR="00C07EBB" w:rsidRPr="00620169" w:rsidRDefault="00C07EBB" w:rsidP="00C07EBB">
      <w:pPr>
        <w:pStyle w:val="ListParagraph"/>
        <w:numPr>
          <w:ilvl w:val="0"/>
          <w:numId w:val="5"/>
        </w:numPr>
        <w:spacing w:after="0" w:line="360" w:lineRule="auto"/>
        <w:ind w:left="714" w:hanging="294"/>
        <w:jc w:val="both"/>
        <w:rPr>
          <w:rFonts w:ascii="Book Antiqua" w:eastAsia="Times New Roman" w:hAnsi="Book Antiqua"/>
          <w:sz w:val="24"/>
          <w:szCs w:val="24"/>
        </w:rPr>
      </w:pPr>
      <w:r w:rsidRPr="00620169">
        <w:rPr>
          <w:rFonts w:ascii="Book Antiqua" w:eastAsia="Times New Roman" w:hAnsi="Book Antiqua"/>
          <w:sz w:val="24"/>
          <w:szCs w:val="24"/>
        </w:rPr>
        <w:t>Difficulty Validation and Use of Digital Evidence</w:t>
      </w:r>
    </w:p>
    <w:p w14:paraId="4773DEB1" w14:textId="77777777" w:rsidR="00C07EBB" w:rsidRPr="00620169" w:rsidRDefault="00C07EBB" w:rsidP="00C07EBB">
      <w:pPr>
        <w:pStyle w:val="ListParagraph"/>
        <w:spacing w:after="0" w:line="360" w:lineRule="auto"/>
        <w:ind w:left="714"/>
        <w:jc w:val="both"/>
        <w:rPr>
          <w:rFonts w:ascii="Book Antiqua" w:eastAsia="Times New Roman" w:hAnsi="Book Antiqua"/>
          <w:sz w:val="24"/>
          <w:szCs w:val="24"/>
        </w:rPr>
      </w:pPr>
      <w:r w:rsidRPr="00620169">
        <w:rPr>
          <w:rFonts w:ascii="Book Antiqua" w:eastAsia="Times New Roman" w:hAnsi="Book Antiqua"/>
          <w:sz w:val="24"/>
          <w:szCs w:val="24"/>
        </w:rPr>
        <w:t>Evidence in case online prostitution and pornography in general in the form of screenshots, videos, chat logs, and traces digital transactions. However, proof validity and authenticity the digital document in court Still often cause debate. Need procedures and tools certain</w:t>
      </w:r>
      <w:r>
        <w:rPr>
          <w:rFonts w:ascii="Book Antiqua" w:eastAsia="Times New Roman" w:hAnsi="Book Antiqua"/>
          <w:sz w:val="24"/>
          <w:szCs w:val="24"/>
        </w:rPr>
        <w:t xml:space="preserve"> </w:t>
      </w:r>
      <w:r w:rsidRPr="00620169">
        <w:rPr>
          <w:rFonts w:ascii="Book Antiqua" w:eastAsia="Times New Roman" w:hAnsi="Book Antiqua"/>
          <w:sz w:val="24"/>
          <w:szCs w:val="24"/>
        </w:rPr>
        <w:t>For ensure that the digital evidence No manipulated, so that Can legitimate in a way law.</w:t>
      </w:r>
    </w:p>
    <w:p w14:paraId="4333035E" w14:textId="77777777" w:rsidR="00C07EBB" w:rsidRPr="00620169" w:rsidRDefault="00C07EBB" w:rsidP="00C07EBB">
      <w:pPr>
        <w:pStyle w:val="ListParagraph"/>
        <w:numPr>
          <w:ilvl w:val="0"/>
          <w:numId w:val="5"/>
        </w:numPr>
        <w:spacing w:after="0" w:line="360" w:lineRule="auto"/>
        <w:ind w:left="714" w:hanging="294"/>
        <w:jc w:val="both"/>
        <w:rPr>
          <w:rFonts w:ascii="Book Antiqua" w:eastAsia="Times New Roman" w:hAnsi="Book Antiqua"/>
          <w:sz w:val="24"/>
          <w:szCs w:val="24"/>
        </w:rPr>
      </w:pPr>
      <w:r w:rsidRPr="00620169">
        <w:rPr>
          <w:rFonts w:ascii="Book Antiqua" w:eastAsia="Times New Roman" w:hAnsi="Book Antiqua"/>
          <w:sz w:val="24"/>
          <w:szCs w:val="24"/>
        </w:rPr>
        <w:t>The perpetrator and server are located abroad.</w:t>
      </w:r>
    </w:p>
    <w:p w14:paraId="1715098A" w14:textId="77777777" w:rsidR="00C07EBB" w:rsidRPr="00620169" w:rsidRDefault="00C07EBB" w:rsidP="00C07EBB">
      <w:pPr>
        <w:pStyle w:val="ListParagraph"/>
        <w:spacing w:after="0" w:line="360" w:lineRule="auto"/>
        <w:ind w:left="714"/>
        <w:jc w:val="both"/>
        <w:rPr>
          <w:rFonts w:ascii="Book Antiqua" w:eastAsia="Times New Roman" w:hAnsi="Book Antiqua"/>
          <w:sz w:val="24"/>
          <w:szCs w:val="24"/>
        </w:rPr>
      </w:pPr>
      <w:r w:rsidRPr="00620169">
        <w:rPr>
          <w:rFonts w:ascii="Book Antiqua" w:eastAsia="Times New Roman" w:hAnsi="Book Antiqua"/>
          <w:sz w:val="24"/>
          <w:szCs w:val="24"/>
        </w:rPr>
        <w:t>Many platforms are used (for example pornographic sites</w:t>
      </w:r>
      <w:r>
        <w:rPr>
          <w:rFonts w:ascii="Book Antiqua" w:eastAsia="Times New Roman" w:hAnsi="Book Antiqua"/>
          <w:sz w:val="24"/>
          <w:szCs w:val="24"/>
        </w:rPr>
        <w:t xml:space="preserve"> </w:t>
      </w:r>
      <w:r w:rsidRPr="00620169">
        <w:rPr>
          <w:rFonts w:ascii="Book Antiqua" w:eastAsia="Times New Roman" w:hAnsi="Book Antiqua"/>
          <w:sz w:val="24"/>
          <w:szCs w:val="24"/>
        </w:rPr>
        <w:t xml:space="preserve">or certain chat applications) are based abroad. This is make apparatus enforcer the law in Indonesia does not Can direct access user data or do blocking content without Work The same </w:t>
      </w:r>
      <w:r w:rsidRPr="00620169">
        <w:rPr>
          <w:rFonts w:ascii="Book Antiqua" w:eastAsia="Times New Roman" w:hAnsi="Book Antiqua"/>
          <w:sz w:val="24"/>
          <w:szCs w:val="24"/>
        </w:rPr>
        <w:lastRenderedPageBreak/>
        <w:t>international. Mutual legal assistance (MLA) mechanism between countries Still slow and limited.</w:t>
      </w:r>
    </w:p>
    <w:p w14:paraId="1D1BA530" w14:textId="77777777" w:rsidR="00C07EBB" w:rsidRPr="00620169" w:rsidRDefault="00C07EBB" w:rsidP="00C07EBB">
      <w:pPr>
        <w:pStyle w:val="ListParagraph"/>
        <w:numPr>
          <w:ilvl w:val="0"/>
          <w:numId w:val="5"/>
        </w:numPr>
        <w:spacing w:after="0" w:line="360" w:lineRule="auto"/>
        <w:ind w:left="714" w:hanging="294"/>
        <w:jc w:val="both"/>
        <w:rPr>
          <w:rFonts w:ascii="Book Antiqua" w:eastAsia="Times New Roman" w:hAnsi="Book Antiqua"/>
          <w:sz w:val="24"/>
          <w:szCs w:val="24"/>
        </w:rPr>
      </w:pPr>
      <w:r w:rsidRPr="00620169">
        <w:rPr>
          <w:rFonts w:ascii="Book Antiqua" w:eastAsia="Times New Roman" w:hAnsi="Book Antiqua"/>
          <w:sz w:val="24"/>
          <w:szCs w:val="24"/>
        </w:rPr>
        <w:t>Lack of Public Awareness and Participation</w:t>
      </w:r>
    </w:p>
    <w:p w14:paraId="489CE2CD" w14:textId="0622E441" w:rsidR="00C07EBB" w:rsidRPr="00620169" w:rsidRDefault="00C07EBB" w:rsidP="00C07EBB">
      <w:pPr>
        <w:pStyle w:val="ListParagraph"/>
        <w:spacing w:after="0" w:line="360" w:lineRule="auto"/>
        <w:ind w:left="714"/>
        <w:jc w:val="both"/>
        <w:rPr>
          <w:rFonts w:ascii="Book Antiqua" w:eastAsia="Times New Roman" w:hAnsi="Book Antiqua"/>
          <w:sz w:val="24"/>
          <w:szCs w:val="24"/>
        </w:rPr>
      </w:pPr>
      <w:r w:rsidRPr="00620169">
        <w:rPr>
          <w:rFonts w:ascii="Book Antiqua" w:eastAsia="Times New Roman" w:hAnsi="Book Antiqua"/>
          <w:sz w:val="24"/>
          <w:szCs w:val="24"/>
        </w:rPr>
        <w:t>People often don't realize that content sexual explicit or practice digital prostitution that they Look or even follow, is action criminal. There are also those who feel reluctant report Because Afraid or shame. Lack of digital literacy and understanding law become challenge alone in effort enforcement law</w:t>
      </w:r>
      <w:r>
        <w:rPr>
          <w:rFonts w:ascii="Book Antiqua" w:eastAsia="Times New Roman" w:hAnsi="Book Antiqua"/>
          <w:sz w:val="24"/>
          <w:szCs w:val="24"/>
        </w:rPr>
        <w:t xml:space="preserve"> </w:t>
      </w:r>
      <w:r w:rsidRPr="00620169">
        <w:rPr>
          <w:rFonts w:ascii="Book Antiqua" w:eastAsia="Times New Roman" w:hAnsi="Book Antiqua"/>
          <w:sz w:val="24"/>
          <w:szCs w:val="24"/>
        </w:rPr>
        <w:t>based</w:t>
      </w:r>
      <w:r>
        <w:rPr>
          <w:rFonts w:ascii="Book Antiqua" w:eastAsia="Times New Roman" w:hAnsi="Book Antiqua"/>
          <w:sz w:val="24"/>
          <w:szCs w:val="24"/>
        </w:rPr>
        <w:t xml:space="preserve"> </w:t>
      </w:r>
      <w:r w:rsidRPr="00620169">
        <w:rPr>
          <w:rFonts w:ascii="Book Antiqua" w:eastAsia="Times New Roman" w:hAnsi="Book Antiqua"/>
          <w:sz w:val="24"/>
          <w:szCs w:val="24"/>
        </w:rPr>
        <w:t>participation public.</w:t>
      </w:r>
    </w:p>
    <w:p w14:paraId="45B5AD70" w14:textId="77777777" w:rsidR="00C07EBB" w:rsidRPr="00620169" w:rsidRDefault="00C07EBB" w:rsidP="00C07EBB">
      <w:pPr>
        <w:pStyle w:val="ListParagraph"/>
        <w:numPr>
          <w:ilvl w:val="0"/>
          <w:numId w:val="5"/>
        </w:numPr>
        <w:spacing w:after="0" w:line="360" w:lineRule="auto"/>
        <w:ind w:left="714" w:hanging="294"/>
        <w:jc w:val="both"/>
        <w:rPr>
          <w:rFonts w:ascii="Book Antiqua" w:eastAsia="Times New Roman" w:hAnsi="Book Antiqua"/>
          <w:sz w:val="24"/>
          <w:szCs w:val="24"/>
        </w:rPr>
      </w:pPr>
      <w:r w:rsidRPr="00620169">
        <w:rPr>
          <w:rFonts w:ascii="Book Antiqua" w:eastAsia="Times New Roman" w:hAnsi="Book Antiqua"/>
          <w:sz w:val="24"/>
          <w:szCs w:val="24"/>
        </w:rPr>
        <w:t>Normalization and Culture Tolerance to Content Sexual</w:t>
      </w:r>
    </w:p>
    <w:p w14:paraId="65CB68CB" w14:textId="77777777" w:rsidR="00C07EBB" w:rsidRPr="00620169" w:rsidRDefault="00C07EBB" w:rsidP="00C07EBB">
      <w:pPr>
        <w:pStyle w:val="ListParagraph"/>
        <w:spacing w:after="0" w:line="360" w:lineRule="auto"/>
        <w:ind w:left="714"/>
        <w:jc w:val="both"/>
        <w:rPr>
          <w:rFonts w:ascii="Book Antiqua" w:eastAsia="Times New Roman" w:hAnsi="Book Antiqua"/>
          <w:sz w:val="24"/>
          <w:szCs w:val="24"/>
        </w:rPr>
      </w:pPr>
      <w:r w:rsidRPr="00620169">
        <w:rPr>
          <w:rFonts w:ascii="Book Antiqua" w:eastAsia="Times New Roman" w:hAnsi="Book Antiqua"/>
          <w:sz w:val="24"/>
          <w:szCs w:val="24"/>
        </w:rPr>
        <w:t>Digital media in general No direct has form culture permissive to pornography and sex free, especially among</w:t>
      </w:r>
      <w:r w:rsidRPr="00620169">
        <w:rPr>
          <w:rFonts w:ascii="Times New Roman" w:eastAsia="Times New Roman" w:hAnsi="Times New Roman"/>
          <w:sz w:val="24"/>
          <w:szCs w:val="24"/>
        </w:rPr>
        <w:t>​</w:t>
      </w:r>
      <w:r w:rsidRPr="00620169">
        <w:rPr>
          <w:rFonts w:ascii="Book Antiqua" w:eastAsia="Times New Roman" w:hAnsi="Book Antiqua"/>
          <w:sz w:val="24"/>
          <w:szCs w:val="24"/>
        </w:rPr>
        <w:t xml:space="preserve"> teenagers and generations young. Phenomenon This make action criminal prostitution or online pornography is not Again considered as problem serious by some society, so that reduce pressure social to perpetrators and weaken function law as means deterrence.</w:t>
      </w:r>
    </w:p>
    <w:p w14:paraId="47801C0C" w14:textId="77777777" w:rsidR="00C07EBB" w:rsidRPr="00620169" w:rsidRDefault="00C07EBB" w:rsidP="00C07EBB">
      <w:pPr>
        <w:pStyle w:val="ListParagraph"/>
        <w:numPr>
          <w:ilvl w:val="0"/>
          <w:numId w:val="6"/>
        </w:numPr>
        <w:spacing w:after="0" w:line="360" w:lineRule="auto"/>
        <w:ind w:left="406" w:hanging="406"/>
        <w:jc w:val="both"/>
        <w:rPr>
          <w:rFonts w:ascii="Book Antiqua" w:hAnsi="Book Antiqua"/>
          <w:sz w:val="24"/>
          <w:szCs w:val="24"/>
        </w:rPr>
      </w:pPr>
      <w:r w:rsidRPr="00620169">
        <w:rPr>
          <w:rFonts w:ascii="Book Antiqua" w:hAnsi="Book Antiqua"/>
          <w:sz w:val="24"/>
          <w:szCs w:val="24"/>
        </w:rPr>
        <w:t>Law Enforcement Solutions for Revealing Crimes of Prostitution and Online Pornography</w:t>
      </w:r>
    </w:p>
    <w:p w14:paraId="18C0CC35" w14:textId="77777777" w:rsidR="00C07EBB" w:rsidRPr="00620169" w:rsidRDefault="00C07EBB" w:rsidP="00C07EBB">
      <w:pPr>
        <w:pStyle w:val="ListParagraph"/>
        <w:spacing w:after="0" w:line="360" w:lineRule="auto"/>
        <w:ind w:left="426" w:hanging="20"/>
        <w:jc w:val="both"/>
        <w:rPr>
          <w:rFonts w:ascii="Book Antiqua" w:hAnsi="Book Antiqua"/>
          <w:color w:val="000000" w:themeColor="text1"/>
          <w:sz w:val="24"/>
          <w:szCs w:val="24"/>
        </w:rPr>
      </w:pPr>
      <w:r w:rsidRPr="00620169">
        <w:rPr>
          <w:rFonts w:ascii="Book Antiqua" w:hAnsi="Book Antiqua"/>
          <w:color w:val="000000" w:themeColor="text1"/>
          <w:sz w:val="24"/>
          <w:szCs w:val="24"/>
        </w:rPr>
        <w:t>Facing the complex challenges of handling online prostitution and pornography crimes, law enforcement is required to implement various innovations and improvements to legal and technical systems. The following are several strategic solutions that can be implemented to improve the effectiveness of law enforcement in this digital crime area:</w:t>
      </w:r>
    </w:p>
    <w:p w14:paraId="3766CA8C" w14:textId="77777777" w:rsidR="00C07EBB" w:rsidRPr="00620169" w:rsidRDefault="00C07EBB" w:rsidP="00C07EBB">
      <w:pPr>
        <w:pStyle w:val="ListParagraph"/>
        <w:numPr>
          <w:ilvl w:val="0"/>
          <w:numId w:val="3"/>
        </w:numPr>
        <w:spacing w:after="160" w:line="360" w:lineRule="auto"/>
        <w:ind w:left="709" w:hanging="283"/>
        <w:jc w:val="both"/>
        <w:rPr>
          <w:rFonts w:ascii="Book Antiqua" w:hAnsi="Book Antiqua"/>
          <w:sz w:val="24"/>
          <w:szCs w:val="24"/>
        </w:rPr>
      </w:pPr>
      <w:r w:rsidRPr="00620169">
        <w:rPr>
          <w:rFonts w:ascii="Book Antiqua" w:hAnsi="Book Antiqua"/>
          <w:sz w:val="24"/>
          <w:szCs w:val="24"/>
        </w:rPr>
        <w:t>Strengthening Regulation and Harmonization of Legal Regulations legislation need revised and adjusted with development technology information. Some steps that can be taken done with do revision of the Pornography Law and the ITE Law for clarify definition content digital pornography and practices online prostitution, as well as expand coverage action criminal law. Drafting regulation derivative like Regulation Government or Regulation Chief of Police which explains procedure technical investigation digital content with synchronization law national with convention international, for example Budapest Convention on crime cyber.</w:t>
      </w:r>
    </w:p>
    <w:p w14:paraId="7D7526A9" w14:textId="77777777" w:rsidR="00C07EBB" w:rsidRPr="00620169" w:rsidRDefault="00C07EBB" w:rsidP="00C07EBB">
      <w:pPr>
        <w:pStyle w:val="ListParagraph"/>
        <w:numPr>
          <w:ilvl w:val="0"/>
          <w:numId w:val="3"/>
        </w:numPr>
        <w:spacing w:after="160" w:line="360" w:lineRule="auto"/>
        <w:ind w:left="709" w:hanging="283"/>
        <w:jc w:val="both"/>
        <w:rPr>
          <w:rFonts w:ascii="Book Antiqua" w:hAnsi="Book Antiqua"/>
          <w:sz w:val="24"/>
          <w:szCs w:val="24"/>
        </w:rPr>
      </w:pPr>
      <w:r w:rsidRPr="00620169">
        <w:rPr>
          <w:rFonts w:ascii="Book Antiqua" w:hAnsi="Book Antiqua"/>
          <w:sz w:val="24"/>
          <w:szCs w:val="24"/>
        </w:rPr>
        <w:t>Improvement Capacity and Competence Apparatus Law enforcer</w:t>
      </w:r>
    </w:p>
    <w:p w14:paraId="12591E61" w14:textId="77777777" w:rsidR="00C07EBB" w:rsidRPr="00620169" w:rsidRDefault="00C07EBB" w:rsidP="00C07EBB">
      <w:pPr>
        <w:pStyle w:val="ListParagraph"/>
        <w:spacing w:after="160" w:line="360" w:lineRule="auto"/>
        <w:ind w:left="709"/>
        <w:jc w:val="both"/>
        <w:rPr>
          <w:rFonts w:ascii="Book Antiqua" w:hAnsi="Book Antiqua"/>
          <w:sz w:val="24"/>
          <w:szCs w:val="24"/>
        </w:rPr>
      </w:pPr>
      <w:r w:rsidRPr="00620169">
        <w:rPr>
          <w:rFonts w:ascii="Book Antiqua" w:hAnsi="Book Antiqua"/>
          <w:sz w:val="24"/>
          <w:szCs w:val="24"/>
        </w:rPr>
        <w:t>For handle cases</w:t>
      </w:r>
      <w:r>
        <w:rPr>
          <w:rFonts w:ascii="Book Antiqua" w:hAnsi="Book Antiqua"/>
          <w:sz w:val="24"/>
          <w:szCs w:val="24"/>
        </w:rPr>
        <w:t xml:space="preserve"> </w:t>
      </w:r>
      <w:r w:rsidRPr="00620169">
        <w:rPr>
          <w:rFonts w:ascii="Book Antiqua" w:hAnsi="Book Antiqua"/>
          <w:sz w:val="24"/>
          <w:szCs w:val="24"/>
        </w:rPr>
        <w:t xml:space="preserve">based technology, apparatus enforcer law need own skills special. The solution with regular education in the field of digital forensics and cyber investigation, especially for investigators in the region, Formation of a cyber unit specifically in each Regional Police and Police Resort, not only at the level center </w:t>
      </w:r>
      <w:r w:rsidRPr="00620169">
        <w:rPr>
          <w:rFonts w:ascii="Book Antiqua" w:hAnsi="Book Antiqua"/>
          <w:sz w:val="24"/>
          <w:szCs w:val="24"/>
        </w:rPr>
        <w:lastRenderedPageBreak/>
        <w:t xml:space="preserve">(Criminal Investigation Unit) </w:t>
      </w:r>
      <w:r>
        <w:rPr>
          <w:rFonts w:ascii="Book Antiqua" w:hAnsi="Book Antiqua"/>
          <w:sz w:val="24"/>
          <w:szCs w:val="24"/>
        </w:rPr>
        <w:t>p</w:t>
      </w:r>
      <w:r w:rsidRPr="00620169">
        <w:rPr>
          <w:rFonts w:ascii="Book Antiqua" w:hAnsi="Book Antiqua"/>
          <w:sz w:val="24"/>
          <w:szCs w:val="24"/>
        </w:rPr>
        <w:t>olice in development Infrastructure Technology Forensics</w:t>
      </w:r>
    </w:p>
    <w:p w14:paraId="7FEF21D0" w14:textId="77777777" w:rsidR="00C07EBB" w:rsidRPr="00620169" w:rsidRDefault="00C07EBB" w:rsidP="00C07EBB">
      <w:pPr>
        <w:pStyle w:val="ListParagraph"/>
        <w:numPr>
          <w:ilvl w:val="0"/>
          <w:numId w:val="3"/>
        </w:numPr>
        <w:spacing w:after="160" w:line="360" w:lineRule="auto"/>
        <w:ind w:left="709" w:hanging="283"/>
        <w:jc w:val="both"/>
        <w:rPr>
          <w:rFonts w:ascii="Book Antiqua" w:hAnsi="Book Antiqua"/>
          <w:sz w:val="24"/>
          <w:szCs w:val="24"/>
        </w:rPr>
      </w:pPr>
      <w:r w:rsidRPr="00620169">
        <w:rPr>
          <w:rFonts w:ascii="Book Antiqua" w:hAnsi="Book Antiqua"/>
          <w:sz w:val="24"/>
          <w:szCs w:val="24"/>
        </w:rPr>
        <w:t>Digital crime is not Can revealed without support adequate technology. Therefore</w:t>
      </w:r>
      <w:r w:rsidRPr="00620169">
        <w:rPr>
          <w:rFonts w:ascii="Times New Roman" w:hAnsi="Times New Roman"/>
          <w:sz w:val="24"/>
          <w:szCs w:val="24"/>
        </w:rPr>
        <w:t>​</w:t>
      </w:r>
      <w:r w:rsidRPr="00620169">
        <w:rPr>
          <w:rFonts w:ascii="Book Antiqua" w:hAnsi="Book Antiqua"/>
          <w:sz w:val="24"/>
          <w:szCs w:val="24"/>
        </w:rPr>
        <w:t xml:space="preserve"> that, the Government must provide a complete digital forensic laboratory spread across several strategic areas , use</w:t>
      </w:r>
      <w:r w:rsidRPr="00620169">
        <w:rPr>
          <w:rFonts w:ascii="Times New Roman" w:hAnsi="Times New Roman"/>
          <w:sz w:val="24"/>
          <w:szCs w:val="24"/>
        </w:rPr>
        <w:t>​</w:t>
      </w:r>
      <w:r w:rsidRPr="00620169">
        <w:rPr>
          <w:rFonts w:ascii="Book Antiqua" w:hAnsi="Book Antiqua"/>
          <w:sz w:val="24"/>
          <w:szCs w:val="24"/>
        </w:rPr>
        <w:t xml:space="preserve"> device soft data analysis and digital footprint for track online activities of actors and development system detection automatic to content pornography on social media and online sites.</w:t>
      </w:r>
    </w:p>
    <w:p w14:paraId="13F119B5" w14:textId="77777777" w:rsidR="00C07EBB" w:rsidRDefault="00C07EBB" w:rsidP="00C07EBB">
      <w:pPr>
        <w:spacing w:after="0" w:line="240" w:lineRule="auto"/>
        <w:jc w:val="both"/>
        <w:rPr>
          <w:rFonts w:ascii="Book Antiqua" w:hAnsi="Book Antiqua"/>
          <w:color w:val="000000" w:themeColor="text1"/>
        </w:rPr>
      </w:pPr>
    </w:p>
    <w:p w14:paraId="2373F305" w14:textId="77777777" w:rsidR="00C07EBB" w:rsidRPr="00F655DA" w:rsidRDefault="00C07EBB" w:rsidP="00C07EBB">
      <w:pPr>
        <w:spacing w:after="0" w:line="360" w:lineRule="auto"/>
        <w:rPr>
          <w:rFonts w:ascii="Book Antiqua" w:hAnsi="Book Antiqua"/>
          <w:b/>
          <w:color w:val="0070C0"/>
          <w:sz w:val="24"/>
          <w:szCs w:val="24"/>
        </w:rPr>
      </w:pPr>
      <w:r w:rsidRPr="00F655DA">
        <w:rPr>
          <w:rFonts w:ascii="Book Antiqua" w:hAnsi="Book Antiqua"/>
          <w:b/>
          <w:color w:val="0070C0"/>
          <w:sz w:val="24"/>
          <w:szCs w:val="24"/>
        </w:rPr>
        <w:t>CONCLUSION</w:t>
      </w:r>
      <w:r w:rsidRPr="00F655DA">
        <w:rPr>
          <w:rFonts w:ascii="Times New Roman" w:hAnsi="Times New Roman"/>
          <w:b/>
          <w:color w:val="0070C0"/>
          <w:sz w:val="24"/>
          <w:szCs w:val="24"/>
        </w:rPr>
        <w:t>​</w:t>
      </w:r>
    </w:p>
    <w:p w14:paraId="323EDE7C" w14:textId="77777777" w:rsidR="00C07EBB" w:rsidRDefault="00C07EBB" w:rsidP="00C07EBB">
      <w:pPr>
        <w:spacing w:after="0" w:line="360" w:lineRule="auto"/>
        <w:ind w:firstLine="284"/>
        <w:jc w:val="both"/>
        <w:rPr>
          <w:rFonts w:ascii="Book Antiqua" w:hAnsi="Book Antiqua"/>
          <w:color w:val="000000" w:themeColor="text1"/>
        </w:rPr>
      </w:pPr>
      <w:r w:rsidRPr="00620169">
        <w:rPr>
          <w:rFonts w:ascii="Book Antiqua" w:hAnsi="Book Antiqua"/>
          <w:color w:val="000000" w:themeColor="text1"/>
          <w:sz w:val="24"/>
        </w:rPr>
        <w:t>Online pornography and prostitution are modern crimes that continue to evolve along with advances in information and communication technology. These crimes not only undermine public morality but also complicate law enforcement efforts to uncover and handle them. Law enforcement faces various challenges, including the use of technology by perpetrators to disguise identities and locations, weak regulations that are not yet fully adapted to digital crime methods, limited human and technological resources within law enforcement agencies, and a lack of international cooperation in accessing data from foreign platforms. Furthermore, low digital literacy among the public and increasing social tolerance for sexual content exacerbate the situation. In response to these challenges, various strategic solutions are needed. These include reform and harmonization of relevant regulations, increasing the capacity of law enforcement officials in digital forensics and cyber investigations, developing technological infrastructure, and strengthening cooperation with international institutions and digital platforms. Furthermore, educating the public through digital literacy and strengthening the role of families and education are equally important preventative measures. With a comprehensive and collaborative approach between the government, law enforcement officials, the community, and the private sector, it is hoped that crimes of online pornography and prostitution can be significantly reduced, and law enforcement can be more effective and just</w:t>
      </w:r>
      <w:r>
        <w:rPr>
          <w:rFonts w:ascii="Book Antiqua" w:hAnsi="Book Antiqua"/>
          <w:color w:val="000000" w:themeColor="text1"/>
          <w:sz w:val="24"/>
        </w:rPr>
        <w:t>.</w:t>
      </w:r>
    </w:p>
    <w:p w14:paraId="30EA0274" w14:textId="77777777" w:rsidR="00C07EBB" w:rsidRDefault="00C07EBB" w:rsidP="00C07EBB">
      <w:pPr>
        <w:spacing w:after="0" w:line="240" w:lineRule="auto"/>
        <w:jc w:val="both"/>
        <w:rPr>
          <w:rFonts w:ascii="Book Antiqua" w:hAnsi="Book Antiqua" w:cstheme="majorHAnsi"/>
          <w:color w:val="000000" w:themeColor="text1"/>
          <w:sz w:val="24"/>
          <w:szCs w:val="24"/>
          <w:lang w:val="en-GB"/>
        </w:rPr>
      </w:pPr>
    </w:p>
    <w:p w14:paraId="1C6CF9F4" w14:textId="77777777" w:rsidR="00C07EBB" w:rsidRPr="00F655DA" w:rsidRDefault="00C07EBB" w:rsidP="00C07EBB">
      <w:pPr>
        <w:spacing w:after="0" w:line="360" w:lineRule="auto"/>
        <w:jc w:val="both"/>
        <w:rPr>
          <w:rFonts w:ascii="Book Antiqua" w:eastAsia="Arial Unicode MS" w:hAnsi="Book Antiqua" w:cstheme="majorHAnsi"/>
          <w:b/>
          <w:color w:val="0070C0"/>
          <w:sz w:val="24"/>
          <w:szCs w:val="24"/>
          <w:lang w:val="en-GB"/>
        </w:rPr>
      </w:pPr>
      <w:r w:rsidRPr="00F655DA">
        <w:rPr>
          <w:rFonts w:ascii="Book Antiqua" w:eastAsia="Arial Unicode MS" w:hAnsi="Book Antiqua" w:cstheme="majorHAnsi"/>
          <w:b/>
          <w:color w:val="0070C0"/>
          <w:sz w:val="24"/>
          <w:szCs w:val="24"/>
        </w:rPr>
        <w:t>REFERENCES</w:t>
      </w:r>
    </w:p>
    <w:p w14:paraId="1BBDC901"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5473F0">
        <w:rPr>
          <w:rFonts w:ascii="Cambria" w:hAnsi="Cambria"/>
          <w:sz w:val="18"/>
          <w:szCs w:val="18"/>
        </w:rPr>
        <w:fldChar w:fldCharType="begin" w:fldLock="1"/>
      </w:r>
      <w:r w:rsidRPr="005473F0">
        <w:rPr>
          <w:rFonts w:ascii="Cambria" w:hAnsi="Cambria"/>
          <w:sz w:val="18"/>
          <w:szCs w:val="18"/>
        </w:rPr>
        <w:instrText xml:space="preserve">ADDIN Mendeley Bibliography CSL_BIBLIOGRAPHY </w:instrText>
      </w:r>
      <w:r w:rsidRPr="005473F0">
        <w:rPr>
          <w:rFonts w:ascii="Cambria" w:hAnsi="Cambria"/>
          <w:sz w:val="18"/>
          <w:szCs w:val="18"/>
        </w:rPr>
        <w:fldChar w:fldCharType="separate"/>
      </w:r>
      <w:r w:rsidRPr="00C446EC">
        <w:rPr>
          <w:rFonts w:ascii="Book Antiqua" w:hAnsi="Book Antiqua" w:cs="Angsana New"/>
          <w:noProof/>
          <w:sz w:val="24"/>
          <w:szCs w:val="36"/>
        </w:rPr>
        <w:t>Anjani, Vianda Ayu. “Cyberbullying Dan Dinamika Hukum Di Indonesia</w:t>
      </w:r>
      <w:r w:rsidRPr="00C446EC">
        <w:rPr>
          <w:rFonts w:ascii="Times New Roman" w:hAnsi="Times New Roman"/>
          <w:noProof/>
          <w:sz w:val="24"/>
          <w:szCs w:val="36"/>
        </w:rPr>
        <w:t> </w:t>
      </w:r>
      <w:r w:rsidRPr="00C446EC">
        <w:rPr>
          <w:rFonts w:ascii="Book Antiqua" w:hAnsi="Book Antiqua" w:cs="Angsana New"/>
          <w:noProof/>
          <w:sz w:val="24"/>
          <w:szCs w:val="36"/>
        </w:rPr>
        <w:t>: Paradoks Ruang Maya Dalam Interaksi Sosial Di Era Digital Pendahuluan Membawa Transformasi Besar Dalam Cara Manusia Berkomunikasi Dan</w:t>
      </w:r>
      <w:r w:rsidRPr="00C446EC">
        <w:rPr>
          <w:rFonts w:ascii="Book Antiqua" w:hAnsi="Book Antiqua" w:cs="Book Antiqua"/>
          <w:noProof/>
          <w:sz w:val="24"/>
          <w:szCs w:val="36"/>
        </w:rPr>
        <w:t>”</w:t>
      </w:r>
      <w:r w:rsidRPr="00C446EC">
        <w:rPr>
          <w:rFonts w:ascii="Book Antiqua" w:hAnsi="Book Antiqua" w:cs="Angsana New"/>
          <w:noProof/>
          <w:sz w:val="24"/>
          <w:szCs w:val="36"/>
        </w:rPr>
        <w:t xml:space="preserve"> 4, no. 1 (2024): 1</w:t>
      </w:r>
      <w:r w:rsidRPr="00C446EC">
        <w:rPr>
          <w:rFonts w:ascii="Book Antiqua" w:hAnsi="Book Antiqua" w:cs="Book Antiqua"/>
          <w:noProof/>
          <w:sz w:val="24"/>
          <w:szCs w:val="36"/>
        </w:rPr>
        <w:t>–</w:t>
      </w:r>
      <w:r w:rsidRPr="00C446EC">
        <w:rPr>
          <w:rFonts w:ascii="Book Antiqua" w:hAnsi="Book Antiqua" w:cs="Angsana New"/>
          <w:noProof/>
          <w:sz w:val="24"/>
          <w:szCs w:val="36"/>
        </w:rPr>
        <w:t>28.</w:t>
      </w:r>
    </w:p>
    <w:p w14:paraId="5AD4EA27"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 xml:space="preserve">Baehaqi, Eki Sirojul. “Keturutsertaan Dalam Tindak Pidana.” </w:t>
      </w:r>
      <w:r w:rsidRPr="00C446EC">
        <w:rPr>
          <w:rFonts w:ascii="Book Antiqua" w:hAnsi="Book Antiqua" w:cs="Angsana New"/>
          <w:i/>
          <w:iCs/>
          <w:noProof/>
          <w:sz w:val="24"/>
          <w:szCs w:val="36"/>
        </w:rPr>
        <w:t xml:space="preserve">An-Nahdliyyah Jurnal Studi </w:t>
      </w:r>
      <w:r w:rsidRPr="00C446EC">
        <w:rPr>
          <w:rFonts w:ascii="Book Antiqua" w:hAnsi="Book Antiqua" w:cs="Angsana New"/>
          <w:i/>
          <w:iCs/>
          <w:noProof/>
          <w:sz w:val="24"/>
          <w:szCs w:val="36"/>
        </w:rPr>
        <w:lastRenderedPageBreak/>
        <w:t>Keislaman</w:t>
      </w:r>
      <w:r w:rsidRPr="00C446EC">
        <w:rPr>
          <w:rFonts w:ascii="Book Antiqua" w:hAnsi="Book Antiqua" w:cs="Angsana New"/>
          <w:noProof/>
          <w:sz w:val="24"/>
          <w:szCs w:val="36"/>
        </w:rPr>
        <w:t xml:space="preserve"> 1, no. 1 (2022): 12–26. http://ojs.stainu-tasikmalaya.ac.id/index.php/annahdliyah/article/view/13.</w:t>
      </w:r>
    </w:p>
    <w:p w14:paraId="3527BC40"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 xml:space="preserve">Beni Ahmad Saebani. </w:t>
      </w:r>
      <w:r w:rsidRPr="00C446EC">
        <w:rPr>
          <w:rFonts w:ascii="Book Antiqua" w:hAnsi="Book Antiqua" w:cs="Angsana New"/>
          <w:i/>
          <w:iCs/>
          <w:noProof/>
          <w:sz w:val="24"/>
          <w:szCs w:val="36"/>
        </w:rPr>
        <w:t>Metode Penelitian Hukum Pendekatan Yuridis Normatif</w:t>
      </w:r>
      <w:r w:rsidRPr="00C446EC">
        <w:rPr>
          <w:rFonts w:ascii="Book Antiqua" w:hAnsi="Book Antiqua" w:cs="Angsana New"/>
          <w:noProof/>
          <w:sz w:val="24"/>
          <w:szCs w:val="36"/>
        </w:rPr>
        <w:t>. Bandung: Pustaka Setia, 2021.</w:t>
      </w:r>
    </w:p>
    <w:p w14:paraId="506DB42C"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Dumako, Ananda Rayhan, Dian Ekawaty Ismail, and Avelia Rahmah Y Mantali. “Hambatan Dalam Penerapan Regulasi Hukum Di Indonesia Dalam Mengatur Penyebaran Konten Bermuatan Pornografi Di Media Sosial,” 2025, 1155–62.</w:t>
      </w:r>
    </w:p>
    <w:p w14:paraId="1BA5DC6B"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 xml:space="preserve">Flora, Henny Saida. “Modus Operandi Tindak Pidana Prostitusi Melalui Media Sosial Online.” </w:t>
      </w:r>
      <w:r w:rsidRPr="00C446EC">
        <w:rPr>
          <w:rFonts w:ascii="Book Antiqua" w:hAnsi="Book Antiqua" w:cs="Angsana New"/>
          <w:i/>
          <w:iCs/>
          <w:noProof/>
          <w:sz w:val="24"/>
          <w:szCs w:val="36"/>
        </w:rPr>
        <w:t>Journal Justiciabelen (Jj)</w:t>
      </w:r>
      <w:r w:rsidRPr="00C446EC">
        <w:rPr>
          <w:rFonts w:ascii="Book Antiqua" w:hAnsi="Book Antiqua" w:cs="Angsana New"/>
          <w:noProof/>
          <w:sz w:val="24"/>
          <w:szCs w:val="36"/>
        </w:rPr>
        <w:t xml:space="preserve"> 2, no. 2 (2022): 120. https://doi.org/10.35194/jj.v2i2.2115.</w:t>
      </w:r>
    </w:p>
    <w:p w14:paraId="4505C5F2"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 xml:space="preserve">Hadi Parwanta, Kadek Martha, Made Sugi Hartono, and Ni Ketut Sari Adnyani. “Analisis Yuridis Tentang Pasal 506 Kuhp Sebagai Peraturan Utama Dalam Penanggulangan Tindak Pidana Prostitusi.” </w:t>
      </w:r>
      <w:r w:rsidRPr="00C446EC">
        <w:rPr>
          <w:rFonts w:ascii="Book Antiqua" w:hAnsi="Book Antiqua" w:cs="Angsana New"/>
          <w:i/>
          <w:iCs/>
          <w:noProof/>
          <w:sz w:val="24"/>
          <w:szCs w:val="36"/>
        </w:rPr>
        <w:t>Jurnal Komunitas Yustisia</w:t>
      </w:r>
      <w:r w:rsidRPr="00C446EC">
        <w:rPr>
          <w:rFonts w:ascii="Book Antiqua" w:hAnsi="Book Antiqua" w:cs="Angsana New"/>
          <w:noProof/>
          <w:sz w:val="24"/>
          <w:szCs w:val="36"/>
        </w:rPr>
        <w:t xml:space="preserve"> 4, no. 2 (2021): 531–41. https://doi.org/10.23887/jatayu.v4i2.38143.</w:t>
      </w:r>
    </w:p>
    <w:p w14:paraId="09879CEC"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 xml:space="preserve">Hamrin, Hamrin. “Implementasi Penegakan Hukum Dalam Sistem Peradilan Pidana Terhadap Pelaku Prostitusi Online Di Dki Jakarta.” </w:t>
      </w:r>
      <w:r w:rsidRPr="00C446EC">
        <w:rPr>
          <w:rFonts w:ascii="Book Antiqua" w:hAnsi="Book Antiqua" w:cs="Angsana New"/>
          <w:i/>
          <w:iCs/>
          <w:noProof/>
          <w:sz w:val="24"/>
          <w:szCs w:val="36"/>
        </w:rPr>
        <w:t>NATIONAL JOURNAL of LAW</w:t>
      </w:r>
      <w:r w:rsidRPr="00C446EC">
        <w:rPr>
          <w:rFonts w:ascii="Book Antiqua" w:hAnsi="Book Antiqua" w:cs="Angsana New"/>
          <w:noProof/>
          <w:sz w:val="24"/>
          <w:szCs w:val="36"/>
        </w:rPr>
        <w:t xml:space="preserve"> 4, no. 1 (2021): 480. https://doi.org/10.47313/njl.v4i1.1114.</w:t>
      </w:r>
    </w:p>
    <w:p w14:paraId="329BD291"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https://pusiknas.polri.go.id/data_kejahatan (n.d.).</w:t>
      </w:r>
    </w:p>
    <w:p w14:paraId="1EE9CD6F"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Juditha, Christiany. “Prostitusi Daring</w:t>
      </w:r>
      <w:r w:rsidRPr="00C446EC">
        <w:rPr>
          <w:rFonts w:ascii="Times New Roman" w:hAnsi="Times New Roman"/>
          <w:noProof/>
          <w:sz w:val="24"/>
          <w:szCs w:val="36"/>
        </w:rPr>
        <w:t> </w:t>
      </w:r>
      <w:r w:rsidRPr="00C446EC">
        <w:rPr>
          <w:rFonts w:ascii="Book Antiqua" w:hAnsi="Book Antiqua" w:cs="Angsana New"/>
          <w:noProof/>
          <w:sz w:val="24"/>
          <w:szCs w:val="36"/>
        </w:rPr>
        <w:t>: Tren Industri Jasa Seks Komersial Di Media Sosial Online Prostitution</w:t>
      </w:r>
      <w:r w:rsidRPr="00C446EC">
        <w:rPr>
          <w:rFonts w:ascii="Times New Roman" w:hAnsi="Times New Roman"/>
          <w:noProof/>
          <w:sz w:val="24"/>
          <w:szCs w:val="36"/>
        </w:rPr>
        <w:t> </w:t>
      </w:r>
      <w:r w:rsidRPr="00C446EC">
        <w:rPr>
          <w:rFonts w:ascii="Book Antiqua" w:hAnsi="Book Antiqua" w:cs="Angsana New"/>
          <w:noProof/>
          <w:sz w:val="24"/>
          <w:szCs w:val="36"/>
        </w:rPr>
        <w:t>: Trends of The Commercial Sex Service Industry in Social Media.</w:t>
      </w:r>
      <w:r w:rsidRPr="00C446EC">
        <w:rPr>
          <w:rFonts w:ascii="Book Antiqua" w:hAnsi="Book Antiqua" w:cs="Book Antiqua"/>
          <w:noProof/>
          <w:sz w:val="24"/>
          <w:szCs w:val="36"/>
        </w:rPr>
        <w:t>”</w:t>
      </w:r>
      <w:r w:rsidRPr="00C446EC">
        <w:rPr>
          <w:rFonts w:ascii="Book Antiqua" w:hAnsi="Book Antiqua" w:cs="Angsana New"/>
          <w:noProof/>
          <w:sz w:val="24"/>
          <w:szCs w:val="36"/>
        </w:rPr>
        <w:t xml:space="preserve"> </w:t>
      </w:r>
      <w:r w:rsidRPr="00C446EC">
        <w:rPr>
          <w:rFonts w:ascii="Book Antiqua" w:hAnsi="Book Antiqua" w:cs="Angsana New"/>
          <w:i/>
          <w:iCs/>
          <w:noProof/>
          <w:sz w:val="24"/>
          <w:szCs w:val="36"/>
        </w:rPr>
        <w:t>Pekommas</w:t>
      </w:r>
      <w:r w:rsidRPr="00C446EC">
        <w:rPr>
          <w:rFonts w:ascii="Book Antiqua" w:hAnsi="Book Antiqua" w:cs="Angsana New"/>
          <w:noProof/>
          <w:sz w:val="24"/>
          <w:szCs w:val="36"/>
        </w:rPr>
        <w:t xml:space="preserve"> 6, no. 1 (2021): 51–63. https://doi.org/10.30818/jpkm.2021.2060106.</w:t>
      </w:r>
    </w:p>
    <w:p w14:paraId="0A7ADD1D"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 xml:space="preserve">Lengkong, Jewellery Kyla Shalom Abuthan Herlyanty Y. A. Bawole Natalia L. “Penegakan Hukum Kejahatan Online Scamming Terhadap Human Trafficking Berdasarkan Undang-Undang Tindak Pidana Perdagangan Orang.” </w:t>
      </w:r>
      <w:r w:rsidRPr="00C446EC">
        <w:rPr>
          <w:rFonts w:ascii="Book Antiqua" w:hAnsi="Book Antiqua" w:cs="Angsana New"/>
          <w:i/>
          <w:iCs/>
          <w:noProof/>
          <w:sz w:val="24"/>
          <w:szCs w:val="36"/>
        </w:rPr>
        <w:t>Lex Administratum</w:t>
      </w:r>
      <w:r w:rsidRPr="00C446EC">
        <w:rPr>
          <w:rFonts w:ascii="Book Antiqua" w:hAnsi="Book Antiqua" w:cs="Angsana New"/>
          <w:noProof/>
          <w:sz w:val="24"/>
          <w:szCs w:val="36"/>
        </w:rPr>
        <w:t xml:space="preserve"> 13, no. 1 (2025).</w:t>
      </w:r>
    </w:p>
    <w:p w14:paraId="26816772"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 xml:space="preserve">Mudjiyanto, Bambang, Hayu Lusianawati, and Nur Azizah. “MEDIA SOSIAL DAN PROSTITUSI ONLINE ( Studi Penggunaan Media Sosial Sebagai Sarana Amplifikasi Prostitusi Online ).” </w:t>
      </w:r>
      <w:r w:rsidRPr="00C446EC">
        <w:rPr>
          <w:rFonts w:ascii="Book Antiqua" w:hAnsi="Book Antiqua" w:cs="Angsana New"/>
          <w:i/>
          <w:iCs/>
          <w:noProof/>
          <w:sz w:val="24"/>
          <w:szCs w:val="36"/>
        </w:rPr>
        <w:t>Jurnal The Source</w:t>
      </w:r>
      <w:r w:rsidRPr="00C446EC">
        <w:rPr>
          <w:rFonts w:ascii="Book Antiqua" w:hAnsi="Book Antiqua" w:cs="Angsana New"/>
          <w:noProof/>
          <w:sz w:val="24"/>
          <w:szCs w:val="36"/>
        </w:rPr>
        <w:t xml:space="preserve"> 6, no. 1 (2024): 20–36.</w:t>
      </w:r>
    </w:p>
    <w:p w14:paraId="4D6A45F2"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 xml:space="preserve">Nurgiansah, T Heru. “Fenomena Prostitusi Online Di Kota Yogyakarta Dalam Perspektif Nilai Kemanusiaan Yang Adil Dan Beradab.” </w:t>
      </w:r>
      <w:r w:rsidRPr="00C446EC">
        <w:rPr>
          <w:rFonts w:ascii="Book Antiqua" w:hAnsi="Book Antiqua" w:cs="Angsana New"/>
          <w:i/>
          <w:iCs/>
          <w:noProof/>
          <w:sz w:val="24"/>
          <w:szCs w:val="36"/>
        </w:rPr>
        <w:t>Jurnal Kewarganegaraan</w:t>
      </w:r>
      <w:r w:rsidRPr="00C446EC">
        <w:rPr>
          <w:rFonts w:ascii="Book Antiqua" w:hAnsi="Book Antiqua" w:cs="Angsana New"/>
          <w:noProof/>
          <w:sz w:val="24"/>
          <w:szCs w:val="36"/>
        </w:rPr>
        <w:t xml:space="preserve"> 17, no. 1 (2020): 27. https://doi.org/10.24114/jk.v17i1.14208.</w:t>
      </w:r>
    </w:p>
    <w:p w14:paraId="010A4456"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Putri, Agil Sholela, and Nadiyatul Ummah Al-islamiyah. “Penerapan Hukum Syariah Dalam Larangan Perzinaan</w:t>
      </w:r>
      <w:r w:rsidRPr="00C446EC">
        <w:rPr>
          <w:rFonts w:ascii="Times New Roman" w:hAnsi="Times New Roman"/>
          <w:noProof/>
          <w:sz w:val="24"/>
          <w:szCs w:val="36"/>
        </w:rPr>
        <w:t> </w:t>
      </w:r>
      <w:r w:rsidRPr="00C446EC">
        <w:rPr>
          <w:rFonts w:ascii="Book Antiqua" w:hAnsi="Book Antiqua" w:cs="Angsana New"/>
          <w:noProof/>
          <w:sz w:val="24"/>
          <w:szCs w:val="36"/>
        </w:rPr>
        <w:t>: Telaah Terhadap Peraturan Daerah Kota Pariaman Nomor 10 Tahun 2013</w:t>
      </w:r>
      <w:r w:rsidRPr="00C446EC">
        <w:rPr>
          <w:rFonts w:ascii="Book Antiqua" w:hAnsi="Book Antiqua" w:cs="Book Antiqua"/>
          <w:noProof/>
          <w:sz w:val="24"/>
          <w:szCs w:val="36"/>
        </w:rPr>
        <w:t>”</w:t>
      </w:r>
      <w:r w:rsidRPr="00C446EC">
        <w:rPr>
          <w:rFonts w:ascii="Book Antiqua" w:hAnsi="Book Antiqua" w:cs="Angsana New"/>
          <w:noProof/>
          <w:sz w:val="24"/>
          <w:szCs w:val="36"/>
        </w:rPr>
        <w:t xml:space="preserve"> 1, no. December (2023): 515</w:t>
      </w:r>
      <w:r w:rsidRPr="00C446EC">
        <w:rPr>
          <w:rFonts w:ascii="Book Antiqua" w:hAnsi="Book Antiqua" w:cs="Book Antiqua"/>
          <w:noProof/>
          <w:sz w:val="24"/>
          <w:szCs w:val="36"/>
        </w:rPr>
        <w:t>–</w:t>
      </w:r>
      <w:r w:rsidRPr="00C446EC">
        <w:rPr>
          <w:rFonts w:ascii="Book Antiqua" w:hAnsi="Book Antiqua" w:cs="Angsana New"/>
          <w:noProof/>
          <w:sz w:val="24"/>
          <w:szCs w:val="36"/>
        </w:rPr>
        <w:t>19.</w:t>
      </w:r>
    </w:p>
    <w:p w14:paraId="01EC4E8B"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 xml:space="preserve">Romadhonia, Annisa, Sukma Hidayatun Nahdliyin, and Miftakhul Janah. “Peran Literasi Digital Bagi Masyarakat Dalam Mengurangi Dampak Kejahatan Transaski Elektronik Illegal.” </w:t>
      </w:r>
      <w:r w:rsidRPr="00C446EC">
        <w:rPr>
          <w:rFonts w:ascii="Book Antiqua" w:hAnsi="Book Antiqua" w:cs="Angsana New"/>
          <w:i/>
          <w:iCs/>
          <w:noProof/>
          <w:sz w:val="24"/>
          <w:szCs w:val="36"/>
        </w:rPr>
        <w:t>Jurnal Hukum Ius Publicum</w:t>
      </w:r>
      <w:r w:rsidRPr="00C446EC">
        <w:rPr>
          <w:rFonts w:ascii="Book Antiqua" w:hAnsi="Book Antiqua" w:cs="Angsana New"/>
          <w:noProof/>
          <w:sz w:val="24"/>
          <w:szCs w:val="36"/>
        </w:rPr>
        <w:t xml:space="preserve"> 5, no. 1 (2024): 176–201. https://doi.org/10.55551/jip.v5i1.96.</w:t>
      </w:r>
    </w:p>
    <w:p w14:paraId="618DDFEB"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 xml:space="preserve">Shofian, Muhammad Rizky Firdaus, Fery Virdaus. “Analusis Normatif Terhadap Ketentuan Hukum Bagi Pelaku Penyebaran Konten Fonografi Di Internet.” </w:t>
      </w:r>
      <w:r w:rsidRPr="00C446EC">
        <w:rPr>
          <w:rFonts w:ascii="Book Antiqua" w:hAnsi="Book Antiqua" w:cs="Angsana New"/>
          <w:i/>
          <w:iCs/>
          <w:noProof/>
          <w:sz w:val="24"/>
          <w:szCs w:val="36"/>
        </w:rPr>
        <w:t>Indonesian Journal of Islamic Jurisprudence,Economic and Legal Theory</w:t>
      </w:r>
      <w:r w:rsidRPr="00C446EC">
        <w:rPr>
          <w:rFonts w:ascii="Book Antiqua" w:hAnsi="Book Antiqua" w:cs="Angsana New"/>
          <w:noProof/>
          <w:sz w:val="24"/>
          <w:szCs w:val="36"/>
        </w:rPr>
        <w:t xml:space="preserve"> 3, no. 1 (2025): 651–62.</w:t>
      </w:r>
    </w:p>
    <w:p w14:paraId="1AD43345"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 xml:space="preserve">Sinaga, Blassyus Bevry, and Raia Putri Noer Azzura. “Peran Teknologi Blockchain Sebagai </w:t>
      </w:r>
      <w:r w:rsidRPr="00C446EC">
        <w:rPr>
          <w:rFonts w:ascii="Book Antiqua" w:hAnsi="Book Antiqua" w:cs="Angsana New"/>
          <w:noProof/>
          <w:sz w:val="24"/>
          <w:szCs w:val="36"/>
        </w:rPr>
        <w:lastRenderedPageBreak/>
        <w:t xml:space="preserve">Instrumen Pembangunan Penegakan Hukum Berbasis Digital &amp; Mewujudkan Masyarakat Berkeadilan Di Era Society 5.0.” </w:t>
      </w:r>
      <w:r w:rsidRPr="00C446EC">
        <w:rPr>
          <w:rFonts w:ascii="Book Antiqua" w:hAnsi="Book Antiqua" w:cs="Angsana New"/>
          <w:i/>
          <w:iCs/>
          <w:noProof/>
          <w:sz w:val="24"/>
          <w:szCs w:val="36"/>
        </w:rPr>
        <w:t>Padjadjaran Law Review</w:t>
      </w:r>
      <w:r w:rsidRPr="00C446EC">
        <w:rPr>
          <w:rFonts w:ascii="Book Antiqua" w:hAnsi="Book Antiqua" w:cs="Angsana New"/>
          <w:noProof/>
          <w:sz w:val="24"/>
          <w:szCs w:val="36"/>
        </w:rPr>
        <w:t xml:space="preserve"> 12, no. 1 (2024): 71–81. https://doi.org/10.56895/plr.v12i1.1651.</w:t>
      </w:r>
    </w:p>
    <w:p w14:paraId="59BF90B7"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Sonjaya, Saji, and Ahmad Jamaludin. “Mengeksplorasi Regulasi Industri Seksual Di Indonesia</w:t>
      </w:r>
      <w:r w:rsidRPr="00C446EC">
        <w:rPr>
          <w:rFonts w:ascii="Times New Roman" w:hAnsi="Times New Roman"/>
          <w:noProof/>
          <w:sz w:val="24"/>
          <w:szCs w:val="36"/>
        </w:rPr>
        <w:t> </w:t>
      </w:r>
      <w:r w:rsidRPr="00C446EC">
        <w:rPr>
          <w:rFonts w:ascii="Book Antiqua" w:hAnsi="Book Antiqua" w:cs="Angsana New"/>
          <w:noProof/>
          <w:sz w:val="24"/>
          <w:szCs w:val="36"/>
        </w:rPr>
        <w:t>: Pemidanaan Pembeli Jasa Pekerja Seks Komersial Exploring the Regulation of the Sex Industry in Indonesia</w:t>
      </w:r>
      <w:r w:rsidRPr="00C446EC">
        <w:rPr>
          <w:rFonts w:ascii="Times New Roman" w:hAnsi="Times New Roman"/>
          <w:noProof/>
          <w:sz w:val="24"/>
          <w:szCs w:val="36"/>
        </w:rPr>
        <w:t> </w:t>
      </w:r>
      <w:r w:rsidRPr="00C446EC">
        <w:rPr>
          <w:rFonts w:ascii="Book Antiqua" w:hAnsi="Book Antiqua" w:cs="Angsana New"/>
          <w:noProof/>
          <w:sz w:val="24"/>
          <w:szCs w:val="36"/>
        </w:rPr>
        <w:t>: The Criminalization of Buyers of Commercial Sex Services</w:t>
      </w:r>
      <w:r w:rsidRPr="00C446EC">
        <w:rPr>
          <w:rFonts w:ascii="Book Antiqua" w:hAnsi="Book Antiqua" w:cs="Book Antiqua"/>
          <w:noProof/>
          <w:sz w:val="24"/>
          <w:szCs w:val="36"/>
        </w:rPr>
        <w:t>”</w:t>
      </w:r>
      <w:r w:rsidRPr="00C446EC">
        <w:rPr>
          <w:rFonts w:ascii="Book Antiqua" w:hAnsi="Book Antiqua" w:cs="Angsana New"/>
          <w:noProof/>
          <w:sz w:val="24"/>
          <w:szCs w:val="36"/>
        </w:rPr>
        <w:t xml:space="preserve"> 7, no. 1 (2025): 23</w:t>
      </w:r>
      <w:r w:rsidRPr="00C446EC">
        <w:rPr>
          <w:rFonts w:ascii="Book Antiqua" w:hAnsi="Book Antiqua" w:cs="Book Antiqua"/>
          <w:noProof/>
          <w:sz w:val="24"/>
          <w:szCs w:val="36"/>
        </w:rPr>
        <w:t>–</w:t>
      </w:r>
      <w:r w:rsidRPr="00C446EC">
        <w:rPr>
          <w:rFonts w:ascii="Book Antiqua" w:hAnsi="Book Antiqua" w:cs="Angsana New"/>
          <w:noProof/>
          <w:sz w:val="24"/>
          <w:szCs w:val="36"/>
        </w:rPr>
        <w:t>38. https://doi.org/10.51486/jbo.v7i1.221.</w:t>
      </w:r>
    </w:p>
    <w:p w14:paraId="251FB498" w14:textId="77777777" w:rsidR="00C07EBB" w:rsidRPr="00C446EC" w:rsidRDefault="00C07EBB" w:rsidP="00C07EBB">
      <w:pPr>
        <w:widowControl w:val="0"/>
        <w:autoSpaceDE w:val="0"/>
        <w:autoSpaceDN w:val="0"/>
        <w:adjustRightInd w:val="0"/>
        <w:spacing w:before="120" w:after="0" w:line="240" w:lineRule="auto"/>
        <w:ind w:left="480" w:hanging="480"/>
        <w:jc w:val="both"/>
        <w:rPr>
          <w:rFonts w:ascii="Book Antiqua" w:hAnsi="Book Antiqua" w:cs="Angsana New"/>
          <w:noProof/>
          <w:sz w:val="24"/>
          <w:szCs w:val="36"/>
        </w:rPr>
      </w:pPr>
      <w:r w:rsidRPr="00C446EC">
        <w:rPr>
          <w:rFonts w:ascii="Book Antiqua" w:hAnsi="Book Antiqua" w:cs="Angsana New"/>
          <w:noProof/>
          <w:sz w:val="24"/>
          <w:szCs w:val="36"/>
        </w:rPr>
        <w:t xml:space="preserve">Wiryany, Detya, Selina Natasha, and Rio Kurniawan. “Perkembangan Teknologi Informasi Dan Komunikasi Terhadap Perubahan Sistem Komunikasi Indonesia.” </w:t>
      </w:r>
      <w:r w:rsidRPr="00C446EC">
        <w:rPr>
          <w:rFonts w:ascii="Book Antiqua" w:hAnsi="Book Antiqua" w:cs="Angsana New"/>
          <w:i/>
          <w:iCs/>
          <w:noProof/>
          <w:sz w:val="24"/>
          <w:szCs w:val="36"/>
        </w:rPr>
        <w:t>Jurnal Nomosleca</w:t>
      </w:r>
      <w:r w:rsidRPr="00C446EC">
        <w:rPr>
          <w:rFonts w:ascii="Book Antiqua" w:hAnsi="Book Antiqua" w:cs="Angsana New"/>
          <w:noProof/>
          <w:sz w:val="24"/>
          <w:szCs w:val="36"/>
        </w:rPr>
        <w:t xml:space="preserve"> 8, no. 2 (2022): 242–52. https://doi.org/10.26905/nomosleca.v8i2.8821.</w:t>
      </w:r>
    </w:p>
    <w:p w14:paraId="4C5FE536" w14:textId="77777777" w:rsidR="00C07EBB" w:rsidRPr="001610A2" w:rsidRDefault="00C07EBB" w:rsidP="00C07EBB">
      <w:pPr>
        <w:pStyle w:val="ListParagraph"/>
        <w:spacing w:before="120" w:after="120" w:line="240" w:lineRule="auto"/>
        <w:ind w:left="0"/>
        <w:contextualSpacing w:val="0"/>
        <w:jc w:val="both"/>
        <w:rPr>
          <w:rFonts w:ascii="Book Antiqua" w:hAnsi="Book Antiqua" w:cstheme="majorHAnsi"/>
          <w:b/>
          <w:i/>
          <w:color w:val="000000" w:themeColor="text1"/>
          <w:sz w:val="24"/>
        </w:rPr>
      </w:pPr>
    </w:p>
    <w:p w14:paraId="0F7C9B32" w14:textId="0DEE5519" w:rsidR="004562F9" w:rsidRPr="00F655DA" w:rsidRDefault="00C07EBB" w:rsidP="00F655DA">
      <w:pPr>
        <w:spacing w:after="0" w:line="240" w:lineRule="auto"/>
        <w:rPr>
          <w:rFonts w:ascii="Book Antiqua" w:eastAsia="Book Antiqua" w:hAnsi="Book Antiqua" w:cs="Book Antiqua"/>
          <w:sz w:val="24"/>
          <w:szCs w:val="24"/>
        </w:rPr>
      </w:pPr>
      <w:r>
        <w:rPr>
          <w:noProof/>
        </w:rPr>
        <w:drawing>
          <wp:anchor distT="0" distB="0" distL="114300" distR="114300" simplePos="0" relativeHeight="251667456" behindDoc="0" locked="0" layoutInCell="1" allowOverlap="1" wp14:anchorId="2F3FCD1F" wp14:editId="3DACE6B8">
            <wp:simplePos x="0" y="0"/>
            <wp:positionH relativeFrom="column">
              <wp:posOffset>26784</wp:posOffset>
            </wp:positionH>
            <wp:positionV relativeFrom="paragraph">
              <wp:posOffset>1188256</wp:posOffset>
            </wp:positionV>
            <wp:extent cx="6332220" cy="1623060"/>
            <wp:effectExtent l="0" t="0" r="0" b="0"/>
            <wp:wrapNone/>
            <wp:docPr id="11891584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3222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3F0">
        <w:rPr>
          <w:rFonts w:ascii="Cambria" w:hAnsi="Cambria"/>
          <w:sz w:val="18"/>
          <w:szCs w:val="18"/>
        </w:rPr>
        <w:fldChar w:fldCharType="end"/>
      </w:r>
    </w:p>
    <w:sectPr w:rsidR="004562F9" w:rsidRPr="00F655DA">
      <w:footerReference w:type="even" r:id="rId21"/>
      <w:footerReference w:type="default" r:id="rId22"/>
      <w:headerReference w:type="first" r:id="rId23"/>
      <w:footerReference w:type="first" r:id="rId24"/>
      <w:pgSz w:w="11906" w:h="16838"/>
      <w:pgMar w:top="1134" w:right="1134" w:bottom="1134" w:left="1134" w:header="720" w:footer="1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5BEF1" w14:textId="77777777" w:rsidR="0093744C" w:rsidRDefault="0093744C">
      <w:pPr>
        <w:spacing w:after="0" w:line="240" w:lineRule="auto"/>
      </w:pPr>
      <w:r>
        <w:separator/>
      </w:r>
    </w:p>
  </w:endnote>
  <w:endnote w:type="continuationSeparator" w:id="0">
    <w:p w14:paraId="46E5DA4A" w14:textId="77777777" w:rsidR="0093744C" w:rsidRDefault="00937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fontKey="{895D5EBC-765E-414A-B6C1-12AC3B84FB88}"/>
    <w:embedBold r:id="rId2" w:fontKey="{265B2986-A94A-46FB-AECA-05C3313678FE}"/>
    <w:embedItalic r:id="rId3" w:fontKey="{C8BEFD59-3991-48F2-911C-DC7ED1E12959}"/>
    <w:embedBoldItalic r:id="rId4" w:fontKey="{4DF4167E-2275-4AB8-B830-32A75DF78AF1}"/>
  </w:font>
  <w:font w:name="Calibri">
    <w:panose1 w:val="020F0502020204030204"/>
    <w:charset w:val="00"/>
    <w:family w:val="swiss"/>
    <w:pitch w:val="variable"/>
    <w:sig w:usb0="E4002EFF" w:usb1="C200247B" w:usb2="00000009" w:usb3="00000000" w:csb0="000001FF" w:csb1="00000000"/>
    <w:embedRegular r:id="rId5" w:fontKey="{02F0E1B0-9058-4D4B-80E7-31B72183C672}"/>
    <w:embedBold r:id="rId6" w:fontKey="{3B425A5B-E0BD-4BEA-AB1F-B89E0606D453}"/>
    <w:embedItalic r:id="rId7" w:fontKey="{EB08CE2D-A7AC-4CE2-8BB5-6A123031247E}"/>
    <w:embedBoldItalic r:id="rId8" w:fontKey="{D9CD0294-B3FF-44F7-93F0-5CB4B564F7D4}"/>
  </w:font>
  <w:font w:name="Times New Roman Bold">
    <w:altName w:val="Times New Roman"/>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956A9A25-478B-4CF4-8045-12B5D758615F}"/>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0" w:fontKey="{E4792FF2-D21B-471A-853C-9B6D2E75D1F5}"/>
  </w:font>
  <w:font w:name="Vrinda">
    <w:panose1 w:val="00000400000000000000"/>
    <w:charset w:val="00"/>
    <w:family w:val="swiss"/>
    <w:pitch w:val="variable"/>
    <w:sig w:usb0="00010003" w:usb1="00000000" w:usb2="00000000" w:usb3="00000000" w:csb0="00000001" w:csb1="00000000"/>
    <w:embedRegular r:id="rId11" w:fontKey="{116F81CB-96D3-4409-A772-E0C45738AA9C}"/>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embedRegular r:id="rId12" w:fontKey="{8439BBC9-A26A-4CF2-B575-22735177A7AC}"/>
  </w:font>
  <w:font w:name="Calibri Light">
    <w:panose1 w:val="020F0302020204030204"/>
    <w:charset w:val="00"/>
    <w:family w:val="swiss"/>
    <w:pitch w:val="variable"/>
    <w:sig w:usb0="E4002EFF" w:usb1="C200247B" w:usb2="00000009" w:usb3="00000000" w:csb0="000001FF" w:csb1="00000000"/>
    <w:embedRegular r:id="rId13" w:fontKey="{EFBECB0E-C2A0-4011-A963-056E39588B69}"/>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4" w:fontKey="{2E77D8D4-FA24-4CC1-A3A4-F49CD49571A4}"/>
    <w:embedItalic r:id="rId15" w:fontKey="{EAD18BC0-3DFF-4D2D-B335-21AE188EC347}"/>
  </w:font>
  <w:font w:name="Angsana New">
    <w:panose1 w:val="02020603050405020304"/>
    <w:charset w:val="DE"/>
    <w:family w:val="roman"/>
    <w:pitch w:val="variable"/>
    <w:sig w:usb0="81000003" w:usb1="00000000" w:usb2="00000000" w:usb3="00000000" w:csb0="00010001" w:csb1="00000000"/>
    <w:embedRegular r:id="rId16" w:fontKey="{D611DE0F-F8F8-4AE1-AD0E-6E4395585EE8}"/>
    <w:embedItalic r:id="rId17" w:fontKey="{E9CE957B-D603-4D99-9BDB-2B73F74D0DF5}"/>
  </w:font>
  <w:font w:name="Pinyon Script">
    <w:charset w:val="00"/>
    <w:family w:val="auto"/>
    <w:pitch w:val="default"/>
    <w:embedRegular r:id="rId18" w:fontKey="{A954F91D-119D-43B0-901E-F2EEB62F759F}"/>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embedRegular r:id="rId19" w:fontKey="{61925679-324A-48DF-A8A1-EBDAF9EBBB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8CCC" w14:textId="77777777" w:rsidR="004562F9" w:rsidRDefault="00000000">
    <w:pPr>
      <w:pBdr>
        <w:top w:val="single" w:sz="4" w:space="1" w:color="D9D9D9"/>
        <w:left w:val="nil"/>
        <w:bottom w:val="nil"/>
        <w:right w:val="nil"/>
        <w:between w:val="nil"/>
      </w:pBdr>
      <w:tabs>
        <w:tab w:val="center" w:pos="4680"/>
        <w:tab w:val="right" w:pos="9360"/>
        <w:tab w:val="left" w:pos="567"/>
      </w:tabs>
      <w:spacing w:after="120" w:line="240" w:lineRule="auto"/>
      <w:ind w:left="567" w:hanging="567"/>
      <w:rPr>
        <w:b/>
        <w:color w:val="000000"/>
        <w:szCs w:val="22"/>
      </w:rPr>
    </w:pPr>
    <w:r>
      <w:rPr>
        <w:rFonts w:ascii="Book Antiqua" w:eastAsia="Book Antiqua" w:hAnsi="Book Antiqua" w:cs="Book Antiqua"/>
        <w:b/>
        <w:color w:val="FF0000"/>
        <w:sz w:val="28"/>
      </w:rPr>
      <w:fldChar w:fldCharType="begin"/>
    </w:r>
    <w:r>
      <w:rPr>
        <w:rFonts w:ascii="Book Antiqua" w:eastAsia="Book Antiqua" w:hAnsi="Book Antiqua" w:cs="Book Antiqua"/>
        <w:b/>
        <w:color w:val="FF0000"/>
        <w:sz w:val="28"/>
      </w:rPr>
      <w:instrText>PAGE</w:instrText>
    </w:r>
    <w:r>
      <w:rPr>
        <w:rFonts w:ascii="Book Antiqua" w:eastAsia="Book Antiqua" w:hAnsi="Book Antiqua" w:cs="Book Antiqua"/>
        <w:b/>
        <w:color w:val="FF0000"/>
        <w:sz w:val="28"/>
      </w:rPr>
      <w:fldChar w:fldCharType="separate"/>
    </w:r>
    <w:r>
      <w:rPr>
        <w:rFonts w:ascii="Book Antiqua" w:eastAsia="Book Antiqua" w:hAnsi="Book Antiqua" w:cs="Book Antiqua"/>
        <w:b/>
        <w:color w:val="FF0000"/>
        <w:sz w:val="28"/>
      </w:rPr>
      <w:fldChar w:fldCharType="end"/>
    </w:r>
    <w:r>
      <w:rPr>
        <w:b/>
        <w:color w:val="1F3864"/>
        <w:sz w:val="24"/>
        <w:szCs w:val="24"/>
      </w:rPr>
      <w:t xml:space="preserve"> </w:t>
    </w:r>
    <w:r>
      <w:rPr>
        <w:b/>
        <w:color w:val="000000"/>
        <w:szCs w:val="22"/>
      </w:rPr>
      <w:t xml:space="preserve">|  </w:t>
    </w:r>
    <w:r>
      <w:rPr>
        <w:b/>
        <w:color w:val="000000"/>
        <w:szCs w:val="22"/>
      </w:rPr>
      <w:tab/>
    </w:r>
  </w:p>
  <w:p w14:paraId="2ECF3511" w14:textId="77777777" w:rsidR="004562F9" w:rsidRDefault="004562F9">
    <w:pPr>
      <w:pBdr>
        <w:top w:val="nil"/>
        <w:left w:val="nil"/>
        <w:bottom w:val="nil"/>
        <w:right w:val="nil"/>
        <w:between w:val="nil"/>
      </w:pBdr>
      <w:tabs>
        <w:tab w:val="center" w:pos="4680"/>
        <w:tab w:val="right" w:pos="9360"/>
      </w:tabs>
      <w:spacing w:after="40" w:line="240" w:lineRule="auto"/>
      <w:jc w:val="right"/>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3537" w14:textId="77777777" w:rsidR="004562F9" w:rsidRDefault="00000000">
    <w:pPr>
      <w:pBdr>
        <w:top w:val="single" w:sz="4" w:space="1" w:color="D9D9D9"/>
        <w:left w:val="nil"/>
        <w:bottom w:val="nil"/>
        <w:right w:val="nil"/>
        <w:between w:val="nil"/>
      </w:pBdr>
      <w:tabs>
        <w:tab w:val="center" w:pos="4680"/>
        <w:tab w:val="right" w:pos="9360"/>
        <w:tab w:val="left" w:pos="426"/>
      </w:tabs>
      <w:spacing w:before="120" w:after="0" w:line="240" w:lineRule="auto"/>
      <w:ind w:left="993" w:hanging="993"/>
      <w:jc w:val="both"/>
      <w:rPr>
        <w:rFonts w:ascii="Book Antiqua" w:eastAsia="Book Antiqua" w:hAnsi="Book Antiqua" w:cs="Book Antiqua"/>
        <w:color w:val="000000"/>
        <w:sz w:val="16"/>
        <w:szCs w:val="16"/>
      </w:rPr>
    </w:pPr>
    <w:r>
      <w:rPr>
        <w:rFonts w:ascii="Book Antiqua" w:eastAsia="Book Antiqua" w:hAnsi="Book Antiqua" w:cs="Book Antiqua"/>
        <w:b/>
        <w:color w:val="FFFFFF"/>
        <w:sz w:val="26"/>
        <w:szCs w:val="26"/>
        <w:highlight w:val="blue"/>
      </w:rPr>
      <w:fldChar w:fldCharType="begin"/>
    </w:r>
    <w:r>
      <w:rPr>
        <w:rFonts w:ascii="Book Antiqua" w:eastAsia="Book Antiqua" w:hAnsi="Book Antiqua" w:cs="Book Antiqua"/>
        <w:b/>
        <w:color w:val="FFFFFF"/>
        <w:sz w:val="26"/>
        <w:szCs w:val="26"/>
        <w:highlight w:val="blue"/>
      </w:rPr>
      <w:instrText>PAGE</w:instrText>
    </w:r>
    <w:r>
      <w:rPr>
        <w:rFonts w:ascii="Book Antiqua" w:eastAsia="Book Antiqua" w:hAnsi="Book Antiqua" w:cs="Book Antiqua"/>
        <w:b/>
        <w:color w:val="FFFFFF"/>
        <w:sz w:val="26"/>
        <w:szCs w:val="26"/>
        <w:highlight w:val="blue"/>
      </w:rPr>
      <w:fldChar w:fldCharType="separate"/>
    </w:r>
    <w:r w:rsidR="00C07EBB">
      <w:rPr>
        <w:rFonts w:ascii="Book Antiqua" w:eastAsia="Book Antiqua" w:hAnsi="Book Antiqua" w:cs="Book Antiqua"/>
        <w:b/>
        <w:noProof/>
        <w:color w:val="FFFFFF"/>
        <w:sz w:val="26"/>
        <w:szCs w:val="26"/>
        <w:highlight w:val="blue"/>
      </w:rPr>
      <w:t>1</w:t>
    </w:r>
    <w:r>
      <w:rPr>
        <w:rFonts w:ascii="Book Antiqua" w:eastAsia="Book Antiqua" w:hAnsi="Book Antiqua" w:cs="Book Antiqua"/>
        <w:b/>
        <w:color w:val="FFFFFF"/>
        <w:sz w:val="26"/>
        <w:szCs w:val="26"/>
        <w:highlight w:val="blue"/>
      </w:rPr>
      <w:fldChar w:fldCharType="end"/>
    </w:r>
    <w:r>
      <w:rPr>
        <w:b/>
        <w:color w:val="000000"/>
        <w:sz w:val="24"/>
        <w:szCs w:val="24"/>
      </w:rPr>
      <w:t xml:space="preserve"> </w:t>
    </w:r>
    <w:r>
      <w:rPr>
        <w:b/>
        <w:color w:val="000000"/>
        <w:szCs w:val="22"/>
      </w:rPr>
      <w:t>|</w:t>
    </w:r>
    <w:r>
      <w:rPr>
        <w:b/>
        <w:color w:val="000000"/>
        <w:szCs w:val="22"/>
      </w:rPr>
      <w:tab/>
    </w:r>
    <w:hyperlink r:id="rId1">
      <w:r>
        <w:rPr>
          <w:rFonts w:ascii="Book Antiqua" w:eastAsia="Book Antiqua" w:hAnsi="Book Antiqua" w:cs="Book Antiqua"/>
          <w:color w:val="000000"/>
          <w:sz w:val="16"/>
          <w:szCs w:val="16"/>
        </w:rPr>
        <w:t xml:space="preserve">Josina A Y </w:t>
      </w:r>
      <w:proofErr w:type="spellStart"/>
      <w:r>
        <w:rPr>
          <w:rFonts w:ascii="Book Antiqua" w:eastAsia="Book Antiqua" w:hAnsi="Book Antiqua" w:cs="Book Antiqua"/>
          <w:color w:val="000000"/>
          <w:sz w:val="16"/>
          <w:szCs w:val="16"/>
        </w:rPr>
        <w:t>Wattimena</w:t>
      </w:r>
      <w:proofErr w:type="spellEnd"/>
    </w:hyperlink>
    <w:r>
      <w:rPr>
        <w:rFonts w:ascii="Book Antiqua" w:eastAsia="Book Antiqua" w:hAnsi="Book Antiqua" w:cs="Book Antiqua"/>
        <w:color w:val="000000"/>
        <w:sz w:val="16"/>
        <w:szCs w:val="16"/>
      </w:rPr>
      <w:t xml:space="preserve">, Muchtar A H </w:t>
    </w:r>
    <w:proofErr w:type="spellStart"/>
    <w:r>
      <w:rPr>
        <w:rFonts w:ascii="Book Antiqua" w:eastAsia="Book Antiqua" w:hAnsi="Book Antiqua" w:cs="Book Antiqua"/>
        <w:color w:val="000000"/>
        <w:sz w:val="16"/>
        <w:szCs w:val="16"/>
      </w:rPr>
      <w:t>Labetubun</w:t>
    </w:r>
    <w:proofErr w:type="spellEnd"/>
    <w:r>
      <w:rPr>
        <w:rFonts w:ascii="Book Antiqua" w:eastAsia="Book Antiqua" w:hAnsi="Book Antiqua" w:cs="Book Antiqua"/>
        <w:color w:val="000000"/>
        <w:sz w:val="16"/>
        <w:szCs w:val="16"/>
      </w:rPr>
      <w:t>. “</w:t>
    </w:r>
    <w:proofErr w:type="spellStart"/>
    <w:r>
      <w:rPr>
        <w:rFonts w:ascii="Book Antiqua" w:eastAsia="Book Antiqua" w:hAnsi="Book Antiqua" w:cs="Book Antiqua"/>
        <w:i/>
        <w:color w:val="000000"/>
        <w:sz w:val="16"/>
        <w:szCs w:val="16"/>
      </w:rPr>
      <w:t>Judul</w:t>
    </w:r>
    <w:proofErr w:type="spellEnd"/>
    <w:r>
      <w:rPr>
        <w:rFonts w:ascii="Book Antiqua" w:eastAsia="Book Antiqua" w:hAnsi="Book Antiqua" w:cs="Book Antiqua"/>
        <w:i/>
        <w:color w:val="000000"/>
        <w:sz w:val="16"/>
        <w:szCs w:val="16"/>
      </w:rPr>
      <w:t xml:space="preserve"> Artikel</w:t>
    </w:r>
    <w:r>
      <w:rPr>
        <w:rFonts w:ascii="Book Antiqua" w:eastAsia="Book Antiqua" w:hAnsi="Book Antiqua" w:cs="Book Antiqua"/>
        <w:color w:val="000000"/>
        <w:sz w:val="16"/>
        <w:szCs w:val="16"/>
      </w:rPr>
      <w:t xml:space="preserve"> </w:t>
    </w:r>
    <w:r>
      <w:rPr>
        <w:rFonts w:ascii="Book Antiqua" w:eastAsia="Book Antiqua" w:hAnsi="Book Antiqua" w:cs="Book Antiqua"/>
        <w:i/>
        <w:color w:val="000000"/>
        <w:sz w:val="16"/>
        <w:szCs w:val="16"/>
      </w:rPr>
      <w:t>…</w:t>
    </w:r>
    <w:r>
      <w:rPr>
        <w:rFonts w:ascii="Book Antiqua" w:eastAsia="Book Antiqua" w:hAnsi="Book Antiqua" w:cs="Book Antiqua"/>
        <w:color w:val="000000"/>
        <w:sz w:val="16"/>
        <w:szCs w:val="16"/>
      </w:rPr>
      <w:t>”</w:t>
    </w:r>
  </w:p>
  <w:p w14:paraId="22998840" w14:textId="77777777" w:rsidR="004562F9" w:rsidRDefault="00000000">
    <w:pPr>
      <w:pBdr>
        <w:top w:val="single" w:sz="4" w:space="1" w:color="D9D9D9"/>
        <w:left w:val="nil"/>
        <w:bottom w:val="nil"/>
        <w:right w:val="nil"/>
        <w:between w:val="nil"/>
      </w:pBdr>
      <w:tabs>
        <w:tab w:val="center" w:pos="4680"/>
        <w:tab w:val="right" w:pos="9360"/>
        <w:tab w:val="left" w:pos="567"/>
      </w:tabs>
      <w:spacing w:after="0" w:line="240" w:lineRule="auto"/>
      <w:ind w:left="567" w:hanging="567"/>
      <w:jc w:val="right"/>
      <w:rPr>
        <w:rFonts w:ascii="Book Antiqua" w:eastAsia="Book Antiqua" w:hAnsi="Book Antiqua" w:cs="Book Antiqua"/>
        <w:color w:val="000000"/>
        <w:sz w:val="16"/>
        <w:szCs w:val="16"/>
      </w:rPr>
    </w:pPr>
    <w:r>
      <w:rPr>
        <w:rFonts w:ascii="Book Antiqua" w:eastAsia="Book Antiqua" w:hAnsi="Book Antiqua" w:cs="Book Antiqua"/>
        <w:b/>
        <w:i/>
        <w:color w:val="000000"/>
        <w:sz w:val="16"/>
        <w:szCs w:val="16"/>
      </w:rPr>
      <w:t xml:space="preserve"> </w:t>
    </w:r>
    <w:r>
      <w:rPr>
        <w:rFonts w:ascii="Book Antiqua" w:eastAsia="Book Antiqua" w:hAnsi="Book Antiqua" w:cs="Book Antiqua"/>
        <w:i/>
        <w:color w:val="000000"/>
        <w:sz w:val="16"/>
        <w:szCs w:val="16"/>
      </w:rPr>
      <w:t xml:space="preserve">PAMALI: </w:t>
    </w:r>
    <w:proofErr w:type="spellStart"/>
    <w:r>
      <w:rPr>
        <w:rFonts w:ascii="Book Antiqua" w:eastAsia="Book Antiqua" w:hAnsi="Book Antiqua" w:cs="Book Antiqua"/>
        <w:i/>
        <w:color w:val="000000"/>
        <w:sz w:val="16"/>
        <w:szCs w:val="16"/>
      </w:rPr>
      <w:t>Pattimura</w:t>
    </w:r>
    <w:proofErr w:type="spellEnd"/>
    <w:r>
      <w:rPr>
        <w:rFonts w:ascii="Book Antiqua" w:eastAsia="Book Antiqua" w:hAnsi="Book Antiqua" w:cs="Book Antiqua"/>
        <w:i/>
        <w:color w:val="000000"/>
        <w:sz w:val="16"/>
        <w:szCs w:val="16"/>
      </w:rPr>
      <w:t xml:space="preserve"> Magister Law Review</w:t>
    </w:r>
    <w:r>
      <w:rPr>
        <w:rFonts w:ascii="Book Antiqua" w:eastAsia="Book Antiqua" w:hAnsi="Book Antiqua" w:cs="Book Antiqua"/>
        <w:color w:val="000000"/>
        <w:sz w:val="16"/>
        <w:szCs w:val="16"/>
      </w:rPr>
      <w:t xml:space="preserve">, X (X) </w:t>
    </w:r>
    <w:proofErr w:type="spellStart"/>
    <w:r>
      <w:rPr>
        <w:rFonts w:ascii="Book Antiqua" w:eastAsia="Book Antiqua" w:hAnsi="Book Antiqua" w:cs="Book Antiqua"/>
        <w:color w:val="000000"/>
        <w:sz w:val="16"/>
        <w:szCs w:val="16"/>
      </w:rPr>
      <w:t>Tahun</w:t>
    </w:r>
    <w:proofErr w:type="spellEnd"/>
    <w:r>
      <w:rPr>
        <w:rFonts w:ascii="Book Antiqua" w:eastAsia="Book Antiqua" w:hAnsi="Book Antiqua" w:cs="Book Antiqua"/>
        <w:color w:val="000000"/>
        <w:sz w:val="16"/>
        <w:szCs w:val="16"/>
      </w:rPr>
      <w:t>: X-XX</w:t>
    </w:r>
  </w:p>
  <w:p w14:paraId="770CD018" w14:textId="77777777" w:rsidR="004562F9" w:rsidRDefault="00000000">
    <w:pPr>
      <w:pBdr>
        <w:top w:val="single" w:sz="4" w:space="1" w:color="D9D9D9"/>
        <w:left w:val="nil"/>
        <w:bottom w:val="nil"/>
        <w:right w:val="nil"/>
        <w:between w:val="nil"/>
      </w:pBdr>
      <w:tabs>
        <w:tab w:val="center" w:pos="4680"/>
        <w:tab w:val="right" w:pos="9360"/>
        <w:tab w:val="left" w:pos="567"/>
      </w:tabs>
      <w:spacing w:after="0" w:line="240" w:lineRule="auto"/>
      <w:ind w:left="567" w:hanging="567"/>
      <w:jc w:val="righ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E-ISSN: 2775-5649</w:t>
    </w:r>
  </w:p>
  <w:p w14:paraId="4198288C" w14:textId="77777777" w:rsidR="004562F9" w:rsidRDefault="00000000">
    <w:pPr>
      <w:pBdr>
        <w:top w:val="single" w:sz="4" w:space="1" w:color="D9D9D9"/>
        <w:left w:val="nil"/>
        <w:bottom w:val="nil"/>
        <w:right w:val="nil"/>
        <w:between w:val="nil"/>
      </w:pBdr>
      <w:tabs>
        <w:tab w:val="center" w:pos="4680"/>
        <w:tab w:val="right" w:pos="9360"/>
        <w:tab w:val="left" w:pos="567"/>
      </w:tabs>
      <w:spacing w:after="120" w:line="240" w:lineRule="auto"/>
      <w:ind w:left="567" w:hanging="567"/>
      <w:jc w:val="righ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Publisher: </w:t>
    </w:r>
    <w:hyperlink r:id="rId2">
      <w:r>
        <w:rPr>
          <w:rFonts w:ascii="Book Antiqua" w:eastAsia="Book Antiqua" w:hAnsi="Book Antiqua" w:cs="Book Antiqua"/>
          <w:color w:val="000000"/>
          <w:sz w:val="16"/>
          <w:szCs w:val="16"/>
        </w:rPr>
        <w:t xml:space="preserve">Program Magister </w:t>
      </w:r>
      <w:proofErr w:type="spellStart"/>
      <w:r>
        <w:rPr>
          <w:rFonts w:ascii="Book Antiqua" w:eastAsia="Book Antiqua" w:hAnsi="Book Antiqua" w:cs="Book Antiqua"/>
          <w:color w:val="000000"/>
          <w:sz w:val="16"/>
          <w:szCs w:val="16"/>
        </w:rPr>
        <w:t>Ilmu</w:t>
      </w:r>
      <w:proofErr w:type="spellEnd"/>
      <w:r>
        <w:rPr>
          <w:rFonts w:ascii="Book Antiqua" w:eastAsia="Book Antiqua" w:hAnsi="Book Antiqua" w:cs="Book Antiqua"/>
          <w:color w:val="000000"/>
          <w:sz w:val="16"/>
          <w:szCs w:val="16"/>
        </w:rPr>
        <w:t xml:space="preserve"> Hukum </w:t>
      </w:r>
      <w:proofErr w:type="spellStart"/>
      <w:r>
        <w:rPr>
          <w:rFonts w:ascii="Book Antiqua" w:eastAsia="Book Antiqua" w:hAnsi="Book Antiqua" w:cs="Book Antiqua"/>
          <w:color w:val="000000"/>
          <w:sz w:val="16"/>
          <w:szCs w:val="16"/>
        </w:rPr>
        <w:t>Pascasarjana</w:t>
      </w:r>
      <w:proofErr w:type="spellEnd"/>
      <w:r>
        <w:rPr>
          <w:rFonts w:ascii="Book Antiqua" w:eastAsia="Book Antiqua" w:hAnsi="Book Antiqua" w:cs="Book Antiqua"/>
          <w:color w:val="000000"/>
          <w:sz w:val="16"/>
          <w:szCs w:val="16"/>
        </w:rPr>
        <w:t xml:space="preserve"> Universitas </w:t>
      </w:r>
      <w:proofErr w:type="spellStart"/>
      <w:r>
        <w:rPr>
          <w:rFonts w:ascii="Book Antiqua" w:eastAsia="Book Antiqua" w:hAnsi="Book Antiqua" w:cs="Book Antiqua"/>
          <w:color w:val="000000"/>
          <w:sz w:val="16"/>
          <w:szCs w:val="16"/>
        </w:rPr>
        <w:t>Pattimura</w:t>
      </w:r>
      <w:proofErr w:type="spellEnd"/>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87B2" w14:textId="77777777" w:rsidR="004562F9" w:rsidRDefault="004562F9">
    <w:pPr>
      <w:tabs>
        <w:tab w:val="left" w:pos="567"/>
      </w:tabs>
      <w:spacing w:after="0" w:line="240" w:lineRule="auto"/>
      <w:ind w:left="567" w:hanging="567"/>
      <w:rPr>
        <w:rFonts w:ascii="Book Antiqua" w:eastAsia="Book Antiqua" w:hAnsi="Book Antiqua" w:cs="Book Antiqua"/>
        <w:b/>
        <w:i/>
        <w:color w:val="000000"/>
        <w:sz w:val="16"/>
        <w:szCs w:val="16"/>
      </w:rPr>
    </w:pPr>
  </w:p>
  <w:p w14:paraId="30EF8C69" w14:textId="77777777" w:rsidR="004562F9" w:rsidRDefault="00000000">
    <w:pPr>
      <w:tabs>
        <w:tab w:val="left" w:pos="567"/>
      </w:tabs>
      <w:spacing w:after="120" w:line="240" w:lineRule="auto"/>
      <w:ind w:left="567" w:hanging="567"/>
      <w:rPr>
        <w:rFonts w:ascii="Book Antiqua" w:eastAsia="Book Antiqua" w:hAnsi="Book Antiqua" w:cs="Book Antiqua"/>
        <w:b/>
        <w:i/>
        <w:color w:val="000000"/>
        <w:sz w:val="16"/>
        <w:szCs w:val="16"/>
      </w:rPr>
    </w:pPr>
    <w:r>
      <w:rPr>
        <w:rFonts w:ascii="Book Antiqua" w:eastAsia="Book Antiqua" w:hAnsi="Book Antiqua" w:cs="Book Antiqua"/>
        <w:b/>
        <w:i/>
        <w:color w:val="000000"/>
        <w:sz w:val="16"/>
        <w:szCs w:val="16"/>
      </w:rPr>
      <w:tab/>
    </w:r>
  </w:p>
  <w:p w14:paraId="70EA5C54" w14:textId="77777777" w:rsidR="004562F9" w:rsidRDefault="004562F9">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23CE8" w14:textId="77777777" w:rsidR="0093744C" w:rsidRDefault="0093744C">
      <w:pPr>
        <w:spacing w:after="0" w:line="240" w:lineRule="auto"/>
      </w:pPr>
      <w:r>
        <w:separator/>
      </w:r>
    </w:p>
  </w:footnote>
  <w:footnote w:type="continuationSeparator" w:id="0">
    <w:p w14:paraId="15CDA929" w14:textId="77777777" w:rsidR="0093744C" w:rsidRDefault="0093744C">
      <w:pPr>
        <w:spacing w:after="0" w:line="240" w:lineRule="auto"/>
      </w:pPr>
      <w:r>
        <w:continuationSeparator/>
      </w:r>
    </w:p>
  </w:footnote>
  <w:footnote w:id="1">
    <w:p w14:paraId="2D1BED1F" w14:textId="77777777" w:rsidR="00C07EBB" w:rsidRPr="00C07EBB" w:rsidRDefault="00C07EBB" w:rsidP="00C07EBB">
      <w:pPr>
        <w:pStyle w:val="FootnoteText"/>
        <w:jc w:val="both"/>
        <w:rPr>
          <w:rFonts w:ascii="Book Antiqua" w:hAnsi="Book Antiqua"/>
        </w:rPr>
      </w:pPr>
      <w:r>
        <w:rPr>
          <w:rStyle w:val="FootnoteReference"/>
        </w:rPr>
        <w:footnoteRef/>
      </w:r>
      <w:r>
        <w:t xml:space="preserve"> </w:t>
      </w:r>
      <w:r w:rsidRPr="00C07EBB">
        <w:rPr>
          <w:rFonts w:ascii="Book Antiqua" w:hAnsi="Book Antiqua"/>
        </w:rPr>
        <w:fldChar w:fldCharType="begin" w:fldLock="1"/>
      </w:r>
      <w:r w:rsidRPr="00C07EBB">
        <w:rPr>
          <w:rFonts w:ascii="Book Antiqua" w:hAnsi="Book Antiqua"/>
        </w:rPr>
        <w:instrText>ADDIN CSL_CITATION {"citationItems":[{"id":"ITEM-1","itemData":{"ISBN":"9781425803780","abstract":"Tindak pidana yang dalam Bahasa Belanda disebut strafbaar feit, terdiri atas tiga suku kata, yaitu straf yang diartikan sebagai pidana dan hukum, baar diartikan sebagai dapat dan boleh, dan feit yang diartikan sebagai tindak, peristiwa, pelanggaran dan perbuatan. Dalam tindak pidana yang melibatkan pelaku lebih dari satu orang dengan didasarkan pada kualitas tindak pidana dibagi menjadi beberapa kategori. Pembagian kategori tersebut diatur melalui Kitab Undang-undang Hukum Pidana. Oleh karenanya didalam artikel ini penulis merumuskan dua permasalahan antara lain apa pengertian keturutsertaan dalam tindak pidana serta bagaimana pertanggungjawaban pidana bagi yang turut serta melakukan tindak pidana. Pendekatan yang dilakukan dalam penelitian ini adalah pendekatan peraturan perundang-undangan dan pendekatan kasus yang selanjutnya dianalisis secara yuridis kualitatif normatif. Dari hasil peneilitian ditemukan bahwa kualtias pelaku dalam tindak pidana diatur melalui Kitab Undang-undang Hukum Pidana khussunya pasal 55 ayat 1 dan pasal 56. Turut serta dibuat untuk menuntut pertanggungjawaban mereka yang memungkinkan pembuat melakukan peristiwa pidana, biarpun perbuatan mereka itu sendiri tidak memuat semua peristiwa pidana itu. Dalam praktiknya, kadang sulit dan kadang juga mudah untuk menentukan siapa diantara mereka perbuatannya benar-benar telah memenuhi rumusan tindak pidana, artinya dari perbuatannya yang melahirkan tindak pidana itu. Ketentuan penyertaan yang dibentuk dan dimuat dalam KUHP (Kitab Undang-Undang Hukum Pidana) bertujuan agar dapat dipertanggungjawabkan dan dipidananya orang-orang yang terlibat terlibat dan mempunyai andil baik secara fisik (objektif) maupun psikis (subjektif). Yang membedakan seorang mededader dari seorang medeplichtige yaitu orang yang disebut pertama itu secara langsung telah ikut ambil bagian dalam pelaksanaan suatu tindak pidana yang telah diancam dengan undang-undang, atau telah secara langsung turut melakukan perbuatan menyelesaikan tindak pidana yang bersangkutan. Sedangkan medeplichtige hanya memberikan bantuan untuk melakukan perbuatan tindak pidana pada saat atau terbukti tindak pidana dilakukan.","author":[{"dropping-particle":"","family":"Baehaqi","given":"Eki Sirojul","non-dropping-particle":"","parse-names":false,"suffix":""}],"container-title":"An-Nahdliyyah Jurnal Studi Keislaman","id":"ITEM-1","issue":"1","issued":{"date-parts":[["2022"]]},"page":"12-26","title":"Keturutsertaan dalam Tindak Pidana","type":"article-journal","volume":"1"},"uris":["http://www.mendeley.com/documents/?uuid=0daf0fa5-81cb-4a87-88df-e570d635eeee"]}],"mendeley":{"formattedCitation":"Eki Sirojul Baehaqi, “Keturutsertaan Dalam Tindak Pidana,” &lt;i&gt;An-Nahdliyyah Jurnal Studi Keislaman&lt;/i&gt; 1, no. 1 (2022): 12–26, http://ojs.stainu-tasikmalaya.ac.id/index.php/annahdliyah/article/view/13."},"properties":{"noteIndex":1},"schema":"https://github.com/citation-style-language/schema/raw/master/csl-citation.json"}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 xml:space="preserve">Eki Sirojul Baehaqi, “Keturutsertaan Dalam Tindak Pidana,” </w:t>
      </w:r>
      <w:r w:rsidRPr="00C07EBB">
        <w:rPr>
          <w:rFonts w:ascii="Book Antiqua" w:hAnsi="Book Antiqua"/>
          <w:i/>
          <w:noProof/>
        </w:rPr>
        <w:t>An-Nahdliyyah Jurnal Studi Keislaman</w:t>
      </w:r>
      <w:r w:rsidRPr="00C07EBB">
        <w:rPr>
          <w:rFonts w:ascii="Book Antiqua" w:hAnsi="Book Antiqua"/>
          <w:noProof/>
        </w:rPr>
        <w:t xml:space="preserve"> 1, no. 1 (2022): 12–26, http://ojs.stainu-tasikmalaya.ac.id/index.php/annahdliyah/article/view/13.</w:t>
      </w:r>
      <w:r w:rsidRPr="00C07EBB">
        <w:rPr>
          <w:rFonts w:ascii="Book Antiqua" w:hAnsi="Book Antiqua"/>
        </w:rPr>
        <w:fldChar w:fldCharType="end"/>
      </w:r>
    </w:p>
  </w:footnote>
  <w:footnote w:id="2">
    <w:p w14:paraId="236494A8"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{"citationItems":[{"id":"ITEM-1","itemData":{"DOI":"10.47313/njl.v4i1.1114","ISSN":"26862751","abstract":"&lt;p&gt;Abstrak&lt;/p&gt;&lt;p&gt;Prostitusi online atau pelacuran yang dilakukan dalam jaringan (daring/online) merupakan suatu perbuatan berhubungan seksual dengan orang lain dengan menggunakan “transaksi” yang mana proses transaksi itu dapat dilakukan dengan menggunakan media elektronik. Rumusan masalah dalam penulisan ini adalah bagaimana penegakan hukum dalam sistem peardilan pidana terhadap pelaku prostiusi melalui media online dan menganalisis penegakan hukum yang ideal terhadap pelaku prostitusi melalui media online di DKI Jakarta. Penelitian menggunakan pendekatan yuridis normatif penderkatan perundangan-undangan, konseptual dan kasus. Sumber bahan hukum yang digunakan adalah bahan hukum primer,sekunder, tersier dan analisis bahan hukum adalah analisis kualitatif. Berdasarkan hasil penelitian menunjukkan bahwa 1.Penegakan Hukum dalam sistem peradilan pidana terhadap pelaku prostitusi online harus terus dilakukan dalam rangka memberikan efek jera bagi para pelaku prostitusi online. Persolan prostitusi online menjadi salah satu faktor yang dapat merusak tataran generasi mudah seluruh Indonesia hal ini tentu sangat berkaitan dengan pembangunan bangsa ke depan, Oleh karena itu pemerintah semestinya memfokuskan pada bagaimana persolan-persoalan ini tentu sangat menarik untuk menjadi perhatian serius ketidak jelasakan aturan hukum terkait penindakan prostitusi Online terus merusak tataran bangsa. Dengan demikian Perda terkait penindakan prostitusi online mestinya menjadi perhatian serius guna melindungi para generasi muda. Begitu juga penegakan hukum prostitusi online di DKI Jakarta harus ada perda yang tegas agar semua pihak yang terlibat dapat dijerat demi memberikan efek jera untuk semua pihak.&lt;/p&gt;&lt;p&gt;Abstract&lt;/p&gt;&lt;p&gt;Online prostitution or prostitution that is carried out in a network (online / online) is an act of sexual intercourse with another person using a \"transaction\" in which the transaction process can be carried out using electronic media. The formulation of the problem in this paper is how to enforce the law in the criminal justice system against prostitutes through online media and to analyze the ideal law enforcement against prostitutes through online media in DKI Jakarta. This research uses a normative juridical approach, conceptual, and case studies. Sources of legal materials used are primary, secondary, tertiary legal materials and the analysis of legal materials is qualitative analysis. Based on the results of the research, it shows that 1. Law enf…","author":[{"dropping-particle":"","family":"Hamrin","given":"Hamrin","non-dropping-particle":"","parse-names":false,"suffix":""}],"container-title":"NATIONAL JOURNAL of LAW","id":"ITEM-1","issue":"1","issued":{"date-parts":[["2021"]]},"page":"480","title":"Implementasi Penegakan Hukum Dalam Sistem Peradilan Pidana Terhadap Pelaku Prostitusi Online Di Dki Jakarta","type":"article-journal","volume":"4"},"uris":["http://www.mendeley.com/documents/?uuid=aacc925f-dd43-4889-82ab-137ebf55401b"]}],"mendeley":{"formattedCitation":"Hamrin Hamrin, “Implementasi Penegakan Hukum Dalam Sistem Peradilan Pidana Terhadap Pelaku Prostitusi Online Di Dki Jakarta,” &lt;i&gt;NATIONAL JOURNAL of LAW&lt;/i&gt; 4, no. 1 (2021): 480, https://doi.org/10.47313/njl.v4i1.1114."},"properties":{"noteIndex":2},"schema":"https://github.com/citation-style-language/schema/raw/master/csl-citation.json"}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 xml:space="preserve">Hamrin Hamrin, “Implementasi Penegakan Hukum Dalam Sistem Peradilan Pidana Terhadap Pelaku Prostitusi Online Di Dki Jakarta,” </w:t>
      </w:r>
      <w:r w:rsidRPr="00C07EBB">
        <w:rPr>
          <w:rFonts w:ascii="Book Antiqua" w:hAnsi="Book Antiqua"/>
          <w:i/>
          <w:noProof/>
        </w:rPr>
        <w:t>National Journal Of Law</w:t>
      </w:r>
      <w:r w:rsidRPr="00C07EBB">
        <w:rPr>
          <w:rFonts w:ascii="Book Antiqua" w:hAnsi="Book Antiqua"/>
          <w:noProof/>
        </w:rPr>
        <w:t xml:space="preserve"> 4, no. 1 (2021): 480, https://doi.org/10.47313/njl.v4i1.1114.</w:t>
      </w:r>
      <w:r w:rsidRPr="00C07EBB">
        <w:rPr>
          <w:rFonts w:ascii="Book Antiqua" w:hAnsi="Book Antiqua"/>
        </w:rPr>
        <w:fldChar w:fldCharType="end"/>
      </w:r>
    </w:p>
  </w:footnote>
  <w:footnote w:id="3">
    <w:p w14:paraId="64A7B510"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{"citationItems":[{"id":"ITEM-1","itemData":{"author":[{"dropping-particle":"","family":"Putri","given":"Agil Sholela","non-dropping-particle":"","parse-names":false,"suffix":""},{"dropping-particle":"","family":"Al-islamiyah","given":"Nadiyatul Ummah","non-dropping-particle":"","parse-names":false,"suffix":""}],"id":"ITEM-1","issue":"December","issued":{"date-parts":[["2023"]]},"page":"515-519","title":"Penerapan Hukum Syariah dalam Larangan Perzinaan : Telaah Terhadap Peraturan Daerah Kota Pariaman Nomor 10 Tahun 2013","type":"article-journal","volume":"1"},"uris":["http://www.mendeley.com/documents/?uuid=5095025b-e61f-4aea-8f9a-416ed8bc81cc"]}],"mendeley":{"formattedCitation":"Agil Sholela Putri and Nadiyatul Ummah Al-islamiyah, “Penerapan Hukum Syariah Dalam Larangan Perzinaan</w:instrText>
      </w:r>
      <w:r w:rsidRPr="00C07EBB">
        <w:rPr>
          <w:rFonts w:cs="Times New Roman"/>
        </w:rPr>
        <w:instrText> </w:instrText>
      </w:r>
      <w:r w:rsidRPr="00C07EBB">
        <w:rPr>
          <w:rFonts w:ascii="Book Antiqua" w:hAnsi="Book Antiqua"/>
        </w:rPr>
        <w:instrText>: Telaah Terhadap Peraturan Daerah Kota Pariaman Nomor 10 Tahun 2013</w:instrText>
      </w:r>
      <w:r w:rsidRPr="00C07EBB">
        <w:rPr>
          <w:rFonts w:ascii="Book Antiqua" w:hAnsi="Book Antiqua" w:cs="Book Antiqua"/>
        </w:rPr>
        <w:instrText>”</w:instrText>
      </w:r>
      <w:r w:rsidRPr="00C07EBB">
        <w:rPr>
          <w:rFonts w:ascii="Book Antiqua" w:hAnsi="Book Antiqua"/>
        </w:rPr>
        <w:instrText xml:space="preserve"> 1, no. December (2023): 515</w:instrText>
      </w:r>
      <w:r w:rsidRPr="00C07EBB">
        <w:rPr>
          <w:rFonts w:ascii="Book Antiqua" w:hAnsi="Book Antiqua" w:cs="Book Antiqua"/>
        </w:rPr>
        <w:instrText>–</w:instrText>
      </w:r>
      <w:r w:rsidRPr="00C07EBB">
        <w:rPr>
          <w:rFonts w:ascii="Book Antiqua" w:hAnsi="Book Antiqua"/>
        </w:rPr>
        <w:instrText>19."},"properties":{"noteIndex":3},"schema":"https://github.com/citation-style-language/schema/raw/master/csl-citation.json"}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Agil Sholela Putri and Nadiyatul Ummah Al-islamiyah, “Penerapan Hukum Syariah Dalam Larangan Perzinaan</w:t>
      </w:r>
      <w:r w:rsidRPr="00C07EBB">
        <w:rPr>
          <w:rFonts w:cs="Times New Roman"/>
          <w:noProof/>
        </w:rPr>
        <w:t> </w:t>
      </w:r>
      <w:r w:rsidRPr="00C07EBB">
        <w:rPr>
          <w:rFonts w:ascii="Book Antiqua" w:hAnsi="Book Antiqua"/>
          <w:noProof/>
        </w:rPr>
        <w:t>: Telaah Terhadap Peraturan Daerah Kota Pariaman Nomor 10 Tahun 2013</w:t>
      </w:r>
      <w:r w:rsidRPr="00C07EBB">
        <w:rPr>
          <w:rFonts w:ascii="Book Antiqua" w:hAnsi="Book Antiqua" w:cs="Book Antiqua"/>
          <w:noProof/>
        </w:rPr>
        <w:t>”</w:t>
      </w:r>
      <w:r w:rsidRPr="00C07EBB">
        <w:rPr>
          <w:rFonts w:ascii="Book Antiqua" w:hAnsi="Book Antiqua"/>
          <w:noProof/>
        </w:rPr>
        <w:t xml:space="preserve"> 1, no. December (2023): 515</w:t>
      </w:r>
      <w:r w:rsidRPr="00C07EBB">
        <w:rPr>
          <w:rFonts w:ascii="Book Antiqua" w:hAnsi="Book Antiqua" w:cs="Book Antiqua"/>
          <w:noProof/>
        </w:rPr>
        <w:t>–</w:t>
      </w:r>
      <w:r w:rsidRPr="00C07EBB">
        <w:rPr>
          <w:rFonts w:ascii="Book Antiqua" w:hAnsi="Book Antiqua"/>
          <w:noProof/>
        </w:rPr>
        <w:t>19.</w:t>
      </w:r>
      <w:r w:rsidRPr="00C07EBB">
        <w:rPr>
          <w:rFonts w:ascii="Book Antiqua" w:hAnsi="Book Antiqua"/>
        </w:rPr>
        <w:fldChar w:fldCharType="end"/>
      </w:r>
    </w:p>
  </w:footnote>
  <w:footnote w:id="4">
    <w:p w14:paraId="10DA2452"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{"citationItems":[{"id":"ITEM-1","itemData":{"DOI":"10.23887/jatayu.v4i2.38143","ISSN":"2714-7983","abstract":"Penelitian ini bertujuan untuk (1) mengkaji dan menganalisa tentang Pasal 506 KUHP sebagai peraturan utama dalam penanggulangan tindak pidana prostitusi (2) mengetahui dan menganalisis interpretasi hukum terhadap Pekerja Seks Komersial sebagai korban dalam tindak Pidana Prostitusi. Jenis penelitian yang digunakan adalah jenis penelitian hukum normatif, maka jenis pendekatan yang digunakan dalam penelitian ini adalah pendekatan peraturan Perundang-undangan (statute approach), dan pendekatan kasus. Sumber bahan hukum yang digunakan yaitu sumber bahan hukum primer, sekunder, dan tersier. Teknik pengumpulan bahan hukum yang digunakan dalam penelitian ini adalah Teknik studi kepustakaan (library research). Hasil penelitian menunjukan (1) tindak pidana prostitusi di indonesia diatur dalam Pasal 506 KUHP, dalam Pasal ini hanya membahas dan menjatuhkan pidana kepada seseorang yang mengambil keuntungan dari perbuatan cabul atau seseorang yang berprofesi sebagai mucikari atau germo dalam Pasal ini tidak membahas tentang seseorang yang berprofesi sebagai pekerja seks komersial dan juga pengguna jasa, (2) dalam Pasal 506 KUHP tidak mengatur tentang seseorang yang bekerja sebagai pekerja seks komersial sehingga Pasal ini tidak dapat menjatuhkan hukumam pidana kepada seseorang yang berprofesi sebagai pekerja seks komersial, selama ini pekerja seks komersial hanya dianggap sebagai korban yang tidak berdaya.","author":[{"dropping-particle":"","family":"Hadi Parwanta","given":"Kadek Martha","non-dropping-particle":"","parse-names":false,"suffix":""},{"dropping-particle":"","family":"Sugi Hartono","given":"Made","non-dropping-particle":"","parse-names":false,"suffix":""},{"dropping-particle":"","family":"Sari Adnyani","given":"Ni Ketut","non-dropping-particle":"","parse-names":false,"suffix":""}],"container-title":"Jurnal Komunitas Yustisia","id":"ITEM-1","issue":"2","issued":{"date-parts":[["2021"]]},"page":"531-541","title":"Analisis Yuridis Tentang Pasal 506 Kuhp Sebagai Peraturan Utama Dalam Penanggulangan Tindak Pidana Prostitusi","type":"article-journal","volume":"4"},"uris":["http://www.mendeley.com/documents/?uuid=d907a7b5-7cfa-42e6-939b-da08c930a08b"]}],"mendeley":{"formattedCitation":"Kadek Martha Hadi Parwanta, Made Sugi Hartono, and Ni Ketut Sari Adnyani, “Analisis Yuridis Tentang Pasal 506 Kuhp Sebagai Peraturan Utama Dalam Penanggulangan Tindak Pidana Prostitusi,” &lt;i&gt;Jurnal Komunitas Yustisia&lt;/i&gt; 4, no. 2 (2021): 531–41, https://doi.org/10.23887/jatayu.v4i2.38143."},"properties":{"noteIndex":4},"schema":"https://github.com/citation-style-language/schema/raw/master/csl-citation.json"}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 xml:space="preserve">Kadek Martha Hadi Parwanta, Made Sugi Hartono, and Ni Ketut Sari Adnyani, “Analisis Yuridis Tentang Pasal 506 Kuhp Sebagai Peraturan Utama Dalam Penanggulangan Tindak Pidana Prostitusi,” </w:t>
      </w:r>
      <w:r w:rsidRPr="00C07EBB">
        <w:rPr>
          <w:rFonts w:ascii="Book Antiqua" w:hAnsi="Book Antiqua"/>
          <w:i/>
          <w:noProof/>
        </w:rPr>
        <w:t>Jurnal Komunitas Yustisia</w:t>
      </w:r>
      <w:r w:rsidRPr="00C07EBB">
        <w:rPr>
          <w:rFonts w:ascii="Book Antiqua" w:hAnsi="Book Antiqua"/>
          <w:noProof/>
        </w:rPr>
        <w:t xml:space="preserve"> 4, no. 2 (2021): 531–41, https://doi.org/10.23887/jatayu.v4i2.38143.</w:t>
      </w:r>
      <w:r w:rsidRPr="00C07EBB">
        <w:rPr>
          <w:rFonts w:ascii="Book Antiqua" w:hAnsi="Book Antiqua"/>
        </w:rPr>
        <w:fldChar w:fldCharType="end"/>
      </w:r>
    </w:p>
  </w:footnote>
  <w:footnote w:id="5">
    <w:p w14:paraId="1BB01AC9"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{"citationItems":[{"id":"ITEM-1","itemData":{"DOI":"10.26905/nomosleca.v8i2.8821","ISSN":"2443-0927","abstract":"The role of information and communication technology is no less important than human food and clothing needs. A technology is essentially created to make human life easier and more comfortable. Through communication, humans build themselves and their environment, and through communication, human civilization becomes dynamic. This research method is descriptive qualitative with purposive sampling technique in determining five informants. Data collection techniques by observation, documentation and interviews and using data analysis Miles and Huberman. The existence of technology at that time helped the government's communication process, facilitated access to information, shortened time and cut costs. The development of information and communication technology is progressing very rapidly at this time so that it triggers changes in Indonesia's communication system. In conveying information or messages to other communities in urban and rural areas, of course, it was still very limited in the past, technology with all-improvement was very difficult to obtain information or communicate. Along with developments, today's communication system changes everything to be very easy and sophisticated.Keywords: Development of Technology, Information, Communication Systems ","author":[{"dropping-particle":"","family":"Wiryany","given":"Detya","non-dropping-particle":"","parse-names":false,"suffix":""},{"dropping-particle":"","family":"Natasha","given":"Selina","non-dropping-particle":"","parse-names":false,"suffix":""},{"dropping-particle":"","family":"Kurniawan","given":"Rio","non-dropping-particle":"","parse-names":false,"suffix":""}],"container-title":"Jurnal Nomosleca","id":"ITEM-1","issue":"2","issued":{"date-parts":[["2022"]]},"page":"242-252","title":"Perkembangan Teknologi Informasi dan Komunikasi terhadap Perubahan Sistem Komunikasi Indonesia","type":"article-journal","volume":"8"},"uris":["http://www.mendeley.com/documents/?uuid=de6e786c-b07c-49a2-9f50-ae6ab93acdc2"]}],"mendeley":{"formattedCitation":"Detya Wiryany, Selina Natasha, and Rio Kurniawan, “Perkembangan Teknologi Informasi Dan Komunikasi Terhadap Perubahan Sistem Komunikasi Indonesia,” &lt;i&gt;Jurnal Nomosleca&lt;/i&gt; 8, no. 2 (2022): 242–52, https://doi.org/10.26905/nomosleca.v8i2.8821."},"properties":{"noteIndex":5},"schema":"https://github.com/citation-style-language/schema/raw/master/csl-citation.json"}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 xml:space="preserve">Detya Wiryany, Selina Natasha, and Rio Kurniawan, “Perkembangan Teknologi Informasi Dan Komunikasi Terhadap Perubahan Sistem Komunikasi Indonesia,” </w:t>
      </w:r>
      <w:r w:rsidRPr="00C07EBB">
        <w:rPr>
          <w:rFonts w:ascii="Book Antiqua" w:hAnsi="Book Antiqua"/>
          <w:i/>
          <w:noProof/>
        </w:rPr>
        <w:t>Jurnal Nomosleca</w:t>
      </w:r>
      <w:r w:rsidRPr="00C07EBB">
        <w:rPr>
          <w:rFonts w:ascii="Book Antiqua" w:hAnsi="Book Antiqua"/>
          <w:noProof/>
        </w:rPr>
        <w:t xml:space="preserve"> 8, no. 2 (2022): 242–52, https://doi.org/10.26905/nomosleca.v8i2.8821.</w:t>
      </w:r>
      <w:r w:rsidRPr="00C07EBB">
        <w:rPr>
          <w:rFonts w:ascii="Book Antiqua" w:hAnsi="Book Antiqua"/>
        </w:rPr>
        <w:fldChar w:fldCharType="end"/>
      </w:r>
    </w:p>
  </w:footnote>
  <w:footnote w:id="6">
    <w:p w14:paraId="4E003EF3"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{"citationItems":[{"id":"ITEM-1","itemData":{"DOI":"10.35194/jj.v2i2.2115","ISSN":"2774-3764","abstract":"ABSTRAK Prostitusi online adalah pembaharuan dari tindak pidana prostitusi konvensional. Jika prostitusi konvensional hanya menggunakan sarana satu tempat, satu bangunan untuk menjalankan bisnis haramnya. Sebaliknya, prostitusi online hanya menggunakan sarana teknologi, internet yang mempermudah calon pengguna dengan pria/wanita penjaja seks komersial (PSK) ataupun antara calon pengguna dengan muncikari, perantara jasa PSK. Faktor penyebab terjadinya prostitusi online yaitu faktor internal berupa faktor dari keluarga dan pergaulan pertemanan dan  Faktor eksternal berupa menghindari pelacakan petugas dan faktor ekonomi untuk memperoleh uang dalam jumlah banyak tapi cepat. Modus yang digunakan ialah menggunakan sarana pertukaran informasi elektronik, pertukaran foto, video hingga akhirnya bertemu di satu tempat untuk melakukan hubungan intim dan melakukan pembayaran atas jasa tersebut. Metode yang digunakan dalam penelitian ini adalah yuridis normatif  dan  menganalisis peraturan perundang-undangan yang berlaku dengan fenomena hukum, prostitusi online sesuai yang diatur dalam Undang-Undang Nomor 19 Tahun 2016 tentang Perubahan atas Undang-Undang Nomor 11 Tahun 2008 tentang Informasi dan Transaksi Elektronik.ABSTRACTOnline prostitution is a renewal of conventional prostitution. If conventional prostitution only uses one place, one building to run its illegitimate business. On the other hand, online prostitution only uses technological means, the internet which makes it easier for potential users and male/female commercial sex workers or between potential users and pimps, intermediaries for prostitution services. Factors causing online prostitution are internal factors in the form of factors from family and friendships and external factors in the form of avoiding tracking officers and economic factors to get large amounts of money quickly. The mode used is to use electronic information exchange facilities, exchange photos, and videos and finally meet in one place to have sex and make payments for these services. The method used in this research is normative juridical and analyzes the applicable laws and regulations regarding the legal phenomenon, of online prostitution as regulated in Law Number 19 of 2016 concerning Amendments to Law Number 11 of 2008 concerning Information and Electronic Transactions. ","author":[{"dropping-particle":"","family":"Flora","given":"Henny Saida","non-dropping-particle":"","parse-names":false,"suffix":""}],"container-title":"Journal Justiciabelen (Jj)","id":"ITEM-1","issue":"2","issued":{"date-parts":[["2022"]]},"page":"120","title":"Modus Operandi Tindak Pidana Prostitusi Melalui Media Sosial Online","type":"article-journal","volume":"2"},"uris":["http://www.mendeley.com/documents/?uuid=67200868-25a4-4d00-8d88-ebca0ac553ad"]}],"mendeley":{"formattedCitation":"Henny Saida Flora, “Modus Operandi Tindak Pidana Prostitusi Melalui Media Sosial Online,” &lt;i&gt;Journal Justiciabelen (Jj)&lt;/i&gt; 2, no. 2 (2022): 120, https://doi.org/10.35194/jj.v2i2.2115."},"properties":{"noteIndex":6},"schema":"https://github.com/citation-style-language/schema/raw/master/csl-citation.json"}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 xml:space="preserve">Henny Saida Flora, “Modus Operandi Tindak Pidana Prostitusi Melalui Media Sosial Online,” </w:t>
      </w:r>
      <w:r w:rsidRPr="00C07EBB">
        <w:rPr>
          <w:rFonts w:ascii="Book Antiqua" w:hAnsi="Book Antiqua"/>
          <w:i/>
          <w:noProof/>
        </w:rPr>
        <w:t>Journal Justiciabelen (Jj)</w:t>
      </w:r>
      <w:r w:rsidRPr="00C07EBB">
        <w:rPr>
          <w:rFonts w:ascii="Book Antiqua" w:hAnsi="Book Antiqua"/>
          <w:noProof/>
        </w:rPr>
        <w:t xml:space="preserve"> 2, no. 2 (2022): 120, https://doi.org/10.35194/jj.v2i2.2115.</w:t>
      </w:r>
      <w:r w:rsidRPr="00C07EBB">
        <w:rPr>
          <w:rFonts w:ascii="Book Antiqua" w:hAnsi="Book Antiqua"/>
        </w:rPr>
        <w:fldChar w:fldCharType="end"/>
      </w:r>
    </w:p>
  </w:footnote>
  <w:footnote w:id="7">
    <w:p w14:paraId="7A7BD760"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id":"ITEM-1","issued":{"date-parts":[["0"]]},"title":"https://pusiknas.polri.go.id/data_kejahatan","type":"legal_case"},"uris":["http://www.mendeley.com/documents/?uuid=826c1a95-4ce1-4e6e-87e1-080f7750b194"]}],"mendeley":{"formattedCitation":"https://pusiknas.polri.go.id/data_kejahatan (n.d.)."},"properties":{"noteIndex":7},"schema":"https://github.com/citation-style-language/schema/raw/master/csl-citation.json"}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https://pusiknas.polri.go.id/data_kejahatan (n.d.).</w:t>
      </w:r>
      <w:r w:rsidRPr="00C07EBB">
        <w:rPr>
          <w:rFonts w:ascii="Book Antiqua" w:hAnsi="Book Antiqua"/>
        </w:rPr>
        <w:fldChar w:fldCharType="end"/>
      </w:r>
    </w:p>
  </w:footnote>
  <w:footnote w:id="8">
    <w:p w14:paraId="7C027BAD"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{"citationItems":[{"id":"ITEM-1","itemData":{"author":[{"dropping-particle":"","family":"Beni Ahmad Saebani","given":"","non-dropping-particle":"","parse-names":false,"suffix":""}],"id":"ITEM-1","issued":{"date-parts":[["2021"]]},"number-of-pages":"1-5","publisher":"Pustaka Setia","publisher-place":"Bandung","title":"Metode Penelitian Hukum Pendekatan Yuridis Normatif","type":"book"},"uris":["http://www.mendeley.com/documents/?uuid=a35aaaad-9d1c-4110-b077-6a77aaac187d"]}],"mendeley":{"formattedCitation":"Beni Ahmad Saebani, &lt;i&gt;Metode Penelitian Hukum Pendekatan Yuridis Normatif&lt;/i&gt; (Bandung: Pustaka Setia, 2021)."},"properties":{"noteIndex":8},"schema":"https://github.com/citation-style-language/schema/raw/master/csl-citation.json"}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 xml:space="preserve">Beni Ahmad Saebani, </w:t>
      </w:r>
      <w:r w:rsidRPr="00C07EBB">
        <w:rPr>
          <w:rFonts w:ascii="Book Antiqua" w:hAnsi="Book Antiqua"/>
          <w:i/>
          <w:noProof/>
        </w:rPr>
        <w:t>Metode Penelitian Hukum Pendekatan Yuridis Normatif</w:t>
      </w:r>
      <w:r w:rsidRPr="00C07EBB">
        <w:rPr>
          <w:rFonts w:ascii="Book Antiqua" w:hAnsi="Book Antiqua"/>
          <w:noProof/>
        </w:rPr>
        <w:t xml:space="preserve"> (Bandung: Pustaka Setia, 2021).</w:t>
      </w:r>
      <w:r w:rsidRPr="00C07EBB">
        <w:rPr>
          <w:rFonts w:ascii="Book Antiqua" w:hAnsi="Book Antiqua"/>
        </w:rPr>
        <w:fldChar w:fldCharType="end"/>
      </w:r>
    </w:p>
  </w:footnote>
  <w:footnote w:id="9">
    <w:p w14:paraId="064F9B28"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{"citationItems":[{"id":"ITEM-1","itemData":{"author":[{"dropping-particle":"","family":"Beni Ahmad Saebani","given":"","non-dropping-particle":"","parse-names":false,"suffix":""}],"id":"ITEM-1","issued":{"date-parts":[["2021"]]},"number-of-pages":"1-5","publisher":"Pustaka Setia","publisher-place":"Bandung","title":"Metode Penelitian Hukum Pendekatan Yuridis Normatif","type":"book"},"uris":["http://www.mendeley.com/documents/?uuid=a35aaaad-9d1c-4110-b077-6a77aaac187d"]}],"mendeley":{"formattedCitation":"Beni Ahmad Saebani.","plainTextFormattedCitation":"Beni Ahmad Saebani.","previouslyFormattedCitation":"Beni Ahmad Saebani."},"properties":{"noteIndex":9},"schema":"https://github.com/citation-style-language/schema/raw/master/csl-citation.json"}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Beni Ahmad Saebani.</w:t>
      </w:r>
      <w:r w:rsidRPr="00C07EBB">
        <w:rPr>
          <w:rFonts w:ascii="Book Antiqua" w:hAnsi="Book Antiqua"/>
        </w:rPr>
        <w:fldChar w:fldCharType="end"/>
      </w:r>
    </w:p>
  </w:footnote>
  <w:footnote w:id="10">
    <w:p w14:paraId="36FFF206"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{"citationItems":[{"id":"ITEM-1","itemData":{"DOI":"10.56895/plr.v12i1.1651","ISSN":"2407-6546","abstract":"Lahirnya prinsip Era Society 5.0 yang didorong oleh maraknya digitalisasi dan perkembangan teknologi menghadirkan transformasi signifikan dalam berbagai aspek, termasuk bidang hukum. Di satu sisi, era ini membawa kemajuan dan efisiensi, seperti sistem identitas terdesentralisasi, smart contracts, dan tokenisasi hak privasi. Akan tetapi, di sisi lain, timbul pula tantangan seperti peningkatan cybercrime dan penipuan online. Dengan metode yuridis-empiris didukung dengan pendekatan deskriptif dan studi kepustakaan yaitu dengan mengumpulkan data sekunder untuk menganalisis pentingnya disrupsi proses penegakan hukum berbasis digitalisasi, mengingat saat ini masyarakat modern sudah memasuki Era Society 5.0. Sayangnya hingga saat ini, belum ada regulasi spesifik yang membahas mengenai optimalisasi pemanfaatan teknologi blockchain sebagai sarana transparansi hukum di Indonesia. Keberadaan regulasi holistik yang mendukung adaptasi teknologi blockchain dalam penegakan hukum di Indonesia menjadi urgensi untuk mencapai penegakan hukum yang lebih adil, efektif, dan humanis. Adanya usulan pembaharuan hukum ini diharapkan mampu mendorong Indonesia maju dalam arus digitalisasi Era Society 5.0, serta menciptakan lingkungan penegakan hukum yang adil dan berbasis humanisasi di dunia maya yang semakin terhubung.","author":[{"dropping-particle":"","family":"Sinaga","given":"Blassyus Bevry","non-dropping-particle":"","parse-names":false,"suffix":""},{"dropping-particle":"","family":"Raia Putri Noer Azzura","given":"","non-dropping-particle":"","parse-names":false,"suffix":""}],"container-title":"Padjadjaran Law Review","id":"ITEM-1","issue":"1","issued":{"date-parts":[["2024"]]},"page":"71-81","title":"Peran Teknologi Blockchain Sebagai Instrumen Pembangunan Penegakan Hukum Berbasis Digital &amp; Mewujudkan Masyarakat Berkeadilan di Era Society 5.0","type":"article-journal","volume":"12"},"uris":["http://www.mendeley.com/documents/?uuid=67b2bb5c-86d7-4abb-b4fd-4dd6db9fa63f"]}],"mendeley":{"formattedCitation":"Blassyus Bevry Sinaga and Raia Putri Noer Azzura, “Peran Teknologi Blockchain Sebagai Instrumen Pembangunan Penegakan Hukum Berbasis Digital &amp; Mewujudkan Masyarakat Berkeadilan Di Era Society 5.0,” &lt;i&gt;Padjadjaran Law Review&lt;/i&gt; 12, no. 1 (2024): 71–81, https://doi.org/10.56895/plr.v12i1.1651.","manualFormatting":"Blassyus Bevry Sinaga and Raia Putri Noer Azzura, “The Role of Blockchain Technology as an Instrument for Developing Digital-Based Law Enforcement &amp; Realizing a Just Society in the Era of Society 5.0,” Padjadjaran Law Review 12, no. 1 (2024): 71–81, https://doi.org/10.56895/plr.v12i1.1651.","plainTextFormattedCitation":"Blassyus Bevry Sinaga and Raia Putri Noer Azzura, “Peran Teknologi Blockchain Sebagai Instrumen Pembangunan Penegakan Hukum Berbasis Digital &amp; Mewujudkan Masyarakat Berkeadilan Di Era Society 5.0,” Padjadjaran Law Review 12, no. 1 (2024): 71–81, https://doi.org/10.56895/plr.v12i1.1651.","previouslyFormattedCitation":"Blassyus Bevry Sinaga and Raia Putri Noer Azzura, “Peran Teknologi Blockchain Sebagai Instrumen Pembangunan Penegakan Hukum Berbasis Digital &amp; Mewujudkan Masyarakat Berkeadilan Di Era Society 5.0,” &lt;i&gt;Padjadjaran Law Review&lt;/i&gt; 12, no. 1 (2024): 71–81, https://doi.org/10.56895/plr.v12i1.1651."},"properties":{"noteIndex":10},"schema":"https://github.com/citation-style-language/schema/raw/master/csl-citation.json"}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 xml:space="preserve">Blassyus Bevry Sinaga and Raia Putri Noer Azzura, “The Role of Blockchain Technology as an Instrument for Developing Digital-Based Law Enforcement &amp; Realizing a Just Society in the Era of Society 5.0,” </w:t>
      </w:r>
      <w:r w:rsidRPr="00C07EBB">
        <w:rPr>
          <w:rFonts w:ascii="Book Antiqua" w:hAnsi="Book Antiqua"/>
          <w:i/>
          <w:noProof/>
        </w:rPr>
        <w:t xml:space="preserve">Padjadjaran Law Review </w:t>
      </w:r>
      <w:r w:rsidRPr="00C07EBB">
        <w:rPr>
          <w:rFonts w:ascii="Book Antiqua" w:hAnsi="Book Antiqua"/>
          <w:noProof/>
        </w:rPr>
        <w:t>12, no. 1 (2024): 71–81, https://doi.org/10.56895/plr.v12i1.1651.</w:t>
      </w:r>
      <w:r w:rsidRPr="00C07EBB">
        <w:rPr>
          <w:rFonts w:ascii="Book Antiqua" w:hAnsi="Book Antiqua"/>
        </w:rPr>
        <w:fldChar w:fldCharType="end"/>
      </w:r>
    </w:p>
  </w:footnote>
  <w:footnote w:id="11">
    <w:p w14:paraId="13F49544"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{"citationItems":[{"id":"ITEM-1","itemData":{"DOI":"10.55551/jip.v5i1.96","abstract":"Penelitian ini dilatar belakangi sebab akibat majunya perkembangan teknologi terutama akibat arus globalisasi. Salah satu bidang yang terkena imbas dari majunya teknologi adalah bidang keuangan. Saat ini industri Financial Technology (Fintech) mengeluarkan produk peer to peer lending (P2P) berupa pinjaman online. Namun, permasalahan yang kemudian muncul ialah adanya pinjaman online illegal yang secara jelas tidak terdaftar dalam Otoritas Jasa Keuangan (OJK). Fenomena seperti itu merupakan bentuk pelanggaran hukum dimana keadaan saat ini semakin marak dan banyak memakan korban. Oleh sebab itu pentingnya menjadi individu yang melek akan digital dimulai dengan faham akan literasi digital. Pentingnya literasi digital bagi masyarakat, terutama bagi golongan masyarakat yang susah mengikuti isu kemajuan teknologi. Penelitian ini menggunakan penelitian hukum yurudis normatif dengan pendekatan perundang-undangan, aturan  hukum dan permasalahan isu pelanggaran hukum.\r  ","author":[{"dropping-particle":"","family":"Romadhonia","given":"Annisa","non-dropping-particle":"","parse-names":false,"suffix":""},{"dropping-particle":"","family":"Nahdliyin","given":"Sukma Hidayatun","non-dropping-particle":"","parse-names":false,"suffix":""},{"dropping-particle":"","family":"Janah","given":"Miftakhul","non-dropping-particle":"","parse-names":false,"suffix":""}],"container-title":"Jurnal Hukum Ius Publicum","id":"ITEM-1","issue":"1","issued":{"date-parts":[["2024"]]},"page":"176-201","title":"Peran Literasi Digital Bagi Masyarakat Dalam Mengurangi Dampak Kejahatan Transaski Elektronik Illegal","type":"article-journal","volume":"5"},"uris":["http://www.mendeley.com/documents/?uuid=646ed8d1-473b-44e5-b872-6a1d4232e58a"]}],"mendeley":{"formattedCitation":"Annisa Romadhonia, Sukma Hidayatun Nahdliyin, and Miftakhul Janah, “Peran Literasi Digital Bagi Masyarakat Dalam Mengurangi Dampak Kejahatan Transaski Elektronik Illegal,” &lt;i&gt;Jurnal Hukum Ius Publicum&lt;/i&gt; 5, no. 1 (2024): 176–201, https://doi.org/10.55551/jip.v5i1.96."},"properties":{"noteIndex":11},"schema":"https://github.com/citation-style-language/schema/raw/master/csl-citation.json"}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 xml:space="preserve">Annisa Romadhonia, Sukma Hidayatun Nahdliyin, and Miftakhul Janah, “Peran Literasi Digital Bagi Masyarakat Dalam Mengurangi Dampak Kejahatan Transaski Elektronik Illegal,” </w:t>
      </w:r>
      <w:r w:rsidRPr="00C07EBB">
        <w:rPr>
          <w:rFonts w:ascii="Book Antiqua" w:hAnsi="Book Antiqua"/>
          <w:i/>
          <w:noProof/>
        </w:rPr>
        <w:t>Jurnal Hukum Ius Publicum</w:t>
      </w:r>
      <w:r w:rsidRPr="00C07EBB">
        <w:rPr>
          <w:rFonts w:ascii="Book Antiqua" w:hAnsi="Book Antiqua"/>
          <w:noProof/>
        </w:rPr>
        <w:t xml:space="preserve"> 5, no. 1 (2024): 176–201, https://doi.org/10.55551/jip.v5i1.96.</w:t>
      </w:r>
      <w:r w:rsidRPr="00C07EBB">
        <w:rPr>
          <w:rFonts w:ascii="Book Antiqua" w:hAnsi="Book Antiqua"/>
        </w:rPr>
        <w:fldChar w:fldCharType="end"/>
      </w:r>
    </w:p>
  </w:footnote>
  <w:footnote w:id="12">
    <w:p w14:paraId="290F1750"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DOI":"10.51486/jbo.v7i1.221","author":[{"dropping-particle":"","family":"Sonjaya","given":"Saji","non-dropping-particle":"","parse-names":false,"suffix":""},{"dropping-particle":"","family":"Jamaludin","given":"Ahmad","non-dropping-particle":"","parse-names":false,"suffix":""}],"id":"ITEM-1","issue":"1","issued":{"date-parts":[["2025"]]},"page":"23-38","title":"Mengeksplorasi Regulasi Industri Seksual di Indonesia : Pemidanaan Pembeli Jasa Pekerja Seks Komersial Exploring the Regulation of the Sex Industry in Indonesia : The Criminalization of Buyers of Commercial Sex Services","type":"article-journal","volume":"7"},"uris":["http://www.mendeley.com/documents/?uuid=f7e211d6-119d-4a70-b861-3c884c873d31"]}],"mendeley":{"formattedCitation":"Saji Sonjaya and Ahmad Jamaludin, “Mengeksplorasi Regulasi Industri Seksual Di Indonesia</w:instrText>
      </w:r>
      <w:r w:rsidRPr="00C07EBB">
        <w:rPr>
          <w:rFonts w:cs="Times New Roman"/>
        </w:rPr>
        <w:instrText> </w:instrText>
      </w:r>
      <w:r w:rsidRPr="00C07EBB">
        <w:rPr>
          <w:rFonts w:ascii="Book Antiqua" w:hAnsi="Book Antiqua"/>
        </w:rPr>
        <w:instrText>: Pemidanaan Pembeli Jasa Pekerja Seks Komersial Exploring the Regulation of the Sex Industry in Indonesia</w:instrText>
      </w:r>
      <w:r w:rsidRPr="00C07EBB">
        <w:rPr>
          <w:rFonts w:cs="Times New Roman"/>
        </w:rPr>
        <w:instrText> </w:instrText>
      </w:r>
      <w:r w:rsidRPr="00C07EBB">
        <w:rPr>
          <w:rFonts w:ascii="Book Antiqua" w:hAnsi="Book Antiqua"/>
        </w:rPr>
        <w:instrText>: The Criminalization of Buyers of Commercial Sex Services” 7, no. 1 (2025): 23–38, https://doi.org/10.51486/jbo.v7i1.221."},"properties":{"noteIndex":12},"schema":"https://github.com/citation-style-language/schema/raw/master/csl-citation.json"}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Saji Sonjaya and Ahmad Jamaludin, “Mengeksplorasi Regulasi Industri Seksual Di Indonesia</w:t>
      </w:r>
      <w:r w:rsidRPr="00C07EBB">
        <w:rPr>
          <w:rFonts w:cs="Times New Roman"/>
          <w:noProof/>
        </w:rPr>
        <w:t> </w:t>
      </w:r>
      <w:r w:rsidRPr="00C07EBB">
        <w:rPr>
          <w:rFonts w:ascii="Book Antiqua" w:hAnsi="Book Antiqua"/>
          <w:noProof/>
        </w:rPr>
        <w:t>: Pemidanaan Pembeli Jasa Pekerja Seks Komersial Exploring the Regulation of the Sex Industry in Indonesia</w:t>
      </w:r>
      <w:r w:rsidRPr="00C07EBB">
        <w:rPr>
          <w:rFonts w:cs="Times New Roman"/>
          <w:noProof/>
        </w:rPr>
        <w:t> </w:t>
      </w:r>
      <w:r w:rsidRPr="00C07EBB">
        <w:rPr>
          <w:rFonts w:ascii="Book Antiqua" w:hAnsi="Book Antiqua"/>
          <w:noProof/>
        </w:rPr>
        <w:t>: The Criminalization of Buyers of Commercial Sex Services</w:t>
      </w:r>
      <w:r w:rsidRPr="00C07EBB">
        <w:rPr>
          <w:rFonts w:ascii="Book Antiqua" w:hAnsi="Book Antiqua" w:cs="Book Antiqua"/>
          <w:noProof/>
        </w:rPr>
        <w:t>”</w:t>
      </w:r>
      <w:r w:rsidRPr="00C07EBB">
        <w:rPr>
          <w:rFonts w:ascii="Book Antiqua" w:hAnsi="Book Antiqua"/>
          <w:noProof/>
        </w:rPr>
        <w:t xml:space="preserve"> 7, no. 1 (2025): 23</w:t>
      </w:r>
      <w:r w:rsidRPr="00C07EBB">
        <w:rPr>
          <w:rFonts w:ascii="Book Antiqua" w:hAnsi="Book Antiqua" w:cs="Book Antiqua"/>
          <w:noProof/>
        </w:rPr>
        <w:t>–</w:t>
      </w:r>
      <w:r w:rsidRPr="00C07EBB">
        <w:rPr>
          <w:rFonts w:ascii="Book Antiqua" w:hAnsi="Book Antiqua"/>
          <w:noProof/>
        </w:rPr>
        <w:t>38, https://doi.org/10.51486/jbo.v7i1.221.</w:t>
      </w:r>
      <w:r w:rsidRPr="00C07EBB">
        <w:rPr>
          <w:rFonts w:ascii="Book Antiqua" w:hAnsi="Book Antiqua"/>
        </w:rPr>
        <w:fldChar w:fldCharType="end"/>
      </w:r>
    </w:p>
  </w:footnote>
  <w:footnote w:id="13">
    <w:p w14:paraId="42FE2816"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{"citationItems":[{"id":"ITEM-1","itemData":{"author":[{"dropping-particle":"","family":"Anjani","given":"Vianda Ayu","non-dropping-particle":"","parse-names":false,"suffix":""}],"id":"ITEM-1","issue":"1","issued":{"date-parts":[["2024"]]},"page":"1-28","title":"Cyberbullying dan Dinamika Hukum di Indonesia : Paradoks Ruang Maya dalam Interaksi Sosial di Era Digital Pendahuluan membawa transformasi besar dalam cara manusia berkomunikasi dan","type":"article-journal","volume":"4"},"uris":["http://www.mendeley.com/documents/?uuid=b72e5613-36ee-433e-a041-6b93c060751b"]}],"mendeley":{"formattedCitation":"Vianda Ayu Anjani, “Cyberbullying Dan Dinamika Hukum Di Indonesia</w:instrText>
      </w:r>
      <w:r w:rsidRPr="00C07EBB">
        <w:rPr>
          <w:rFonts w:cs="Times New Roman"/>
        </w:rPr>
        <w:instrText> </w:instrText>
      </w:r>
      <w:r w:rsidRPr="00C07EBB">
        <w:rPr>
          <w:rFonts w:ascii="Book Antiqua" w:hAnsi="Book Antiqua"/>
        </w:rPr>
        <w:instrText>: Paradoks Ruang Maya Dalam Interaksi Sosial Di Era Digital Pendahuluan Membawa Transformasi Besar Dalam Cara Manusia Berkomunikasi Dan</w:instrText>
      </w:r>
      <w:r w:rsidRPr="00C07EBB">
        <w:rPr>
          <w:rFonts w:ascii="Book Antiqua" w:hAnsi="Book Antiqua" w:cs="Book Antiqua"/>
        </w:rPr>
        <w:instrText>”</w:instrText>
      </w:r>
      <w:r w:rsidRPr="00C07EBB">
        <w:rPr>
          <w:rFonts w:ascii="Book Antiqua" w:hAnsi="Book Antiqua"/>
        </w:rPr>
        <w:instrText xml:space="preserve"> 4, no. 1 (2024): 1</w:instrText>
      </w:r>
      <w:r w:rsidRPr="00C07EBB">
        <w:rPr>
          <w:rFonts w:ascii="Book Antiqua" w:hAnsi="Book Antiqua" w:cs="Book Antiqua"/>
        </w:rPr>
        <w:instrText>–</w:instrText>
      </w:r>
      <w:r w:rsidRPr="00C07EBB">
        <w:rPr>
          <w:rFonts w:ascii="Book Antiqua" w:hAnsi="Book Antiqua"/>
        </w:rPr>
        <w:instrText>28."},"properties":{"noteIndex":13},"schema":"https://github.com/citation-style-language/schema/raw/master/csl-citation.json"}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Vianda Ayu Anjani, “Cyberbullying Dan Dinamika Hukum Di Indonesia</w:t>
      </w:r>
      <w:r w:rsidRPr="00C07EBB">
        <w:rPr>
          <w:rFonts w:cs="Times New Roman"/>
          <w:noProof/>
        </w:rPr>
        <w:t> </w:t>
      </w:r>
      <w:r w:rsidRPr="00C07EBB">
        <w:rPr>
          <w:rFonts w:ascii="Book Antiqua" w:hAnsi="Book Antiqua"/>
          <w:noProof/>
        </w:rPr>
        <w:t>: Paradoks Ruang Maya Dalam Interaksi Sosial Di Era Digital Pendahuluan Membawa Transformasi Besar Dalam Cara Manusia Berkomunikasi Dan</w:t>
      </w:r>
      <w:r w:rsidRPr="00C07EBB">
        <w:rPr>
          <w:rFonts w:ascii="Book Antiqua" w:hAnsi="Book Antiqua" w:cs="Book Antiqua"/>
          <w:noProof/>
        </w:rPr>
        <w:t>”</w:t>
      </w:r>
      <w:r w:rsidRPr="00C07EBB">
        <w:rPr>
          <w:rFonts w:ascii="Book Antiqua" w:hAnsi="Book Antiqua"/>
          <w:noProof/>
        </w:rPr>
        <w:t xml:space="preserve"> 4, no. 1 (2024): 1</w:t>
      </w:r>
      <w:r w:rsidRPr="00C07EBB">
        <w:rPr>
          <w:rFonts w:ascii="Book Antiqua" w:hAnsi="Book Antiqua" w:cs="Book Antiqua"/>
          <w:noProof/>
        </w:rPr>
        <w:t>–</w:t>
      </w:r>
      <w:r w:rsidRPr="00C07EBB">
        <w:rPr>
          <w:rFonts w:ascii="Book Antiqua" w:hAnsi="Book Antiqua"/>
          <w:noProof/>
        </w:rPr>
        <w:t>28.</w:t>
      </w:r>
      <w:r w:rsidRPr="00C07EBB">
        <w:rPr>
          <w:rFonts w:ascii="Book Antiqua" w:hAnsi="Book Antiqua"/>
        </w:rPr>
        <w:fldChar w:fldCharType="end"/>
      </w:r>
    </w:p>
  </w:footnote>
  <w:footnote w:id="14">
    <w:p w14:paraId="2B54AD88"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{"citationItems":[{"id":"ITEM-1","itemData":{"author":[{"dropping-particle":"","family":"Shofian, Muhammad Rizky Firdaus","given":"Fery Virdaus","non-dropping-particle":"","parse-names":false,"suffix":""}],"container-title":"Indonesian Journal of Islamic Jurisprudence,Economic and Legal Theory","id":"ITEM-1","issue":"1","issued":{"date-parts":[["2025"]]},"page":"651-662","title":"Analusis Normatif Terhadap Ketentuan Hukum Bagi Pelaku Penyebaran Konten Fonografi di Internet","type":"article-journal","volume":"3"},"uris":["http://www.mendeley.com/documents/?uuid=99470424-aa6f-4377-bd39-aba5b0570aac"]}],"mendeley":{"formattedCitation":"Fery Virdaus Shofian, Muhammad Rizky Firdaus, “Analusis Normatif Terhadap Ketentuan Hukum Bagi Pelaku Penyebaran Konten Fonografi Di Internet,” &lt;i&gt;Indonesian Journal of Islamic Jurisprudence,Economic and Legal Theory&lt;/i&gt; 3, no. 1 (2025): 651–62."},"properties":{"noteIndex":14},"schema":"https://github.com/citation-style-language/schema/raw/master/csl-citation.json"}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 xml:space="preserve">Fery Virdaus Shofian, Muhammad Rizky Firdaus, “Analusis Normatif Terhadap Ketentuan Hukum Bagi Pelaku Penyebaran Konten Fonografi Di Internet,” </w:t>
      </w:r>
      <w:r w:rsidRPr="00C07EBB">
        <w:rPr>
          <w:rFonts w:ascii="Book Antiqua" w:hAnsi="Book Antiqua"/>
          <w:i/>
          <w:noProof/>
        </w:rPr>
        <w:t>Indonesian Journal of Islamic Jurisprudence,Economic and Legal Theory</w:t>
      </w:r>
      <w:r w:rsidRPr="00C07EBB">
        <w:rPr>
          <w:rFonts w:ascii="Book Antiqua" w:hAnsi="Book Antiqua"/>
          <w:noProof/>
        </w:rPr>
        <w:t xml:space="preserve"> 3, no. 1 (2025): 651–62.</w:t>
      </w:r>
      <w:r w:rsidRPr="00C07EBB">
        <w:rPr>
          <w:rFonts w:ascii="Book Antiqua" w:hAnsi="Book Antiqua"/>
        </w:rPr>
        <w:fldChar w:fldCharType="end"/>
      </w:r>
    </w:p>
  </w:footnote>
  <w:footnote w:id="15">
    <w:p w14:paraId="6A921691"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{"citationItems":[{"id":"ITEM-1","itemData":{"author":[{"dropping-particle":"","family":"Shofian, Muhammad Rizky Firdaus","given":"Fery Virdaus","non-dropping-particle":"","parse-names":false,"suffix":""}],"container-title":"Indonesian Journal of Islamic Jurisprudence,Economic and Legal Theory","id":"ITEM-1","issue":"1","issued":{"date-parts":[["2025"]]},"page":"651-662","title":"Analusis Normatif Terhadap Ketentuan Hukum Bagi Pelaku Penyebaran Konten Fonografi di Internet","type":"article-journal","volume":"3"},"uris":["http://www.mendeley.com/documents/?uuid=99470424-aa6f-4377-bd39-aba5b0570aac"]}],"mendeley":{"formattedCitation":"Shofian, Muhammad Rizky Firdaus.","plainTextFormattedCitation":"Shofian, Muhammad Rizky Firdaus.","previouslyFormattedCitation":"Shofian, Muhammad Rizky Firdaus."},"properties":{"noteIndex":15},"schema":"https://github.com/citation-style-language/schema/raw/master/csl-citation.json"}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Shofian, Muhammad Rizky Firdaus.</w:t>
      </w:r>
      <w:r w:rsidRPr="00C07EBB">
        <w:rPr>
          <w:rFonts w:ascii="Book Antiqua" w:hAnsi="Book Antiqua"/>
        </w:rPr>
        <w:fldChar w:fldCharType="end"/>
      </w:r>
    </w:p>
  </w:footnote>
  <w:footnote w:id="16">
    <w:p w14:paraId="0178A28E"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author":[{"dropping-particle":"","family":"Mudjiyanto","given":"Bambang","non-dropping-particle":"","parse-names":false,"suffix":""},{"dropping-particle":"","family":"Lusianawati","given":"Hayu","non-dropping-particle":"","parse-names":false,"suffix":""},{"dropping-particle":"","family":"Azizah","given":"Nur","non-dropping-particle":"","parse-names":false,"suffix":""}],"container-title":"Jurnal The Source","id":"ITEM-1","issue":"1","issued":{"date-parts":[["2024"]]},"page":"20-36","title":"MEDIA SOSIAL DAN PROSTITUSI ONLINE ( Studi Penggunaan Media Sosial Sebagai Sarana Amplifikasi Prostitusi Online )","type":"article-journal","volume":"6"},"uris":["http://www.mendeley.com/documents/?uuid=a400faa3-2d55-4271-82e1-1d217133b74e"]}],"mendeley":{"formattedCitation":"Bambang Mudjiyanto, Hayu Lusianawati, and Nur Azizah, “MEDIA SOSIAL DAN PROSTITUSI ONLINE ( Studi Penggunaan Media Sosial Sebagai Sarana Amplifikasi Prostitusi Online ),” &lt;i&gt;Jurnal The Source&lt;/i&gt; 6, no. 1 (2024): 20–36."},"properties":{"noteIndex":16},"schema":"https://github.com/citation-style-language/schema/raw/master/csl-citation.json"}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 xml:space="preserve">Bambang Mudjiyanto, Hayu Lusianawati, and Nur Azizah, “Media Sosial dan Prostitusi Online ( Studi Penggunaan Media Sosial Sebagai Sarana Amplifikasi Prostitusi Online ),” </w:t>
      </w:r>
      <w:r w:rsidRPr="00C07EBB">
        <w:rPr>
          <w:rFonts w:ascii="Book Antiqua" w:hAnsi="Book Antiqua"/>
          <w:i/>
          <w:noProof/>
        </w:rPr>
        <w:t>Jurnal The Source</w:t>
      </w:r>
      <w:r w:rsidRPr="00C07EBB">
        <w:rPr>
          <w:rFonts w:ascii="Book Antiqua" w:hAnsi="Book Antiqua"/>
          <w:noProof/>
        </w:rPr>
        <w:t xml:space="preserve"> 6, no. 1 (2024): 20–36.</w:t>
      </w:r>
      <w:r w:rsidRPr="00C07EBB">
        <w:rPr>
          <w:rFonts w:ascii="Book Antiqua" w:hAnsi="Book Antiqua"/>
        </w:rPr>
        <w:fldChar w:fldCharType="end"/>
      </w:r>
    </w:p>
  </w:footnote>
  <w:footnote w:id="17">
    <w:p w14:paraId="0C00C7F4"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{"citationItems":[{"id":"ITEM-1","itemData":{"author":[{"dropping-particle":"","family":"Lengkong","given":"Jewellery Kyla Shalom Abuthan Herlyanty Y. A. Bawole Natalia L.","non-dropping-particle":"","parse-names":false,"suffix":""}],"container-title":"Lex Administratum","id":"ITEM-1","issue":"1","issued":{"date-parts":[["2025"]]},"title":"Penegakan Hukum Kejahatan Online Scamming Terhadap Human Trafficking Berdasarkan Undang-Undang Tindak Pidana Perdagangan Orang","type":"article-journal","volume":"13"},"uris":["http://www.mendeley.com/documents/?uuid=ea88fab4-5130-473f-b223-c37c489ba4c6"]}],"mendeley":{"formattedCitation":"Jewellery Kyla Shalom Abuthan Herlyanty Y. A. Bawole Natalia L. Lengkong, “Penegakan Hukum Kejahatan Online Scamming Terhadap Human Trafficking Berdasarkan Undang-Undang Tindak Pidana Perdagangan Orang,” &lt;i&gt;Lex Administratum&lt;/i&gt; 13, no. 1 (2025)."},"properties":{"noteIndex":17},"schema":"https://github.com/citation-style-language/schema/raw/master/csl-citation.json"}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 xml:space="preserve">Jewellery Kyla Shalom Abuthan Herlyanty Y. A. Bawole Natalia L. Lengkong, “Penegakan Hukum Kejahatan Online Scamming Terhadap Human Trafficking Berdasarkan Undang-Undang Tindak Pidana Perdagangan Orang,” </w:t>
      </w:r>
      <w:r w:rsidRPr="00C07EBB">
        <w:rPr>
          <w:rFonts w:ascii="Book Antiqua" w:hAnsi="Book Antiqua"/>
          <w:i/>
          <w:noProof/>
        </w:rPr>
        <w:t>Lex Administratum</w:t>
      </w:r>
      <w:r w:rsidRPr="00C07EBB">
        <w:rPr>
          <w:rFonts w:ascii="Book Antiqua" w:hAnsi="Book Antiqua"/>
          <w:noProof/>
        </w:rPr>
        <w:t xml:space="preserve"> 13, no. 1 (2025).</w:t>
      </w:r>
      <w:r w:rsidRPr="00C07EBB">
        <w:rPr>
          <w:rFonts w:ascii="Book Antiqua" w:hAnsi="Book Antiqua"/>
        </w:rPr>
        <w:fldChar w:fldCharType="end"/>
      </w:r>
    </w:p>
  </w:footnote>
  <w:footnote w:id="18">
    <w:p w14:paraId="15038F1F"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{"citationItems":[{"id":"ITEM-1","itemData":{"author":[{"dropping-particle":"","family":"Lengkong","given":"Jewellery Kyla Shalom Abuthan Herlyanty Y. A. Bawole Natalia L.","non-dropping-particle":"","parse-names":false,"suffix":""}],"container-title":"Lex Administratum","id":"ITEM-1","issue":"1","issued":{"date-parts":[["2025"]]},"title":"Penegakan Hukum Kejahatan Online Scamming Terhadap Human Trafficking Berdasarkan Undang-Undang Tindak Pidana Perdagangan Orang","type":"article-journal","volume":"13"},"uris":["http://www.mendeley.com/documents/?uuid=ea88fab4-5130-473f-b223-c37c489ba4c6"]}],"mendeley":{"formattedCitation":"Lengkong."},"properties":{"noteIndex":18},"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Lengkong.</w:t>
      </w:r>
      <w:r w:rsidRPr="00C07EBB">
        <w:rPr>
          <w:rFonts w:ascii="Book Antiqua" w:hAnsi="Book Antiqua"/>
        </w:rPr>
        <w:fldChar w:fldCharType="end"/>
      </w:r>
    </w:p>
  </w:footnote>
  <w:footnote w:id="19">
    <w:p w14:paraId="44964F12"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{"citationItems":[{"id":"ITEM-1","itemData":{"DOI":"10.30818/jpkm.2021.2060106","abstract":"… e-commerce secara umum menguasai pasar dunia berbanding lurus dengan perkembangan … perubahan dari sistem konvensional ke pasar modern yaitu pada transaksi informasi, …","author":[{"dropping-particle":"","family":"Juditha","given":"Christiany","non-dropping-particle":"","parse-names":false,"suffix":""}],"container-title":"Pekommas","id":"ITEM-1","issue":"1","issued":{"date-parts":[["2021"]]},"page":"51-63","title":"Prostitusi Daring : Tren Industri Jasa Seks Komersial di Media Sosial Online Prostitution : Trends of The Commercial Sex Service Industry in Social Media","type":"article-journal","volume":"6"},"uris":["http://www.mendeley.com/documents/?uuid=7778bd36-c277-4142-b5f6-1f267f264e7b"]}],"mendeley":{"formattedCitation":"Christiany Juditha, “Prostitusi Daring</w:instrText>
      </w:r>
      <w:r w:rsidRPr="00C07EBB">
        <w:rPr>
          <w:rFonts w:cs="Times New Roman"/>
        </w:rPr>
        <w:instrText> </w:instrText>
      </w:r>
      <w:r w:rsidRPr="00C07EBB">
        <w:rPr>
          <w:rFonts w:ascii="Book Antiqua" w:hAnsi="Book Antiqua"/>
        </w:rPr>
        <w:instrText>: Tren Industri Jasa Seks Komersial Di Media Sosial Online Prostitution</w:instrText>
      </w:r>
      <w:r w:rsidRPr="00C07EBB">
        <w:rPr>
          <w:rFonts w:cs="Times New Roman"/>
        </w:rPr>
        <w:instrText> </w:instrText>
      </w:r>
      <w:r w:rsidRPr="00C07EBB">
        <w:rPr>
          <w:rFonts w:ascii="Book Antiqua" w:hAnsi="Book Antiqua"/>
        </w:rPr>
        <w:instrText>: Trends of The Commercial Sex Service Industry in Social Media,” &lt;i&gt;Pekommas&lt;/i&gt; 6, no. 1 (2021): 51–63, https://doi.org/10.30818/jpkm.2021.2060106."},"properties":{"noteIndex":19},"schema":"https://github.com/citation-style-language/schema/raw/master/csl-citation.json"}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Christiany Juditha, “Prostitusi Daring</w:t>
      </w:r>
      <w:r w:rsidRPr="00C07EBB">
        <w:rPr>
          <w:rFonts w:cs="Times New Roman"/>
          <w:noProof/>
        </w:rPr>
        <w:t> </w:t>
      </w:r>
      <w:r w:rsidRPr="00C07EBB">
        <w:rPr>
          <w:rFonts w:ascii="Book Antiqua" w:hAnsi="Book Antiqua"/>
          <w:noProof/>
        </w:rPr>
        <w:t>: Tren Industri Jasa Seks Komersial Di Media Sosial Online Prostitution</w:t>
      </w:r>
      <w:r w:rsidRPr="00C07EBB">
        <w:rPr>
          <w:rFonts w:cs="Times New Roman"/>
          <w:noProof/>
        </w:rPr>
        <w:t> </w:t>
      </w:r>
      <w:r w:rsidRPr="00C07EBB">
        <w:rPr>
          <w:rFonts w:ascii="Book Antiqua" w:hAnsi="Book Antiqua"/>
          <w:noProof/>
        </w:rPr>
        <w:t>: Trends of The Commercial Sex Service Industry in Social Media,</w:t>
      </w:r>
      <w:r w:rsidRPr="00C07EBB">
        <w:rPr>
          <w:rFonts w:ascii="Book Antiqua" w:hAnsi="Book Antiqua" w:cs="Book Antiqua"/>
          <w:noProof/>
        </w:rPr>
        <w:t>”</w:t>
      </w:r>
      <w:r w:rsidRPr="00C07EBB">
        <w:rPr>
          <w:rFonts w:ascii="Book Antiqua" w:hAnsi="Book Antiqua"/>
          <w:noProof/>
        </w:rPr>
        <w:t xml:space="preserve"> </w:t>
      </w:r>
      <w:r w:rsidRPr="00C07EBB">
        <w:rPr>
          <w:rFonts w:ascii="Book Antiqua" w:hAnsi="Book Antiqua"/>
          <w:i/>
          <w:noProof/>
        </w:rPr>
        <w:t>Pekommas</w:t>
      </w:r>
      <w:r w:rsidRPr="00C07EBB">
        <w:rPr>
          <w:rFonts w:ascii="Book Antiqua" w:hAnsi="Book Antiqua"/>
          <w:noProof/>
        </w:rPr>
        <w:t xml:space="preserve"> 6, no. 1 (2021): 51–63, https://doi.org/10.30818/jpkm.2021.2060106.</w:t>
      </w:r>
      <w:r w:rsidRPr="00C07EBB">
        <w:rPr>
          <w:rFonts w:ascii="Book Antiqua" w:hAnsi="Book Antiqua"/>
        </w:rPr>
        <w:fldChar w:fldCharType="end"/>
      </w:r>
    </w:p>
  </w:footnote>
  <w:footnote w:id="20">
    <w:p w14:paraId="55644D93"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{"citationItems":[{"id":"ITEM-1","itemData":{"DOI":"10.24114/jk.v17i1.14208","ISSN":"1693-7287","abstract":"In the millennial era as it is now the utilization or use of social media seems to be a primary necessity. It is undeniable that the Internet network can resurface the issues between the right and the vanity. Many internet users are peddling their wares online such as accessories, clothing, and food. But the fact on the field is also a lot that uses social media to do activities that violate the norm, one of which is online prostitution. Indonesia with its Pancasila ideology wants all citizens to uphold the values contained in Pancasila. Please second aims to humanize human beings according to the dignity and the dignity to be a civilized person. The perpetrators of prostitution pretext that their activities are based on the injustices in life. Even they took refuge in human rights in the peddling of him. The study used case studies with qualitative methods to be able to uncover the veil of increasingly booming prostitution with various breakthroughs and find its way out so that the perpetrators aware that their activities are contrary to the fair and civilized value of humanity. One solution is to include the perpetrators of prostitution into religious schools.----------------Di era milenial seperti sekarang ini pemanfaatan atau penggunaan media sosial seolah menjadi kebutuhan primer. Tidak bisa dipungkiri bahwa jaringan internet mampu membiaskan persoalan antara yang hak dan yang batil. Banyak pengguna internet yang menjajakan barang dagangannya secara online seperti asesoris, pakaian, dan makanan. Akan tetapi fakta di lapangan banyak juga yang menggunakan media sosial untuk melakukan kegiatan yang melanggar norma, salah satunya adalah prostitusi online. Indonesia dengan ideologi pancasila-nya menginginkan semua warga negara menjunjung tinggi nilai-nilai yang terkandung dalam pancasila. Sila kedua bertujuan untuk memanusiakan manusia sesuai harkat dan martabatnya agar menjadi pribadi yang beradab. Para pelaku prostitusi berdalih bahwa kegiatan mereka didasari atas ketidakadilan dalam hidup. Bahkan mereka berlindung kepada hak asasi manusia di dalam menjajakan dirinya. Penelitian ini menggunakan studi kasus dengan metode kualitatif agar mampu mengungkap tabir permasalahan prostitusi yang semakin menggeliat dengan berbagai terobosan baru dan mencari jalan keluarnya agar para pelaku prostitusi sadar bahwa kegiatan mereka bertentangan dengan nilai kemanusian yang adil dan beradab. Salah satu solusinya adalah memasukan para pelaku prostitusi ke dalam pesan…","author":[{"dropping-particle":"","family":"Nurgiansah","given":"T Heru","non-dropping-particle":"","parse-names":false,"suffix":""}],"container-title":"Jurnal Kewarganegaraan","id":"ITEM-1","issue":"1","issued":{"date-parts":[["2020"]]},"page":"27","title":"Fenomena Prostitusi Online di Kota Yogyakarta dalam Perspektif Nilai Kemanusiaan Yang Adil dan Beradab","type":"article-journal","volume":"17"},"uris":["http://www.mendeley.com/documents/?uuid=b842520f-7dd5-4235-8253-a74f7a2f8316"]}],"mendeley":{"formattedCitation":"T Heru Nurgiansah, “Fenomena Prostitusi Online Di Kota Yogyakarta Dalam Perspektif Nilai Kemanusiaan Yang Adil Dan Beradab,” &lt;i&gt;Jurnal Kewarganegaraan&lt;/i&gt; 17, no. 1 (2020): 27, https://doi.org/10.24114/jk.v17i1.14208."},"properties":{"noteIndex":20},"schema":"https://github.com/citation-style-language/schema/raw/master/csl-citation.json"}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 xml:space="preserve">T Heru Nurgiansah, “Fenomena Prostitusi Online Di Kota Yogyakarta Dalam Perspektif Nilai Kemanusiaan Yang Adil Dan Beradab,” </w:t>
      </w:r>
      <w:r w:rsidRPr="00C07EBB">
        <w:rPr>
          <w:rFonts w:ascii="Book Antiqua" w:hAnsi="Book Antiqua"/>
          <w:i/>
          <w:noProof/>
        </w:rPr>
        <w:t>Jurnal Kewarganegaraan</w:t>
      </w:r>
      <w:r w:rsidRPr="00C07EBB">
        <w:rPr>
          <w:rFonts w:ascii="Book Antiqua" w:hAnsi="Book Antiqua"/>
          <w:noProof/>
        </w:rPr>
        <w:t xml:space="preserve"> 17, no. 1 (2020): 27, https://doi.org/10.24114/jk.v17i1.14208.</w:t>
      </w:r>
      <w:r w:rsidRPr="00C07EBB">
        <w:rPr>
          <w:rFonts w:ascii="Book Antiqua" w:hAnsi="Book Antiqua"/>
        </w:rPr>
        <w:fldChar w:fldCharType="end"/>
      </w:r>
    </w:p>
  </w:footnote>
  <w:footnote w:id="21">
    <w:p w14:paraId="0400F572" w14:textId="77777777" w:rsidR="00C07EBB" w:rsidRPr="00C07EBB" w:rsidRDefault="00C07EBB" w:rsidP="00C07EBB">
      <w:pPr>
        <w:pStyle w:val="FootnoteText"/>
        <w:jc w:val="both"/>
        <w:rPr>
          <w:rFonts w:ascii="Book Antiqua" w:hAnsi="Book Antiqua"/>
        </w:rPr>
      </w:pPr>
      <w:r w:rsidRPr="00C07EBB">
        <w:rPr>
          <w:rStyle w:val="FootnoteReference"/>
          <w:rFonts w:ascii="Book Antiqua" w:hAnsi="Book Antiqua"/>
        </w:rPr>
        <w:footnoteRef/>
      </w:r>
      <w:r w:rsidRPr="00C07EBB">
        <w:rPr>
          <w:rFonts w:ascii="Book Antiqua" w:hAnsi="Book Antiqua"/>
        </w:rPr>
        <w:t xml:space="preserve"> </w:t>
      </w:r>
      <w:r w:rsidRPr="00C07EBB">
        <w:rPr>
          <w:rFonts w:ascii="Book Antiqua" w:hAnsi="Book Antiqua"/>
        </w:rPr>
        <w:fldChar w:fldCharType="begin" w:fldLock="1"/>
      </w:r>
      <w:r w:rsidRPr="00C07EBB">
        <w:rPr>
          <w:rFonts w:ascii="Book Antiqua" w:hAnsi="Book Antiqua"/>
        </w:rPr>
        <w:instrText>ADDIN CSL_CITATION {"citationItems":[{"id":"ITEM-1","itemData":{"author":[{"dropping-particle":"","family":"Dumako","given":"Ananda Rayhan","non-dropping-particle":"","parse-names":false,"suffix":""},{"dropping-particle":"","family":"Ismail","given":"Dian Ekawaty","non-dropping-particle":"","parse-names":false,"suffix":""},{"dropping-particle":"","family":"Mantali","given":"Avelia Rahmah Y","non-dropping-particle":"","parse-names":false,"suffix":""}],"id":"ITEM-1","issued":{"date-parts":[["2025"]]},"page":"1155-1162","title":"Hambatan Dalam Penerapan Regulasi Hukum di Indonesia Dalam Mengatur Penyebaran Konten Bermuatan Pornografi di Media Sosial","type":"article-journal"},"uris":["http://www.mendeley.com/documents/?uuid=e5b1adbe-a617-4c48-ae4f-0b74c8df3113"]}],"mendeley":{"formattedCitation":"Ananda Rayhan Dumako, Dian Ekawaty Ismail, and Avelia Rahmah Y Mantali, “Hambatan Dalam Penerapan Regulasi Hukum Di Indonesia Dalam Mengatur Penyebaran Konten Bermuatan Pornografi Di Media Sosial,” 2025, 1155–62."},"properties":{"noteIndex":21},"schema":"https://github.com/citation-style-language/schema/raw/master/csl-citation.json"}</w:instrText>
      </w:r>
      <w:r w:rsidRPr="00C07EBB">
        <w:rPr>
          <w:rFonts w:ascii="Book Antiqua" w:hAnsi="Book Antiqua"/>
        </w:rPr>
        <w:fldChar w:fldCharType="separate"/>
      </w:r>
      <w:r w:rsidRPr="00C07EBB">
        <w:rPr>
          <w:rFonts w:ascii="Book Antiqua" w:hAnsi="Book Antiqua"/>
          <w:noProof/>
        </w:rPr>
        <w:t>Ananda Rayhan Dumako, Dian Ekawaty Ismail, and Avelia Rahmah Y Mantali, “Hambatan Dalam Penerapan Regulasi Hukum Di Indonesia Dalam Mengatur Penyebaran Konten Bermuatan Pornografi Di Media Sosial,” 2025, 1155–62.</w:t>
      </w:r>
      <w:r w:rsidRPr="00C07EBB">
        <w:rPr>
          <w:rFonts w:ascii="Book Antiqua" w:hAnsi="Book Antiqu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9876" w14:textId="77777777" w:rsidR="004562F9" w:rsidRDefault="004562F9">
    <w:pPr>
      <w:pBdr>
        <w:top w:val="nil"/>
        <w:left w:val="nil"/>
        <w:bottom w:val="nil"/>
        <w:right w:val="nil"/>
        <w:between w:val="nil"/>
      </w:pBdr>
      <w:tabs>
        <w:tab w:val="center" w:pos="4680"/>
        <w:tab w:val="right" w:pos="9360"/>
      </w:tabs>
      <w:spacing w:after="0" w:line="240" w:lineRule="auto"/>
      <w:rPr>
        <w:rFonts w:ascii="Pinyon Script" w:eastAsia="Pinyon Script" w:hAnsi="Pinyon Script" w:cs="Pinyon Script"/>
        <w:color w:val="000000"/>
        <w:sz w:val="56"/>
        <w:szCs w:val="56"/>
      </w:rPr>
    </w:pPr>
    <w:bookmarkStart w:id="1" w:name="_heading=h.30j0zll" w:colFirst="0" w:colLast="0"/>
    <w:bookmarkEnd w:id="1"/>
  </w:p>
  <w:p w14:paraId="14B1AAFB" w14:textId="77777777" w:rsidR="004562F9" w:rsidRDefault="004562F9">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97286"/>
    <w:multiLevelType w:val="multilevel"/>
    <w:tmpl w:val="B41C454E"/>
    <w:lvl w:ilvl="0">
      <w:start w:val="1"/>
      <w:numFmt w:val="decimal"/>
      <w:lvlText w:val="%1."/>
      <w:lvlJc w:val="left"/>
      <w:pPr>
        <w:ind w:left="720" w:hanging="360"/>
      </w:pPr>
      <w:rPr>
        <w:color w:val="0070C0"/>
        <w:sz w:val="24"/>
        <w:szCs w:val="24"/>
      </w:rPr>
    </w:lvl>
    <w:lvl w:ilvl="1">
      <w:start w:val="1"/>
      <w:numFmt w:val="upperLetter"/>
      <w:lvlText w:val="%2."/>
      <w:lvlJc w:val="left"/>
      <w:pPr>
        <w:ind w:left="720" w:hanging="360"/>
      </w:pPr>
      <w:rPr>
        <w:b/>
        <w:color w:val="000000"/>
        <w:sz w:val="24"/>
        <w:szCs w:val="24"/>
      </w:rPr>
    </w:lvl>
    <w:lvl w:ilvl="2">
      <w:start w:val="1"/>
      <w:numFmt w:val="decimal"/>
      <w:lvlText w:val="%1.%2.%3"/>
      <w:lvlJc w:val="left"/>
      <w:pPr>
        <w:ind w:left="1080" w:hanging="720"/>
      </w:pPr>
      <w:rPr>
        <w:b/>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1" w15:restartNumberingAfterBreak="0">
    <w:nsid w:val="277D1E85"/>
    <w:multiLevelType w:val="hybridMultilevel"/>
    <w:tmpl w:val="45869D9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BA938D3"/>
    <w:multiLevelType w:val="multilevel"/>
    <w:tmpl w:val="623029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2CB4128"/>
    <w:multiLevelType w:val="hybridMultilevel"/>
    <w:tmpl w:val="C896B5A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8A70B7B"/>
    <w:multiLevelType w:val="hybridMultilevel"/>
    <w:tmpl w:val="26D4ED5A"/>
    <w:lvl w:ilvl="0" w:tplc="1F22DA16">
      <w:start w:val="1"/>
      <w:numFmt w:val="upperLetter"/>
      <w:lvlText w:val="%1."/>
      <w:lvlJc w:val="left"/>
      <w:pPr>
        <w:ind w:left="1429" w:hanging="360"/>
      </w:pPr>
      <w:rPr>
        <w:rFonts w:ascii="Book Antiqua" w:hAnsi="Book Antiqua" w:hint="default"/>
        <w:color w:val="000000"/>
        <w:sz w:val="24"/>
        <w:szCs w:val="44"/>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 w15:restartNumberingAfterBreak="0">
    <w:nsid w:val="59A54F29"/>
    <w:multiLevelType w:val="hybridMultilevel"/>
    <w:tmpl w:val="8AD23A0C"/>
    <w:lvl w:ilvl="0" w:tplc="4516D8C4">
      <w:start w:val="1"/>
      <w:numFmt w:val="decimal"/>
      <w:lvlText w:val="%1."/>
      <w:lvlJc w:val="left"/>
      <w:pPr>
        <w:ind w:left="644" w:hanging="360"/>
      </w:pPr>
      <w:rPr>
        <w:rFonts w:ascii="Book Antiqua" w:hAnsi="Book Antiqua" w:hint="default"/>
        <w:sz w:val="24"/>
        <w:szCs w:val="24"/>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329796005">
    <w:abstractNumId w:val="0"/>
  </w:num>
  <w:num w:numId="2" w16cid:durableId="652830507">
    <w:abstractNumId w:val="2"/>
  </w:num>
  <w:num w:numId="3" w16cid:durableId="765543055">
    <w:abstractNumId w:val="1"/>
  </w:num>
  <w:num w:numId="4" w16cid:durableId="623273400">
    <w:abstractNumId w:val="4"/>
  </w:num>
  <w:num w:numId="5" w16cid:durableId="1184050306">
    <w:abstractNumId w:val="3"/>
  </w:num>
  <w:num w:numId="6" w16cid:durableId="7273847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2F9"/>
    <w:rsid w:val="000E4780"/>
    <w:rsid w:val="004562F9"/>
    <w:rsid w:val="0093744C"/>
    <w:rsid w:val="00C07EBB"/>
    <w:rsid w:val="00F655DA"/>
    <w:rsid w:val="00FE179E"/>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8FD1"/>
  <w15:docId w15:val="{7E319905-01A9-4C86-A2EA-5394F0B2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zh-CN"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rPr>
      <w:szCs w:val="28"/>
      <w:lang w:bidi="bn-IN"/>
    </w:rPr>
  </w:style>
  <w:style w:type="paragraph" w:styleId="Heading1">
    <w:name w:val="heading 1"/>
    <w:next w:val="Normal"/>
    <w:link w:val="Heading1Char"/>
    <w:uiPriority w:val="9"/>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uiPriority w:val="9"/>
    <w:unhideWhenUsed/>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uiPriority w:val="9"/>
    <w:unhideWhenUsed/>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semiHidden/>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u w:color="000000"/>
      <w:bdr w:val="nil"/>
      <w:lang w:val="fi-FI" w:eastAsia="fi-FI"/>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US"/>
    </w:rPr>
  </w:style>
  <w:style w:type="character" w:customStyle="1" w:styleId="y2iqfc">
    <w:name w:val="y2iqfc"/>
    <w:basedOn w:val="DefaultParagraphFont"/>
    <w:rsid w:val="00C50B7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8.png"/><Relationship Id="rId18" Type="http://schemas.openxmlformats.org/officeDocument/2006/relationships/hyperlink" Target="https://creativecommons.org/licenses/by/4.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7" Type="http://schemas.openxmlformats.org/officeDocument/2006/relationships/hyperlink" Target="https://creativecommons.org/licenses/by/4.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47268/pamali.v4i1.XXXX"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7268/pamali.v4i1.XXXX"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fhukum.unpatti.ac.id/jurnal/pamali/index" TargetMode="External"/><Relationship Id="rId14" Type="http://schemas.openxmlformats.org/officeDocument/2006/relationships/image" Target="media/image3.jp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hyperlink" Target="https://pasca.unpatti.ac.id/" TargetMode="External"/><Relationship Id="rId1" Type="http://schemas.openxmlformats.org/officeDocument/2006/relationships/hyperlink" Target="https://sinta.ristekbrin.go.id/authors/detail?id=6710041&amp;view=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g5rQOwhNXzVrYi7cXjyB6wfBOQ==">CgMxLjAyCGguZ2pkZ3hzMgloLjMwajB6bGw4AHIhMWNPcF9TT0FWbXQ3QXRNQ0p2U0tlbnZRU3hpeEpZMmF5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5287</Words>
  <Characters>30141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sarip hidayat</cp:lastModifiedBy>
  <cp:revision>3</cp:revision>
  <dcterms:created xsi:type="dcterms:W3CDTF">2024-05-12T01:59:00Z</dcterms:created>
  <dcterms:modified xsi:type="dcterms:W3CDTF">2025-09-08T04:10:00Z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