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BFCF3"/>
  <w:body>
    <w:p w:rsidR="004B1F20" w:rsidRPr="00144C93" w:rsidRDefault="004B1F20" w:rsidP="00A26219">
      <w:pPr>
        <w:pStyle w:val="Heading3"/>
        <w:spacing w:before="0" w:line="240" w:lineRule="auto"/>
        <w:jc w:val="both"/>
        <w:rPr>
          <w:rStyle w:val="Heading1Char"/>
          <w:rFonts w:ascii="Book Antiqua" w:hAnsi="Book Antiqua" w:cstheme="majorHAnsi"/>
          <w:b/>
          <w:sz w:val="36"/>
          <w:lang w:val="id-ID"/>
        </w:rPr>
      </w:pPr>
      <w:bookmarkStart w:id="0" w:name="_Toc292564709"/>
      <w:bookmarkStart w:id="1" w:name="_Toc1"/>
    </w:p>
    <w:p w:rsidR="00AF20D0" w:rsidRPr="00144C93" w:rsidRDefault="002E076C" w:rsidP="00A26219">
      <w:pPr>
        <w:pStyle w:val="ListParagraph"/>
        <w:spacing w:after="120" w:line="240" w:lineRule="auto"/>
        <w:ind w:left="0"/>
        <w:contextualSpacing w:val="0"/>
        <w:rPr>
          <w:rFonts w:ascii="Book Antiqua" w:hAnsi="Book Antiqua" w:cs="Calibri"/>
          <w:b/>
          <w:iCs/>
          <w:color w:val="000000" w:themeColor="text1"/>
          <w:sz w:val="28"/>
        </w:rPr>
      </w:pPr>
      <w:r>
        <w:rPr>
          <w:rFonts w:ascii="Book Antiqua" w:hAnsi="Book Antiqua" w:cs="Calibri"/>
          <w:b/>
          <w:iCs/>
          <w:color w:val="000000" w:themeColor="text1"/>
          <w:sz w:val="32"/>
        </w:rPr>
        <w:t>The Crime of Blasphemy i</w:t>
      </w:r>
      <w:r w:rsidR="00D1634A" w:rsidRPr="00144C93">
        <w:rPr>
          <w:rFonts w:ascii="Book Antiqua" w:hAnsi="Book Antiqua" w:cs="Calibri"/>
          <w:b/>
          <w:iCs/>
          <w:color w:val="000000" w:themeColor="text1"/>
          <w:sz w:val="32"/>
        </w:rPr>
        <w:t>n Indonesia:  A Comparative Study</w:t>
      </w:r>
    </w:p>
    <w:p w:rsidR="00AF20D0" w:rsidRPr="00144C93" w:rsidRDefault="00AF20D0" w:rsidP="00A26219">
      <w:pPr>
        <w:pStyle w:val="ListParagraph"/>
        <w:spacing w:after="120" w:line="240" w:lineRule="auto"/>
        <w:ind w:left="0"/>
        <w:contextualSpacing w:val="0"/>
        <w:rPr>
          <w:rFonts w:ascii="Book Antiqua" w:hAnsi="Book Antiqua" w:cs="Calibri"/>
          <w:b/>
          <w:iCs/>
          <w:color w:val="000000" w:themeColor="text1"/>
          <w:sz w:val="28"/>
        </w:rPr>
      </w:pPr>
    </w:p>
    <w:p w:rsidR="004B1F20" w:rsidRPr="00144C93" w:rsidRDefault="00D1634A" w:rsidP="00A26219">
      <w:pPr>
        <w:spacing w:after="120" w:line="240" w:lineRule="auto"/>
        <w:rPr>
          <w:rFonts w:ascii="Book Antiqua" w:hAnsi="Book Antiqua"/>
          <w:b/>
          <w:bCs/>
          <w:sz w:val="24"/>
          <w:szCs w:val="24"/>
          <w:vertAlign w:val="superscript"/>
        </w:rPr>
      </w:pPr>
      <w:r w:rsidRPr="00144C93">
        <w:rPr>
          <w:rFonts w:ascii="Book Antiqua" w:hAnsi="Book Antiqua"/>
          <w:b/>
          <w:bCs/>
          <w:sz w:val="24"/>
          <w:szCs w:val="24"/>
        </w:rPr>
        <w:t>Abdullah</w:t>
      </w:r>
    </w:p>
    <w:p w:rsidR="004B1F20" w:rsidRPr="00144C93" w:rsidRDefault="004B1F20" w:rsidP="002E076C">
      <w:pPr>
        <w:spacing w:after="120" w:line="240" w:lineRule="auto"/>
        <w:rPr>
          <w:rFonts w:ascii="Book Antiqua" w:hAnsi="Book Antiqua"/>
          <w:b/>
          <w:bCs/>
          <w:szCs w:val="22"/>
          <w:lang w:val="es-CO"/>
        </w:rPr>
      </w:pPr>
    </w:p>
    <w:p w:rsidR="004B1F20" w:rsidRPr="00144C93" w:rsidRDefault="00446AFC" w:rsidP="00A26219">
      <w:pPr>
        <w:spacing w:after="120" w:line="240" w:lineRule="auto"/>
        <w:rPr>
          <w:rFonts w:ascii="Book Antiqua" w:hAnsi="Book Antiqua"/>
          <w:bCs/>
          <w:szCs w:val="24"/>
        </w:rPr>
      </w:pPr>
      <w:r w:rsidRPr="00144C93">
        <w:rPr>
          <w:rFonts w:ascii="Book Antiqua" w:hAnsi="Book Antiqua"/>
          <w:bCs/>
          <w:i/>
          <w:iCs/>
          <w:noProof/>
          <w:color w:val="000000" w:themeColor="text1"/>
          <w:lang w:bidi="ar-SA"/>
        </w:rPr>
        <w:drawing>
          <wp:anchor distT="0" distB="0" distL="114300" distR="114300" simplePos="0" relativeHeight="251660288" behindDoc="1" locked="0" layoutInCell="1" allowOverlap="1" wp14:anchorId="77FF2C9D" wp14:editId="135F7C46">
            <wp:simplePos x="0" y="0"/>
            <wp:positionH relativeFrom="margin">
              <wp:posOffset>5722620</wp:posOffset>
            </wp:positionH>
            <wp:positionV relativeFrom="paragraph">
              <wp:posOffset>179420</wp:posOffset>
            </wp:positionV>
            <wp:extent cx="426720" cy="445770"/>
            <wp:effectExtent l="0" t="0" r="0" b="0"/>
            <wp:wrapNone/>
            <wp:docPr id="4" name="Picture 4">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hlinkClick r:id="rId9"/>
                    </pic:cNvPr>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26720" cy="445770"/>
                    </a:xfrm>
                    <a:prstGeom prst="rect">
                      <a:avLst/>
                    </a:prstGeom>
                  </pic:spPr>
                </pic:pic>
              </a:graphicData>
            </a:graphic>
            <wp14:sizeRelH relativeFrom="page">
              <wp14:pctWidth>0</wp14:pctWidth>
            </wp14:sizeRelH>
            <wp14:sizeRelV relativeFrom="page">
              <wp14:pctHeight>0</wp14:pctHeight>
            </wp14:sizeRelV>
          </wp:anchor>
        </w:drawing>
      </w:r>
      <w:proofErr w:type="gramStart"/>
      <w:r w:rsidR="002E076C">
        <w:rPr>
          <w:rFonts w:ascii="Book Antiqua" w:hAnsi="Book Antiqua"/>
          <w:bCs/>
          <w:szCs w:val="24"/>
        </w:rPr>
        <w:t>Faculty of Sharia</w:t>
      </w:r>
      <w:r w:rsidR="008D798C" w:rsidRPr="00144C93">
        <w:rPr>
          <w:rFonts w:ascii="Book Antiqua" w:hAnsi="Book Antiqua"/>
          <w:bCs/>
          <w:szCs w:val="24"/>
        </w:rPr>
        <w:t xml:space="preserve"> </w:t>
      </w:r>
      <w:proofErr w:type="spellStart"/>
      <w:r w:rsidR="008D798C" w:rsidRPr="00144C93">
        <w:rPr>
          <w:rFonts w:ascii="Book Antiqua" w:hAnsi="Book Antiqua"/>
          <w:bCs/>
          <w:szCs w:val="24"/>
        </w:rPr>
        <w:t>Institut</w:t>
      </w:r>
      <w:proofErr w:type="spellEnd"/>
      <w:r w:rsidR="008D798C" w:rsidRPr="00144C93">
        <w:rPr>
          <w:rFonts w:ascii="Book Antiqua" w:hAnsi="Book Antiqua"/>
          <w:bCs/>
          <w:szCs w:val="24"/>
        </w:rPr>
        <w:t xml:space="preserve"> Agama Islam </w:t>
      </w:r>
      <w:proofErr w:type="spellStart"/>
      <w:r w:rsidR="008D798C" w:rsidRPr="00144C93">
        <w:rPr>
          <w:rFonts w:ascii="Book Antiqua" w:hAnsi="Book Antiqua"/>
          <w:bCs/>
          <w:szCs w:val="24"/>
        </w:rPr>
        <w:t>Negeri</w:t>
      </w:r>
      <w:proofErr w:type="spellEnd"/>
      <w:r w:rsidR="008D798C" w:rsidRPr="00144C93">
        <w:rPr>
          <w:rFonts w:ascii="Book Antiqua" w:hAnsi="Book Antiqua"/>
          <w:bCs/>
          <w:szCs w:val="24"/>
        </w:rPr>
        <w:t xml:space="preserve"> (IAIN) </w:t>
      </w:r>
      <w:proofErr w:type="spellStart"/>
      <w:r w:rsidR="008D798C" w:rsidRPr="00144C93">
        <w:rPr>
          <w:rFonts w:ascii="Book Antiqua" w:hAnsi="Book Antiqua"/>
          <w:bCs/>
          <w:szCs w:val="24"/>
        </w:rPr>
        <w:t>Lhokseumawe</w:t>
      </w:r>
      <w:proofErr w:type="spellEnd"/>
      <w:r w:rsidR="008D798C" w:rsidRPr="00144C93">
        <w:rPr>
          <w:rFonts w:ascii="Book Antiqua" w:hAnsi="Book Antiqua"/>
          <w:bCs/>
          <w:szCs w:val="24"/>
        </w:rPr>
        <w:t xml:space="preserve">, </w:t>
      </w:r>
      <w:proofErr w:type="spellStart"/>
      <w:r w:rsidR="001D3CDD">
        <w:rPr>
          <w:rFonts w:ascii="Book Antiqua" w:hAnsi="Book Antiqua"/>
          <w:bCs/>
          <w:szCs w:val="24"/>
        </w:rPr>
        <w:t>Lhokseumawe</w:t>
      </w:r>
      <w:proofErr w:type="spellEnd"/>
      <w:r w:rsidR="002E076C">
        <w:rPr>
          <w:rFonts w:ascii="Book Antiqua" w:hAnsi="Book Antiqua"/>
          <w:bCs/>
          <w:szCs w:val="24"/>
        </w:rPr>
        <w:t>, Indonesia</w:t>
      </w:r>
      <w:r w:rsidR="004B1F20" w:rsidRPr="00144C93">
        <w:rPr>
          <w:rFonts w:ascii="Book Antiqua" w:hAnsi="Book Antiqua"/>
          <w:bCs/>
          <w:szCs w:val="24"/>
        </w:rPr>
        <w:t>.</w:t>
      </w:r>
      <w:proofErr w:type="gramEnd"/>
    </w:p>
    <w:p w:rsidR="009001C8" w:rsidRPr="00144C93" w:rsidRDefault="004B1F20" w:rsidP="00A26219">
      <w:pPr>
        <w:spacing w:after="120" w:line="240" w:lineRule="auto"/>
        <w:rPr>
          <w:rStyle w:val="Hyperlink"/>
          <w:rFonts w:ascii="Book Antiqua" w:hAnsi="Book Antiqua"/>
          <w:bCs/>
          <w:color w:val="000000" w:themeColor="text1"/>
          <w:szCs w:val="24"/>
          <w:u w:val="none"/>
        </w:rPr>
      </w:pPr>
      <w:r w:rsidRPr="00144C93">
        <w:rPr>
          <w:rFonts w:ascii="Book Antiqua" w:hAnsi="Book Antiqua"/>
          <w:bCs/>
          <w:i/>
          <w:iCs/>
          <w:noProof/>
          <w:color w:val="000000" w:themeColor="text1"/>
          <w:lang w:bidi="ar-SA"/>
        </w:rPr>
        <w:drawing>
          <wp:anchor distT="0" distB="0" distL="114300" distR="114300" simplePos="0" relativeHeight="251661312" behindDoc="0" locked="0" layoutInCell="1" allowOverlap="1" wp14:anchorId="512F3902" wp14:editId="1BAAE8AE">
            <wp:simplePos x="0" y="0"/>
            <wp:positionH relativeFrom="column">
              <wp:posOffset>0</wp:posOffset>
            </wp:positionH>
            <wp:positionV relativeFrom="paragraph">
              <wp:posOffset>0</wp:posOffset>
            </wp:positionV>
            <wp:extent cx="208169" cy="144000"/>
            <wp:effectExtent l="0" t="0" r="1905" b="8890"/>
            <wp:wrapNone/>
            <wp:docPr id="10" name="Picture 10" descr="E:\FileKu\Jurnal BALOBE\downlo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FileKu\Jurnal BALOBE\download.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8169" cy="144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44C93">
        <w:rPr>
          <w:rFonts w:ascii="Book Antiqua" w:hAnsi="Book Antiqua"/>
          <w:bCs/>
          <w:sz w:val="18"/>
          <w:szCs w:val="24"/>
        </w:rPr>
        <w:t xml:space="preserve">       </w:t>
      </w:r>
      <w:r w:rsidRPr="00144C93">
        <w:rPr>
          <w:rFonts w:ascii="Book Antiqua" w:hAnsi="Book Antiqua"/>
          <w:bCs/>
          <w:szCs w:val="24"/>
        </w:rPr>
        <w:t>:</w:t>
      </w:r>
      <w:r w:rsidRPr="00144C93">
        <w:rPr>
          <w:rFonts w:ascii="Book Antiqua" w:hAnsi="Book Antiqua"/>
          <w:bCs/>
          <w:szCs w:val="24"/>
          <w:vertAlign w:val="superscript"/>
        </w:rPr>
        <w:t xml:space="preserve"> </w:t>
      </w:r>
      <w:r w:rsidR="00D1634A" w:rsidRPr="00144C93">
        <w:rPr>
          <w:rStyle w:val="Hyperlink"/>
          <w:rFonts w:ascii="Book Antiqua" w:hAnsi="Book Antiqua"/>
          <w:color w:val="000000" w:themeColor="text1"/>
          <w:sz w:val="20"/>
          <w:u w:val="none"/>
        </w:rPr>
        <w:t>abdullahimumali@gmail.com</w:t>
      </w:r>
    </w:p>
    <w:p w:rsidR="00023DA6" w:rsidRPr="00144C93" w:rsidRDefault="00023DA6" w:rsidP="00A26219">
      <w:pPr>
        <w:spacing w:after="120" w:line="240" w:lineRule="auto"/>
        <w:ind w:left="426"/>
        <w:rPr>
          <w:rFonts w:ascii="Book Antiqua" w:hAnsi="Book Antiqua"/>
          <w:bCs/>
          <w:szCs w:val="24"/>
          <w:vertAlign w:val="superscript"/>
        </w:rPr>
      </w:pPr>
      <w:r w:rsidRPr="00144C93">
        <w:rPr>
          <w:rFonts w:ascii="Book Antiqua" w:hAnsi="Book Antiqua"/>
          <w:bCs/>
          <w:sz w:val="20"/>
          <w:szCs w:val="24"/>
        </w:rPr>
        <w:t>Corresponding Author</w:t>
      </w:r>
      <w:r w:rsidRPr="00144C93">
        <w:rPr>
          <w:rFonts w:ascii="Book Antiqua" w:hAnsi="Book Antiqua"/>
          <w:bCs/>
          <w:sz w:val="20"/>
          <w:szCs w:val="24"/>
          <w:vertAlign w:val="superscript"/>
        </w:rPr>
        <w:t>*</w:t>
      </w:r>
    </w:p>
    <w:tbl>
      <w:tblPr>
        <w:tblW w:w="9639" w:type="dxa"/>
        <w:tblLayout w:type="fixed"/>
        <w:tblLook w:val="04A0" w:firstRow="1" w:lastRow="0" w:firstColumn="1" w:lastColumn="0" w:noHBand="0" w:noVBand="1"/>
      </w:tblPr>
      <w:tblGrid>
        <w:gridCol w:w="2694"/>
        <w:gridCol w:w="96"/>
        <w:gridCol w:w="338"/>
        <w:gridCol w:w="2401"/>
        <w:gridCol w:w="4110"/>
      </w:tblGrid>
      <w:tr w:rsidR="004B1F20" w:rsidRPr="00144C93" w:rsidTr="004B1F20">
        <w:tc>
          <w:tcPr>
            <w:tcW w:w="2694" w:type="dxa"/>
            <w:tcBorders>
              <w:bottom w:val="single" w:sz="4" w:space="0" w:color="auto"/>
            </w:tcBorders>
            <w:shd w:val="clear" w:color="auto" w:fill="D0CECE" w:themeFill="background2" w:themeFillShade="E6"/>
          </w:tcPr>
          <w:p w:rsidR="004B1F20" w:rsidRPr="00144C93" w:rsidRDefault="008A0E02" w:rsidP="00A26219">
            <w:pPr>
              <w:spacing w:after="120" w:line="240" w:lineRule="auto"/>
              <w:jc w:val="center"/>
              <w:rPr>
                <w:rFonts w:ascii="Book Antiqua" w:hAnsi="Book Antiqua"/>
                <w:bCs/>
                <w:i/>
                <w:iCs/>
                <w:color w:val="000000"/>
                <w:sz w:val="20"/>
                <w:szCs w:val="24"/>
              </w:rPr>
            </w:pPr>
            <w:r w:rsidRPr="00144C93">
              <w:rPr>
                <w:rFonts w:ascii="Book Antiqua" w:hAnsi="Book Antiqua"/>
                <w:bCs/>
                <w:i/>
                <w:iCs/>
                <w:color w:val="000000"/>
                <w:sz w:val="20"/>
                <w:szCs w:val="24"/>
              </w:rPr>
              <w:t>Subm</w:t>
            </w:r>
            <w:r w:rsidR="00DF0E65" w:rsidRPr="00144C93">
              <w:rPr>
                <w:rFonts w:ascii="Book Antiqua" w:hAnsi="Book Antiqua"/>
                <w:bCs/>
                <w:i/>
                <w:iCs/>
                <w:color w:val="000000"/>
                <w:sz w:val="20"/>
                <w:szCs w:val="24"/>
              </w:rPr>
              <w:t>itted</w:t>
            </w:r>
            <w:r w:rsidR="004B1F20" w:rsidRPr="00144C93">
              <w:rPr>
                <w:rFonts w:ascii="Book Antiqua" w:hAnsi="Book Antiqua"/>
                <w:bCs/>
                <w:i/>
                <w:iCs/>
                <w:color w:val="000000"/>
                <w:sz w:val="20"/>
                <w:szCs w:val="24"/>
              </w:rPr>
              <w:t>:</w:t>
            </w:r>
          </w:p>
        </w:tc>
        <w:tc>
          <w:tcPr>
            <w:tcW w:w="2835" w:type="dxa"/>
            <w:gridSpan w:val="3"/>
            <w:shd w:val="clear" w:color="auto" w:fill="D0CECE" w:themeFill="background2" w:themeFillShade="E6"/>
          </w:tcPr>
          <w:p w:rsidR="004B1F20" w:rsidRPr="00144C93" w:rsidRDefault="008A0E02" w:rsidP="00A26219">
            <w:pPr>
              <w:spacing w:after="120" w:line="240" w:lineRule="auto"/>
              <w:jc w:val="center"/>
              <w:rPr>
                <w:rFonts w:ascii="Book Antiqua" w:hAnsi="Book Antiqua"/>
                <w:bCs/>
                <w:i/>
                <w:iCs/>
                <w:color w:val="000000"/>
                <w:sz w:val="20"/>
                <w:szCs w:val="24"/>
                <w:lang w:val="id-ID"/>
              </w:rPr>
            </w:pPr>
            <w:r w:rsidRPr="00144C93">
              <w:rPr>
                <w:rFonts w:ascii="Book Antiqua" w:hAnsi="Book Antiqua"/>
                <w:bCs/>
                <w:i/>
                <w:iCs/>
                <w:color w:val="000000"/>
                <w:sz w:val="20"/>
                <w:szCs w:val="24"/>
              </w:rPr>
              <w:t>Revised</w:t>
            </w:r>
            <w:r w:rsidR="004B1F20" w:rsidRPr="00144C93">
              <w:rPr>
                <w:rFonts w:ascii="Book Antiqua" w:hAnsi="Book Antiqua"/>
                <w:bCs/>
                <w:i/>
                <w:iCs/>
                <w:color w:val="000000"/>
                <w:sz w:val="20"/>
                <w:szCs w:val="24"/>
              </w:rPr>
              <w:t>:</w:t>
            </w:r>
          </w:p>
        </w:tc>
        <w:tc>
          <w:tcPr>
            <w:tcW w:w="4110" w:type="dxa"/>
            <w:tcBorders>
              <w:bottom w:val="single" w:sz="4" w:space="0" w:color="auto"/>
            </w:tcBorders>
            <w:shd w:val="clear" w:color="auto" w:fill="D0CECE" w:themeFill="background2" w:themeFillShade="E6"/>
          </w:tcPr>
          <w:p w:rsidR="004B1F20" w:rsidRPr="00144C93" w:rsidRDefault="00DF0E65" w:rsidP="00A26219">
            <w:pPr>
              <w:spacing w:after="120" w:line="240" w:lineRule="auto"/>
              <w:jc w:val="center"/>
              <w:rPr>
                <w:rFonts w:ascii="Book Antiqua" w:hAnsi="Book Antiqua"/>
                <w:bCs/>
                <w:i/>
                <w:iCs/>
                <w:color w:val="000000"/>
                <w:sz w:val="20"/>
                <w:szCs w:val="24"/>
              </w:rPr>
            </w:pPr>
            <w:r w:rsidRPr="00144C93">
              <w:rPr>
                <w:rFonts w:ascii="Book Antiqua" w:hAnsi="Book Antiqua"/>
                <w:bCs/>
                <w:i/>
                <w:iCs/>
                <w:color w:val="000000"/>
                <w:sz w:val="20"/>
                <w:szCs w:val="24"/>
              </w:rPr>
              <w:t>Published</w:t>
            </w:r>
            <w:r w:rsidR="004B1F20" w:rsidRPr="00144C93">
              <w:rPr>
                <w:rFonts w:ascii="Book Antiqua" w:hAnsi="Book Antiqua"/>
                <w:bCs/>
                <w:i/>
                <w:iCs/>
                <w:color w:val="000000"/>
                <w:sz w:val="20"/>
                <w:szCs w:val="24"/>
              </w:rPr>
              <w:t>:</w:t>
            </w:r>
          </w:p>
        </w:tc>
      </w:tr>
      <w:tr w:rsidR="004B1F20" w:rsidRPr="00144C93" w:rsidTr="00F505F5">
        <w:tc>
          <w:tcPr>
            <w:tcW w:w="2790" w:type="dxa"/>
            <w:gridSpan w:val="2"/>
            <w:tcBorders>
              <w:top w:val="single" w:sz="4" w:space="0" w:color="auto"/>
              <w:bottom w:val="single" w:sz="4" w:space="0" w:color="auto"/>
            </w:tcBorders>
            <w:shd w:val="clear" w:color="auto" w:fill="D9E2F3" w:themeFill="accent1" w:themeFillTint="33"/>
          </w:tcPr>
          <w:p w:rsidR="004B1F20" w:rsidRPr="00144C93" w:rsidRDefault="004B1F20" w:rsidP="00A26219">
            <w:pPr>
              <w:spacing w:after="120" w:line="240" w:lineRule="auto"/>
              <w:rPr>
                <w:rFonts w:ascii="Book Antiqua" w:hAnsi="Book Antiqua"/>
                <w:b/>
                <w:bCs/>
                <w:i/>
                <w:iCs/>
                <w:color w:val="000000"/>
                <w:szCs w:val="24"/>
                <w:lang w:val="id-ID"/>
              </w:rPr>
            </w:pPr>
            <w:r w:rsidRPr="00144C93">
              <w:rPr>
                <w:rFonts w:ascii="Book Antiqua" w:hAnsi="Book Antiqua"/>
                <w:b/>
                <w:bCs/>
                <w:i/>
                <w:iCs/>
                <w:color w:val="000000"/>
                <w:szCs w:val="24"/>
                <w:lang w:val="id-ID"/>
              </w:rPr>
              <w:t>Article Info</w:t>
            </w:r>
          </w:p>
        </w:tc>
        <w:tc>
          <w:tcPr>
            <w:tcW w:w="338" w:type="dxa"/>
          </w:tcPr>
          <w:p w:rsidR="004B1F20" w:rsidRPr="00144C93" w:rsidRDefault="004B1F20" w:rsidP="00A26219">
            <w:pPr>
              <w:spacing w:after="120" w:line="240" w:lineRule="auto"/>
              <w:rPr>
                <w:rFonts w:ascii="Book Antiqua" w:hAnsi="Book Antiqua"/>
                <w:b/>
                <w:bCs/>
                <w:i/>
                <w:iCs/>
                <w:color w:val="000000"/>
                <w:szCs w:val="24"/>
                <w:lang w:val="id-ID"/>
              </w:rPr>
            </w:pPr>
          </w:p>
        </w:tc>
        <w:tc>
          <w:tcPr>
            <w:tcW w:w="6511" w:type="dxa"/>
            <w:gridSpan w:val="2"/>
            <w:tcBorders>
              <w:top w:val="single" w:sz="4" w:space="0" w:color="auto"/>
              <w:bottom w:val="single" w:sz="4" w:space="0" w:color="auto"/>
            </w:tcBorders>
            <w:shd w:val="clear" w:color="auto" w:fill="D9E2F3" w:themeFill="accent1" w:themeFillTint="33"/>
          </w:tcPr>
          <w:p w:rsidR="004B1F20" w:rsidRPr="00144C93" w:rsidRDefault="004B1F20" w:rsidP="00A26219">
            <w:pPr>
              <w:spacing w:after="120" w:line="240" w:lineRule="auto"/>
              <w:rPr>
                <w:rFonts w:ascii="Book Antiqua" w:hAnsi="Book Antiqua"/>
                <w:b/>
                <w:bCs/>
                <w:i/>
                <w:iCs/>
                <w:color w:val="000000"/>
                <w:szCs w:val="24"/>
                <w:lang w:val="id-ID"/>
              </w:rPr>
            </w:pPr>
            <w:r w:rsidRPr="00144C93">
              <w:rPr>
                <w:rFonts w:ascii="Book Antiqua" w:hAnsi="Book Antiqua"/>
                <w:b/>
                <w:bCs/>
                <w:i/>
                <w:iCs/>
                <w:color w:val="000000"/>
                <w:szCs w:val="24"/>
                <w:lang w:val="id-ID"/>
              </w:rPr>
              <w:t>Abstract</w:t>
            </w:r>
          </w:p>
        </w:tc>
      </w:tr>
      <w:tr w:rsidR="00F505F5" w:rsidRPr="00144C93" w:rsidTr="00F505F5">
        <w:trPr>
          <w:trHeight w:val="2551"/>
        </w:trPr>
        <w:tc>
          <w:tcPr>
            <w:tcW w:w="2790" w:type="dxa"/>
            <w:gridSpan w:val="2"/>
            <w:vMerge w:val="restart"/>
            <w:shd w:val="clear" w:color="auto" w:fill="B4C6E7" w:themeFill="accent1" w:themeFillTint="66"/>
          </w:tcPr>
          <w:p w:rsidR="00F505F5" w:rsidRPr="00144C93" w:rsidRDefault="00F505F5" w:rsidP="00A26219">
            <w:pPr>
              <w:tabs>
                <w:tab w:val="left" w:pos="330"/>
              </w:tabs>
              <w:spacing w:after="120" w:line="240" w:lineRule="auto"/>
              <w:rPr>
                <w:rFonts w:ascii="Book Antiqua" w:hAnsi="Book Antiqua"/>
                <w:b/>
                <w:bCs/>
                <w:i/>
                <w:iCs/>
                <w:color w:val="000000"/>
                <w:lang w:val="id-ID"/>
              </w:rPr>
            </w:pPr>
          </w:p>
          <w:p w:rsidR="00F505F5" w:rsidRPr="00144C93" w:rsidRDefault="00F505F5" w:rsidP="00A26219">
            <w:pPr>
              <w:tabs>
                <w:tab w:val="left" w:pos="330"/>
              </w:tabs>
              <w:spacing w:after="120" w:line="240" w:lineRule="auto"/>
              <w:rPr>
                <w:rFonts w:ascii="Book Antiqua" w:hAnsi="Book Antiqua"/>
                <w:b/>
                <w:bCs/>
                <w:i/>
                <w:iCs/>
                <w:color w:val="000000" w:themeColor="text1"/>
                <w:lang w:val="id-ID"/>
              </w:rPr>
            </w:pPr>
            <w:r w:rsidRPr="00144C93">
              <w:rPr>
                <w:rFonts w:ascii="Book Antiqua" w:hAnsi="Book Antiqua"/>
                <w:b/>
                <w:bCs/>
                <w:i/>
                <w:iCs/>
                <w:color w:val="000000" w:themeColor="text1"/>
                <w:lang w:val="id-ID"/>
              </w:rPr>
              <w:t>Keywords:</w:t>
            </w:r>
          </w:p>
          <w:p w:rsidR="00F505F5" w:rsidRPr="00144C93" w:rsidRDefault="00070E07" w:rsidP="00A26219">
            <w:pPr>
              <w:tabs>
                <w:tab w:val="left" w:pos="330"/>
              </w:tabs>
              <w:spacing w:after="120" w:line="240" w:lineRule="auto"/>
              <w:rPr>
                <w:rFonts w:ascii="Book Antiqua" w:hAnsi="Book Antiqua"/>
                <w:i/>
              </w:rPr>
            </w:pPr>
            <w:r w:rsidRPr="00144C93">
              <w:rPr>
                <w:rFonts w:ascii="Book Antiqua" w:hAnsi="Book Antiqua"/>
                <w:i/>
              </w:rPr>
              <w:t xml:space="preserve">Crime; Blasphemy; Religion; </w:t>
            </w:r>
            <w:r w:rsidR="00C26A6F" w:rsidRPr="00144C93">
              <w:rPr>
                <w:rFonts w:ascii="Book Antiqua" w:hAnsi="Book Antiqua"/>
                <w:i/>
              </w:rPr>
              <w:t>Indonesia</w:t>
            </w:r>
            <w:r w:rsidRPr="00144C93">
              <w:rPr>
                <w:rFonts w:ascii="Book Antiqua" w:hAnsi="Book Antiqua"/>
                <w:i/>
              </w:rPr>
              <w:t>; Comparative Study</w:t>
            </w:r>
          </w:p>
          <w:p w:rsidR="00F505F5" w:rsidRPr="00144C93" w:rsidRDefault="00F505F5" w:rsidP="00A26219">
            <w:pPr>
              <w:tabs>
                <w:tab w:val="left" w:pos="330"/>
              </w:tabs>
              <w:spacing w:after="120" w:line="240" w:lineRule="auto"/>
              <w:rPr>
                <w:rFonts w:ascii="Book Antiqua" w:hAnsi="Book Antiqua"/>
                <w:i/>
              </w:rPr>
            </w:pPr>
          </w:p>
          <w:p w:rsidR="00F505F5" w:rsidRPr="00144C93" w:rsidRDefault="00F505F5" w:rsidP="00A26219">
            <w:pPr>
              <w:tabs>
                <w:tab w:val="left" w:pos="330"/>
              </w:tabs>
              <w:spacing w:after="120" w:line="240" w:lineRule="auto"/>
              <w:rPr>
                <w:rFonts w:ascii="Book Antiqua" w:hAnsi="Book Antiqua"/>
                <w:i/>
              </w:rPr>
            </w:pPr>
          </w:p>
          <w:p w:rsidR="00F505F5" w:rsidRPr="00144C93" w:rsidRDefault="00F505F5" w:rsidP="00A26219">
            <w:pPr>
              <w:tabs>
                <w:tab w:val="left" w:pos="330"/>
              </w:tabs>
              <w:spacing w:after="120" w:line="240" w:lineRule="auto"/>
              <w:rPr>
                <w:rFonts w:ascii="Book Antiqua" w:hAnsi="Book Antiqua"/>
                <w:i/>
              </w:rPr>
            </w:pPr>
          </w:p>
          <w:p w:rsidR="00F505F5" w:rsidRPr="00144C93" w:rsidRDefault="00F505F5" w:rsidP="00A26219">
            <w:pPr>
              <w:tabs>
                <w:tab w:val="left" w:pos="330"/>
              </w:tabs>
              <w:spacing w:after="120" w:line="240" w:lineRule="auto"/>
              <w:rPr>
                <w:rFonts w:ascii="Book Antiqua" w:hAnsi="Book Antiqua"/>
                <w:i/>
              </w:rPr>
            </w:pPr>
          </w:p>
          <w:p w:rsidR="00F505F5" w:rsidRPr="00144C93" w:rsidRDefault="00F505F5" w:rsidP="00A26219">
            <w:pPr>
              <w:tabs>
                <w:tab w:val="left" w:pos="330"/>
              </w:tabs>
              <w:spacing w:after="120" w:line="240" w:lineRule="auto"/>
              <w:rPr>
                <w:rFonts w:ascii="Book Antiqua" w:hAnsi="Book Antiqua"/>
                <w:i/>
              </w:rPr>
            </w:pPr>
          </w:p>
          <w:p w:rsidR="00F505F5" w:rsidRPr="00144C93" w:rsidRDefault="00F505F5" w:rsidP="00A26219">
            <w:pPr>
              <w:tabs>
                <w:tab w:val="left" w:pos="330"/>
              </w:tabs>
              <w:spacing w:after="120" w:line="240" w:lineRule="auto"/>
              <w:rPr>
                <w:rFonts w:ascii="Book Antiqua" w:hAnsi="Book Antiqua"/>
                <w:i/>
              </w:rPr>
            </w:pPr>
          </w:p>
          <w:p w:rsidR="00F505F5" w:rsidRPr="00144C93" w:rsidRDefault="00F505F5" w:rsidP="00A26219">
            <w:pPr>
              <w:tabs>
                <w:tab w:val="left" w:pos="330"/>
              </w:tabs>
              <w:spacing w:after="120" w:line="240" w:lineRule="auto"/>
              <w:rPr>
                <w:rFonts w:ascii="Book Antiqua" w:hAnsi="Book Antiqua"/>
                <w:i/>
              </w:rPr>
            </w:pPr>
          </w:p>
          <w:p w:rsidR="00F505F5" w:rsidRPr="00144C93" w:rsidRDefault="00F505F5" w:rsidP="00A26219">
            <w:pPr>
              <w:tabs>
                <w:tab w:val="left" w:pos="330"/>
              </w:tabs>
              <w:spacing w:after="120" w:line="240" w:lineRule="auto"/>
              <w:rPr>
                <w:rFonts w:ascii="Book Antiqua" w:hAnsi="Book Antiqua"/>
                <w:i/>
              </w:rPr>
            </w:pPr>
          </w:p>
          <w:p w:rsidR="00F505F5" w:rsidRPr="00144C93" w:rsidRDefault="00F505F5" w:rsidP="00A26219">
            <w:pPr>
              <w:tabs>
                <w:tab w:val="left" w:pos="330"/>
              </w:tabs>
              <w:spacing w:after="120" w:line="240" w:lineRule="auto"/>
              <w:rPr>
                <w:rFonts w:ascii="Book Antiqua" w:hAnsi="Book Antiqua"/>
                <w:i/>
              </w:rPr>
            </w:pPr>
          </w:p>
          <w:p w:rsidR="00F505F5" w:rsidRPr="00144C93" w:rsidRDefault="00F505F5" w:rsidP="00A26219">
            <w:pPr>
              <w:tabs>
                <w:tab w:val="left" w:pos="330"/>
              </w:tabs>
              <w:spacing w:after="120" w:line="240" w:lineRule="auto"/>
              <w:rPr>
                <w:rFonts w:ascii="Book Antiqua" w:hAnsi="Book Antiqua"/>
                <w:i/>
              </w:rPr>
            </w:pPr>
          </w:p>
          <w:p w:rsidR="00F505F5" w:rsidRPr="00144C93" w:rsidRDefault="00F505F5" w:rsidP="00A26219">
            <w:pPr>
              <w:tabs>
                <w:tab w:val="left" w:pos="330"/>
              </w:tabs>
              <w:spacing w:after="120" w:line="240" w:lineRule="auto"/>
              <w:rPr>
                <w:rFonts w:ascii="Book Antiqua" w:hAnsi="Book Antiqua"/>
                <w:i/>
              </w:rPr>
            </w:pPr>
          </w:p>
          <w:p w:rsidR="00F505F5" w:rsidRPr="00144C93" w:rsidRDefault="00F505F5" w:rsidP="00A26219">
            <w:pPr>
              <w:tabs>
                <w:tab w:val="left" w:pos="330"/>
              </w:tabs>
              <w:spacing w:after="120" w:line="240" w:lineRule="auto"/>
              <w:rPr>
                <w:rFonts w:ascii="Book Antiqua" w:hAnsi="Book Antiqua"/>
                <w:i/>
              </w:rPr>
            </w:pPr>
          </w:p>
          <w:p w:rsidR="00F505F5" w:rsidRPr="00144C93" w:rsidRDefault="00F505F5" w:rsidP="00A26219">
            <w:pPr>
              <w:tabs>
                <w:tab w:val="left" w:pos="330"/>
              </w:tabs>
              <w:spacing w:after="120" w:line="240" w:lineRule="auto"/>
              <w:rPr>
                <w:rFonts w:ascii="Book Antiqua" w:hAnsi="Book Antiqua"/>
                <w:i/>
              </w:rPr>
            </w:pPr>
          </w:p>
          <w:p w:rsidR="00F505F5" w:rsidRPr="00144C93" w:rsidRDefault="00F505F5" w:rsidP="00A26219">
            <w:pPr>
              <w:tabs>
                <w:tab w:val="left" w:pos="330"/>
              </w:tabs>
              <w:spacing w:after="120" w:line="240" w:lineRule="auto"/>
              <w:rPr>
                <w:rFonts w:ascii="Book Antiqua" w:hAnsi="Book Antiqua"/>
                <w:i/>
              </w:rPr>
            </w:pPr>
          </w:p>
          <w:p w:rsidR="00F505F5" w:rsidRPr="00144C93" w:rsidRDefault="00F505F5" w:rsidP="00A26219">
            <w:pPr>
              <w:tabs>
                <w:tab w:val="left" w:pos="330"/>
              </w:tabs>
              <w:spacing w:after="120" w:line="240" w:lineRule="auto"/>
              <w:rPr>
                <w:rFonts w:ascii="Book Antiqua" w:hAnsi="Book Antiqua"/>
                <w:i/>
              </w:rPr>
            </w:pPr>
          </w:p>
          <w:p w:rsidR="00F505F5" w:rsidRPr="00144C93" w:rsidRDefault="00F505F5" w:rsidP="00A26219">
            <w:pPr>
              <w:tabs>
                <w:tab w:val="left" w:pos="330"/>
              </w:tabs>
              <w:spacing w:after="120" w:line="240" w:lineRule="auto"/>
              <w:rPr>
                <w:rFonts w:ascii="Book Antiqua" w:hAnsi="Book Antiqua"/>
                <w:i/>
              </w:rPr>
            </w:pPr>
          </w:p>
          <w:p w:rsidR="00F505F5" w:rsidRPr="00144C93" w:rsidRDefault="00F505F5" w:rsidP="00A26219">
            <w:pPr>
              <w:tabs>
                <w:tab w:val="left" w:pos="330"/>
              </w:tabs>
              <w:spacing w:after="120" w:line="240" w:lineRule="auto"/>
              <w:rPr>
                <w:rFonts w:ascii="Book Antiqua" w:hAnsi="Book Antiqua"/>
                <w:i/>
              </w:rPr>
            </w:pPr>
          </w:p>
          <w:p w:rsidR="00F505F5" w:rsidRPr="00144C93" w:rsidRDefault="00F505F5" w:rsidP="00A26219">
            <w:pPr>
              <w:tabs>
                <w:tab w:val="left" w:pos="330"/>
              </w:tabs>
              <w:spacing w:after="120" w:line="240" w:lineRule="auto"/>
              <w:rPr>
                <w:rFonts w:ascii="Book Antiqua" w:hAnsi="Book Antiqua"/>
                <w:bCs/>
                <w:i/>
                <w:iCs/>
                <w:color w:val="000000"/>
              </w:rPr>
            </w:pPr>
          </w:p>
        </w:tc>
        <w:tc>
          <w:tcPr>
            <w:tcW w:w="338" w:type="dxa"/>
          </w:tcPr>
          <w:p w:rsidR="00F505F5" w:rsidRPr="00144C93" w:rsidRDefault="00F505F5" w:rsidP="00A26219">
            <w:pPr>
              <w:spacing w:after="120" w:line="240" w:lineRule="auto"/>
              <w:jc w:val="both"/>
              <w:rPr>
                <w:rFonts w:ascii="Book Antiqua" w:hAnsi="Book Antiqua"/>
                <w:i/>
                <w:sz w:val="24"/>
                <w:szCs w:val="24"/>
                <w:lang w:val="id-ID"/>
              </w:rPr>
            </w:pPr>
          </w:p>
        </w:tc>
        <w:tc>
          <w:tcPr>
            <w:tcW w:w="6511" w:type="dxa"/>
            <w:gridSpan w:val="2"/>
            <w:vMerge w:val="restart"/>
            <w:tcBorders>
              <w:top w:val="single" w:sz="4" w:space="0" w:color="auto"/>
              <w:bottom w:val="single" w:sz="4" w:space="0" w:color="auto"/>
            </w:tcBorders>
            <w:shd w:val="clear" w:color="auto" w:fill="auto"/>
          </w:tcPr>
          <w:p w:rsidR="00F505F5" w:rsidRPr="00144C93" w:rsidRDefault="00461F3D" w:rsidP="00A26219">
            <w:pPr>
              <w:spacing w:after="120" w:line="240" w:lineRule="auto"/>
              <w:ind w:right="-108"/>
              <w:jc w:val="both"/>
              <w:rPr>
                <w:rFonts w:ascii="Book Antiqua" w:hAnsi="Book Antiqua"/>
                <w:b/>
                <w:i/>
              </w:rPr>
            </w:pPr>
            <w:r w:rsidRPr="00144C93">
              <w:rPr>
                <w:rFonts w:ascii="Book Antiqua" w:hAnsi="Book Antiqua"/>
                <w:b/>
                <w:i/>
                <w:color w:val="2F5496" w:themeColor="accent1" w:themeShade="BF"/>
              </w:rPr>
              <w:t>Introductio</w:t>
            </w:r>
            <w:r w:rsidR="00F505F5" w:rsidRPr="00144C93">
              <w:rPr>
                <w:rFonts w:ascii="Book Antiqua" w:hAnsi="Book Antiqua"/>
                <w:b/>
                <w:i/>
                <w:color w:val="2F5496" w:themeColor="accent1" w:themeShade="BF"/>
              </w:rPr>
              <w:t>n:</w:t>
            </w:r>
            <w:r w:rsidR="00FD0BC6" w:rsidRPr="00144C93">
              <w:rPr>
                <w:rFonts w:ascii="Book Antiqua" w:hAnsi="Book Antiqua"/>
                <w:b/>
                <w:i/>
                <w:color w:val="2F5496" w:themeColor="accent1" w:themeShade="BF"/>
              </w:rPr>
              <w:t xml:space="preserve"> </w:t>
            </w:r>
            <w:r w:rsidR="00D1634A" w:rsidRPr="00144C93">
              <w:rPr>
                <w:rFonts w:ascii="Book Antiqua" w:hAnsi="Book Antiqua"/>
                <w:i/>
              </w:rPr>
              <w:t>Religion Blasphemy has occasionally been committed in numerous media. Blasphemy instances that started out in print media have since proliferated in the virtual wor</w:t>
            </w:r>
            <w:bookmarkStart w:id="2" w:name="_GoBack"/>
            <w:bookmarkEnd w:id="2"/>
            <w:r w:rsidR="00D1634A" w:rsidRPr="00144C93">
              <w:rPr>
                <w:rFonts w:ascii="Book Antiqua" w:hAnsi="Book Antiqua"/>
                <w:i/>
              </w:rPr>
              <w:t>ld thanks to numerous features and platforms. Because freedom of religion is guaranteed and protected by the Indonesian Constitution, anyone who blasphemes against a particular faith may face severe legal consequences.</w:t>
            </w:r>
          </w:p>
          <w:p w:rsidR="00F505F5" w:rsidRPr="00144C93" w:rsidRDefault="00F505F5" w:rsidP="00A26219">
            <w:pPr>
              <w:spacing w:after="120" w:line="240" w:lineRule="auto"/>
              <w:ind w:right="-108"/>
              <w:jc w:val="both"/>
              <w:rPr>
                <w:rFonts w:ascii="Book Antiqua" w:hAnsi="Book Antiqua"/>
                <w:bCs/>
                <w:i/>
              </w:rPr>
            </w:pPr>
            <w:r w:rsidRPr="00144C93">
              <w:rPr>
                <w:rFonts w:ascii="Book Antiqua" w:hAnsi="Book Antiqua"/>
                <w:b/>
                <w:i/>
                <w:color w:val="2F5496" w:themeColor="accent1" w:themeShade="BF"/>
              </w:rPr>
              <w:t>Purposes of the Research</w:t>
            </w:r>
            <w:r w:rsidRPr="00144C93">
              <w:rPr>
                <w:rFonts w:ascii="Book Antiqua" w:hAnsi="Book Antiqua"/>
                <w:b/>
                <w:bCs/>
                <w:i/>
                <w:color w:val="2F5496" w:themeColor="accent1" w:themeShade="BF"/>
              </w:rPr>
              <w:t xml:space="preserve">: </w:t>
            </w:r>
            <w:r w:rsidRPr="00144C93">
              <w:rPr>
                <w:rFonts w:ascii="Book Antiqua" w:hAnsi="Book Antiqua"/>
                <w:b/>
                <w:bCs/>
                <w:i/>
              </w:rPr>
              <w:t xml:space="preserve"> </w:t>
            </w:r>
            <w:r w:rsidR="00D1634A" w:rsidRPr="00144C93">
              <w:rPr>
                <w:rFonts w:ascii="Book Antiqua" w:hAnsi="Book Antiqua"/>
                <w:i/>
              </w:rPr>
              <w:t>This study aims at analyzing the offense of blasphemy against religion in the perspective of Islamic law and Indonesian law</w:t>
            </w:r>
            <w:r w:rsidR="00D35EA2" w:rsidRPr="00144C93">
              <w:rPr>
                <w:rFonts w:ascii="Book Antiqua" w:hAnsi="Book Antiqua"/>
                <w:i/>
              </w:rPr>
              <w:t>.</w:t>
            </w:r>
          </w:p>
          <w:p w:rsidR="00F505F5" w:rsidRPr="00144C93" w:rsidRDefault="00F505F5" w:rsidP="00A26219">
            <w:pPr>
              <w:spacing w:after="120" w:line="240" w:lineRule="auto"/>
              <w:ind w:right="-108"/>
              <w:jc w:val="both"/>
              <w:rPr>
                <w:rFonts w:ascii="Book Antiqua" w:hAnsi="Book Antiqua"/>
                <w:bCs/>
                <w:i/>
              </w:rPr>
            </w:pPr>
            <w:r w:rsidRPr="00144C93">
              <w:rPr>
                <w:rFonts w:ascii="Book Antiqua" w:hAnsi="Book Antiqua"/>
                <w:b/>
                <w:i/>
                <w:color w:val="2F5496" w:themeColor="accent1" w:themeShade="BF"/>
              </w:rPr>
              <w:t>Methods of the Research</w:t>
            </w:r>
            <w:r w:rsidRPr="00144C93">
              <w:rPr>
                <w:rFonts w:ascii="Book Antiqua" w:hAnsi="Book Antiqua"/>
                <w:b/>
                <w:bCs/>
                <w:i/>
                <w:color w:val="2F5496" w:themeColor="accent1" w:themeShade="BF"/>
              </w:rPr>
              <w:t xml:space="preserve">: </w:t>
            </w:r>
            <w:r w:rsidR="00FD0BC6" w:rsidRPr="00144C93">
              <w:rPr>
                <w:rFonts w:ascii="Book Antiqua" w:hAnsi="Book Antiqua"/>
                <w:i/>
              </w:rPr>
              <w:t xml:space="preserve">This type of research is legalistic, doctrinal or normative. </w:t>
            </w:r>
            <w:r w:rsidR="00D35EA2" w:rsidRPr="00144C93">
              <w:rPr>
                <w:rFonts w:ascii="Book Antiqua" w:hAnsi="Book Antiqua"/>
                <w:i/>
              </w:rPr>
              <w:t>The approach used in normativ</w:t>
            </w:r>
            <w:r w:rsidR="00C26A6F" w:rsidRPr="00144C93">
              <w:rPr>
                <w:rFonts w:ascii="Book Antiqua" w:hAnsi="Book Antiqua"/>
                <w:i/>
              </w:rPr>
              <w:t xml:space="preserve">e or </w:t>
            </w:r>
            <w:r w:rsidR="00D35EA2" w:rsidRPr="00144C93">
              <w:rPr>
                <w:rFonts w:ascii="Book Antiqua" w:hAnsi="Book Antiqua"/>
                <w:i/>
              </w:rPr>
              <w:t xml:space="preserve">legalistic research include a concept approach, a statute approach, historical approach, case approach, and comparative approach. </w:t>
            </w:r>
            <w:r w:rsidR="00D551C9" w:rsidRPr="00144C93">
              <w:rPr>
                <w:rFonts w:ascii="Book Antiqua" w:hAnsi="Book Antiqua"/>
                <w:i/>
              </w:rPr>
              <w:t xml:space="preserve">However, this study only uses comparative approach since it analyzes of regarding blasphemous crimes in </w:t>
            </w:r>
            <w:proofErr w:type="gramStart"/>
            <w:r w:rsidR="00D551C9" w:rsidRPr="00144C93">
              <w:rPr>
                <w:rFonts w:ascii="Book Antiqua" w:hAnsi="Book Antiqua"/>
                <w:i/>
              </w:rPr>
              <w:t>perspective  Indonesian</w:t>
            </w:r>
            <w:proofErr w:type="gramEnd"/>
            <w:r w:rsidR="00D551C9" w:rsidRPr="00144C93">
              <w:rPr>
                <w:rFonts w:ascii="Book Antiqua" w:hAnsi="Book Antiqua"/>
                <w:i/>
              </w:rPr>
              <w:t xml:space="preserve"> and Islamic criminal laws</w:t>
            </w:r>
            <w:r w:rsidR="00D35EA2" w:rsidRPr="00144C93">
              <w:rPr>
                <w:rFonts w:ascii="Book Antiqua" w:hAnsi="Book Antiqua"/>
                <w:i/>
              </w:rPr>
              <w:t>.</w:t>
            </w:r>
          </w:p>
          <w:p w:rsidR="00E71049" w:rsidRPr="00144C93" w:rsidRDefault="00E71049" w:rsidP="00DD3A7F">
            <w:pPr>
              <w:spacing w:after="120" w:line="240" w:lineRule="auto"/>
              <w:ind w:right="-76"/>
              <w:jc w:val="both"/>
              <w:rPr>
                <w:rFonts w:ascii="Book Antiqua" w:hAnsi="Book Antiqua"/>
                <w:bCs/>
                <w:i/>
              </w:rPr>
            </w:pPr>
            <w:r w:rsidRPr="00144C93">
              <w:rPr>
                <w:rFonts w:ascii="Book Antiqua" w:hAnsi="Book Antiqua"/>
                <w:b/>
                <w:i/>
                <w:color w:val="2F5496" w:themeColor="accent1" w:themeShade="BF"/>
              </w:rPr>
              <w:t>Results / Main Findings</w:t>
            </w:r>
            <w:r w:rsidR="00F70D71" w:rsidRPr="00144C93">
              <w:rPr>
                <w:rFonts w:ascii="Book Antiqua" w:hAnsi="Book Antiqua"/>
                <w:b/>
                <w:i/>
                <w:color w:val="2F5496" w:themeColor="accent1" w:themeShade="BF"/>
              </w:rPr>
              <w:t xml:space="preserve"> / Novelty/Originality</w:t>
            </w:r>
            <w:r w:rsidRPr="00144C93">
              <w:rPr>
                <w:rFonts w:ascii="Book Antiqua" w:hAnsi="Book Antiqua"/>
                <w:b/>
                <w:i/>
                <w:color w:val="2F5496" w:themeColor="accent1" w:themeShade="BF"/>
              </w:rPr>
              <w:t xml:space="preserve"> </w:t>
            </w:r>
            <w:r w:rsidR="00F505F5" w:rsidRPr="00144C93">
              <w:rPr>
                <w:rFonts w:ascii="Book Antiqua" w:hAnsi="Book Antiqua"/>
                <w:b/>
                <w:i/>
                <w:color w:val="2F5496" w:themeColor="accent1" w:themeShade="BF"/>
              </w:rPr>
              <w:t>of the Research</w:t>
            </w:r>
            <w:r w:rsidR="00F505F5" w:rsidRPr="00144C93">
              <w:rPr>
                <w:rFonts w:ascii="Book Antiqua" w:hAnsi="Book Antiqua"/>
                <w:b/>
                <w:bCs/>
                <w:i/>
                <w:color w:val="2F5496" w:themeColor="accent1" w:themeShade="BF"/>
              </w:rPr>
              <w:t>:</w:t>
            </w:r>
            <w:r w:rsidR="00F505F5" w:rsidRPr="00144C93">
              <w:rPr>
                <w:rFonts w:ascii="Book Antiqua" w:hAnsi="Book Antiqua"/>
                <w:b/>
                <w:bCs/>
                <w:i/>
              </w:rPr>
              <w:t xml:space="preserve"> </w:t>
            </w:r>
            <w:r w:rsidR="00D551C9" w:rsidRPr="00144C93">
              <w:rPr>
                <w:rFonts w:ascii="Book Antiqua" w:hAnsi="Book Antiqua"/>
                <w:i/>
                <w:color w:val="000000" w:themeColor="text1"/>
              </w:rPr>
              <w:t xml:space="preserve">The government enacted various laws and rules to maintain religious harmony. However, in terms </w:t>
            </w:r>
            <w:r w:rsidR="00DD3A7F" w:rsidRPr="00144C93">
              <w:rPr>
                <w:rFonts w:ascii="Book Antiqua" w:hAnsi="Book Antiqua"/>
                <w:i/>
                <w:color w:val="000000" w:themeColor="text1"/>
              </w:rPr>
              <w:t>of law enforcement, Article 156</w:t>
            </w:r>
            <w:r w:rsidR="00D551C9" w:rsidRPr="00144C93">
              <w:rPr>
                <w:rFonts w:ascii="Book Antiqua" w:hAnsi="Book Antiqua"/>
                <w:i/>
                <w:color w:val="000000" w:themeColor="text1"/>
              </w:rPr>
              <w:t xml:space="preserve"> of the Criminal Code, Article 45A paragraph (2) </w:t>
            </w:r>
            <w:r w:rsidR="00DD3A7F" w:rsidRPr="00144C93">
              <w:rPr>
                <w:rFonts w:ascii="Book Antiqua" w:hAnsi="Book Antiqua"/>
                <w:i/>
                <w:color w:val="000000" w:themeColor="text1"/>
              </w:rPr>
              <w:t>Article 27 paragraph (3)</w:t>
            </w:r>
            <w:r w:rsidR="00D551C9" w:rsidRPr="00144C93">
              <w:rPr>
                <w:rFonts w:ascii="Book Antiqua" w:hAnsi="Book Antiqua"/>
                <w:i/>
                <w:color w:val="000000" w:themeColor="text1"/>
              </w:rPr>
              <w:t xml:space="preserve"> of Law No. 19 of 2016 concerning Electro</w:t>
            </w:r>
            <w:r w:rsidR="00144C93" w:rsidRPr="00144C93">
              <w:rPr>
                <w:rFonts w:ascii="Book Antiqua" w:hAnsi="Book Antiqua"/>
                <w:i/>
                <w:color w:val="000000" w:themeColor="text1"/>
              </w:rPr>
              <w:t>nic Transaction Information</w:t>
            </w:r>
            <w:r w:rsidR="00D551C9" w:rsidRPr="00144C93">
              <w:rPr>
                <w:rFonts w:ascii="Book Antiqua" w:hAnsi="Book Antiqua"/>
                <w:i/>
                <w:color w:val="000000" w:themeColor="text1"/>
              </w:rPr>
              <w:t>, which contains elements of "hostility,</w:t>
            </w:r>
            <w:r w:rsidR="00DD3A7F" w:rsidRPr="00144C93">
              <w:rPr>
                <w:rFonts w:ascii="Book Antiqua" w:hAnsi="Book Antiqua"/>
                <w:i/>
                <w:color w:val="000000" w:themeColor="text1"/>
              </w:rPr>
              <w:t xml:space="preserve"> </w:t>
            </w:r>
            <w:r w:rsidR="00D551C9" w:rsidRPr="00144C93">
              <w:rPr>
                <w:rFonts w:ascii="Book Antiqua" w:hAnsi="Book Antiqua"/>
                <w:i/>
                <w:color w:val="000000" w:themeColor="text1"/>
              </w:rPr>
              <w:t xml:space="preserve">insult and defamation," are the provisions most frequently used to charge those </w:t>
            </w:r>
            <w:r w:rsidR="00DD3A7F" w:rsidRPr="00144C93">
              <w:rPr>
                <w:rFonts w:ascii="Book Antiqua" w:hAnsi="Book Antiqua"/>
                <w:i/>
                <w:color w:val="000000" w:themeColor="text1"/>
              </w:rPr>
              <w:t xml:space="preserve">who commit religious </w:t>
            </w:r>
            <w:proofErr w:type="gramStart"/>
            <w:r w:rsidR="00DD3A7F" w:rsidRPr="00144C93">
              <w:rPr>
                <w:rFonts w:ascii="Book Antiqua" w:hAnsi="Book Antiqua"/>
                <w:i/>
                <w:color w:val="000000" w:themeColor="text1"/>
              </w:rPr>
              <w:t>blasphemy.</w:t>
            </w:r>
            <w:proofErr w:type="gramEnd"/>
            <w:r w:rsidR="00DD3A7F" w:rsidRPr="00144C93">
              <w:rPr>
                <w:rFonts w:ascii="Book Antiqua" w:hAnsi="Book Antiqua"/>
                <w:i/>
                <w:color w:val="000000" w:themeColor="text1"/>
              </w:rPr>
              <w:t xml:space="preserve"> </w:t>
            </w:r>
            <w:r w:rsidR="00D551C9" w:rsidRPr="00144C93">
              <w:rPr>
                <w:rFonts w:ascii="Book Antiqua" w:hAnsi="Book Antiqua"/>
                <w:i/>
                <w:color w:val="000000" w:themeColor="text1"/>
              </w:rPr>
              <w:t>Whereas from the standpoint of Islamic law, blasphemy can take the form of defiling (</w:t>
            </w:r>
            <w:proofErr w:type="spellStart"/>
            <w:r w:rsidR="00D551C9" w:rsidRPr="00144C93">
              <w:rPr>
                <w:rFonts w:ascii="Book Antiqua" w:hAnsi="Book Antiqua"/>
                <w:i/>
                <w:color w:val="000000" w:themeColor="text1"/>
              </w:rPr>
              <w:t>tadnis</w:t>
            </w:r>
            <w:proofErr w:type="spellEnd"/>
            <w:r w:rsidR="00D551C9" w:rsidRPr="00144C93">
              <w:rPr>
                <w:rFonts w:ascii="Book Antiqua" w:hAnsi="Book Antiqua"/>
                <w:i/>
                <w:color w:val="000000" w:themeColor="text1"/>
              </w:rPr>
              <w:t>), insulting (</w:t>
            </w:r>
            <w:proofErr w:type="spellStart"/>
            <w:r w:rsidR="00D551C9" w:rsidRPr="00144C93">
              <w:rPr>
                <w:rFonts w:ascii="Book Antiqua" w:hAnsi="Book Antiqua"/>
                <w:i/>
                <w:color w:val="000000" w:themeColor="text1"/>
              </w:rPr>
              <w:t>istihza</w:t>
            </w:r>
            <w:proofErr w:type="spellEnd"/>
            <w:r w:rsidR="00D551C9" w:rsidRPr="00144C93">
              <w:rPr>
                <w:rFonts w:ascii="Book Antiqua" w:hAnsi="Book Antiqua"/>
                <w:i/>
                <w:color w:val="000000" w:themeColor="text1"/>
              </w:rPr>
              <w:t>), ridiculing (</w:t>
            </w:r>
            <w:proofErr w:type="spellStart"/>
            <w:r w:rsidR="00D551C9" w:rsidRPr="00144C93">
              <w:rPr>
                <w:rFonts w:ascii="Book Antiqua" w:hAnsi="Book Antiqua"/>
                <w:i/>
                <w:color w:val="000000" w:themeColor="text1"/>
              </w:rPr>
              <w:t>syatama</w:t>
            </w:r>
            <w:proofErr w:type="spellEnd"/>
            <w:r w:rsidR="00D551C9" w:rsidRPr="00144C93">
              <w:rPr>
                <w:rFonts w:ascii="Book Antiqua" w:hAnsi="Book Antiqua"/>
                <w:i/>
                <w:color w:val="000000" w:themeColor="text1"/>
              </w:rPr>
              <w:t>), insulting (</w:t>
            </w:r>
            <w:proofErr w:type="spellStart"/>
            <w:r w:rsidR="00D551C9" w:rsidRPr="00144C93">
              <w:rPr>
                <w:rFonts w:ascii="Book Antiqua" w:hAnsi="Book Antiqua"/>
                <w:i/>
                <w:color w:val="000000" w:themeColor="text1"/>
              </w:rPr>
              <w:t>saba</w:t>
            </w:r>
            <w:proofErr w:type="spellEnd"/>
            <w:r w:rsidR="00D551C9" w:rsidRPr="00144C93">
              <w:rPr>
                <w:rFonts w:ascii="Book Antiqua" w:hAnsi="Book Antiqua"/>
                <w:i/>
                <w:color w:val="000000" w:themeColor="text1"/>
              </w:rPr>
              <w:t>), cursing (</w:t>
            </w:r>
            <w:proofErr w:type="spellStart"/>
            <w:r w:rsidR="00D551C9" w:rsidRPr="00144C93">
              <w:rPr>
                <w:rFonts w:ascii="Book Antiqua" w:hAnsi="Book Antiqua"/>
                <w:i/>
                <w:color w:val="000000" w:themeColor="text1"/>
              </w:rPr>
              <w:t>taq</w:t>
            </w:r>
            <w:proofErr w:type="spellEnd"/>
            <w:r w:rsidR="00D551C9" w:rsidRPr="00144C93">
              <w:rPr>
                <w:rFonts w:ascii="Book Antiqua" w:hAnsi="Book Antiqua"/>
                <w:i/>
                <w:color w:val="000000" w:themeColor="text1"/>
              </w:rPr>
              <w:t>), and challenging Islamic principles as well as engaging in actions that diverge from Islamic teachings (</w:t>
            </w:r>
            <w:proofErr w:type="spellStart"/>
            <w:r w:rsidR="00D551C9" w:rsidRPr="00144C93">
              <w:rPr>
                <w:rFonts w:ascii="Book Antiqua" w:hAnsi="Book Antiqua"/>
                <w:i/>
                <w:color w:val="000000" w:themeColor="text1"/>
              </w:rPr>
              <w:t>bid'ah</w:t>
            </w:r>
            <w:proofErr w:type="spellEnd"/>
            <w:r w:rsidR="00D551C9" w:rsidRPr="00144C93">
              <w:rPr>
                <w:rFonts w:ascii="Book Antiqua" w:hAnsi="Book Antiqua"/>
                <w:i/>
                <w:color w:val="000000" w:themeColor="text1"/>
              </w:rPr>
              <w:t>). The Qur'an and the Hadith contain prohibitions against blasphemous acts, but the means of punishment ar</w:t>
            </w:r>
            <w:r w:rsidR="00DD3A7F" w:rsidRPr="00144C93">
              <w:rPr>
                <w:rFonts w:ascii="Book Antiqua" w:hAnsi="Book Antiqua"/>
                <w:i/>
                <w:color w:val="000000" w:themeColor="text1"/>
              </w:rPr>
              <w:t xml:space="preserve">e found in the nomenclature of </w:t>
            </w:r>
            <w:proofErr w:type="spellStart"/>
            <w:r w:rsidR="00DD3A7F" w:rsidRPr="00144C93">
              <w:rPr>
                <w:rFonts w:ascii="Book Antiqua" w:hAnsi="Book Antiqua"/>
                <w:i/>
                <w:color w:val="000000" w:themeColor="text1"/>
              </w:rPr>
              <w:t>I</w:t>
            </w:r>
            <w:r w:rsidR="00D551C9" w:rsidRPr="00144C93">
              <w:rPr>
                <w:rFonts w:ascii="Book Antiqua" w:hAnsi="Book Antiqua"/>
                <w:i/>
                <w:color w:val="000000" w:themeColor="text1"/>
              </w:rPr>
              <w:t>jtihad</w:t>
            </w:r>
            <w:proofErr w:type="spellEnd"/>
            <w:r w:rsidR="00D551C9" w:rsidRPr="00144C93">
              <w:rPr>
                <w:rFonts w:ascii="Book Antiqua" w:hAnsi="Book Antiqua"/>
                <w:i/>
                <w:color w:val="000000" w:themeColor="text1"/>
              </w:rPr>
              <w:t xml:space="preserve"> of the </w:t>
            </w:r>
            <w:proofErr w:type="spellStart"/>
            <w:r w:rsidR="00D551C9" w:rsidRPr="00144C93">
              <w:rPr>
                <w:rFonts w:ascii="Book Antiqua" w:hAnsi="Book Antiqua"/>
                <w:i/>
                <w:color w:val="000000" w:themeColor="text1"/>
              </w:rPr>
              <w:t>Ulama</w:t>
            </w:r>
            <w:proofErr w:type="spellEnd"/>
            <w:r w:rsidR="00D551C9" w:rsidRPr="00144C93">
              <w:rPr>
                <w:rFonts w:ascii="Book Antiqua" w:hAnsi="Book Antiqua"/>
                <w:i/>
                <w:color w:val="000000" w:themeColor="text1"/>
              </w:rPr>
              <w:t>, which was later incorporated into the laws of many Islamic nations. As a result, the formulation of punishments for blasphemers varies greatly</w:t>
            </w:r>
            <w:r w:rsidR="00FD0BC6" w:rsidRPr="00144C93">
              <w:rPr>
                <w:rFonts w:ascii="Book Antiqua" w:hAnsi="Book Antiqua"/>
                <w:i/>
                <w:color w:val="000000" w:themeColor="text1"/>
              </w:rPr>
              <w:t>.</w:t>
            </w:r>
          </w:p>
        </w:tc>
      </w:tr>
      <w:tr w:rsidR="00F505F5" w:rsidRPr="00144C93" w:rsidTr="00F505F5">
        <w:trPr>
          <w:trHeight w:val="292"/>
        </w:trPr>
        <w:tc>
          <w:tcPr>
            <w:tcW w:w="2790" w:type="dxa"/>
            <w:gridSpan w:val="2"/>
            <w:vMerge/>
            <w:tcBorders>
              <w:bottom w:val="single" w:sz="4" w:space="0" w:color="auto"/>
            </w:tcBorders>
            <w:shd w:val="clear" w:color="auto" w:fill="8EAADB" w:themeFill="accent1" w:themeFillTint="99"/>
          </w:tcPr>
          <w:p w:rsidR="00F505F5" w:rsidRPr="00144C93" w:rsidRDefault="00F505F5" w:rsidP="00A26219">
            <w:pPr>
              <w:spacing w:after="120" w:line="240" w:lineRule="auto"/>
              <w:rPr>
                <w:rFonts w:ascii="Book Antiqua" w:hAnsi="Book Antiqua"/>
                <w:b/>
                <w:bCs/>
                <w:i/>
                <w:iCs/>
                <w:color w:val="000000"/>
                <w:lang w:val="id-ID"/>
              </w:rPr>
            </w:pPr>
          </w:p>
        </w:tc>
        <w:tc>
          <w:tcPr>
            <w:tcW w:w="338" w:type="dxa"/>
          </w:tcPr>
          <w:p w:rsidR="00F505F5" w:rsidRPr="00144C93" w:rsidRDefault="00F505F5" w:rsidP="00A26219">
            <w:pPr>
              <w:spacing w:after="120" w:line="240" w:lineRule="auto"/>
              <w:rPr>
                <w:rFonts w:ascii="Book Antiqua" w:hAnsi="Book Antiqua"/>
                <w:b/>
                <w:bCs/>
                <w:i/>
                <w:iCs/>
                <w:color w:val="000000"/>
                <w:sz w:val="24"/>
                <w:szCs w:val="24"/>
                <w:lang w:val="id-ID"/>
              </w:rPr>
            </w:pPr>
          </w:p>
        </w:tc>
        <w:tc>
          <w:tcPr>
            <w:tcW w:w="6511" w:type="dxa"/>
            <w:gridSpan w:val="2"/>
            <w:vMerge/>
            <w:tcBorders>
              <w:bottom w:val="single" w:sz="4" w:space="0" w:color="auto"/>
            </w:tcBorders>
            <w:shd w:val="clear" w:color="auto" w:fill="FBE4D5" w:themeFill="accent2" w:themeFillTint="33"/>
          </w:tcPr>
          <w:p w:rsidR="00F505F5" w:rsidRPr="00144C93" w:rsidRDefault="00F505F5" w:rsidP="00A26219">
            <w:pPr>
              <w:spacing w:after="120" w:line="240" w:lineRule="auto"/>
              <w:rPr>
                <w:rFonts w:ascii="Book Antiqua" w:hAnsi="Book Antiqua"/>
                <w:b/>
                <w:bCs/>
                <w:i/>
                <w:iCs/>
                <w:color w:val="000000"/>
                <w:sz w:val="24"/>
                <w:szCs w:val="24"/>
                <w:lang w:val="id-ID"/>
              </w:rPr>
            </w:pPr>
          </w:p>
        </w:tc>
      </w:tr>
    </w:tbl>
    <w:p w:rsidR="004B1F20" w:rsidRPr="00144C93" w:rsidRDefault="004B1F20" w:rsidP="00A26219">
      <w:pPr>
        <w:numPr>
          <w:ilvl w:val="0"/>
          <w:numId w:val="18"/>
        </w:numPr>
        <w:spacing w:after="120" w:line="240" w:lineRule="auto"/>
        <w:ind w:left="284" w:hanging="284"/>
        <w:rPr>
          <w:rFonts w:ascii="Book Antiqua" w:hAnsi="Book Antiqua"/>
          <w:b/>
          <w:bCs/>
          <w:color w:val="4472C4" w:themeColor="accent1"/>
          <w:sz w:val="24"/>
          <w:szCs w:val="22"/>
          <w:lang w:val="id-ID"/>
        </w:rPr>
      </w:pPr>
      <w:r w:rsidRPr="00144C93">
        <w:rPr>
          <w:rFonts w:ascii="Book Antiqua" w:hAnsi="Book Antiqua"/>
          <w:b/>
          <w:bCs/>
          <w:color w:val="2F5496" w:themeColor="accent1" w:themeShade="BF"/>
          <w:sz w:val="24"/>
          <w:szCs w:val="24"/>
        </w:rPr>
        <w:lastRenderedPageBreak/>
        <w:t>INTRODUCTION</w:t>
      </w:r>
      <w:r w:rsidRPr="00144C93">
        <w:rPr>
          <w:rFonts w:ascii="Book Antiqua" w:hAnsi="Book Antiqua"/>
          <w:b/>
          <w:bCs/>
          <w:color w:val="4472C4" w:themeColor="accent1"/>
          <w:sz w:val="24"/>
          <w:szCs w:val="22"/>
          <w:lang w:val="id-ID"/>
        </w:rPr>
        <w:t xml:space="preserve"> </w:t>
      </w:r>
    </w:p>
    <w:p w:rsidR="005D4797" w:rsidRPr="00144C93" w:rsidRDefault="001C72A4" w:rsidP="002E076C">
      <w:pPr>
        <w:spacing w:after="120" w:line="240" w:lineRule="auto"/>
        <w:ind w:firstLine="567"/>
        <w:jc w:val="both"/>
        <w:rPr>
          <w:rFonts w:ascii="Book Antiqua" w:hAnsi="Book Antiqua" w:cstheme="majorHAnsi"/>
          <w:sz w:val="24"/>
          <w:szCs w:val="24"/>
        </w:rPr>
      </w:pPr>
      <w:r w:rsidRPr="00144C93">
        <w:rPr>
          <w:rFonts w:ascii="Book Antiqua" w:hAnsi="Book Antiqua" w:cstheme="majorHAnsi"/>
          <w:sz w:val="24"/>
          <w:szCs w:val="24"/>
        </w:rPr>
        <w:t>Freedom to practice one's religion freely is a Human Right (HAM) that cannot be taken away by anyone or in any situation.</w:t>
      </w:r>
      <w:r w:rsidR="00643958">
        <w:rPr>
          <w:rStyle w:val="FootnoteReference"/>
          <w:rFonts w:ascii="Book Antiqua" w:hAnsi="Book Antiqua"/>
          <w:sz w:val="24"/>
          <w:szCs w:val="24"/>
        </w:rPr>
        <w:footnoteReference w:id="1"/>
      </w:r>
      <w:r w:rsidRPr="00144C93">
        <w:rPr>
          <w:rFonts w:ascii="Book Antiqua" w:hAnsi="Book Antiqua" w:cstheme="majorHAnsi"/>
          <w:sz w:val="24"/>
          <w:szCs w:val="24"/>
        </w:rPr>
        <w:t xml:space="preserve"> The state respects and ensures that all followers of religions in Indonesia are free to follow and put into practice the teachings of their individual faiths. Article 22 paragraph (2) of Law No. 39 of 1999 concerning Human Rights and Article 29 paragraph (2) of the 1945 Constitution both state that the state guarantees each citizen the freedom to follow and practice any religion they choose, as well as to conduct their worship in accordance with their respective religious teachings. This clause defends the idea of non-</w:t>
      </w:r>
      <w:proofErr w:type="spellStart"/>
      <w:r w:rsidRPr="00144C93">
        <w:rPr>
          <w:rFonts w:ascii="Book Antiqua" w:hAnsi="Book Antiqua" w:cstheme="majorHAnsi"/>
          <w:sz w:val="24"/>
          <w:szCs w:val="24"/>
        </w:rPr>
        <w:t>derogable</w:t>
      </w:r>
      <w:proofErr w:type="spellEnd"/>
      <w:r w:rsidRPr="00144C93">
        <w:rPr>
          <w:rFonts w:ascii="Book Antiqua" w:hAnsi="Book Antiqua" w:cstheme="majorHAnsi"/>
          <w:sz w:val="24"/>
          <w:szCs w:val="24"/>
        </w:rPr>
        <w:t xml:space="preserve"> rights, according to which no one, at any time, can restrict someone's ability to practice their religion.</w:t>
      </w:r>
      <w:r w:rsidR="00643958">
        <w:rPr>
          <w:rStyle w:val="FootnoteReference"/>
          <w:rFonts w:ascii="Book Antiqua" w:hAnsi="Book Antiqua"/>
          <w:iCs/>
          <w:sz w:val="24"/>
          <w:szCs w:val="24"/>
        </w:rPr>
        <w:footnoteReference w:id="2"/>
      </w:r>
    </w:p>
    <w:p w:rsidR="005D4797" w:rsidRPr="00144C93" w:rsidRDefault="001C72A4" w:rsidP="002E076C">
      <w:pPr>
        <w:spacing w:after="120" w:line="240" w:lineRule="auto"/>
        <w:ind w:firstLine="567"/>
        <w:jc w:val="both"/>
        <w:rPr>
          <w:rFonts w:ascii="Book Antiqua" w:hAnsi="Book Antiqua" w:cstheme="majorHAnsi"/>
          <w:sz w:val="24"/>
          <w:szCs w:val="24"/>
        </w:rPr>
      </w:pPr>
      <w:r w:rsidRPr="00144C93">
        <w:rPr>
          <w:rFonts w:ascii="Book Antiqua" w:hAnsi="Book Antiqua" w:cstheme="majorHAnsi"/>
          <w:sz w:val="24"/>
          <w:szCs w:val="24"/>
        </w:rPr>
        <w:t>Every nation adopts laws to protect religious freedom and impose limitations on how people can practice their religion.</w:t>
      </w:r>
      <w:r w:rsidR="00643958">
        <w:rPr>
          <w:rStyle w:val="FootnoteReference"/>
          <w:rFonts w:ascii="Book Antiqua" w:hAnsi="Book Antiqua"/>
          <w:sz w:val="24"/>
          <w:szCs w:val="24"/>
        </w:rPr>
        <w:footnoteReference w:id="3"/>
      </w:r>
      <w:r w:rsidRPr="00144C93">
        <w:rPr>
          <w:rFonts w:ascii="Book Antiqua" w:hAnsi="Book Antiqua" w:cstheme="majorHAnsi"/>
          <w:sz w:val="24"/>
          <w:szCs w:val="24"/>
        </w:rPr>
        <w:t xml:space="preserve"> If it is not regulated in such a way, freedom of religion for a particular person or group can eliminate the freedom of others in religion.</w:t>
      </w:r>
      <w:r w:rsidRPr="00144C93">
        <w:rPr>
          <w:rFonts w:ascii="Book Antiqua" w:hAnsi="Book Antiqua"/>
          <w:sz w:val="24"/>
          <w:szCs w:val="24"/>
        </w:rPr>
        <w:t xml:space="preserve"> </w:t>
      </w:r>
      <w:r w:rsidR="00643958">
        <w:rPr>
          <w:rStyle w:val="FootnoteReference"/>
          <w:rFonts w:ascii="Book Antiqua" w:hAnsi="Book Antiqua"/>
          <w:sz w:val="24"/>
          <w:szCs w:val="24"/>
        </w:rPr>
        <w:footnoteReference w:id="4"/>
      </w:r>
      <w:r w:rsidRPr="00144C93">
        <w:rPr>
          <w:rFonts w:ascii="Book Antiqua" w:hAnsi="Book Antiqua" w:cstheme="majorHAnsi"/>
          <w:sz w:val="24"/>
          <w:szCs w:val="24"/>
        </w:rPr>
        <w:t xml:space="preserve"> The state is required under Indonesian law to maintain religious peace because the country is both atheist and religious, protecting all followers of a specific religion equally and without regard to the number of followers.</w:t>
      </w:r>
      <w:r w:rsidR="00643958">
        <w:rPr>
          <w:rStyle w:val="FootnoteReference"/>
          <w:rFonts w:ascii="Book Antiqua" w:hAnsi="Book Antiqua"/>
          <w:sz w:val="24"/>
          <w:szCs w:val="24"/>
        </w:rPr>
        <w:footnoteReference w:id="5"/>
      </w:r>
    </w:p>
    <w:p w:rsidR="005D4797" w:rsidRPr="00144C93" w:rsidRDefault="001C72A4" w:rsidP="002E076C">
      <w:pPr>
        <w:spacing w:after="120" w:line="240" w:lineRule="auto"/>
        <w:ind w:firstLine="567"/>
        <w:jc w:val="both"/>
        <w:rPr>
          <w:rFonts w:ascii="Book Antiqua" w:hAnsi="Book Antiqua" w:cstheme="majorHAnsi"/>
          <w:sz w:val="24"/>
          <w:szCs w:val="24"/>
        </w:rPr>
      </w:pPr>
      <w:r w:rsidRPr="00144C93">
        <w:rPr>
          <w:rFonts w:ascii="Book Antiqua" w:hAnsi="Book Antiqua" w:cstheme="majorHAnsi"/>
          <w:sz w:val="24"/>
          <w:szCs w:val="24"/>
        </w:rPr>
        <w:t>The fact that religion is legalized in the Indonesian constitution alone demonstrates the significance of religion in this nation. The Law No. 39 of 1999 Concerning Human Rights declares in Article 4 and Article 22 paragraph 1-2 that religion is a right that cannot be abolished or removed under any circumstances and by any party. Yet, the state does not have the power to dictate or compel people to follow a specific religion or set of beliefs; rather, it grants them the right to do so.</w:t>
      </w:r>
      <w:r w:rsidR="00643958">
        <w:rPr>
          <w:rStyle w:val="FootnoteReference"/>
          <w:rFonts w:ascii="Book Antiqua" w:hAnsi="Book Antiqua"/>
          <w:sz w:val="24"/>
          <w:szCs w:val="24"/>
        </w:rPr>
        <w:footnoteReference w:id="6"/>
      </w:r>
    </w:p>
    <w:p w:rsidR="005D4797" w:rsidRPr="00144C93" w:rsidRDefault="001C72A4" w:rsidP="002E076C">
      <w:pPr>
        <w:spacing w:after="120" w:line="240" w:lineRule="auto"/>
        <w:ind w:firstLine="567"/>
        <w:jc w:val="both"/>
        <w:rPr>
          <w:rFonts w:ascii="Book Antiqua" w:hAnsi="Book Antiqua" w:cstheme="majorHAnsi"/>
          <w:sz w:val="24"/>
          <w:szCs w:val="24"/>
        </w:rPr>
      </w:pPr>
      <w:r w:rsidRPr="00144C93">
        <w:rPr>
          <w:rFonts w:ascii="Book Antiqua" w:hAnsi="Book Antiqua" w:cstheme="majorHAnsi"/>
          <w:sz w:val="24"/>
          <w:szCs w:val="24"/>
        </w:rPr>
        <w:t xml:space="preserve">Religious blasphemy still happens often in Indonesia, despite the </w:t>
      </w:r>
      <w:proofErr w:type="gramStart"/>
      <w:r w:rsidRPr="00144C93">
        <w:rPr>
          <w:rFonts w:ascii="Book Antiqua" w:hAnsi="Book Antiqua" w:cstheme="majorHAnsi"/>
          <w:sz w:val="24"/>
          <w:szCs w:val="24"/>
        </w:rPr>
        <w:t>country's</w:t>
      </w:r>
      <w:proofErr w:type="gramEnd"/>
      <w:r w:rsidRPr="00144C93">
        <w:rPr>
          <w:rFonts w:ascii="Book Antiqua" w:hAnsi="Book Antiqua" w:cstheme="majorHAnsi"/>
          <w:sz w:val="24"/>
          <w:szCs w:val="24"/>
        </w:rPr>
        <w:t xml:space="preserve"> numerous laws and regulations guaranteeing freedom of religion. Even religious blasphemy has been committed in the past in a variety of ways.</w:t>
      </w:r>
      <w:r w:rsidR="00643958">
        <w:rPr>
          <w:rStyle w:val="FootnoteReference"/>
          <w:rFonts w:ascii="Book Antiqua" w:hAnsi="Book Antiqua" w:cstheme="majorHAnsi"/>
          <w:sz w:val="24"/>
          <w:szCs w:val="24"/>
        </w:rPr>
        <w:footnoteReference w:id="7"/>
      </w:r>
      <w:r w:rsidRPr="00144C93">
        <w:rPr>
          <w:rFonts w:ascii="Book Antiqua" w:hAnsi="Book Antiqua" w:cstheme="majorHAnsi"/>
          <w:sz w:val="24"/>
          <w:szCs w:val="24"/>
        </w:rPr>
        <w:t xml:space="preserve"> Blasphemy was frequently committed by the Indonesian Communist Party (PKI) during the reign of the Old Order government through a number of its affiliated groups, including the People's Youth and the People's Art Institute (</w:t>
      </w:r>
      <w:proofErr w:type="spellStart"/>
      <w:r w:rsidRPr="00144C93">
        <w:rPr>
          <w:rFonts w:ascii="Book Antiqua" w:hAnsi="Book Antiqua" w:cstheme="majorHAnsi"/>
          <w:sz w:val="24"/>
          <w:szCs w:val="24"/>
        </w:rPr>
        <w:t>Lekra</w:t>
      </w:r>
      <w:proofErr w:type="spellEnd"/>
      <w:r w:rsidRPr="00144C93">
        <w:rPr>
          <w:rFonts w:ascii="Book Antiqua" w:hAnsi="Book Antiqua" w:cstheme="majorHAnsi"/>
          <w:sz w:val="24"/>
          <w:szCs w:val="24"/>
        </w:rPr>
        <w:t>), in the form of diverse folk art performances.</w:t>
      </w:r>
      <w:r w:rsidR="00643958">
        <w:rPr>
          <w:rStyle w:val="FootnoteReference"/>
          <w:rFonts w:ascii="Book Antiqua" w:hAnsi="Book Antiqua" w:cstheme="majorHAnsi"/>
          <w:sz w:val="24"/>
          <w:szCs w:val="24"/>
        </w:rPr>
        <w:footnoteReference w:id="8"/>
      </w:r>
      <w:r w:rsidRPr="00144C93">
        <w:rPr>
          <w:rFonts w:ascii="Book Antiqua" w:hAnsi="Book Antiqua" w:cstheme="majorHAnsi"/>
          <w:sz w:val="24"/>
          <w:szCs w:val="24"/>
        </w:rPr>
        <w:t xml:space="preserve"> In 1968, the Literary Magazine published a short piece titled "The Sky is Becoming Cloudy" during the New Order administration.</w:t>
      </w:r>
      <w:r w:rsidR="00643958">
        <w:rPr>
          <w:rStyle w:val="FootnoteReference"/>
          <w:rFonts w:ascii="Book Antiqua" w:hAnsi="Book Antiqua"/>
          <w:iCs/>
          <w:sz w:val="24"/>
          <w:szCs w:val="24"/>
        </w:rPr>
        <w:footnoteReference w:id="9"/>
      </w:r>
      <w:r w:rsidRPr="00144C93">
        <w:rPr>
          <w:rFonts w:ascii="Book Antiqua" w:hAnsi="Book Antiqua" w:cstheme="majorHAnsi"/>
          <w:sz w:val="24"/>
          <w:szCs w:val="24"/>
        </w:rPr>
        <w:t xml:space="preserve"> Then there were the blasphemy cases by HB </w:t>
      </w:r>
      <w:proofErr w:type="spellStart"/>
      <w:r w:rsidRPr="00144C93">
        <w:rPr>
          <w:rFonts w:ascii="Book Antiqua" w:hAnsi="Book Antiqua" w:cstheme="majorHAnsi"/>
          <w:sz w:val="24"/>
          <w:szCs w:val="24"/>
        </w:rPr>
        <w:t>Jassin</w:t>
      </w:r>
      <w:proofErr w:type="spellEnd"/>
      <w:r w:rsidRPr="00144C93">
        <w:rPr>
          <w:rFonts w:ascii="Book Antiqua" w:hAnsi="Book Antiqua" w:cstheme="majorHAnsi"/>
          <w:sz w:val="24"/>
          <w:szCs w:val="24"/>
        </w:rPr>
        <w:t xml:space="preserve"> in 1968 and </w:t>
      </w:r>
      <w:proofErr w:type="spellStart"/>
      <w:r w:rsidRPr="00144C93">
        <w:rPr>
          <w:rFonts w:ascii="Book Antiqua" w:hAnsi="Book Antiqua" w:cstheme="majorHAnsi"/>
          <w:sz w:val="24"/>
          <w:szCs w:val="24"/>
        </w:rPr>
        <w:t>Arswendo</w:t>
      </w:r>
      <w:proofErr w:type="spellEnd"/>
      <w:r w:rsidRPr="00144C93">
        <w:rPr>
          <w:rFonts w:ascii="Book Antiqua" w:hAnsi="Book Antiqua" w:cstheme="majorHAnsi"/>
          <w:sz w:val="24"/>
          <w:szCs w:val="24"/>
        </w:rPr>
        <w:t xml:space="preserve"> </w:t>
      </w:r>
      <w:proofErr w:type="spellStart"/>
      <w:r w:rsidRPr="00144C93">
        <w:rPr>
          <w:rFonts w:ascii="Book Antiqua" w:hAnsi="Book Antiqua" w:cstheme="majorHAnsi"/>
          <w:sz w:val="24"/>
          <w:szCs w:val="24"/>
        </w:rPr>
        <w:t>Atmowilonto</w:t>
      </w:r>
      <w:proofErr w:type="spellEnd"/>
      <w:r w:rsidRPr="00144C93">
        <w:rPr>
          <w:rFonts w:ascii="Book Antiqua" w:hAnsi="Book Antiqua" w:cstheme="majorHAnsi"/>
          <w:sz w:val="24"/>
          <w:szCs w:val="24"/>
        </w:rPr>
        <w:t xml:space="preserve"> in 1990.</w:t>
      </w:r>
      <w:r w:rsidR="00643958">
        <w:rPr>
          <w:rStyle w:val="FootnoteReference"/>
          <w:rFonts w:ascii="Book Antiqua" w:hAnsi="Book Antiqua"/>
          <w:sz w:val="24"/>
          <w:szCs w:val="24"/>
        </w:rPr>
        <w:footnoteReference w:id="10"/>
      </w:r>
      <w:r w:rsidRPr="00144C93">
        <w:rPr>
          <w:rFonts w:ascii="Book Antiqua" w:hAnsi="Book Antiqua" w:cstheme="majorHAnsi"/>
          <w:sz w:val="24"/>
          <w:szCs w:val="24"/>
        </w:rPr>
        <w:t xml:space="preserve"> Following the implementation of </w:t>
      </w:r>
      <w:r w:rsidRPr="00144C93">
        <w:rPr>
          <w:rFonts w:ascii="Book Antiqua" w:hAnsi="Book Antiqua" w:cstheme="majorHAnsi"/>
          <w:sz w:val="24"/>
          <w:szCs w:val="24"/>
        </w:rPr>
        <w:lastRenderedPageBreak/>
        <w:t xml:space="preserve">the rolling reforms, blasphemous crimes continued to be committed, as seen in the </w:t>
      </w:r>
      <w:proofErr w:type="spellStart"/>
      <w:r w:rsidRPr="00144C93">
        <w:rPr>
          <w:rFonts w:ascii="Book Antiqua" w:hAnsi="Book Antiqua" w:cstheme="majorHAnsi"/>
          <w:sz w:val="24"/>
          <w:szCs w:val="24"/>
        </w:rPr>
        <w:t>Lia</w:t>
      </w:r>
      <w:proofErr w:type="spellEnd"/>
      <w:r w:rsidRPr="00144C93">
        <w:rPr>
          <w:rFonts w:ascii="Book Antiqua" w:hAnsi="Book Antiqua" w:cstheme="majorHAnsi"/>
          <w:sz w:val="24"/>
          <w:szCs w:val="24"/>
        </w:rPr>
        <w:t xml:space="preserve"> </w:t>
      </w:r>
      <w:proofErr w:type="spellStart"/>
      <w:r w:rsidRPr="00144C93">
        <w:rPr>
          <w:rFonts w:ascii="Book Antiqua" w:hAnsi="Book Antiqua" w:cstheme="majorHAnsi"/>
          <w:sz w:val="24"/>
          <w:szCs w:val="24"/>
        </w:rPr>
        <w:t>Aminudin</w:t>
      </w:r>
      <w:proofErr w:type="spellEnd"/>
      <w:r w:rsidRPr="00144C93">
        <w:rPr>
          <w:rFonts w:ascii="Book Antiqua" w:hAnsi="Book Antiqua" w:cstheme="majorHAnsi"/>
          <w:sz w:val="24"/>
          <w:szCs w:val="24"/>
        </w:rPr>
        <w:t xml:space="preserve"> or </w:t>
      </w:r>
      <w:proofErr w:type="spellStart"/>
      <w:r w:rsidRPr="00144C93">
        <w:rPr>
          <w:rFonts w:ascii="Book Antiqua" w:hAnsi="Book Antiqua" w:cstheme="majorHAnsi"/>
          <w:sz w:val="24"/>
          <w:szCs w:val="24"/>
        </w:rPr>
        <w:t>Lia</w:t>
      </w:r>
      <w:proofErr w:type="spellEnd"/>
      <w:r w:rsidRPr="00144C93">
        <w:rPr>
          <w:rFonts w:ascii="Book Antiqua" w:hAnsi="Book Antiqua" w:cstheme="majorHAnsi"/>
          <w:sz w:val="24"/>
          <w:szCs w:val="24"/>
        </w:rPr>
        <w:t xml:space="preserve"> Eden cases from 2006, the </w:t>
      </w:r>
      <w:proofErr w:type="spellStart"/>
      <w:r w:rsidRPr="00144C93">
        <w:rPr>
          <w:rFonts w:ascii="Book Antiqua" w:hAnsi="Book Antiqua" w:cstheme="majorHAnsi"/>
          <w:sz w:val="24"/>
          <w:szCs w:val="24"/>
        </w:rPr>
        <w:t>Tajul</w:t>
      </w:r>
      <w:proofErr w:type="spellEnd"/>
      <w:r w:rsidRPr="00144C93">
        <w:rPr>
          <w:rFonts w:ascii="Book Antiqua" w:hAnsi="Book Antiqua" w:cstheme="majorHAnsi"/>
          <w:sz w:val="24"/>
          <w:szCs w:val="24"/>
        </w:rPr>
        <w:t xml:space="preserve"> </w:t>
      </w:r>
      <w:proofErr w:type="spellStart"/>
      <w:r w:rsidRPr="00144C93">
        <w:rPr>
          <w:rFonts w:ascii="Book Antiqua" w:hAnsi="Book Antiqua" w:cstheme="majorHAnsi"/>
          <w:sz w:val="24"/>
          <w:szCs w:val="24"/>
        </w:rPr>
        <w:t>Muluk</w:t>
      </w:r>
      <w:proofErr w:type="spellEnd"/>
      <w:r w:rsidRPr="00144C93">
        <w:rPr>
          <w:rFonts w:ascii="Book Antiqua" w:hAnsi="Book Antiqua" w:cstheme="majorHAnsi"/>
          <w:sz w:val="24"/>
          <w:szCs w:val="24"/>
        </w:rPr>
        <w:t xml:space="preserve"> case from 2012, the </w:t>
      </w:r>
      <w:proofErr w:type="spellStart"/>
      <w:r w:rsidRPr="00144C93">
        <w:rPr>
          <w:rFonts w:ascii="Book Antiqua" w:hAnsi="Book Antiqua" w:cstheme="majorHAnsi"/>
          <w:sz w:val="24"/>
          <w:szCs w:val="24"/>
        </w:rPr>
        <w:t>Fajar</w:t>
      </w:r>
      <w:proofErr w:type="spellEnd"/>
      <w:r w:rsidRPr="00144C93">
        <w:rPr>
          <w:rFonts w:ascii="Book Antiqua" w:hAnsi="Book Antiqua" w:cstheme="majorHAnsi"/>
          <w:sz w:val="24"/>
          <w:szCs w:val="24"/>
        </w:rPr>
        <w:t xml:space="preserve"> Nusantara Movement (</w:t>
      </w:r>
      <w:proofErr w:type="spellStart"/>
      <w:r w:rsidRPr="00144C93">
        <w:rPr>
          <w:rFonts w:ascii="Book Antiqua" w:hAnsi="Book Antiqua" w:cstheme="majorHAnsi"/>
          <w:sz w:val="24"/>
          <w:szCs w:val="24"/>
        </w:rPr>
        <w:t>Gafatar</w:t>
      </w:r>
      <w:proofErr w:type="spellEnd"/>
      <w:r w:rsidRPr="00144C93">
        <w:rPr>
          <w:rFonts w:ascii="Book Antiqua" w:hAnsi="Book Antiqua" w:cstheme="majorHAnsi"/>
          <w:sz w:val="24"/>
          <w:szCs w:val="24"/>
        </w:rPr>
        <w:t>) case, and other cases.</w:t>
      </w:r>
      <w:r w:rsidR="00643958">
        <w:rPr>
          <w:rStyle w:val="FootnoteReference"/>
          <w:rFonts w:ascii="Book Antiqua" w:hAnsi="Book Antiqua" w:cstheme="majorHAnsi"/>
          <w:sz w:val="24"/>
          <w:szCs w:val="24"/>
        </w:rPr>
        <w:footnoteReference w:id="11"/>
      </w:r>
    </w:p>
    <w:p w:rsidR="005D4797" w:rsidRPr="00144C93" w:rsidRDefault="001C72A4" w:rsidP="002E076C">
      <w:pPr>
        <w:spacing w:after="120" w:line="240" w:lineRule="auto"/>
        <w:ind w:firstLine="567"/>
        <w:jc w:val="both"/>
        <w:rPr>
          <w:rFonts w:ascii="Book Antiqua" w:hAnsi="Book Antiqua" w:cstheme="majorHAnsi"/>
          <w:sz w:val="24"/>
          <w:szCs w:val="24"/>
        </w:rPr>
      </w:pPr>
      <w:r w:rsidRPr="00144C93">
        <w:rPr>
          <w:rFonts w:ascii="Book Antiqua" w:hAnsi="Book Antiqua" w:cstheme="majorHAnsi"/>
          <w:sz w:val="24"/>
          <w:szCs w:val="24"/>
        </w:rPr>
        <w:t>Religious blasphemy is actively practiced in great numbers in the virtual world in Indonesia, in addition to being committed manually through writing or lectures. Several features and platforms on social media and in the mass media publish content in the form of writing, videos, photographs, and other media that contains elements of hatred, defamation, and insult to particular religions. Religious blasphemy typically takes place in Indonesia during political events, such as the presidential election in 2004 or the DKI gubernatorial election in 2016.</w:t>
      </w:r>
      <w:r w:rsidR="00643958">
        <w:rPr>
          <w:rStyle w:val="FootnoteReference"/>
          <w:rFonts w:ascii="Book Antiqua" w:hAnsi="Book Antiqua" w:cstheme="majorHAnsi"/>
          <w:sz w:val="24"/>
          <w:szCs w:val="24"/>
        </w:rPr>
        <w:footnoteReference w:id="12"/>
      </w:r>
      <w:r w:rsidRPr="00144C93">
        <w:rPr>
          <w:rFonts w:ascii="Book Antiqua" w:hAnsi="Book Antiqua" w:cstheme="majorHAnsi"/>
          <w:sz w:val="24"/>
          <w:szCs w:val="24"/>
        </w:rPr>
        <w:t xml:space="preserve"> According to </w:t>
      </w:r>
      <w:proofErr w:type="spellStart"/>
      <w:r w:rsidRPr="00144C93">
        <w:rPr>
          <w:rFonts w:ascii="Book Antiqua" w:hAnsi="Book Antiqua" w:cstheme="majorHAnsi"/>
          <w:sz w:val="24"/>
          <w:szCs w:val="24"/>
        </w:rPr>
        <w:t>Marzena</w:t>
      </w:r>
      <w:proofErr w:type="spellEnd"/>
      <w:r w:rsidRPr="00144C93">
        <w:rPr>
          <w:rFonts w:ascii="Book Antiqua" w:hAnsi="Book Antiqua" w:cstheme="majorHAnsi"/>
          <w:sz w:val="24"/>
          <w:szCs w:val="24"/>
        </w:rPr>
        <w:t xml:space="preserve"> </w:t>
      </w:r>
      <w:proofErr w:type="spellStart"/>
      <w:r w:rsidRPr="00144C93">
        <w:rPr>
          <w:rFonts w:ascii="Book Antiqua" w:hAnsi="Book Antiqua" w:cstheme="majorHAnsi"/>
          <w:sz w:val="24"/>
          <w:szCs w:val="24"/>
        </w:rPr>
        <w:t>Romanowska</w:t>
      </w:r>
      <w:proofErr w:type="spellEnd"/>
      <w:r w:rsidRPr="00144C93">
        <w:rPr>
          <w:rFonts w:ascii="Book Antiqua" w:hAnsi="Book Antiqua" w:cstheme="majorHAnsi"/>
          <w:sz w:val="24"/>
          <w:szCs w:val="24"/>
        </w:rPr>
        <w:t>, certain groups or nations have historically utilized religious concerns as a political instrument to further their own objectives.</w:t>
      </w:r>
      <w:r w:rsidR="00643958">
        <w:rPr>
          <w:rStyle w:val="FootnoteReference"/>
          <w:rFonts w:ascii="Book Antiqua" w:hAnsi="Book Antiqua" w:cstheme="majorHAnsi"/>
          <w:sz w:val="24"/>
          <w:szCs w:val="24"/>
        </w:rPr>
        <w:footnoteReference w:id="13"/>
      </w:r>
      <w:r w:rsidRPr="00144C93">
        <w:rPr>
          <w:rFonts w:ascii="Book Antiqua" w:hAnsi="Book Antiqua" w:cstheme="majorHAnsi"/>
          <w:sz w:val="24"/>
          <w:szCs w:val="24"/>
        </w:rPr>
        <w:t xml:space="preserve">  </w:t>
      </w:r>
    </w:p>
    <w:p w:rsidR="001F0853" w:rsidRPr="00144C93" w:rsidRDefault="001C72A4" w:rsidP="002E076C">
      <w:pPr>
        <w:spacing w:after="120" w:line="240" w:lineRule="auto"/>
        <w:ind w:firstLine="567"/>
        <w:jc w:val="both"/>
        <w:rPr>
          <w:rFonts w:ascii="Book Antiqua" w:hAnsi="Book Antiqua" w:cs="Calibri"/>
          <w:color w:val="000000" w:themeColor="text1"/>
        </w:rPr>
      </w:pPr>
      <w:r w:rsidRPr="00144C93">
        <w:rPr>
          <w:rFonts w:ascii="Book Antiqua" w:hAnsi="Book Antiqua" w:cstheme="majorHAnsi"/>
          <w:sz w:val="24"/>
          <w:szCs w:val="24"/>
        </w:rPr>
        <w:t xml:space="preserve">The case of former DKI Jakarta Governor </w:t>
      </w:r>
      <w:proofErr w:type="spellStart"/>
      <w:r w:rsidRPr="00144C93">
        <w:rPr>
          <w:rFonts w:ascii="Book Antiqua" w:hAnsi="Book Antiqua" w:cstheme="majorHAnsi"/>
          <w:sz w:val="24"/>
          <w:szCs w:val="24"/>
        </w:rPr>
        <w:t>Basuki</w:t>
      </w:r>
      <w:proofErr w:type="spellEnd"/>
      <w:r w:rsidRPr="00144C93">
        <w:rPr>
          <w:rFonts w:ascii="Book Antiqua" w:hAnsi="Book Antiqua" w:cstheme="majorHAnsi"/>
          <w:sz w:val="24"/>
          <w:szCs w:val="24"/>
        </w:rPr>
        <w:t xml:space="preserve"> </w:t>
      </w:r>
      <w:proofErr w:type="spellStart"/>
      <w:r w:rsidRPr="00144C93">
        <w:rPr>
          <w:rFonts w:ascii="Book Antiqua" w:hAnsi="Book Antiqua" w:cstheme="majorHAnsi"/>
          <w:sz w:val="24"/>
          <w:szCs w:val="24"/>
        </w:rPr>
        <w:t>Tjahaja</w:t>
      </w:r>
      <w:proofErr w:type="spellEnd"/>
      <w:r w:rsidRPr="00144C93">
        <w:rPr>
          <w:rFonts w:ascii="Book Antiqua" w:hAnsi="Book Antiqua" w:cstheme="majorHAnsi"/>
          <w:sz w:val="24"/>
          <w:szCs w:val="24"/>
        </w:rPr>
        <w:t xml:space="preserve"> </w:t>
      </w:r>
      <w:proofErr w:type="spellStart"/>
      <w:r w:rsidRPr="00144C93">
        <w:rPr>
          <w:rFonts w:ascii="Book Antiqua" w:hAnsi="Book Antiqua" w:cstheme="majorHAnsi"/>
          <w:sz w:val="24"/>
          <w:szCs w:val="24"/>
        </w:rPr>
        <w:t>Purnama</w:t>
      </w:r>
      <w:proofErr w:type="spellEnd"/>
      <w:r w:rsidRPr="00144C93">
        <w:rPr>
          <w:rFonts w:ascii="Book Antiqua" w:hAnsi="Book Antiqua" w:cstheme="majorHAnsi"/>
          <w:sz w:val="24"/>
          <w:szCs w:val="24"/>
        </w:rPr>
        <w:t xml:space="preserve"> is one of the cases that has drawn a lot of attention from the general public (</w:t>
      </w:r>
      <w:proofErr w:type="spellStart"/>
      <w:r w:rsidRPr="00144C93">
        <w:rPr>
          <w:rFonts w:ascii="Book Antiqua" w:hAnsi="Book Antiqua" w:cstheme="majorHAnsi"/>
          <w:sz w:val="24"/>
          <w:szCs w:val="24"/>
        </w:rPr>
        <w:t>Ahok</w:t>
      </w:r>
      <w:proofErr w:type="spellEnd"/>
      <w:r w:rsidRPr="00144C93">
        <w:rPr>
          <w:rFonts w:ascii="Book Antiqua" w:hAnsi="Book Antiqua" w:cstheme="majorHAnsi"/>
          <w:sz w:val="24"/>
          <w:szCs w:val="24"/>
        </w:rPr>
        <w:t xml:space="preserve">). </w:t>
      </w:r>
      <w:proofErr w:type="spellStart"/>
      <w:r w:rsidRPr="00144C93">
        <w:rPr>
          <w:rFonts w:ascii="Book Antiqua" w:hAnsi="Book Antiqua" w:cstheme="majorHAnsi"/>
          <w:sz w:val="24"/>
          <w:szCs w:val="24"/>
        </w:rPr>
        <w:t>Ahok</w:t>
      </w:r>
      <w:proofErr w:type="spellEnd"/>
      <w:r w:rsidRPr="00144C93">
        <w:rPr>
          <w:rFonts w:ascii="Book Antiqua" w:hAnsi="Book Antiqua" w:cstheme="majorHAnsi"/>
          <w:sz w:val="24"/>
          <w:szCs w:val="24"/>
        </w:rPr>
        <w:t xml:space="preserve"> insulted Islam while on a working trip to </w:t>
      </w:r>
      <w:proofErr w:type="spellStart"/>
      <w:r w:rsidRPr="00144C93">
        <w:rPr>
          <w:rFonts w:ascii="Book Antiqua" w:hAnsi="Book Antiqua" w:cstheme="majorHAnsi"/>
          <w:sz w:val="24"/>
          <w:szCs w:val="24"/>
        </w:rPr>
        <w:t>Pramuka</w:t>
      </w:r>
      <w:proofErr w:type="spellEnd"/>
      <w:r w:rsidRPr="00144C93">
        <w:rPr>
          <w:rFonts w:ascii="Book Antiqua" w:hAnsi="Book Antiqua" w:cstheme="majorHAnsi"/>
          <w:sz w:val="24"/>
          <w:szCs w:val="24"/>
        </w:rPr>
        <w:t xml:space="preserve"> Island in the Thousand Islands by clumsily reading and interpreting Surah Al </w:t>
      </w:r>
      <w:proofErr w:type="spellStart"/>
      <w:r w:rsidRPr="00144C93">
        <w:rPr>
          <w:rFonts w:ascii="Book Antiqua" w:hAnsi="Book Antiqua" w:cstheme="majorHAnsi"/>
          <w:sz w:val="24"/>
          <w:szCs w:val="24"/>
        </w:rPr>
        <w:t>Maidah</w:t>
      </w:r>
      <w:proofErr w:type="spellEnd"/>
      <w:r w:rsidRPr="00144C93">
        <w:rPr>
          <w:rFonts w:ascii="Book Antiqua" w:hAnsi="Book Antiqua" w:cstheme="majorHAnsi"/>
          <w:sz w:val="24"/>
          <w:szCs w:val="24"/>
        </w:rPr>
        <w:t xml:space="preserve"> Verse 51 of the Qur'an.</w:t>
      </w:r>
      <w:r w:rsidR="00643958">
        <w:rPr>
          <w:rStyle w:val="FootnoteReference"/>
          <w:rFonts w:ascii="Book Antiqua" w:hAnsi="Book Antiqua" w:cstheme="majorHAnsi"/>
          <w:sz w:val="24"/>
          <w:szCs w:val="24"/>
        </w:rPr>
        <w:footnoteReference w:id="14"/>
      </w:r>
      <w:r w:rsidRPr="00144C93">
        <w:rPr>
          <w:rFonts w:ascii="Book Antiqua" w:hAnsi="Book Antiqua" w:cstheme="majorHAnsi"/>
          <w:sz w:val="24"/>
          <w:szCs w:val="24"/>
        </w:rPr>
        <w:t xml:space="preserve"> The </w:t>
      </w:r>
      <w:proofErr w:type="spellStart"/>
      <w:r w:rsidRPr="00144C93">
        <w:rPr>
          <w:rFonts w:ascii="Book Antiqua" w:hAnsi="Book Antiqua" w:cstheme="majorHAnsi"/>
          <w:sz w:val="24"/>
          <w:szCs w:val="24"/>
        </w:rPr>
        <w:t>Buni</w:t>
      </w:r>
      <w:proofErr w:type="spellEnd"/>
      <w:r w:rsidRPr="00144C93">
        <w:rPr>
          <w:rFonts w:ascii="Book Antiqua" w:hAnsi="Book Antiqua" w:cstheme="majorHAnsi"/>
          <w:sz w:val="24"/>
          <w:szCs w:val="24"/>
        </w:rPr>
        <w:t xml:space="preserve"> </w:t>
      </w:r>
      <w:proofErr w:type="spellStart"/>
      <w:r w:rsidRPr="00144C93">
        <w:rPr>
          <w:rFonts w:ascii="Book Antiqua" w:hAnsi="Book Antiqua" w:cstheme="majorHAnsi"/>
          <w:sz w:val="24"/>
          <w:szCs w:val="24"/>
        </w:rPr>
        <w:t>Yani</w:t>
      </w:r>
      <w:proofErr w:type="spellEnd"/>
      <w:r w:rsidRPr="00144C93">
        <w:rPr>
          <w:rFonts w:ascii="Book Antiqua" w:hAnsi="Book Antiqua" w:cstheme="majorHAnsi"/>
          <w:sz w:val="24"/>
          <w:szCs w:val="24"/>
        </w:rPr>
        <w:t xml:space="preserve"> account posted </w:t>
      </w:r>
      <w:proofErr w:type="spellStart"/>
      <w:r w:rsidRPr="00144C93">
        <w:rPr>
          <w:rFonts w:ascii="Book Antiqua" w:hAnsi="Book Antiqua" w:cstheme="majorHAnsi"/>
          <w:sz w:val="24"/>
          <w:szCs w:val="24"/>
        </w:rPr>
        <w:t>Ahok's</w:t>
      </w:r>
      <w:proofErr w:type="spellEnd"/>
      <w:r w:rsidRPr="00144C93">
        <w:rPr>
          <w:rFonts w:ascii="Book Antiqua" w:hAnsi="Book Antiqua" w:cstheme="majorHAnsi"/>
          <w:sz w:val="24"/>
          <w:szCs w:val="24"/>
        </w:rPr>
        <w:t xml:space="preserve"> speech to the Facebook social network on October 16,</w:t>
      </w:r>
      <w:r w:rsidR="00C26A6F" w:rsidRPr="00144C93">
        <w:rPr>
          <w:rFonts w:ascii="Book Antiqua" w:hAnsi="Book Antiqua" w:cstheme="majorHAnsi"/>
          <w:sz w:val="24"/>
          <w:szCs w:val="24"/>
        </w:rPr>
        <w:t xml:space="preserve"> 2016, and it was shared there.</w:t>
      </w:r>
      <w:r w:rsidR="00643958">
        <w:rPr>
          <w:rStyle w:val="FootnoteReference"/>
          <w:rFonts w:ascii="Book Antiqua" w:hAnsi="Book Antiqua" w:cstheme="majorHAnsi"/>
          <w:sz w:val="24"/>
          <w:szCs w:val="24"/>
        </w:rPr>
        <w:footnoteReference w:id="15"/>
      </w:r>
      <w:r w:rsidR="00C26A6F" w:rsidRPr="00144C93">
        <w:rPr>
          <w:rFonts w:ascii="Book Antiqua" w:hAnsi="Book Antiqua"/>
          <w:sz w:val="24"/>
          <w:szCs w:val="24"/>
        </w:rPr>
        <w:t xml:space="preserve"> </w:t>
      </w:r>
      <w:r w:rsidRPr="00144C93">
        <w:rPr>
          <w:rFonts w:ascii="Book Antiqua" w:hAnsi="Book Antiqua" w:cstheme="majorHAnsi"/>
          <w:sz w:val="24"/>
          <w:szCs w:val="24"/>
        </w:rPr>
        <w:t xml:space="preserve">In addition, a comparable incident happened in Bali when Donald Ignatius </w:t>
      </w:r>
      <w:proofErr w:type="spellStart"/>
      <w:r w:rsidRPr="00144C93">
        <w:rPr>
          <w:rFonts w:ascii="Book Antiqua" w:hAnsi="Book Antiqua" w:cstheme="majorHAnsi"/>
          <w:sz w:val="24"/>
          <w:szCs w:val="24"/>
        </w:rPr>
        <w:t>Soeyanto</w:t>
      </w:r>
      <w:proofErr w:type="spellEnd"/>
      <w:r w:rsidRPr="00144C93">
        <w:rPr>
          <w:rFonts w:ascii="Book Antiqua" w:hAnsi="Book Antiqua" w:cstheme="majorHAnsi"/>
          <w:sz w:val="24"/>
          <w:szCs w:val="24"/>
        </w:rPr>
        <w:t xml:space="preserve"> </w:t>
      </w:r>
      <w:proofErr w:type="spellStart"/>
      <w:r w:rsidRPr="00144C93">
        <w:rPr>
          <w:rFonts w:ascii="Book Antiqua" w:hAnsi="Book Antiqua" w:cstheme="majorHAnsi"/>
          <w:sz w:val="24"/>
          <w:szCs w:val="24"/>
        </w:rPr>
        <w:t>Baria</w:t>
      </w:r>
      <w:proofErr w:type="spellEnd"/>
      <w:r w:rsidRPr="00144C93">
        <w:rPr>
          <w:rFonts w:ascii="Book Antiqua" w:hAnsi="Book Antiqua" w:cstheme="majorHAnsi"/>
          <w:sz w:val="24"/>
          <w:szCs w:val="24"/>
        </w:rPr>
        <w:t xml:space="preserve"> purposefully disparaged </w:t>
      </w:r>
      <w:proofErr w:type="spellStart"/>
      <w:r w:rsidRPr="00144C93">
        <w:rPr>
          <w:rFonts w:ascii="Book Antiqua" w:hAnsi="Book Antiqua" w:cstheme="majorHAnsi"/>
          <w:sz w:val="24"/>
          <w:szCs w:val="24"/>
        </w:rPr>
        <w:t>Kyai</w:t>
      </w:r>
      <w:proofErr w:type="spellEnd"/>
      <w:r w:rsidRPr="00144C93">
        <w:rPr>
          <w:rFonts w:ascii="Book Antiqua" w:hAnsi="Book Antiqua" w:cstheme="majorHAnsi"/>
          <w:sz w:val="24"/>
          <w:szCs w:val="24"/>
        </w:rPr>
        <w:t xml:space="preserve"> and </w:t>
      </w:r>
      <w:proofErr w:type="spellStart"/>
      <w:r w:rsidRPr="00144C93">
        <w:rPr>
          <w:rFonts w:ascii="Book Antiqua" w:hAnsi="Book Antiqua" w:cstheme="majorHAnsi"/>
          <w:sz w:val="24"/>
          <w:szCs w:val="24"/>
        </w:rPr>
        <w:t>Ulama</w:t>
      </w:r>
      <w:proofErr w:type="spellEnd"/>
      <w:r w:rsidRPr="00144C93">
        <w:rPr>
          <w:rFonts w:ascii="Book Antiqua" w:hAnsi="Book Antiqua" w:cstheme="majorHAnsi"/>
          <w:sz w:val="24"/>
          <w:szCs w:val="24"/>
        </w:rPr>
        <w:t xml:space="preserve"> on social media.</w:t>
      </w:r>
      <w:r w:rsidR="00643958">
        <w:rPr>
          <w:rStyle w:val="FootnoteReference"/>
          <w:rFonts w:ascii="Book Antiqua" w:hAnsi="Book Antiqua" w:cstheme="majorHAnsi"/>
          <w:sz w:val="24"/>
          <w:szCs w:val="24"/>
        </w:rPr>
        <w:footnoteReference w:id="16"/>
      </w:r>
      <w:r w:rsidR="00C26A6F" w:rsidRPr="00144C93">
        <w:rPr>
          <w:rFonts w:ascii="Book Antiqua" w:hAnsi="Book Antiqua" w:cstheme="majorHAnsi"/>
          <w:sz w:val="24"/>
          <w:szCs w:val="24"/>
        </w:rPr>
        <w:t xml:space="preserve"> </w:t>
      </w:r>
      <w:r w:rsidRPr="00144C93">
        <w:rPr>
          <w:rFonts w:ascii="Book Antiqua" w:hAnsi="Book Antiqua" w:cstheme="majorHAnsi"/>
          <w:sz w:val="24"/>
          <w:szCs w:val="24"/>
        </w:rPr>
        <w:t xml:space="preserve">With equal fervor, M. </w:t>
      </w:r>
      <w:proofErr w:type="spellStart"/>
      <w:r w:rsidRPr="00144C93">
        <w:rPr>
          <w:rFonts w:ascii="Book Antiqua" w:hAnsi="Book Antiqua" w:cstheme="majorHAnsi"/>
          <w:sz w:val="24"/>
          <w:szCs w:val="24"/>
        </w:rPr>
        <w:t>Kace</w:t>
      </w:r>
      <w:proofErr w:type="spellEnd"/>
      <w:r w:rsidRPr="00144C93">
        <w:rPr>
          <w:rFonts w:ascii="Book Antiqua" w:hAnsi="Book Antiqua" w:cstheme="majorHAnsi"/>
          <w:sz w:val="24"/>
          <w:szCs w:val="24"/>
        </w:rPr>
        <w:t xml:space="preserve"> spread dozens of films through his </w:t>
      </w:r>
      <w:proofErr w:type="spellStart"/>
      <w:r w:rsidRPr="00144C93">
        <w:rPr>
          <w:rFonts w:ascii="Book Antiqua" w:hAnsi="Book Antiqua" w:cstheme="majorHAnsi"/>
          <w:sz w:val="24"/>
          <w:szCs w:val="24"/>
        </w:rPr>
        <w:t>TikTok</w:t>
      </w:r>
      <w:proofErr w:type="spellEnd"/>
      <w:r w:rsidRPr="00144C93">
        <w:rPr>
          <w:rFonts w:ascii="Book Antiqua" w:hAnsi="Book Antiqua" w:cstheme="majorHAnsi"/>
          <w:sz w:val="24"/>
          <w:szCs w:val="24"/>
        </w:rPr>
        <w:t xml:space="preserve"> and YouTube accounts that were deemed to include elements of hatred, insult, or blasphemy against Islam. This was done through the </w:t>
      </w:r>
      <w:proofErr w:type="spellStart"/>
      <w:r w:rsidRPr="00144C93">
        <w:rPr>
          <w:rFonts w:ascii="Book Antiqua" w:hAnsi="Book Antiqua" w:cstheme="majorHAnsi"/>
          <w:sz w:val="24"/>
          <w:szCs w:val="24"/>
        </w:rPr>
        <w:t>TikTok</w:t>
      </w:r>
      <w:proofErr w:type="spellEnd"/>
      <w:r w:rsidRPr="00144C93">
        <w:rPr>
          <w:rFonts w:ascii="Book Antiqua" w:hAnsi="Book Antiqua" w:cstheme="majorHAnsi"/>
          <w:sz w:val="24"/>
          <w:szCs w:val="24"/>
        </w:rPr>
        <w:t xml:space="preserve"> and YouTube platforms.</w:t>
      </w:r>
      <w:r w:rsidR="00643958">
        <w:rPr>
          <w:rStyle w:val="FootnoteReference"/>
          <w:rFonts w:ascii="Book Antiqua" w:hAnsi="Book Antiqua" w:cstheme="majorHAnsi"/>
          <w:sz w:val="24"/>
          <w:szCs w:val="24"/>
        </w:rPr>
        <w:footnoteReference w:id="17"/>
      </w:r>
      <w:r w:rsidR="00C26A6F" w:rsidRPr="00144C93">
        <w:rPr>
          <w:rFonts w:ascii="Book Antiqua" w:hAnsi="Book Antiqua" w:cstheme="majorHAnsi"/>
          <w:sz w:val="24"/>
          <w:szCs w:val="24"/>
        </w:rPr>
        <w:t xml:space="preserve"> </w:t>
      </w:r>
      <w:r w:rsidRPr="00144C93">
        <w:rPr>
          <w:rFonts w:ascii="Book Antiqua" w:hAnsi="Book Antiqua" w:cstheme="majorHAnsi"/>
          <w:sz w:val="24"/>
          <w:szCs w:val="24"/>
        </w:rPr>
        <w:t xml:space="preserve">Then, the case of comics </w:t>
      </w:r>
      <w:proofErr w:type="spellStart"/>
      <w:r w:rsidRPr="00144C93">
        <w:rPr>
          <w:rFonts w:ascii="Book Antiqua" w:hAnsi="Book Antiqua" w:cstheme="majorHAnsi"/>
          <w:sz w:val="24"/>
          <w:szCs w:val="24"/>
        </w:rPr>
        <w:t>Tretan</w:t>
      </w:r>
      <w:proofErr w:type="spellEnd"/>
      <w:r w:rsidRPr="00144C93">
        <w:rPr>
          <w:rFonts w:ascii="Book Antiqua" w:hAnsi="Book Antiqua" w:cstheme="majorHAnsi"/>
          <w:sz w:val="24"/>
          <w:szCs w:val="24"/>
        </w:rPr>
        <w:t xml:space="preserve"> Muslim and </w:t>
      </w:r>
      <w:proofErr w:type="spellStart"/>
      <w:r w:rsidRPr="00144C93">
        <w:rPr>
          <w:rFonts w:ascii="Book Antiqua" w:hAnsi="Book Antiqua" w:cstheme="majorHAnsi"/>
          <w:sz w:val="24"/>
          <w:szCs w:val="24"/>
        </w:rPr>
        <w:t>Coki</w:t>
      </w:r>
      <w:proofErr w:type="spellEnd"/>
      <w:r w:rsidRPr="00144C93">
        <w:rPr>
          <w:rFonts w:ascii="Book Antiqua" w:hAnsi="Book Antiqua" w:cstheme="majorHAnsi"/>
          <w:sz w:val="24"/>
          <w:szCs w:val="24"/>
        </w:rPr>
        <w:t xml:space="preserve"> </w:t>
      </w:r>
      <w:proofErr w:type="spellStart"/>
      <w:r w:rsidRPr="00144C93">
        <w:rPr>
          <w:rFonts w:ascii="Book Antiqua" w:hAnsi="Book Antiqua" w:cstheme="majorHAnsi"/>
          <w:sz w:val="24"/>
          <w:szCs w:val="24"/>
        </w:rPr>
        <w:t>Pardede</w:t>
      </w:r>
      <w:proofErr w:type="spellEnd"/>
      <w:r w:rsidRPr="00144C93">
        <w:rPr>
          <w:rFonts w:ascii="Book Antiqua" w:hAnsi="Book Antiqua" w:cstheme="majorHAnsi"/>
          <w:sz w:val="24"/>
          <w:szCs w:val="24"/>
        </w:rPr>
        <w:t xml:space="preserve"> who are members of the Indonesian Funny Assembly or MLI (</w:t>
      </w:r>
      <w:proofErr w:type="spellStart"/>
      <w:r w:rsidRPr="00144C93">
        <w:rPr>
          <w:rFonts w:ascii="Book Antiqua" w:hAnsi="Book Antiqua" w:cstheme="majorHAnsi"/>
          <w:sz w:val="24"/>
          <w:szCs w:val="24"/>
        </w:rPr>
        <w:t>Majelis</w:t>
      </w:r>
      <w:proofErr w:type="spellEnd"/>
      <w:r w:rsidRPr="00144C93">
        <w:rPr>
          <w:rFonts w:ascii="Book Antiqua" w:hAnsi="Book Antiqua" w:cstheme="majorHAnsi"/>
          <w:sz w:val="24"/>
          <w:szCs w:val="24"/>
        </w:rPr>
        <w:t xml:space="preserve"> </w:t>
      </w:r>
      <w:proofErr w:type="spellStart"/>
      <w:r w:rsidRPr="00144C93">
        <w:rPr>
          <w:rFonts w:ascii="Book Antiqua" w:hAnsi="Book Antiqua" w:cstheme="majorHAnsi"/>
          <w:sz w:val="24"/>
          <w:szCs w:val="24"/>
        </w:rPr>
        <w:t>Lucu</w:t>
      </w:r>
      <w:proofErr w:type="spellEnd"/>
      <w:r w:rsidRPr="00144C93">
        <w:rPr>
          <w:rFonts w:ascii="Book Antiqua" w:hAnsi="Book Antiqua" w:cstheme="majorHAnsi"/>
          <w:sz w:val="24"/>
          <w:szCs w:val="24"/>
        </w:rPr>
        <w:t xml:space="preserve">  Indonesia) group. The two comics committed acts of blasphemy in a vlog entitled “Cooking Pork Dates.</w:t>
      </w:r>
      <w:r w:rsidR="00643958">
        <w:rPr>
          <w:rStyle w:val="FootnoteReference"/>
          <w:rFonts w:ascii="Book Antiqua" w:hAnsi="Book Antiqua" w:cstheme="majorHAnsi"/>
          <w:sz w:val="24"/>
          <w:szCs w:val="24"/>
        </w:rPr>
        <w:footnoteReference w:id="18"/>
      </w:r>
    </w:p>
    <w:p w:rsidR="001F0853" w:rsidRPr="00144C93" w:rsidRDefault="001C72A4" w:rsidP="002E076C">
      <w:pPr>
        <w:spacing w:after="120" w:line="240" w:lineRule="auto"/>
        <w:ind w:firstLine="567"/>
        <w:jc w:val="both"/>
        <w:rPr>
          <w:rFonts w:ascii="Book Antiqua" w:hAnsi="Book Antiqua" w:cs="Calibri"/>
          <w:color w:val="000000" w:themeColor="text1"/>
        </w:rPr>
      </w:pPr>
      <w:r w:rsidRPr="00144C93">
        <w:rPr>
          <w:rFonts w:ascii="Book Antiqua" w:hAnsi="Book Antiqua" w:cstheme="majorHAnsi"/>
          <w:sz w:val="24"/>
          <w:szCs w:val="24"/>
        </w:rPr>
        <w:t>Every year, more instances of religious blasphemy are reported.</w:t>
      </w:r>
      <w:r w:rsidR="00643958">
        <w:rPr>
          <w:rStyle w:val="FootnoteReference"/>
          <w:rFonts w:ascii="Book Antiqua" w:hAnsi="Book Antiqua" w:cstheme="majorHAnsi"/>
          <w:sz w:val="24"/>
          <w:szCs w:val="24"/>
        </w:rPr>
        <w:footnoteReference w:id="19"/>
      </w:r>
      <w:r w:rsidR="00C26A6F" w:rsidRPr="00144C93">
        <w:rPr>
          <w:rFonts w:ascii="Book Antiqua" w:hAnsi="Book Antiqua" w:cstheme="majorHAnsi"/>
          <w:sz w:val="24"/>
          <w:szCs w:val="24"/>
        </w:rPr>
        <w:t xml:space="preserve"> </w:t>
      </w:r>
      <w:r w:rsidRPr="00144C93">
        <w:rPr>
          <w:rFonts w:ascii="Book Antiqua" w:hAnsi="Book Antiqua" w:cstheme="majorHAnsi"/>
          <w:sz w:val="24"/>
          <w:szCs w:val="24"/>
        </w:rPr>
        <w:t xml:space="preserve">There were 19 blasphemy cases between 2004 and 2008, with the biggest number (7 cases) happening in that year. Blasphemy cases climbed once more in 2010. At that time, at least ten cases were reported. Blasphemy cases climbed by 10 cases in 2012 as well. The year 2016 saw the most number of blasphemy cases during Jokowi's rule. In this time, 14 cases happened. In Indonesia, there were 38 incidents of blasphemy against religion in 2020, according to the general chairman of the Legal Aid Foundation (YLBHI). </w:t>
      </w:r>
      <w:proofErr w:type="spellStart"/>
      <w:r w:rsidRPr="00144C93">
        <w:rPr>
          <w:rFonts w:ascii="Book Antiqua" w:hAnsi="Book Antiqua" w:cstheme="majorHAnsi"/>
          <w:sz w:val="24"/>
          <w:szCs w:val="24"/>
        </w:rPr>
        <w:t>Asfina</w:t>
      </w:r>
      <w:proofErr w:type="spellEnd"/>
      <w:r w:rsidRPr="00144C93">
        <w:rPr>
          <w:rFonts w:ascii="Book Antiqua" w:hAnsi="Book Antiqua" w:cstheme="majorHAnsi"/>
          <w:sz w:val="24"/>
          <w:szCs w:val="24"/>
        </w:rPr>
        <w:t xml:space="preserve"> notes a recent </w:t>
      </w:r>
      <w:r w:rsidRPr="00144C93">
        <w:rPr>
          <w:rFonts w:ascii="Book Antiqua" w:hAnsi="Book Antiqua" w:cstheme="majorHAnsi"/>
          <w:sz w:val="24"/>
          <w:szCs w:val="24"/>
        </w:rPr>
        <w:lastRenderedPageBreak/>
        <w:t xml:space="preserve">development: Due to their usage of the social media platform </w:t>
      </w:r>
      <w:proofErr w:type="spellStart"/>
      <w:r w:rsidRPr="00144C93">
        <w:rPr>
          <w:rFonts w:ascii="Book Antiqua" w:hAnsi="Book Antiqua" w:cstheme="majorHAnsi"/>
          <w:sz w:val="24"/>
          <w:szCs w:val="24"/>
        </w:rPr>
        <w:t>TikTok</w:t>
      </w:r>
      <w:proofErr w:type="spellEnd"/>
      <w:r w:rsidRPr="00144C93">
        <w:rPr>
          <w:rFonts w:ascii="Book Antiqua" w:hAnsi="Book Antiqua" w:cstheme="majorHAnsi"/>
          <w:sz w:val="24"/>
          <w:szCs w:val="24"/>
        </w:rPr>
        <w:t>, which is situated in the United States, the majority of those who commit acts of religious blasphemy are young people under the age of 18.</w:t>
      </w:r>
      <w:r w:rsidR="00643958">
        <w:rPr>
          <w:rStyle w:val="FootnoteReference"/>
          <w:rFonts w:ascii="Book Antiqua" w:hAnsi="Book Antiqua" w:cstheme="majorHAnsi"/>
          <w:sz w:val="24"/>
          <w:szCs w:val="24"/>
        </w:rPr>
        <w:footnoteReference w:id="20"/>
      </w:r>
    </w:p>
    <w:p w:rsidR="004B1F20" w:rsidRPr="00144C93" w:rsidRDefault="001C72A4" w:rsidP="002E076C">
      <w:pPr>
        <w:spacing w:after="120" w:line="240" w:lineRule="auto"/>
        <w:ind w:firstLine="567"/>
        <w:jc w:val="both"/>
        <w:rPr>
          <w:rFonts w:ascii="Book Antiqua" w:hAnsi="Book Antiqua" w:cstheme="majorHAnsi"/>
          <w:sz w:val="24"/>
          <w:szCs w:val="24"/>
          <w:lang w:val="en-GB"/>
        </w:rPr>
      </w:pPr>
      <w:r w:rsidRPr="00144C93">
        <w:rPr>
          <w:rFonts w:ascii="Book Antiqua" w:hAnsi="Book Antiqua" w:cstheme="majorHAnsi"/>
          <w:sz w:val="24"/>
          <w:szCs w:val="24"/>
        </w:rPr>
        <w:t>In order to preserve religious harmony and tolerance in Indonesia, the government has issued a number of laws and regulations to control and discipline followers of specific religions in carrying out their worship and beliefs in order to prevent friction between religions that could result in anarchist actions by destroying places of worship, hurting, or killing followers. As a result, both Indonesian law and Islamic law will be used to describe the regulation on the prohibition of religious blasphemy in this article.</w:t>
      </w:r>
    </w:p>
    <w:p w:rsidR="00AF20D0" w:rsidRPr="00144C93" w:rsidRDefault="00AF20D0" w:rsidP="00A26219">
      <w:pPr>
        <w:spacing w:after="120" w:line="240" w:lineRule="auto"/>
        <w:jc w:val="both"/>
        <w:rPr>
          <w:rFonts w:ascii="Book Antiqua" w:hAnsi="Book Antiqua"/>
          <w:sz w:val="24"/>
          <w:szCs w:val="24"/>
        </w:rPr>
      </w:pPr>
    </w:p>
    <w:p w:rsidR="004B1F20" w:rsidRPr="00144C93" w:rsidRDefault="004B1F20" w:rsidP="00A26219">
      <w:pPr>
        <w:numPr>
          <w:ilvl w:val="0"/>
          <w:numId w:val="18"/>
        </w:numPr>
        <w:spacing w:after="120" w:line="240" w:lineRule="auto"/>
        <w:ind w:left="284" w:hanging="284"/>
        <w:rPr>
          <w:rFonts w:ascii="Book Antiqua" w:hAnsi="Book Antiqua"/>
          <w:b/>
          <w:bCs/>
          <w:color w:val="4472C4" w:themeColor="accent1"/>
          <w:sz w:val="28"/>
          <w:szCs w:val="22"/>
          <w:lang w:val="id-ID"/>
        </w:rPr>
      </w:pPr>
      <w:r w:rsidRPr="00144C93">
        <w:rPr>
          <w:rFonts w:ascii="Book Antiqua" w:hAnsi="Book Antiqua"/>
          <w:b/>
          <w:color w:val="2F5496" w:themeColor="accent1" w:themeShade="BF"/>
          <w:sz w:val="24"/>
          <w:szCs w:val="24"/>
        </w:rPr>
        <w:t>METHOD</w:t>
      </w:r>
    </w:p>
    <w:p w:rsidR="004B1F20" w:rsidRPr="00144C93" w:rsidRDefault="002E076C" w:rsidP="002E076C">
      <w:pPr>
        <w:tabs>
          <w:tab w:val="left" w:pos="567"/>
        </w:tabs>
        <w:spacing w:after="120" w:line="240" w:lineRule="auto"/>
        <w:jc w:val="both"/>
        <w:rPr>
          <w:rFonts w:ascii="Book Antiqua" w:hAnsi="Book Antiqua" w:cstheme="majorHAnsi"/>
          <w:sz w:val="24"/>
          <w:szCs w:val="24"/>
        </w:rPr>
      </w:pPr>
      <w:r>
        <w:rPr>
          <w:rFonts w:ascii="Book Antiqua" w:hAnsi="Book Antiqua" w:cstheme="majorHAnsi"/>
          <w:sz w:val="24"/>
          <w:szCs w:val="24"/>
        </w:rPr>
        <w:tab/>
      </w:r>
      <w:r w:rsidR="00CD3556" w:rsidRPr="00144C93">
        <w:rPr>
          <w:rFonts w:ascii="Book Antiqua" w:hAnsi="Book Antiqua" w:cstheme="majorHAnsi"/>
          <w:sz w:val="24"/>
          <w:szCs w:val="24"/>
          <w:lang w:val="id-ID"/>
        </w:rPr>
        <w:t>This research is normative, doctrinal, or juridical. Normative research, according to Yaqin, strives to locate, clarify, evaluate, analyze, and present facts, principles, concepts, theories, and specific laws in a systematic fashion in order to discover new knowledge and ideas that can be offered as a change or renewal.</w:t>
      </w:r>
      <w:r w:rsidR="00643958">
        <w:rPr>
          <w:rStyle w:val="FootnoteReference"/>
          <w:rFonts w:ascii="Book Antiqua" w:hAnsi="Book Antiqua"/>
          <w:sz w:val="24"/>
          <w:szCs w:val="24"/>
        </w:rPr>
        <w:footnoteReference w:id="21"/>
      </w:r>
      <w:r w:rsidR="00C26A6F" w:rsidRPr="00144C93">
        <w:rPr>
          <w:rFonts w:ascii="Book Antiqua" w:hAnsi="Book Antiqua" w:cstheme="majorHAnsi"/>
          <w:sz w:val="24"/>
          <w:szCs w:val="24"/>
        </w:rPr>
        <w:t xml:space="preserve"> </w:t>
      </w:r>
      <w:r w:rsidR="00CD3556" w:rsidRPr="00144C93">
        <w:rPr>
          <w:rFonts w:ascii="Book Antiqua" w:hAnsi="Book Antiqua" w:cstheme="majorHAnsi"/>
          <w:sz w:val="24"/>
          <w:szCs w:val="24"/>
          <w:lang w:val="id-ID"/>
        </w:rPr>
        <w:t>In this study, blasphemy from the perspectives of Islamic criminal law and Indonesian criminal law, all documents, references, facts, theories, doctrines, and laws will be explored. Comparative law is the method employed in this study. According to Watson, a comparative approach is a research done to determine how a country's legal systems relate to one another or to compare other legal systems.</w:t>
      </w:r>
      <w:r w:rsidR="00643958">
        <w:rPr>
          <w:rStyle w:val="FootnoteReference"/>
          <w:rFonts w:ascii="Book Antiqua" w:hAnsi="Book Antiqua"/>
          <w:spacing w:val="-1"/>
          <w:sz w:val="24"/>
          <w:szCs w:val="24"/>
        </w:rPr>
        <w:footnoteReference w:id="22"/>
      </w:r>
      <w:r w:rsidR="00C26A6F" w:rsidRPr="00144C93">
        <w:rPr>
          <w:rFonts w:ascii="Book Antiqua" w:hAnsi="Book Antiqua"/>
          <w:spacing w:val="-1"/>
          <w:sz w:val="24"/>
          <w:szCs w:val="24"/>
        </w:rPr>
        <w:t xml:space="preserve"> </w:t>
      </w:r>
      <w:r w:rsidR="00CD3556" w:rsidRPr="00144C93">
        <w:rPr>
          <w:rFonts w:ascii="Book Antiqua" w:hAnsi="Book Antiqua" w:cstheme="majorHAnsi"/>
          <w:sz w:val="24"/>
          <w:szCs w:val="24"/>
          <w:lang w:val="id-ID"/>
        </w:rPr>
        <w:t>In order to compare Indonesian law and Islamic law regarding the punishment of blasphemy crimes, a comparative law approach is used.</w:t>
      </w:r>
    </w:p>
    <w:p w:rsidR="007B44C8" w:rsidRPr="00144C93" w:rsidRDefault="007B44C8" w:rsidP="00A26219">
      <w:pPr>
        <w:spacing w:after="120" w:line="240" w:lineRule="auto"/>
        <w:jc w:val="both"/>
        <w:rPr>
          <w:rFonts w:ascii="Book Antiqua" w:hAnsi="Book Antiqua" w:cs="Calibri"/>
          <w:color w:val="333333"/>
        </w:rPr>
      </w:pPr>
    </w:p>
    <w:p w:rsidR="004B1F20" w:rsidRPr="00144C93" w:rsidRDefault="004B1F20" w:rsidP="00A26219">
      <w:pPr>
        <w:numPr>
          <w:ilvl w:val="0"/>
          <w:numId w:val="18"/>
        </w:numPr>
        <w:spacing w:after="120" w:line="240" w:lineRule="auto"/>
        <w:ind w:left="284" w:hanging="284"/>
        <w:rPr>
          <w:rFonts w:ascii="Book Antiqua" w:hAnsi="Book Antiqua"/>
          <w:b/>
          <w:color w:val="2F5496" w:themeColor="accent1" w:themeShade="BF"/>
          <w:sz w:val="24"/>
          <w:szCs w:val="24"/>
        </w:rPr>
      </w:pPr>
      <w:r w:rsidRPr="00144C93">
        <w:rPr>
          <w:rFonts w:ascii="Book Antiqua" w:hAnsi="Book Antiqua"/>
          <w:b/>
          <w:color w:val="2F5496" w:themeColor="accent1" w:themeShade="BF"/>
          <w:sz w:val="24"/>
          <w:szCs w:val="24"/>
        </w:rPr>
        <w:t>RESULTS AND DISCUSSION</w:t>
      </w:r>
    </w:p>
    <w:p w:rsidR="004B1F20" w:rsidRPr="00144C93" w:rsidRDefault="00CD3556" w:rsidP="00CD3556">
      <w:pPr>
        <w:pStyle w:val="ListParagraph"/>
        <w:numPr>
          <w:ilvl w:val="1"/>
          <w:numId w:val="18"/>
        </w:numPr>
        <w:spacing w:after="120" w:line="240" w:lineRule="auto"/>
        <w:ind w:left="360"/>
        <w:contextualSpacing w:val="0"/>
        <w:jc w:val="both"/>
        <w:rPr>
          <w:rFonts w:ascii="Book Antiqua" w:eastAsia="Arial Unicode MS" w:hAnsi="Book Antiqua" w:cstheme="majorHAnsi"/>
          <w:b/>
          <w:color w:val="000000" w:themeColor="text1"/>
          <w:sz w:val="24"/>
          <w:szCs w:val="24"/>
        </w:rPr>
      </w:pPr>
      <w:r w:rsidRPr="00144C93">
        <w:rPr>
          <w:rFonts w:ascii="Book Antiqua" w:eastAsia="Arial Unicode MS" w:hAnsi="Book Antiqua" w:cstheme="majorHAnsi"/>
          <w:b/>
          <w:color w:val="000000" w:themeColor="text1"/>
          <w:sz w:val="24"/>
          <w:szCs w:val="24"/>
        </w:rPr>
        <w:t>Definition and Forms of Blasphemous Deeds</w:t>
      </w:r>
    </w:p>
    <w:p w:rsidR="002942E9" w:rsidRPr="00144C93" w:rsidRDefault="00CD3556" w:rsidP="002E076C">
      <w:pPr>
        <w:spacing w:after="120" w:line="240" w:lineRule="auto"/>
        <w:ind w:firstLine="567"/>
        <w:jc w:val="both"/>
        <w:rPr>
          <w:rFonts w:ascii="Book Antiqua" w:hAnsi="Book Antiqua" w:cstheme="majorHAnsi"/>
          <w:color w:val="000000" w:themeColor="text1"/>
          <w:sz w:val="24"/>
          <w:szCs w:val="24"/>
        </w:rPr>
      </w:pPr>
      <w:r w:rsidRPr="00144C93">
        <w:rPr>
          <w:rFonts w:ascii="Book Antiqua" w:hAnsi="Book Antiqua"/>
          <w:sz w:val="24"/>
          <w:szCs w:val="24"/>
        </w:rPr>
        <w:t>Blasphemy is derived etymologically from the word insult, which implies base or contemptible. When the word insult is used in relation to religion, it can be taken to signify an act of insulting, belittling, and tarnishing religion, deeming something low and beginning with hatred in one's heart towards a particular religion.</w:t>
      </w:r>
      <w:r w:rsidR="00643958">
        <w:rPr>
          <w:rStyle w:val="FootnoteReference"/>
          <w:rFonts w:ascii="Book Antiqua" w:hAnsi="Book Antiqua"/>
          <w:sz w:val="24"/>
          <w:szCs w:val="24"/>
        </w:rPr>
        <w:footnoteReference w:id="23"/>
      </w:r>
      <w:r w:rsidRPr="00144C93">
        <w:rPr>
          <w:rFonts w:ascii="Book Antiqua" w:hAnsi="Book Antiqua"/>
          <w:sz w:val="24"/>
          <w:szCs w:val="24"/>
        </w:rPr>
        <w:t xml:space="preserve"> Blasphemy, humiliation, and harassment are all concepts that have similar connotations in Arabic but are represented by many distinct words such as degrading (</w:t>
      </w:r>
      <w:proofErr w:type="spellStart"/>
      <w:r w:rsidRPr="00144C93">
        <w:rPr>
          <w:rFonts w:ascii="Times New Roman" w:hAnsi="Times New Roman"/>
          <w:sz w:val="24"/>
          <w:szCs w:val="24"/>
        </w:rPr>
        <w:t>اهانة</w:t>
      </w:r>
      <w:proofErr w:type="spellEnd"/>
      <w:r w:rsidRPr="00144C93">
        <w:rPr>
          <w:rFonts w:ascii="Book Antiqua" w:hAnsi="Book Antiqua"/>
          <w:sz w:val="24"/>
          <w:szCs w:val="24"/>
        </w:rPr>
        <w:t>), hurting (</w:t>
      </w:r>
      <w:proofErr w:type="spellStart"/>
      <w:r w:rsidRPr="00144C93">
        <w:rPr>
          <w:rFonts w:ascii="Times New Roman" w:hAnsi="Times New Roman"/>
          <w:sz w:val="24"/>
          <w:szCs w:val="24"/>
        </w:rPr>
        <w:t>ُايذاء</w:t>
      </w:r>
      <w:proofErr w:type="spellEnd"/>
      <w:r w:rsidRPr="00144C93">
        <w:rPr>
          <w:rFonts w:ascii="Book Antiqua" w:hAnsi="Book Antiqua"/>
          <w:sz w:val="24"/>
          <w:szCs w:val="24"/>
        </w:rPr>
        <w:t xml:space="preserve">), </w:t>
      </w:r>
      <w:proofErr w:type="spellStart"/>
      <w:r w:rsidRPr="00144C93">
        <w:rPr>
          <w:rFonts w:ascii="Book Antiqua" w:hAnsi="Book Antiqua"/>
          <w:sz w:val="24"/>
          <w:szCs w:val="24"/>
        </w:rPr>
        <w:t>rediculing</w:t>
      </w:r>
      <w:proofErr w:type="spellEnd"/>
      <w:r w:rsidRPr="00144C93">
        <w:rPr>
          <w:rFonts w:ascii="Book Antiqua" w:hAnsi="Book Antiqua"/>
          <w:sz w:val="24"/>
          <w:szCs w:val="24"/>
        </w:rPr>
        <w:t xml:space="preserve"> (</w:t>
      </w:r>
      <w:proofErr w:type="spellStart"/>
      <w:r w:rsidRPr="00144C93">
        <w:rPr>
          <w:rFonts w:ascii="Times New Roman" w:hAnsi="Times New Roman"/>
          <w:sz w:val="24"/>
          <w:szCs w:val="24"/>
        </w:rPr>
        <w:t>استخفاف</w:t>
      </w:r>
      <w:proofErr w:type="spellEnd"/>
      <w:proofErr w:type="gramStart"/>
      <w:r w:rsidRPr="00144C93">
        <w:rPr>
          <w:rFonts w:ascii="Book Antiqua" w:hAnsi="Book Antiqua"/>
          <w:sz w:val="24"/>
          <w:szCs w:val="24"/>
        </w:rPr>
        <w:t>)  or</w:t>
      </w:r>
      <w:proofErr w:type="gramEnd"/>
      <w:r w:rsidRPr="00144C93">
        <w:rPr>
          <w:rFonts w:ascii="Book Antiqua" w:hAnsi="Book Antiqua"/>
          <w:sz w:val="24"/>
          <w:szCs w:val="24"/>
        </w:rPr>
        <w:t xml:space="preserve"> denouncing (</w:t>
      </w:r>
      <w:proofErr w:type="spellStart"/>
      <w:r w:rsidRPr="00144C93">
        <w:rPr>
          <w:rFonts w:ascii="Times New Roman" w:hAnsi="Times New Roman"/>
          <w:sz w:val="24"/>
          <w:szCs w:val="24"/>
        </w:rPr>
        <w:t>استهزاء</w:t>
      </w:r>
      <w:proofErr w:type="spellEnd"/>
      <w:r w:rsidRPr="00144C93">
        <w:rPr>
          <w:rFonts w:ascii="Book Antiqua" w:hAnsi="Book Antiqua"/>
          <w:sz w:val="24"/>
          <w:szCs w:val="24"/>
        </w:rPr>
        <w:t>), and humiliating (</w:t>
      </w:r>
      <w:proofErr w:type="spellStart"/>
      <w:r w:rsidRPr="00144C93">
        <w:rPr>
          <w:rFonts w:ascii="Times New Roman" w:hAnsi="Times New Roman"/>
          <w:sz w:val="24"/>
          <w:szCs w:val="24"/>
        </w:rPr>
        <w:t>سب</w:t>
      </w:r>
      <w:proofErr w:type="spellEnd"/>
      <w:r w:rsidRPr="00144C93">
        <w:rPr>
          <w:rFonts w:ascii="Book Antiqua" w:hAnsi="Book Antiqua"/>
          <w:sz w:val="24"/>
          <w:szCs w:val="24"/>
        </w:rPr>
        <w:t>).</w:t>
      </w:r>
      <w:r w:rsidR="00643958">
        <w:rPr>
          <w:rStyle w:val="FootnoteReference"/>
          <w:rFonts w:ascii="Book Antiqua" w:hAnsi="Book Antiqua"/>
          <w:sz w:val="24"/>
          <w:szCs w:val="24"/>
        </w:rPr>
        <w:footnoteReference w:id="24"/>
      </w:r>
      <w:r w:rsidRPr="00144C93">
        <w:rPr>
          <w:rFonts w:ascii="Book Antiqua" w:hAnsi="Book Antiqua"/>
          <w:sz w:val="24"/>
          <w:szCs w:val="24"/>
        </w:rPr>
        <w:t xml:space="preserve"> Hence, from the perspective of Islamic law, blasphemy is defined as an act that desecrates (</w:t>
      </w:r>
      <w:proofErr w:type="spellStart"/>
      <w:r w:rsidRPr="00144C93">
        <w:rPr>
          <w:rFonts w:ascii="Book Antiqua" w:hAnsi="Book Antiqua"/>
          <w:i/>
          <w:sz w:val="24"/>
          <w:szCs w:val="24"/>
        </w:rPr>
        <w:t>tadnis</w:t>
      </w:r>
      <w:proofErr w:type="spellEnd"/>
      <w:r w:rsidRPr="00144C93">
        <w:rPr>
          <w:rFonts w:ascii="Book Antiqua" w:hAnsi="Book Antiqua"/>
          <w:sz w:val="24"/>
          <w:szCs w:val="24"/>
        </w:rPr>
        <w:t>), insults (</w:t>
      </w:r>
      <w:proofErr w:type="spellStart"/>
      <w:r w:rsidRPr="00144C93">
        <w:rPr>
          <w:rFonts w:ascii="Book Antiqua" w:hAnsi="Book Antiqua"/>
          <w:i/>
          <w:sz w:val="24"/>
          <w:szCs w:val="24"/>
        </w:rPr>
        <w:t>istihza</w:t>
      </w:r>
      <w:proofErr w:type="spellEnd"/>
      <w:r w:rsidRPr="00144C93">
        <w:rPr>
          <w:rFonts w:ascii="Book Antiqua" w:hAnsi="Book Antiqua"/>
          <w:sz w:val="24"/>
          <w:szCs w:val="24"/>
        </w:rPr>
        <w:t>), mocks (</w:t>
      </w:r>
      <w:proofErr w:type="spellStart"/>
      <w:r w:rsidRPr="00144C93">
        <w:rPr>
          <w:rFonts w:ascii="Book Antiqua" w:hAnsi="Book Antiqua"/>
          <w:i/>
          <w:sz w:val="24"/>
          <w:szCs w:val="24"/>
        </w:rPr>
        <w:t>syatama</w:t>
      </w:r>
      <w:proofErr w:type="spellEnd"/>
      <w:r w:rsidRPr="00144C93">
        <w:rPr>
          <w:rFonts w:ascii="Book Antiqua" w:hAnsi="Book Antiqua"/>
          <w:sz w:val="24"/>
          <w:szCs w:val="24"/>
        </w:rPr>
        <w:t>), insults (</w:t>
      </w:r>
      <w:proofErr w:type="spellStart"/>
      <w:proofErr w:type="gramStart"/>
      <w:r w:rsidRPr="00144C93">
        <w:rPr>
          <w:rFonts w:ascii="Book Antiqua" w:hAnsi="Book Antiqua"/>
          <w:i/>
          <w:sz w:val="24"/>
          <w:szCs w:val="24"/>
        </w:rPr>
        <w:t>saba</w:t>
      </w:r>
      <w:proofErr w:type="spellEnd"/>
      <w:proofErr w:type="gramEnd"/>
      <w:r w:rsidRPr="00144C93">
        <w:rPr>
          <w:rFonts w:ascii="Book Antiqua" w:hAnsi="Book Antiqua"/>
          <w:sz w:val="24"/>
          <w:szCs w:val="24"/>
        </w:rPr>
        <w:t>), curses (</w:t>
      </w:r>
      <w:proofErr w:type="spellStart"/>
      <w:r w:rsidRPr="00144C93">
        <w:rPr>
          <w:rFonts w:ascii="Book Antiqua" w:hAnsi="Book Antiqua"/>
          <w:i/>
          <w:sz w:val="24"/>
          <w:szCs w:val="24"/>
        </w:rPr>
        <w:t>taq</w:t>
      </w:r>
      <w:proofErr w:type="spellEnd"/>
      <w:r w:rsidRPr="00144C93">
        <w:rPr>
          <w:rFonts w:ascii="Book Antiqua" w:hAnsi="Book Antiqua"/>
          <w:sz w:val="24"/>
          <w:szCs w:val="24"/>
        </w:rPr>
        <w:t>), and attacks the Islamic creed as well as deviates from the requirements of Islamic teachings (</w:t>
      </w:r>
      <w:proofErr w:type="spellStart"/>
      <w:r w:rsidRPr="00144C93">
        <w:rPr>
          <w:rFonts w:ascii="Book Antiqua" w:hAnsi="Book Antiqua"/>
          <w:i/>
          <w:sz w:val="24"/>
          <w:szCs w:val="24"/>
        </w:rPr>
        <w:t>bid'ah</w:t>
      </w:r>
      <w:proofErr w:type="spellEnd"/>
      <w:r w:rsidRPr="00144C93">
        <w:rPr>
          <w:rFonts w:ascii="Book Antiqua" w:hAnsi="Book Antiqua"/>
          <w:sz w:val="24"/>
          <w:szCs w:val="24"/>
        </w:rPr>
        <w:t>).</w:t>
      </w:r>
      <w:r w:rsidR="00643958">
        <w:rPr>
          <w:rStyle w:val="FootnoteReference"/>
          <w:rFonts w:ascii="Book Antiqua" w:hAnsi="Book Antiqua"/>
          <w:sz w:val="24"/>
          <w:szCs w:val="24"/>
        </w:rPr>
        <w:footnoteReference w:id="25"/>
      </w:r>
    </w:p>
    <w:p w:rsidR="00CD3556" w:rsidRPr="00144C93" w:rsidRDefault="00CD3556" w:rsidP="002E076C">
      <w:pPr>
        <w:spacing w:after="120" w:line="240" w:lineRule="auto"/>
        <w:ind w:firstLine="567"/>
        <w:jc w:val="both"/>
        <w:rPr>
          <w:rFonts w:ascii="Book Antiqua" w:hAnsi="Book Antiqua"/>
          <w:sz w:val="24"/>
          <w:szCs w:val="24"/>
        </w:rPr>
      </w:pPr>
      <w:r w:rsidRPr="00144C93">
        <w:rPr>
          <w:rFonts w:ascii="Book Antiqua" w:hAnsi="Book Antiqua"/>
          <w:sz w:val="24"/>
          <w:szCs w:val="24"/>
        </w:rPr>
        <w:t xml:space="preserve">Denouncing or insulting the Qur'an and the Prophet's hadith, rejecting or ignoring what is written in them, and disobeying the regulations written in the Koran and hadith </w:t>
      </w:r>
      <w:r w:rsidRPr="00144C93">
        <w:rPr>
          <w:rFonts w:ascii="Book Antiqua" w:hAnsi="Book Antiqua"/>
          <w:sz w:val="24"/>
          <w:szCs w:val="24"/>
        </w:rPr>
        <w:lastRenderedPageBreak/>
        <w:t>are all considered blasphemy against the Islamic religion.</w:t>
      </w:r>
      <w:r w:rsidR="00643958">
        <w:rPr>
          <w:rStyle w:val="FootnoteReference"/>
          <w:rFonts w:ascii="Book Antiqua" w:hAnsi="Book Antiqua"/>
          <w:sz w:val="24"/>
          <w:szCs w:val="24"/>
        </w:rPr>
        <w:footnoteReference w:id="26"/>
      </w:r>
      <w:r w:rsidRPr="00144C93">
        <w:rPr>
          <w:rFonts w:ascii="Book Antiqua" w:hAnsi="Book Antiqua"/>
          <w:sz w:val="24"/>
          <w:szCs w:val="24"/>
        </w:rPr>
        <w:t xml:space="preserve"> In Islam, insulting or desecrating God, the prophets, the angels, or the Koran can be considered humbling or desecrating. He becomes an apostate (</w:t>
      </w:r>
      <w:proofErr w:type="spellStart"/>
      <w:r w:rsidRPr="00144C93">
        <w:rPr>
          <w:rFonts w:ascii="Book Antiqua" w:hAnsi="Book Antiqua"/>
          <w:i/>
          <w:sz w:val="24"/>
          <w:szCs w:val="24"/>
        </w:rPr>
        <w:t>riddah</w:t>
      </w:r>
      <w:proofErr w:type="spellEnd"/>
      <w:r w:rsidRPr="00144C93">
        <w:rPr>
          <w:rFonts w:ascii="Book Antiqua" w:hAnsi="Book Antiqua"/>
          <w:sz w:val="24"/>
          <w:szCs w:val="24"/>
        </w:rPr>
        <w:t>) if he intentionally defames religion, and the sanctions consider the repercussions and impact of this apostasy.</w:t>
      </w:r>
      <w:r w:rsidR="00643958">
        <w:rPr>
          <w:rStyle w:val="FootnoteReference"/>
          <w:rFonts w:ascii="Book Antiqua" w:hAnsi="Book Antiqua"/>
          <w:sz w:val="24"/>
          <w:szCs w:val="24"/>
        </w:rPr>
        <w:footnoteReference w:id="27"/>
      </w:r>
      <w:r w:rsidRPr="00144C93">
        <w:rPr>
          <w:rFonts w:ascii="Book Antiqua" w:hAnsi="Book Antiqua"/>
          <w:sz w:val="24"/>
          <w:szCs w:val="24"/>
        </w:rPr>
        <w:t>.</w:t>
      </w:r>
    </w:p>
    <w:p w:rsidR="00CD3556" w:rsidRPr="00144C93" w:rsidRDefault="00CD3556" w:rsidP="002E076C">
      <w:pPr>
        <w:spacing w:after="120" w:line="240" w:lineRule="auto"/>
        <w:ind w:firstLine="567"/>
        <w:jc w:val="both"/>
        <w:rPr>
          <w:rFonts w:ascii="Book Antiqua" w:hAnsi="Book Antiqua"/>
          <w:sz w:val="24"/>
          <w:szCs w:val="24"/>
        </w:rPr>
      </w:pPr>
      <w:r w:rsidRPr="00144C93">
        <w:rPr>
          <w:rFonts w:ascii="Book Antiqua" w:hAnsi="Book Antiqua"/>
          <w:sz w:val="24"/>
          <w:szCs w:val="24"/>
        </w:rPr>
        <w:t>Blasphemy of religion in the Qur'an can be seen in the Word of Allah SWT which means:</w:t>
      </w:r>
    </w:p>
    <w:p w:rsidR="007D045A" w:rsidRPr="00144C93" w:rsidRDefault="001D3CDD" w:rsidP="002E076C">
      <w:pPr>
        <w:spacing w:after="120" w:line="240" w:lineRule="auto"/>
        <w:ind w:left="567"/>
        <w:jc w:val="both"/>
        <w:rPr>
          <w:rFonts w:ascii="Book Antiqua" w:hAnsi="Book Antiqua" w:cstheme="majorHAnsi"/>
          <w:color w:val="000000" w:themeColor="text1"/>
          <w:sz w:val="24"/>
          <w:szCs w:val="24"/>
        </w:rPr>
      </w:pPr>
      <w:r>
        <w:rPr>
          <w:rFonts w:ascii="Book Antiqua" w:hAnsi="Book Antiqua"/>
          <w:sz w:val="24"/>
          <w:szCs w:val="24"/>
        </w:rPr>
        <w:t>“A</w:t>
      </w:r>
      <w:r w:rsidR="00CD3556" w:rsidRPr="00144C93">
        <w:rPr>
          <w:rFonts w:ascii="Book Antiqua" w:hAnsi="Book Antiqua"/>
          <w:sz w:val="24"/>
          <w:szCs w:val="24"/>
        </w:rPr>
        <w:t xml:space="preserve">nd if they break their oaths after their treaty and defame your religion, then fight the leaders of disbelief, for indeed, there are no oaths [sacred] to them; [fight them that] they might cease.” (QS. At </w:t>
      </w:r>
      <w:proofErr w:type="spellStart"/>
      <w:r w:rsidR="00CD3556" w:rsidRPr="00144C93">
        <w:rPr>
          <w:rFonts w:ascii="Book Antiqua" w:hAnsi="Book Antiqua"/>
          <w:sz w:val="24"/>
          <w:szCs w:val="24"/>
        </w:rPr>
        <w:t>Taubah</w:t>
      </w:r>
      <w:proofErr w:type="spellEnd"/>
      <w:r w:rsidR="00CD3556" w:rsidRPr="00144C93">
        <w:rPr>
          <w:rFonts w:ascii="Book Antiqua" w:hAnsi="Book Antiqua"/>
          <w:sz w:val="24"/>
          <w:szCs w:val="24"/>
        </w:rPr>
        <w:t xml:space="preserve">, </w:t>
      </w:r>
      <w:proofErr w:type="spellStart"/>
      <w:r w:rsidR="00CD3556" w:rsidRPr="00144C93">
        <w:rPr>
          <w:rFonts w:ascii="Book Antiqua" w:hAnsi="Book Antiqua"/>
          <w:sz w:val="24"/>
          <w:szCs w:val="24"/>
        </w:rPr>
        <w:t>ayat</w:t>
      </w:r>
      <w:proofErr w:type="spellEnd"/>
      <w:r w:rsidR="00CD3556" w:rsidRPr="00144C93">
        <w:rPr>
          <w:rFonts w:ascii="Book Antiqua" w:hAnsi="Book Antiqua"/>
          <w:sz w:val="24"/>
          <w:szCs w:val="24"/>
        </w:rPr>
        <w:t xml:space="preserve"> 12).</w:t>
      </w:r>
      <w:r w:rsidR="007D045A" w:rsidRPr="00144C93">
        <w:rPr>
          <w:rFonts w:ascii="Book Antiqua" w:hAnsi="Book Antiqua" w:cstheme="majorHAnsi"/>
          <w:color w:val="000000" w:themeColor="text1"/>
          <w:sz w:val="24"/>
          <w:szCs w:val="24"/>
        </w:rPr>
        <w:t xml:space="preserve"> </w:t>
      </w:r>
    </w:p>
    <w:p w:rsidR="007D045A" w:rsidRPr="00144C93" w:rsidRDefault="00CD3556" w:rsidP="002E076C">
      <w:pPr>
        <w:spacing w:after="120" w:line="240" w:lineRule="auto"/>
        <w:ind w:firstLine="567"/>
        <w:jc w:val="both"/>
        <w:rPr>
          <w:rFonts w:ascii="Book Antiqua" w:hAnsi="Book Antiqua" w:cstheme="majorHAnsi"/>
          <w:color w:val="000000" w:themeColor="text1"/>
          <w:sz w:val="24"/>
          <w:szCs w:val="24"/>
        </w:rPr>
      </w:pPr>
      <w:r w:rsidRPr="00144C93">
        <w:rPr>
          <w:rFonts w:ascii="Book Antiqua" w:hAnsi="Book Antiqua"/>
          <w:sz w:val="24"/>
          <w:szCs w:val="24"/>
        </w:rPr>
        <w:t xml:space="preserve">The dignitaries of the polytheists who breached their commitments are </w:t>
      </w:r>
      <w:proofErr w:type="spellStart"/>
      <w:r w:rsidRPr="00144C93">
        <w:rPr>
          <w:rFonts w:ascii="Book Antiqua" w:hAnsi="Book Antiqua"/>
          <w:sz w:val="24"/>
          <w:szCs w:val="24"/>
        </w:rPr>
        <w:t>Abi</w:t>
      </w:r>
      <w:proofErr w:type="spellEnd"/>
      <w:r w:rsidRPr="00144C93">
        <w:rPr>
          <w:rFonts w:ascii="Book Antiqua" w:hAnsi="Book Antiqua"/>
          <w:sz w:val="24"/>
          <w:szCs w:val="24"/>
        </w:rPr>
        <w:t xml:space="preserve"> </w:t>
      </w:r>
      <w:proofErr w:type="spellStart"/>
      <w:r w:rsidRPr="00144C93">
        <w:rPr>
          <w:rFonts w:ascii="Book Antiqua" w:hAnsi="Book Antiqua"/>
          <w:sz w:val="24"/>
          <w:szCs w:val="24"/>
        </w:rPr>
        <w:t>Sufyan</w:t>
      </w:r>
      <w:proofErr w:type="spellEnd"/>
      <w:r w:rsidRPr="00144C93">
        <w:rPr>
          <w:rFonts w:ascii="Book Antiqua" w:hAnsi="Book Antiqua"/>
          <w:sz w:val="24"/>
          <w:szCs w:val="24"/>
        </w:rPr>
        <w:t xml:space="preserve"> Bin </w:t>
      </w:r>
      <w:proofErr w:type="spellStart"/>
      <w:r w:rsidRPr="00144C93">
        <w:rPr>
          <w:rFonts w:ascii="Book Antiqua" w:hAnsi="Book Antiqua"/>
          <w:sz w:val="24"/>
          <w:szCs w:val="24"/>
        </w:rPr>
        <w:t>Harb</w:t>
      </w:r>
      <w:proofErr w:type="spellEnd"/>
      <w:r w:rsidRPr="00144C93">
        <w:rPr>
          <w:rFonts w:ascii="Book Antiqua" w:hAnsi="Book Antiqua"/>
          <w:sz w:val="24"/>
          <w:szCs w:val="24"/>
        </w:rPr>
        <w:t xml:space="preserve">, </w:t>
      </w:r>
      <w:proofErr w:type="spellStart"/>
      <w:r w:rsidRPr="00144C93">
        <w:rPr>
          <w:rFonts w:ascii="Book Antiqua" w:hAnsi="Book Antiqua"/>
          <w:sz w:val="24"/>
          <w:szCs w:val="24"/>
        </w:rPr>
        <w:t>Haris</w:t>
      </w:r>
      <w:proofErr w:type="spellEnd"/>
      <w:r w:rsidRPr="00144C93">
        <w:rPr>
          <w:rFonts w:ascii="Book Antiqua" w:hAnsi="Book Antiqua"/>
          <w:sz w:val="24"/>
          <w:szCs w:val="24"/>
        </w:rPr>
        <w:t xml:space="preserve"> bin </w:t>
      </w:r>
      <w:proofErr w:type="spellStart"/>
      <w:r w:rsidRPr="00144C93">
        <w:rPr>
          <w:rFonts w:ascii="Book Antiqua" w:hAnsi="Book Antiqua"/>
          <w:sz w:val="24"/>
          <w:szCs w:val="24"/>
        </w:rPr>
        <w:t>Hisham</w:t>
      </w:r>
      <w:proofErr w:type="spellEnd"/>
      <w:r w:rsidRPr="00144C93">
        <w:rPr>
          <w:rFonts w:ascii="Book Antiqua" w:hAnsi="Book Antiqua"/>
          <w:sz w:val="24"/>
          <w:szCs w:val="24"/>
        </w:rPr>
        <w:t xml:space="preserve">, </w:t>
      </w:r>
      <w:proofErr w:type="spellStart"/>
      <w:r w:rsidRPr="00144C93">
        <w:rPr>
          <w:rFonts w:ascii="Book Antiqua" w:hAnsi="Book Antiqua"/>
          <w:sz w:val="24"/>
          <w:szCs w:val="24"/>
        </w:rPr>
        <w:t>Sahil</w:t>
      </w:r>
      <w:proofErr w:type="spellEnd"/>
      <w:r w:rsidRPr="00144C93">
        <w:rPr>
          <w:rFonts w:ascii="Book Antiqua" w:hAnsi="Book Antiqua"/>
          <w:sz w:val="24"/>
          <w:szCs w:val="24"/>
        </w:rPr>
        <w:t xml:space="preserve"> Bin </w:t>
      </w:r>
      <w:proofErr w:type="spellStart"/>
      <w:r w:rsidRPr="00144C93">
        <w:rPr>
          <w:rFonts w:ascii="Book Antiqua" w:hAnsi="Book Antiqua"/>
          <w:sz w:val="24"/>
          <w:szCs w:val="24"/>
        </w:rPr>
        <w:t>Amr</w:t>
      </w:r>
      <w:proofErr w:type="spellEnd"/>
      <w:r w:rsidRPr="00144C93">
        <w:rPr>
          <w:rFonts w:ascii="Book Antiqua" w:hAnsi="Book Antiqua"/>
          <w:sz w:val="24"/>
          <w:szCs w:val="24"/>
        </w:rPr>
        <w:t xml:space="preserve">, and </w:t>
      </w:r>
      <w:proofErr w:type="spellStart"/>
      <w:r w:rsidRPr="00144C93">
        <w:rPr>
          <w:rFonts w:ascii="Book Antiqua" w:hAnsi="Book Antiqua"/>
          <w:sz w:val="24"/>
          <w:szCs w:val="24"/>
        </w:rPr>
        <w:t>Ikrimah</w:t>
      </w:r>
      <w:proofErr w:type="spellEnd"/>
      <w:r w:rsidRPr="00144C93">
        <w:rPr>
          <w:rFonts w:ascii="Book Antiqua" w:hAnsi="Book Antiqua"/>
          <w:sz w:val="24"/>
          <w:szCs w:val="24"/>
        </w:rPr>
        <w:t xml:space="preserve"> bin </w:t>
      </w:r>
      <w:proofErr w:type="spellStart"/>
      <w:r w:rsidRPr="00144C93">
        <w:rPr>
          <w:rFonts w:ascii="Book Antiqua" w:hAnsi="Book Antiqua"/>
          <w:sz w:val="24"/>
          <w:szCs w:val="24"/>
        </w:rPr>
        <w:t>Abi</w:t>
      </w:r>
      <w:proofErr w:type="spellEnd"/>
      <w:r w:rsidRPr="00144C93">
        <w:rPr>
          <w:rFonts w:ascii="Book Antiqua" w:hAnsi="Book Antiqua"/>
          <w:sz w:val="24"/>
          <w:szCs w:val="24"/>
        </w:rPr>
        <w:t xml:space="preserve"> </w:t>
      </w:r>
      <w:proofErr w:type="spellStart"/>
      <w:r w:rsidRPr="00144C93">
        <w:rPr>
          <w:rFonts w:ascii="Book Antiqua" w:hAnsi="Book Antiqua"/>
          <w:sz w:val="24"/>
          <w:szCs w:val="24"/>
        </w:rPr>
        <w:t>Jahal</w:t>
      </w:r>
      <w:proofErr w:type="spellEnd"/>
      <w:r w:rsidRPr="00144C93">
        <w:rPr>
          <w:rFonts w:ascii="Book Antiqua" w:hAnsi="Book Antiqua"/>
          <w:sz w:val="24"/>
          <w:szCs w:val="24"/>
        </w:rPr>
        <w:t>, and they are discussed in this passage.</w:t>
      </w:r>
      <w:r w:rsidR="00643958">
        <w:rPr>
          <w:rStyle w:val="FootnoteReference"/>
          <w:rFonts w:ascii="Book Antiqua" w:hAnsi="Book Antiqua"/>
          <w:sz w:val="24"/>
          <w:szCs w:val="24"/>
        </w:rPr>
        <w:footnoteReference w:id="28"/>
      </w:r>
      <w:r w:rsidRPr="00144C93">
        <w:rPr>
          <w:rFonts w:ascii="Book Antiqua" w:hAnsi="Book Antiqua"/>
          <w:sz w:val="24"/>
          <w:szCs w:val="24"/>
        </w:rPr>
        <w:t xml:space="preserve"> In this verse it is explained that non-Muslims have asked for protection in the sense of </w:t>
      </w:r>
      <w:proofErr w:type="spellStart"/>
      <w:r w:rsidRPr="00144C93">
        <w:rPr>
          <w:rFonts w:ascii="Book Antiqua" w:hAnsi="Book Antiqua"/>
          <w:sz w:val="24"/>
          <w:szCs w:val="24"/>
        </w:rPr>
        <w:t>mu'ahad</w:t>
      </w:r>
      <w:proofErr w:type="spellEnd"/>
      <w:r w:rsidRPr="00144C93">
        <w:rPr>
          <w:rFonts w:ascii="Book Antiqua" w:hAnsi="Book Antiqua"/>
          <w:sz w:val="24"/>
          <w:szCs w:val="24"/>
        </w:rPr>
        <w:t xml:space="preserve"> infidels, so they are the same as Muslims. In Islamic law they will get protection and will live peacefully in an Islamic country, their security guaranteed by the Islamic government. Muslims are not allowed to harm let alone fight non-Muslims who have been protected. However, when they break their promise, then insult the religion of Islam, then it is permissible to kill them, because at that time the agreement will be lost, and they will no longer get protection, and they will become a disease in the body of Islam. The conclusion from this verse is that insulting Islam is a very big thing and gets the maximum punishment.</w:t>
      </w:r>
      <w:r w:rsidR="007D045A" w:rsidRPr="00144C93">
        <w:rPr>
          <w:rFonts w:ascii="Book Antiqua" w:hAnsi="Book Antiqua" w:cstheme="majorHAnsi"/>
          <w:color w:val="000000" w:themeColor="text1"/>
          <w:sz w:val="24"/>
          <w:szCs w:val="24"/>
        </w:rPr>
        <w:t xml:space="preserve"> </w:t>
      </w:r>
    </w:p>
    <w:p w:rsidR="00CD3556" w:rsidRPr="00144C93" w:rsidRDefault="00CD3556" w:rsidP="002E076C">
      <w:pPr>
        <w:spacing w:after="120" w:line="240" w:lineRule="auto"/>
        <w:ind w:firstLine="567"/>
        <w:jc w:val="both"/>
        <w:rPr>
          <w:rFonts w:ascii="Book Antiqua" w:hAnsi="Book Antiqua"/>
          <w:iCs/>
          <w:sz w:val="24"/>
          <w:szCs w:val="24"/>
        </w:rPr>
      </w:pPr>
      <w:r w:rsidRPr="00144C93">
        <w:rPr>
          <w:rFonts w:ascii="Book Antiqua" w:hAnsi="Book Antiqua"/>
          <w:iCs/>
          <w:sz w:val="24"/>
          <w:szCs w:val="24"/>
        </w:rPr>
        <w:t xml:space="preserve">The act of disparaging, humiliating, harassing, mentioning, or practicing particular religious doctrines that are not in line with the principles of that religion is known as blasphemy of religion or </w:t>
      </w:r>
      <w:proofErr w:type="spellStart"/>
      <w:r w:rsidRPr="00144C93">
        <w:rPr>
          <w:rFonts w:ascii="Book Antiqua" w:hAnsi="Book Antiqua"/>
          <w:iCs/>
          <w:sz w:val="24"/>
          <w:szCs w:val="24"/>
        </w:rPr>
        <w:t>godslastering</w:t>
      </w:r>
      <w:proofErr w:type="spellEnd"/>
      <w:r w:rsidRPr="00144C93">
        <w:rPr>
          <w:rFonts w:ascii="Book Antiqua" w:hAnsi="Book Antiqua"/>
          <w:iCs/>
          <w:sz w:val="24"/>
          <w:szCs w:val="24"/>
        </w:rPr>
        <w:t xml:space="preserve"> in the form of injuring, damaging, defaming the reputation / good name of God </w:t>
      </w:r>
      <w:r w:rsidR="00643958">
        <w:rPr>
          <w:rStyle w:val="FootnoteReference"/>
          <w:rFonts w:ascii="Book Antiqua" w:hAnsi="Book Antiqua"/>
          <w:iCs/>
          <w:sz w:val="24"/>
          <w:szCs w:val="24"/>
        </w:rPr>
        <w:footnoteReference w:id="29"/>
      </w:r>
      <w:r w:rsidRPr="00144C93">
        <w:rPr>
          <w:rFonts w:ascii="Book Antiqua" w:hAnsi="Book Antiqua"/>
          <w:iCs/>
          <w:sz w:val="24"/>
          <w:szCs w:val="24"/>
        </w:rPr>
        <w:t xml:space="preserve">. A matter or conduct that disrupts sacred teachings in one religion is insulting religious doctrine. Religious blasphemy not only affects devotees of a particular religion but also has a significant social impact on all religions in a nation. </w:t>
      </w:r>
      <w:r w:rsidR="00643958">
        <w:rPr>
          <w:rStyle w:val="FootnoteReference"/>
          <w:rFonts w:ascii="Book Antiqua" w:hAnsi="Book Antiqua"/>
          <w:iCs/>
          <w:sz w:val="24"/>
          <w:szCs w:val="24"/>
        </w:rPr>
        <w:footnoteReference w:id="30"/>
      </w:r>
    </w:p>
    <w:p w:rsidR="007D045A" w:rsidRPr="00144C93" w:rsidRDefault="00CD3556" w:rsidP="002E076C">
      <w:pPr>
        <w:spacing w:after="120" w:line="240" w:lineRule="auto"/>
        <w:ind w:firstLine="567"/>
        <w:jc w:val="both"/>
        <w:rPr>
          <w:rFonts w:ascii="Book Antiqua" w:hAnsi="Book Antiqua" w:cstheme="majorHAnsi"/>
          <w:color w:val="000000" w:themeColor="text1"/>
          <w:sz w:val="24"/>
          <w:szCs w:val="24"/>
        </w:rPr>
      </w:pPr>
      <w:r w:rsidRPr="00144C93">
        <w:rPr>
          <w:rFonts w:ascii="Book Antiqua" w:hAnsi="Book Antiqua"/>
          <w:sz w:val="24"/>
          <w:szCs w:val="24"/>
        </w:rPr>
        <w:t xml:space="preserve">There are various forms of blasphemy, </w:t>
      </w:r>
      <w:proofErr w:type="gramStart"/>
      <w:r w:rsidRPr="00144C93">
        <w:rPr>
          <w:rFonts w:ascii="Book Antiqua" w:hAnsi="Book Antiqua"/>
          <w:sz w:val="24"/>
          <w:szCs w:val="24"/>
        </w:rPr>
        <w:t>including</w:t>
      </w:r>
      <w:r w:rsidRPr="00144C93">
        <w:rPr>
          <w:rFonts w:ascii="Book Antiqua" w:hAnsi="Book Antiqua"/>
          <w:iCs/>
          <w:sz w:val="24"/>
          <w:szCs w:val="24"/>
        </w:rPr>
        <w:t xml:space="preserve"> </w:t>
      </w:r>
      <w:proofErr w:type="gramEnd"/>
      <w:r w:rsidR="00643958">
        <w:rPr>
          <w:rStyle w:val="FootnoteReference"/>
          <w:rFonts w:ascii="Book Antiqua" w:hAnsi="Book Antiqua"/>
          <w:iCs/>
          <w:sz w:val="24"/>
          <w:szCs w:val="24"/>
        </w:rPr>
        <w:footnoteReference w:id="31"/>
      </w:r>
      <w:r w:rsidRPr="00144C93">
        <w:rPr>
          <w:rFonts w:ascii="Book Antiqua" w:hAnsi="Book Antiqua"/>
          <w:sz w:val="24"/>
          <w:szCs w:val="24"/>
        </w:rPr>
        <w:t>:</w:t>
      </w:r>
      <w:r w:rsidR="00643958">
        <w:rPr>
          <w:rStyle w:val="FootnoteReference"/>
          <w:rFonts w:ascii="Book Antiqua" w:hAnsi="Book Antiqua"/>
          <w:sz w:val="24"/>
          <w:szCs w:val="24"/>
        </w:rPr>
        <w:footnoteReference w:id="32"/>
      </w:r>
      <w:r w:rsidR="007D045A" w:rsidRPr="00144C93">
        <w:rPr>
          <w:rFonts w:ascii="Book Antiqua" w:hAnsi="Book Antiqua" w:cstheme="majorHAnsi"/>
          <w:color w:val="000000" w:themeColor="text1"/>
          <w:sz w:val="24"/>
          <w:szCs w:val="24"/>
        </w:rPr>
        <w:t xml:space="preserve"> </w:t>
      </w:r>
    </w:p>
    <w:p w:rsidR="00CD3556" w:rsidRPr="00144C93" w:rsidRDefault="00CD3556" w:rsidP="00144C93">
      <w:pPr>
        <w:pStyle w:val="ListParagraph"/>
        <w:numPr>
          <w:ilvl w:val="0"/>
          <w:numId w:val="36"/>
        </w:numPr>
        <w:tabs>
          <w:tab w:val="left" w:pos="284"/>
        </w:tabs>
        <w:autoSpaceDE w:val="0"/>
        <w:autoSpaceDN w:val="0"/>
        <w:adjustRightInd w:val="0"/>
        <w:spacing w:after="120" w:line="240" w:lineRule="auto"/>
        <w:ind w:left="357"/>
        <w:contextualSpacing w:val="0"/>
        <w:jc w:val="both"/>
        <w:rPr>
          <w:rFonts w:ascii="Book Antiqua" w:hAnsi="Book Antiqua"/>
          <w:iCs/>
          <w:sz w:val="24"/>
          <w:szCs w:val="24"/>
        </w:rPr>
      </w:pPr>
      <w:r w:rsidRPr="00144C93">
        <w:rPr>
          <w:rFonts w:ascii="Book Antiqua" w:hAnsi="Book Antiqua"/>
          <w:sz w:val="24"/>
          <w:szCs w:val="24"/>
        </w:rPr>
        <w:t xml:space="preserve"> Verbal Blasphemy </w:t>
      </w:r>
    </w:p>
    <w:p w:rsidR="00CD3556" w:rsidRPr="00144C93" w:rsidRDefault="00CD3556" w:rsidP="00144C93">
      <w:pPr>
        <w:pStyle w:val="ListParagraph"/>
        <w:tabs>
          <w:tab w:val="left" w:pos="709"/>
        </w:tabs>
        <w:autoSpaceDE w:val="0"/>
        <w:autoSpaceDN w:val="0"/>
        <w:adjustRightInd w:val="0"/>
        <w:spacing w:after="120" w:line="240" w:lineRule="auto"/>
        <w:ind w:left="357"/>
        <w:contextualSpacing w:val="0"/>
        <w:jc w:val="both"/>
        <w:rPr>
          <w:rFonts w:ascii="Book Antiqua" w:hAnsi="Book Antiqua"/>
          <w:sz w:val="24"/>
          <w:szCs w:val="24"/>
        </w:rPr>
      </w:pPr>
      <w:r w:rsidRPr="00144C93">
        <w:rPr>
          <w:rFonts w:ascii="Book Antiqua" w:hAnsi="Book Antiqua"/>
          <w:sz w:val="24"/>
          <w:szCs w:val="24"/>
        </w:rPr>
        <w:t xml:space="preserve">This type of verbal blasphemy is often found in print, electronic and social media. This type of blasphemy can take the form of making fun of, satirizing, accusing, ridiculing, insulting, and inappropriate jokes. One example of verbal blasphemy occurred on social media in 2016. A 23-year-old young man, a resident of </w:t>
      </w:r>
      <w:proofErr w:type="spellStart"/>
      <w:r w:rsidRPr="00144C93">
        <w:rPr>
          <w:rFonts w:ascii="Book Antiqua" w:hAnsi="Book Antiqua"/>
          <w:sz w:val="24"/>
          <w:szCs w:val="24"/>
        </w:rPr>
        <w:t>Benelan</w:t>
      </w:r>
      <w:proofErr w:type="spellEnd"/>
      <w:r w:rsidRPr="00144C93">
        <w:rPr>
          <w:rFonts w:ascii="Book Antiqua" w:hAnsi="Book Antiqua"/>
          <w:sz w:val="24"/>
          <w:szCs w:val="24"/>
        </w:rPr>
        <w:t xml:space="preserve"> </w:t>
      </w:r>
      <w:proofErr w:type="spellStart"/>
      <w:r w:rsidRPr="00144C93">
        <w:rPr>
          <w:rFonts w:ascii="Book Antiqua" w:hAnsi="Book Antiqua"/>
          <w:sz w:val="24"/>
          <w:szCs w:val="24"/>
        </w:rPr>
        <w:t>Lor</w:t>
      </w:r>
      <w:proofErr w:type="spellEnd"/>
      <w:r w:rsidRPr="00144C93">
        <w:rPr>
          <w:rFonts w:ascii="Book Antiqua" w:hAnsi="Book Antiqua"/>
          <w:sz w:val="24"/>
          <w:szCs w:val="24"/>
        </w:rPr>
        <w:t xml:space="preserve">, </w:t>
      </w:r>
      <w:proofErr w:type="spellStart"/>
      <w:r w:rsidRPr="00144C93">
        <w:rPr>
          <w:rFonts w:ascii="Book Antiqua" w:hAnsi="Book Antiqua"/>
          <w:sz w:val="24"/>
          <w:szCs w:val="24"/>
        </w:rPr>
        <w:t>Kabat</w:t>
      </w:r>
      <w:proofErr w:type="spellEnd"/>
      <w:r w:rsidRPr="00144C93">
        <w:rPr>
          <w:rFonts w:ascii="Book Antiqua" w:hAnsi="Book Antiqua"/>
          <w:sz w:val="24"/>
          <w:szCs w:val="24"/>
        </w:rPr>
        <w:t xml:space="preserve"> District, </w:t>
      </w:r>
      <w:proofErr w:type="spellStart"/>
      <w:proofErr w:type="gramStart"/>
      <w:r w:rsidRPr="00144C93">
        <w:rPr>
          <w:rFonts w:ascii="Book Antiqua" w:hAnsi="Book Antiqua"/>
          <w:sz w:val="24"/>
          <w:szCs w:val="24"/>
        </w:rPr>
        <w:t>Banyuwangi</w:t>
      </w:r>
      <w:proofErr w:type="spellEnd"/>
      <w:proofErr w:type="gramEnd"/>
      <w:r w:rsidRPr="00144C93">
        <w:rPr>
          <w:rFonts w:ascii="Book Antiqua" w:hAnsi="Book Antiqua"/>
          <w:sz w:val="24"/>
          <w:szCs w:val="24"/>
        </w:rPr>
        <w:t xml:space="preserve"> Regency wrote a status on social media that was considered insulting Islam and the Prophet Muhammad. The reason the perpetrator wrote this status was because he felt hurt when he saw the news of the raid on traders conducted by the </w:t>
      </w:r>
      <w:proofErr w:type="spellStart"/>
      <w:r w:rsidRPr="00144C93">
        <w:rPr>
          <w:rFonts w:ascii="Book Antiqua" w:hAnsi="Book Antiqua"/>
          <w:sz w:val="24"/>
          <w:szCs w:val="24"/>
        </w:rPr>
        <w:t>Satpol</w:t>
      </w:r>
      <w:proofErr w:type="spellEnd"/>
      <w:r w:rsidRPr="00144C93">
        <w:rPr>
          <w:rFonts w:ascii="Book Antiqua" w:hAnsi="Book Antiqua"/>
          <w:sz w:val="24"/>
          <w:szCs w:val="24"/>
        </w:rPr>
        <w:t xml:space="preserve"> PP in the </w:t>
      </w:r>
      <w:proofErr w:type="spellStart"/>
      <w:r w:rsidRPr="00144C93">
        <w:rPr>
          <w:rFonts w:ascii="Book Antiqua" w:hAnsi="Book Antiqua"/>
          <w:sz w:val="24"/>
          <w:szCs w:val="24"/>
        </w:rPr>
        <w:t>Serang</w:t>
      </w:r>
      <w:proofErr w:type="spellEnd"/>
      <w:r w:rsidRPr="00144C93">
        <w:rPr>
          <w:rFonts w:ascii="Book Antiqua" w:hAnsi="Book Antiqua"/>
          <w:sz w:val="24"/>
          <w:szCs w:val="24"/>
        </w:rPr>
        <w:t xml:space="preserve"> </w:t>
      </w:r>
      <w:proofErr w:type="spellStart"/>
      <w:r w:rsidRPr="00144C93">
        <w:rPr>
          <w:rFonts w:ascii="Book Antiqua" w:hAnsi="Book Antiqua"/>
          <w:sz w:val="24"/>
          <w:szCs w:val="24"/>
        </w:rPr>
        <w:t>Banten</w:t>
      </w:r>
      <w:proofErr w:type="spellEnd"/>
      <w:r w:rsidRPr="00144C93">
        <w:rPr>
          <w:rFonts w:ascii="Book Antiqua" w:hAnsi="Book Antiqua"/>
          <w:sz w:val="24"/>
          <w:szCs w:val="24"/>
        </w:rPr>
        <w:t xml:space="preserve"> area. This status sparked criticism from the community and Islamic organizations in </w:t>
      </w:r>
      <w:proofErr w:type="spellStart"/>
      <w:r w:rsidRPr="00144C93">
        <w:rPr>
          <w:rFonts w:ascii="Book Antiqua" w:hAnsi="Book Antiqua"/>
          <w:sz w:val="24"/>
          <w:szCs w:val="24"/>
        </w:rPr>
        <w:t>Banyuwangi</w:t>
      </w:r>
      <w:proofErr w:type="spellEnd"/>
      <w:r w:rsidRPr="00144C93">
        <w:rPr>
          <w:rFonts w:ascii="Book Antiqua" w:hAnsi="Book Antiqua"/>
          <w:sz w:val="24"/>
          <w:szCs w:val="24"/>
        </w:rPr>
        <w:t xml:space="preserve">. The perpetrator was secured by the </w:t>
      </w:r>
      <w:proofErr w:type="spellStart"/>
      <w:r w:rsidRPr="00144C93">
        <w:rPr>
          <w:rFonts w:ascii="Book Antiqua" w:hAnsi="Book Antiqua"/>
          <w:sz w:val="24"/>
          <w:szCs w:val="24"/>
        </w:rPr>
        <w:t>Banyuwangi</w:t>
      </w:r>
      <w:proofErr w:type="spellEnd"/>
      <w:r w:rsidRPr="00144C93">
        <w:rPr>
          <w:rFonts w:ascii="Book Antiqua" w:hAnsi="Book Antiqua"/>
          <w:sz w:val="24"/>
          <w:szCs w:val="24"/>
        </w:rPr>
        <w:t xml:space="preserve"> Police </w:t>
      </w:r>
      <w:proofErr w:type="spellStart"/>
      <w:r w:rsidRPr="00144C93">
        <w:rPr>
          <w:rFonts w:ascii="Book Antiqua" w:hAnsi="Book Antiqua"/>
          <w:sz w:val="24"/>
          <w:szCs w:val="24"/>
        </w:rPr>
        <w:t>Police</w:t>
      </w:r>
      <w:proofErr w:type="spellEnd"/>
      <w:r w:rsidRPr="00144C93">
        <w:rPr>
          <w:rFonts w:ascii="Book Antiqua" w:hAnsi="Book Antiqua"/>
          <w:sz w:val="24"/>
          <w:szCs w:val="24"/>
        </w:rPr>
        <w:t xml:space="preserve"> by being charged with Article 45 in conjunction with </w:t>
      </w:r>
      <w:r w:rsidRPr="00144C93">
        <w:rPr>
          <w:rFonts w:ascii="Book Antiqua" w:hAnsi="Book Antiqua"/>
          <w:sz w:val="24"/>
          <w:szCs w:val="24"/>
        </w:rPr>
        <w:lastRenderedPageBreak/>
        <w:t>Article 27, as well as Article 28 of Law No. 11 of 2008 concerning information and electronic transactions.</w:t>
      </w:r>
    </w:p>
    <w:p w:rsidR="00CD3556" w:rsidRPr="00144C93" w:rsidRDefault="00CD3556" w:rsidP="00144C93">
      <w:pPr>
        <w:pStyle w:val="ListParagraph"/>
        <w:numPr>
          <w:ilvl w:val="0"/>
          <w:numId w:val="36"/>
        </w:numPr>
        <w:autoSpaceDE w:val="0"/>
        <w:autoSpaceDN w:val="0"/>
        <w:adjustRightInd w:val="0"/>
        <w:spacing w:after="120" w:line="240" w:lineRule="auto"/>
        <w:ind w:left="357"/>
        <w:contextualSpacing w:val="0"/>
        <w:jc w:val="both"/>
        <w:rPr>
          <w:rFonts w:ascii="Book Antiqua" w:hAnsi="Book Antiqua"/>
          <w:sz w:val="24"/>
          <w:szCs w:val="24"/>
        </w:rPr>
      </w:pPr>
      <w:r w:rsidRPr="00144C93">
        <w:rPr>
          <w:rFonts w:ascii="Book Antiqua" w:hAnsi="Book Antiqua"/>
          <w:sz w:val="24"/>
          <w:szCs w:val="24"/>
        </w:rPr>
        <w:t>Non-verbal Blasphemy</w:t>
      </w:r>
    </w:p>
    <w:p w:rsidR="007D045A" w:rsidRPr="00144C93" w:rsidRDefault="00CD3556" w:rsidP="00144C93">
      <w:pPr>
        <w:spacing w:after="120" w:line="240" w:lineRule="auto"/>
        <w:ind w:left="357"/>
        <w:jc w:val="both"/>
        <w:rPr>
          <w:rFonts w:ascii="Book Antiqua" w:hAnsi="Book Antiqua" w:cstheme="majorHAnsi"/>
          <w:color w:val="000000" w:themeColor="text1"/>
          <w:sz w:val="24"/>
          <w:szCs w:val="24"/>
        </w:rPr>
      </w:pPr>
      <w:r w:rsidRPr="00144C93">
        <w:rPr>
          <w:rFonts w:ascii="Book Antiqua" w:hAnsi="Book Antiqua"/>
          <w:iCs/>
          <w:sz w:val="24"/>
          <w:szCs w:val="24"/>
        </w:rPr>
        <w:t xml:space="preserve">Religious blasphemy that is committed without using either spoken or written words is one example of this. This kind of blasphemy involves behaviors, conduct, or opinions, such as openly burning holy books, flushing holy texts down the toilet, and other blasphemous deeds. Moreover, this kind of blasphemy can be expressed through body language, especially when it mocks or denies certain religious doctrines or symbols. Social media is one place where nonverbal blasphemy happens. In </w:t>
      </w:r>
      <w:proofErr w:type="spellStart"/>
      <w:r w:rsidRPr="00144C93">
        <w:rPr>
          <w:rFonts w:ascii="Book Antiqua" w:hAnsi="Book Antiqua"/>
          <w:iCs/>
          <w:sz w:val="24"/>
          <w:szCs w:val="24"/>
        </w:rPr>
        <w:t>Pulau</w:t>
      </w:r>
      <w:proofErr w:type="spellEnd"/>
      <w:r w:rsidRPr="00144C93">
        <w:rPr>
          <w:rFonts w:ascii="Book Antiqua" w:hAnsi="Book Antiqua"/>
          <w:iCs/>
          <w:sz w:val="24"/>
          <w:szCs w:val="24"/>
        </w:rPr>
        <w:t xml:space="preserve"> </w:t>
      </w:r>
      <w:proofErr w:type="spellStart"/>
      <w:r w:rsidRPr="00144C93">
        <w:rPr>
          <w:rFonts w:ascii="Book Antiqua" w:hAnsi="Book Antiqua"/>
          <w:iCs/>
          <w:sz w:val="24"/>
          <w:szCs w:val="24"/>
        </w:rPr>
        <w:t>Garam</w:t>
      </w:r>
      <w:proofErr w:type="spellEnd"/>
      <w:r w:rsidRPr="00144C93">
        <w:rPr>
          <w:rFonts w:ascii="Book Antiqua" w:hAnsi="Book Antiqua"/>
          <w:iCs/>
          <w:sz w:val="24"/>
          <w:szCs w:val="24"/>
        </w:rPr>
        <w:t xml:space="preserve">, in the </w:t>
      </w:r>
      <w:proofErr w:type="spellStart"/>
      <w:r w:rsidRPr="00144C93">
        <w:rPr>
          <w:rFonts w:ascii="Book Antiqua" w:hAnsi="Book Antiqua"/>
          <w:iCs/>
          <w:sz w:val="24"/>
          <w:szCs w:val="24"/>
        </w:rPr>
        <w:t>Banyuates</w:t>
      </w:r>
      <w:proofErr w:type="spellEnd"/>
      <w:r w:rsidRPr="00144C93">
        <w:rPr>
          <w:rFonts w:ascii="Book Antiqua" w:hAnsi="Book Antiqua"/>
          <w:iCs/>
          <w:sz w:val="24"/>
          <w:szCs w:val="24"/>
        </w:rPr>
        <w:t xml:space="preserve"> District of the </w:t>
      </w:r>
      <w:proofErr w:type="spellStart"/>
      <w:r w:rsidRPr="00144C93">
        <w:rPr>
          <w:rFonts w:ascii="Book Antiqua" w:hAnsi="Book Antiqua"/>
          <w:iCs/>
          <w:sz w:val="24"/>
          <w:szCs w:val="24"/>
        </w:rPr>
        <w:t>Sampang</w:t>
      </w:r>
      <w:proofErr w:type="spellEnd"/>
      <w:r w:rsidRPr="00144C93">
        <w:rPr>
          <w:rFonts w:ascii="Book Antiqua" w:hAnsi="Book Antiqua"/>
          <w:iCs/>
          <w:sz w:val="24"/>
          <w:szCs w:val="24"/>
        </w:rPr>
        <w:t xml:space="preserve"> Regency of Madura, a number of young people from one of the well-known motorcycle gangs are said to have participated in some mocking prayer gestures and indecent acts.</w:t>
      </w:r>
      <w:r w:rsidR="007D045A" w:rsidRPr="00144C93">
        <w:rPr>
          <w:rFonts w:ascii="Book Antiqua" w:hAnsi="Book Antiqua" w:cstheme="majorHAnsi"/>
          <w:color w:val="000000" w:themeColor="text1"/>
          <w:sz w:val="24"/>
          <w:szCs w:val="24"/>
        </w:rPr>
        <w:t xml:space="preserve"> </w:t>
      </w:r>
    </w:p>
    <w:p w:rsidR="007D045A" w:rsidRPr="00144C93" w:rsidRDefault="00CD3556" w:rsidP="002E076C">
      <w:pPr>
        <w:spacing w:after="120" w:line="240" w:lineRule="auto"/>
        <w:ind w:firstLine="567"/>
        <w:jc w:val="both"/>
        <w:rPr>
          <w:rFonts w:ascii="Book Antiqua" w:hAnsi="Book Antiqua" w:cstheme="majorHAnsi"/>
          <w:color w:val="000000" w:themeColor="text1"/>
          <w:sz w:val="24"/>
          <w:szCs w:val="24"/>
        </w:rPr>
      </w:pPr>
      <w:r w:rsidRPr="00144C93">
        <w:rPr>
          <w:rFonts w:ascii="Book Antiqua" w:hAnsi="Book Antiqua"/>
          <w:sz w:val="24"/>
          <w:szCs w:val="24"/>
        </w:rPr>
        <w:t xml:space="preserve">The four categories of this crime of insulting religion are as follows: (1) insulting a specific religion practiced in Indonesia (Article 156a); (2) insulting religious officials performing their duties (Article 177 point 1); (3) insults regarding objects used for religious purposes (Article 177 point 2); and (4) making noise near places of worship that are being used for worship (Article 503). Yet, Article 156a of the Penal Code is the section that has frequently been referred to as the blasphemy article. It should be noted that Presidential Decree No. 1 of 1965 concerning Prevention of Misuse and/or Blasphemy of Religion (Presidential Decree No. 1/1965) was the actual source of Article 156a of the Criminal Code, not the </w:t>
      </w:r>
      <w:proofErr w:type="spellStart"/>
      <w:r w:rsidRPr="002E076C">
        <w:rPr>
          <w:rFonts w:ascii="Book Antiqua" w:hAnsi="Book Antiqua"/>
          <w:i/>
          <w:sz w:val="24"/>
          <w:szCs w:val="24"/>
        </w:rPr>
        <w:t>Wetboek</w:t>
      </w:r>
      <w:proofErr w:type="spellEnd"/>
      <w:r w:rsidRPr="002E076C">
        <w:rPr>
          <w:rFonts w:ascii="Book Antiqua" w:hAnsi="Book Antiqua"/>
          <w:i/>
          <w:sz w:val="24"/>
          <w:szCs w:val="24"/>
        </w:rPr>
        <w:t xml:space="preserve"> van </w:t>
      </w:r>
      <w:proofErr w:type="spellStart"/>
      <w:r w:rsidRPr="002E076C">
        <w:rPr>
          <w:rFonts w:ascii="Book Antiqua" w:hAnsi="Book Antiqua"/>
          <w:i/>
          <w:sz w:val="24"/>
          <w:szCs w:val="24"/>
        </w:rPr>
        <w:t>Strafrecht</w:t>
      </w:r>
      <w:proofErr w:type="spellEnd"/>
      <w:r w:rsidRPr="00144C93">
        <w:rPr>
          <w:rFonts w:ascii="Book Antiqua" w:hAnsi="Book Antiqua"/>
          <w:sz w:val="24"/>
          <w:szCs w:val="24"/>
        </w:rPr>
        <w:t xml:space="preserve"> (</w:t>
      </w:r>
      <w:proofErr w:type="spellStart"/>
      <w:proofErr w:type="gramStart"/>
      <w:r w:rsidRPr="00144C93">
        <w:rPr>
          <w:rFonts w:ascii="Book Antiqua" w:hAnsi="Book Antiqua"/>
          <w:sz w:val="24"/>
          <w:szCs w:val="24"/>
        </w:rPr>
        <w:t>WvS</w:t>
      </w:r>
      <w:proofErr w:type="spellEnd"/>
      <w:proofErr w:type="gramEnd"/>
      <w:r w:rsidRPr="00144C93">
        <w:rPr>
          <w:rFonts w:ascii="Book Antiqua" w:hAnsi="Book Antiqua"/>
          <w:sz w:val="24"/>
          <w:szCs w:val="24"/>
        </w:rPr>
        <w:t>) of the Netherlands.</w:t>
      </w:r>
      <w:r w:rsidRPr="00144C93">
        <w:rPr>
          <w:rFonts w:ascii="Book Antiqua" w:hAnsi="Book Antiqua"/>
        </w:rPr>
        <w:t xml:space="preserve"> </w:t>
      </w:r>
      <w:r w:rsidRPr="00144C93">
        <w:rPr>
          <w:rFonts w:ascii="Book Antiqua" w:hAnsi="Book Antiqua"/>
          <w:sz w:val="24"/>
          <w:szCs w:val="24"/>
        </w:rPr>
        <w:t>In Article 4 of Presidential Decree No. 1/1965, it is stated that "whoever deliberately expresses feelings or commits an act in public that: (a) is primarily hostile to, abuses, or desecrates a religion practiced in Indonesia; or (b) with the intention that people do not adhere to any religion, which is based on the belief in the One and Only God, shall be punished by imprisonment for a maximum of five years."</w:t>
      </w:r>
    </w:p>
    <w:p w:rsidR="007D045A" w:rsidRPr="00144C93" w:rsidRDefault="00CD3556" w:rsidP="002E076C">
      <w:pPr>
        <w:spacing w:after="120" w:line="240" w:lineRule="auto"/>
        <w:ind w:firstLine="567"/>
        <w:jc w:val="both"/>
        <w:rPr>
          <w:rFonts w:ascii="Book Antiqua" w:hAnsi="Book Antiqua" w:cstheme="majorHAnsi"/>
          <w:color w:val="000000" w:themeColor="text1"/>
          <w:sz w:val="24"/>
          <w:szCs w:val="24"/>
        </w:rPr>
      </w:pPr>
      <w:r w:rsidRPr="00144C93">
        <w:rPr>
          <w:rFonts w:ascii="Book Antiqua" w:hAnsi="Book Antiqua"/>
          <w:sz w:val="24"/>
          <w:szCs w:val="24"/>
        </w:rPr>
        <w:t>Anyone who publicly shows feelings of enmity, hatred, or contempt towards one or more groups of the Indonesian people is subject to a maximum penalty of four years in prison or a maximum fine of 4,500 rupiahs, according to the Circular of the Chief of Police SE/X/06/2015. In this article and the ones that follow, the words "group" refer to every segment of the Indonesian population that differs from one or more other segments due to race, nation of origin, religion, location, ancestry, nationality, or position as defined by constitutional law. These practices and interpretations depart from that religion.</w:t>
      </w:r>
      <w:r w:rsidR="007D045A" w:rsidRPr="00144C93">
        <w:rPr>
          <w:rFonts w:ascii="Book Antiqua" w:hAnsi="Book Antiqua" w:cstheme="majorHAnsi"/>
          <w:color w:val="000000" w:themeColor="text1"/>
          <w:sz w:val="24"/>
          <w:szCs w:val="24"/>
        </w:rPr>
        <w:t xml:space="preserve"> </w:t>
      </w:r>
    </w:p>
    <w:p w:rsidR="007D045A" w:rsidRPr="00144C93" w:rsidRDefault="00CD3556" w:rsidP="002E076C">
      <w:pPr>
        <w:spacing w:after="120" w:line="240" w:lineRule="auto"/>
        <w:ind w:firstLine="567"/>
        <w:jc w:val="both"/>
        <w:rPr>
          <w:rFonts w:ascii="Book Antiqua" w:hAnsi="Book Antiqua"/>
          <w:sz w:val="24"/>
          <w:szCs w:val="24"/>
        </w:rPr>
      </w:pPr>
      <w:r w:rsidRPr="00144C93">
        <w:rPr>
          <w:rFonts w:ascii="Book Antiqua" w:hAnsi="Book Antiqua"/>
          <w:sz w:val="24"/>
          <w:szCs w:val="24"/>
        </w:rPr>
        <w:t>According to the various viewpoints discussed above, blasphemy or blasphemy of religion is an act that includes elements of humiliation, reproach, or defamation of a religion and, in essence, expresses hatred or dislike verbally or graphically on purpose in a public place by alluding to various aspects. With the advancement of information and communication technology, blasphemous acts can now be committed online, and those responsible will face legal repercussions under Law No. 11 of 2008 Concerning Electronic Transaction Information.</w:t>
      </w:r>
    </w:p>
    <w:p w:rsidR="00F246FE" w:rsidRPr="00144C93" w:rsidRDefault="00CD3556" w:rsidP="00CD3556">
      <w:pPr>
        <w:tabs>
          <w:tab w:val="left" w:pos="426"/>
        </w:tabs>
        <w:spacing w:after="120" w:line="240" w:lineRule="auto"/>
        <w:jc w:val="both"/>
        <w:rPr>
          <w:rFonts w:ascii="Book Antiqua" w:eastAsia="Arial Unicode MS" w:hAnsi="Book Antiqua" w:cstheme="majorHAnsi"/>
          <w:b/>
          <w:color w:val="000000" w:themeColor="text1"/>
          <w:sz w:val="24"/>
          <w:szCs w:val="24"/>
        </w:rPr>
      </w:pPr>
      <w:r w:rsidRPr="00144C93">
        <w:rPr>
          <w:rFonts w:ascii="Book Antiqua" w:eastAsia="Arial Unicode MS" w:hAnsi="Book Antiqua" w:cstheme="majorHAnsi"/>
          <w:b/>
          <w:color w:val="000000" w:themeColor="text1"/>
          <w:sz w:val="24"/>
          <w:szCs w:val="24"/>
        </w:rPr>
        <w:t>3.2</w:t>
      </w:r>
      <w:r w:rsidRPr="00144C93">
        <w:rPr>
          <w:rFonts w:ascii="Book Antiqua" w:eastAsia="Arial Unicode MS" w:hAnsi="Book Antiqua" w:cstheme="majorHAnsi"/>
          <w:b/>
          <w:color w:val="000000" w:themeColor="text1"/>
          <w:sz w:val="24"/>
          <w:szCs w:val="24"/>
        </w:rPr>
        <w:tab/>
        <w:t>Blasphemy Actions from a Legal Perspective in Indonesia</w:t>
      </w:r>
    </w:p>
    <w:p w:rsidR="002E336A" w:rsidRPr="00144C93" w:rsidRDefault="00E248BB" w:rsidP="001D3CDD">
      <w:pPr>
        <w:spacing w:after="120" w:line="240" w:lineRule="auto"/>
        <w:ind w:firstLine="567"/>
        <w:jc w:val="both"/>
        <w:rPr>
          <w:rFonts w:ascii="Book Antiqua" w:hAnsi="Book Antiqua" w:cstheme="majorHAnsi"/>
          <w:color w:val="000000" w:themeColor="text1"/>
          <w:sz w:val="24"/>
          <w:szCs w:val="24"/>
        </w:rPr>
      </w:pPr>
      <w:r w:rsidRPr="00144C93">
        <w:rPr>
          <w:rFonts w:ascii="Book Antiqua" w:hAnsi="Book Antiqua"/>
          <w:sz w:val="24"/>
          <w:szCs w:val="24"/>
        </w:rPr>
        <w:t>The velocity at which news is disseminated to the public has accelerated due to the shift from the manual to the digital or "</w:t>
      </w:r>
      <w:proofErr w:type="spellStart"/>
      <w:r w:rsidRPr="00144C93">
        <w:rPr>
          <w:rFonts w:ascii="Book Antiqua" w:hAnsi="Book Antiqua"/>
          <w:sz w:val="24"/>
          <w:szCs w:val="24"/>
        </w:rPr>
        <w:t>internetized</w:t>
      </w:r>
      <w:proofErr w:type="spellEnd"/>
      <w:r w:rsidRPr="00144C93">
        <w:rPr>
          <w:rFonts w:ascii="Book Antiqua" w:hAnsi="Book Antiqua"/>
          <w:sz w:val="24"/>
          <w:szCs w:val="24"/>
        </w:rPr>
        <w:t xml:space="preserve">" eras. Via a variety of mass media, social media, and other electronic media, news can quickly spread throughout Indonesia. Because it has damaged religious concord, news that contains elements of hatred, antagonism, and prejudice can arouse and ignite the emotions of citizens. In a pluralistic </w:t>
      </w:r>
      <w:r w:rsidRPr="00144C93">
        <w:rPr>
          <w:rFonts w:ascii="Book Antiqua" w:hAnsi="Book Antiqua"/>
          <w:sz w:val="24"/>
          <w:szCs w:val="24"/>
        </w:rPr>
        <w:lastRenderedPageBreak/>
        <w:t>nation like Indonesia, this topic has always been contentious. On the one hand, the diversity of religions, nationalities, and races benefits the advancement of a country's growth. The pluralism, meanwhile, has the potential to lead to horizontal conflict.</w:t>
      </w:r>
    </w:p>
    <w:p w:rsidR="002E336A" w:rsidRPr="00144C93" w:rsidRDefault="00E248BB" w:rsidP="001D3CDD">
      <w:pPr>
        <w:spacing w:after="120" w:line="240" w:lineRule="auto"/>
        <w:ind w:firstLine="567"/>
        <w:jc w:val="both"/>
        <w:rPr>
          <w:rFonts w:ascii="Book Antiqua" w:hAnsi="Book Antiqua" w:cstheme="majorHAnsi"/>
          <w:color w:val="000000" w:themeColor="text1"/>
          <w:sz w:val="24"/>
          <w:szCs w:val="24"/>
        </w:rPr>
      </w:pPr>
      <w:r w:rsidRPr="00144C93">
        <w:rPr>
          <w:rFonts w:ascii="Book Antiqua" w:hAnsi="Book Antiqua"/>
          <w:sz w:val="24"/>
          <w:szCs w:val="24"/>
        </w:rPr>
        <w:t xml:space="preserve">One of the sensitive issues that causes horizontal conflict is religious diversity. there are various </w:t>
      </w:r>
      <w:proofErr w:type="spellStart"/>
      <w:r w:rsidRPr="00144C93">
        <w:rPr>
          <w:rFonts w:ascii="Book Antiqua" w:hAnsi="Book Antiqua"/>
          <w:sz w:val="24"/>
          <w:szCs w:val="24"/>
        </w:rPr>
        <w:t>cases</w:t>
      </w:r>
      <w:proofErr w:type="spellEnd"/>
      <w:r w:rsidRPr="00144C93">
        <w:rPr>
          <w:rFonts w:ascii="Book Antiqua" w:hAnsi="Book Antiqua"/>
          <w:sz w:val="24"/>
          <w:szCs w:val="24"/>
        </w:rPr>
        <w:t xml:space="preserve"> related to the issue of religious non-tolerance that has rocked the world of Indonesian law, for example the cases of </w:t>
      </w:r>
      <w:proofErr w:type="spellStart"/>
      <w:r w:rsidRPr="00144C93">
        <w:rPr>
          <w:rFonts w:ascii="Book Antiqua" w:hAnsi="Book Antiqua"/>
          <w:sz w:val="24"/>
          <w:szCs w:val="24"/>
        </w:rPr>
        <w:t>Cikesik</w:t>
      </w:r>
      <w:proofErr w:type="spellEnd"/>
      <w:r w:rsidRPr="00144C93">
        <w:rPr>
          <w:rFonts w:ascii="Book Antiqua" w:hAnsi="Book Antiqua"/>
          <w:sz w:val="24"/>
          <w:szCs w:val="24"/>
        </w:rPr>
        <w:t xml:space="preserve">, Ambon, </w:t>
      </w:r>
      <w:proofErr w:type="spellStart"/>
      <w:r w:rsidRPr="00144C93">
        <w:rPr>
          <w:rFonts w:ascii="Book Antiqua" w:hAnsi="Book Antiqua"/>
          <w:sz w:val="24"/>
          <w:szCs w:val="24"/>
        </w:rPr>
        <w:t>Kupang</w:t>
      </w:r>
      <w:proofErr w:type="spellEnd"/>
      <w:r w:rsidRPr="00144C93">
        <w:rPr>
          <w:rFonts w:ascii="Book Antiqua" w:hAnsi="Book Antiqua"/>
          <w:sz w:val="24"/>
          <w:szCs w:val="24"/>
        </w:rPr>
        <w:t xml:space="preserve">, </w:t>
      </w:r>
      <w:proofErr w:type="spellStart"/>
      <w:r w:rsidRPr="00144C93">
        <w:rPr>
          <w:rFonts w:ascii="Book Antiqua" w:hAnsi="Book Antiqua"/>
          <w:sz w:val="24"/>
          <w:szCs w:val="24"/>
        </w:rPr>
        <w:t>Poso</w:t>
      </w:r>
      <w:proofErr w:type="spellEnd"/>
      <w:r w:rsidRPr="00144C93">
        <w:rPr>
          <w:rFonts w:ascii="Book Antiqua" w:hAnsi="Book Antiqua"/>
          <w:sz w:val="24"/>
          <w:szCs w:val="24"/>
        </w:rPr>
        <w:t xml:space="preserve"> and other cases </w:t>
      </w:r>
      <w:r w:rsidR="00643958">
        <w:rPr>
          <w:rStyle w:val="FootnoteReference"/>
          <w:rFonts w:ascii="Book Antiqua" w:hAnsi="Book Antiqua"/>
          <w:sz w:val="24"/>
          <w:szCs w:val="24"/>
        </w:rPr>
        <w:footnoteReference w:id="33"/>
      </w:r>
      <w:r w:rsidRPr="00144C93">
        <w:rPr>
          <w:rFonts w:ascii="Book Antiqua" w:hAnsi="Book Antiqua"/>
          <w:sz w:val="24"/>
          <w:szCs w:val="24"/>
        </w:rPr>
        <w:t>. Given the severity of the harm caused by the aforementioned examples, the government must take proactive measures seriously. If intolerance is not addressed, it will lead to numerous horizontal confrontations and result in the deaths of several helpless children.</w:t>
      </w:r>
    </w:p>
    <w:p w:rsidR="002E336A" w:rsidRPr="00144C93" w:rsidRDefault="00E248BB" w:rsidP="001D3CDD">
      <w:pPr>
        <w:spacing w:after="120" w:line="240" w:lineRule="auto"/>
        <w:ind w:firstLine="567"/>
        <w:jc w:val="both"/>
        <w:rPr>
          <w:rFonts w:ascii="Book Antiqua" w:hAnsi="Book Antiqua" w:cstheme="majorHAnsi"/>
          <w:color w:val="000000" w:themeColor="text1"/>
          <w:sz w:val="24"/>
          <w:szCs w:val="24"/>
        </w:rPr>
      </w:pPr>
      <w:r w:rsidRPr="00144C93">
        <w:rPr>
          <w:rFonts w:ascii="Book Antiqua" w:hAnsi="Book Antiqua"/>
          <w:sz w:val="24"/>
          <w:szCs w:val="24"/>
        </w:rPr>
        <w:t xml:space="preserve">Recently, a report from the Indonesian Christian Student Movement (GMKI) accusing renowned professor </w:t>
      </w:r>
      <w:proofErr w:type="spellStart"/>
      <w:r w:rsidRPr="00144C93">
        <w:rPr>
          <w:rFonts w:ascii="Book Antiqua" w:hAnsi="Book Antiqua"/>
          <w:sz w:val="24"/>
          <w:szCs w:val="24"/>
        </w:rPr>
        <w:t>Ustaz</w:t>
      </w:r>
      <w:proofErr w:type="spellEnd"/>
      <w:r w:rsidRPr="00144C93">
        <w:rPr>
          <w:rFonts w:ascii="Book Antiqua" w:hAnsi="Book Antiqua"/>
          <w:sz w:val="24"/>
          <w:szCs w:val="24"/>
        </w:rPr>
        <w:t xml:space="preserve"> Abdul </w:t>
      </w:r>
      <w:proofErr w:type="spellStart"/>
      <w:r w:rsidRPr="00144C93">
        <w:rPr>
          <w:rFonts w:ascii="Book Antiqua" w:hAnsi="Book Antiqua"/>
          <w:sz w:val="24"/>
          <w:szCs w:val="24"/>
        </w:rPr>
        <w:t>Somad</w:t>
      </w:r>
      <w:proofErr w:type="spellEnd"/>
      <w:r w:rsidRPr="00144C93">
        <w:rPr>
          <w:rFonts w:ascii="Book Antiqua" w:hAnsi="Book Antiqua"/>
          <w:sz w:val="24"/>
          <w:szCs w:val="24"/>
        </w:rPr>
        <w:t xml:space="preserve"> of misconduct caught us off guard (</w:t>
      </w:r>
      <w:proofErr w:type="spellStart"/>
      <w:r w:rsidRPr="00144C93">
        <w:rPr>
          <w:rFonts w:ascii="Book Antiqua" w:hAnsi="Book Antiqua"/>
          <w:sz w:val="24"/>
          <w:szCs w:val="24"/>
        </w:rPr>
        <w:t>Ustaz</w:t>
      </w:r>
      <w:proofErr w:type="spellEnd"/>
      <w:r w:rsidRPr="00144C93">
        <w:rPr>
          <w:rFonts w:ascii="Book Antiqua" w:hAnsi="Book Antiqua"/>
          <w:sz w:val="24"/>
          <w:szCs w:val="24"/>
        </w:rPr>
        <w:t xml:space="preserve"> UAS). Via a number of social organizations, like GMKI and the </w:t>
      </w:r>
      <w:proofErr w:type="spellStart"/>
      <w:r w:rsidRPr="00144C93">
        <w:rPr>
          <w:rFonts w:ascii="Book Antiqua" w:hAnsi="Book Antiqua"/>
          <w:sz w:val="24"/>
          <w:szCs w:val="24"/>
        </w:rPr>
        <w:t>Meo</w:t>
      </w:r>
      <w:proofErr w:type="spellEnd"/>
      <w:r w:rsidRPr="00144C93">
        <w:rPr>
          <w:rFonts w:ascii="Book Antiqua" w:hAnsi="Book Antiqua"/>
          <w:sz w:val="24"/>
          <w:szCs w:val="24"/>
        </w:rPr>
        <w:t xml:space="preserve"> Brigade in East Nusa Tenggara, even the Christian religious community has been</w:t>
      </w:r>
      <w:r w:rsidR="001D3CDD">
        <w:rPr>
          <w:rFonts w:ascii="Book Antiqua" w:hAnsi="Book Antiqua"/>
          <w:sz w:val="24"/>
          <w:szCs w:val="24"/>
        </w:rPr>
        <w:t xml:space="preserve"> active in reporting </w:t>
      </w:r>
      <w:proofErr w:type="spellStart"/>
      <w:r w:rsidR="001D3CDD">
        <w:rPr>
          <w:rFonts w:ascii="Book Antiqua" w:hAnsi="Book Antiqua"/>
          <w:sz w:val="24"/>
          <w:szCs w:val="24"/>
        </w:rPr>
        <w:t>Ustaz</w:t>
      </w:r>
      <w:proofErr w:type="spellEnd"/>
      <w:r w:rsidR="001D3CDD">
        <w:rPr>
          <w:rFonts w:ascii="Book Antiqua" w:hAnsi="Book Antiqua"/>
          <w:sz w:val="24"/>
          <w:szCs w:val="24"/>
        </w:rPr>
        <w:t xml:space="preserve"> UAS.</w:t>
      </w:r>
      <w:r w:rsidR="00643958">
        <w:rPr>
          <w:rStyle w:val="FootnoteReference"/>
          <w:rFonts w:ascii="Book Antiqua" w:hAnsi="Book Antiqua"/>
          <w:sz w:val="24"/>
          <w:szCs w:val="24"/>
        </w:rPr>
        <w:footnoteReference w:id="34"/>
      </w:r>
      <w:r w:rsidRPr="00144C93">
        <w:rPr>
          <w:rFonts w:ascii="Book Antiqua" w:hAnsi="Book Antiqua"/>
          <w:sz w:val="24"/>
          <w:szCs w:val="24"/>
        </w:rPr>
        <w:t xml:space="preserve"> In a Muslim-only recitation that was held in a closed mosque, he was accused of demeaning Christianity and harming relations between religious groups. Even if this information may not be accurate and his acts may not necessarily be illegal, the controversy has immediately gained attention from the general public and generated debate among religious groups over its merits.</w:t>
      </w:r>
    </w:p>
    <w:p w:rsidR="00144C93" w:rsidRPr="00144C93" w:rsidRDefault="00E248BB" w:rsidP="001D3CDD">
      <w:pPr>
        <w:spacing w:after="120" w:line="240" w:lineRule="auto"/>
        <w:ind w:firstLine="567"/>
        <w:jc w:val="both"/>
        <w:rPr>
          <w:rFonts w:ascii="Book Antiqua" w:hAnsi="Book Antiqua"/>
          <w:sz w:val="24"/>
          <w:szCs w:val="24"/>
        </w:rPr>
      </w:pPr>
      <w:r w:rsidRPr="00144C93">
        <w:rPr>
          <w:rFonts w:ascii="Book Antiqua" w:hAnsi="Book Antiqua"/>
          <w:sz w:val="24"/>
          <w:szCs w:val="24"/>
        </w:rPr>
        <w:t xml:space="preserve">In addition, the case involving DKI Governor </w:t>
      </w:r>
      <w:proofErr w:type="spellStart"/>
      <w:r w:rsidRPr="00144C93">
        <w:rPr>
          <w:rFonts w:ascii="Book Antiqua" w:hAnsi="Book Antiqua"/>
          <w:sz w:val="24"/>
          <w:szCs w:val="24"/>
        </w:rPr>
        <w:t>Basuki</w:t>
      </w:r>
      <w:proofErr w:type="spellEnd"/>
      <w:r w:rsidRPr="00144C93">
        <w:rPr>
          <w:rFonts w:ascii="Book Antiqua" w:hAnsi="Book Antiqua"/>
          <w:sz w:val="24"/>
          <w:szCs w:val="24"/>
        </w:rPr>
        <w:t xml:space="preserve"> </w:t>
      </w:r>
      <w:proofErr w:type="spellStart"/>
      <w:r w:rsidRPr="00144C93">
        <w:rPr>
          <w:rFonts w:ascii="Book Antiqua" w:hAnsi="Book Antiqua"/>
          <w:sz w:val="24"/>
          <w:szCs w:val="24"/>
        </w:rPr>
        <w:t>Cahya</w:t>
      </w:r>
      <w:proofErr w:type="spellEnd"/>
      <w:r w:rsidRPr="00144C93">
        <w:rPr>
          <w:rFonts w:ascii="Book Antiqua" w:hAnsi="Book Antiqua"/>
          <w:sz w:val="24"/>
          <w:szCs w:val="24"/>
        </w:rPr>
        <w:t xml:space="preserve"> </w:t>
      </w:r>
      <w:proofErr w:type="spellStart"/>
      <w:r w:rsidRPr="00144C93">
        <w:rPr>
          <w:rFonts w:ascii="Book Antiqua" w:hAnsi="Book Antiqua"/>
          <w:sz w:val="24"/>
          <w:szCs w:val="24"/>
        </w:rPr>
        <w:t>Purnama's</w:t>
      </w:r>
      <w:proofErr w:type="spellEnd"/>
      <w:r w:rsidRPr="00144C93">
        <w:rPr>
          <w:rFonts w:ascii="Book Antiqua" w:hAnsi="Book Antiqua"/>
          <w:sz w:val="24"/>
          <w:szCs w:val="24"/>
        </w:rPr>
        <w:t xml:space="preserve"> blasphemy once startled the Indonesian populace (Governor </w:t>
      </w:r>
      <w:proofErr w:type="spellStart"/>
      <w:r w:rsidRPr="00144C93">
        <w:rPr>
          <w:rFonts w:ascii="Book Antiqua" w:hAnsi="Book Antiqua"/>
          <w:sz w:val="24"/>
          <w:szCs w:val="24"/>
        </w:rPr>
        <w:t>Ahok</w:t>
      </w:r>
      <w:proofErr w:type="spellEnd"/>
      <w:r w:rsidRPr="00144C93">
        <w:rPr>
          <w:rFonts w:ascii="Book Antiqua" w:hAnsi="Book Antiqua"/>
          <w:sz w:val="24"/>
          <w:szCs w:val="24"/>
        </w:rPr>
        <w:t xml:space="preserve">). This case started during </w:t>
      </w:r>
      <w:proofErr w:type="spellStart"/>
      <w:r w:rsidRPr="00144C93">
        <w:rPr>
          <w:rFonts w:ascii="Book Antiqua" w:hAnsi="Book Antiqua"/>
          <w:sz w:val="24"/>
          <w:szCs w:val="24"/>
        </w:rPr>
        <w:t>Ahok's</w:t>
      </w:r>
      <w:proofErr w:type="spellEnd"/>
      <w:r w:rsidRPr="00144C93">
        <w:rPr>
          <w:rFonts w:ascii="Book Antiqua" w:hAnsi="Book Antiqua"/>
          <w:sz w:val="24"/>
          <w:szCs w:val="24"/>
        </w:rPr>
        <w:t xml:space="preserve"> official visit while serving as the Governor of DKI Jakarta and a candidate for the Regional Head Election to fill the position for the years 2018 to 2014. </w:t>
      </w:r>
      <w:proofErr w:type="spellStart"/>
      <w:r w:rsidRPr="00144C93">
        <w:rPr>
          <w:rFonts w:ascii="Book Antiqua" w:hAnsi="Book Antiqua"/>
          <w:sz w:val="24"/>
          <w:szCs w:val="24"/>
        </w:rPr>
        <w:t>Ahok</w:t>
      </w:r>
      <w:proofErr w:type="spellEnd"/>
      <w:r w:rsidRPr="00144C93">
        <w:rPr>
          <w:rFonts w:ascii="Book Antiqua" w:hAnsi="Book Antiqua"/>
          <w:sz w:val="24"/>
          <w:szCs w:val="24"/>
        </w:rPr>
        <w:t xml:space="preserve"> gave a speech when they were there on business. The passage from his remarks is “...</w:t>
      </w:r>
      <w:r w:rsidRPr="00144C93">
        <w:rPr>
          <w:rFonts w:ascii="Book Antiqua" w:hAnsi="Book Antiqua"/>
          <w:i/>
          <w:sz w:val="24"/>
          <w:szCs w:val="24"/>
        </w:rPr>
        <w:t>So, you wouldn't trust people, would you? You know you can't vote for me in your small heart, don't you? You were misled using Al-</w:t>
      </w:r>
      <w:proofErr w:type="spellStart"/>
      <w:r w:rsidRPr="00144C93">
        <w:rPr>
          <w:rFonts w:ascii="Book Antiqua" w:hAnsi="Book Antiqua"/>
          <w:i/>
          <w:sz w:val="24"/>
          <w:szCs w:val="24"/>
        </w:rPr>
        <w:t>Maidah</w:t>
      </w:r>
      <w:proofErr w:type="spellEnd"/>
      <w:r w:rsidRPr="00144C93">
        <w:rPr>
          <w:rFonts w:ascii="Book Antiqua" w:hAnsi="Book Antiqua"/>
          <w:i/>
          <w:sz w:val="24"/>
          <w:szCs w:val="24"/>
        </w:rPr>
        <w:t xml:space="preserve"> 51 and a variety of other tactics; it's your right to feel that way. However, since this is your personal decision and this program is currently airing, you don't have to feel bad if you feel that you can't vote for </w:t>
      </w:r>
      <w:proofErr w:type="spellStart"/>
      <w:r w:rsidRPr="00144C93">
        <w:rPr>
          <w:rFonts w:ascii="Book Antiqua" w:hAnsi="Book Antiqua"/>
          <w:i/>
          <w:sz w:val="24"/>
          <w:szCs w:val="24"/>
        </w:rPr>
        <w:t>Ahok</w:t>
      </w:r>
      <w:proofErr w:type="spellEnd"/>
      <w:r w:rsidRPr="00144C93">
        <w:rPr>
          <w:rFonts w:ascii="Book Antiqua" w:hAnsi="Book Antiqua"/>
          <w:i/>
          <w:sz w:val="24"/>
          <w:szCs w:val="24"/>
        </w:rPr>
        <w:t xml:space="preserve"> because you dislike him but can't because you feel that way in your heart. If you're not feeling well, you owe everyone a debt of gratitude because if you do, you'll</w:t>
      </w:r>
      <w:r w:rsidR="00144C93" w:rsidRPr="00144C93">
        <w:rPr>
          <w:rFonts w:ascii="Book Antiqua" w:hAnsi="Book Antiqua"/>
          <w:i/>
          <w:sz w:val="24"/>
          <w:szCs w:val="24"/>
        </w:rPr>
        <w:t xml:space="preserve"> die slowly or suffer a stroke.” </w:t>
      </w:r>
      <w:r w:rsidRPr="00144C93">
        <w:rPr>
          <w:rFonts w:ascii="Book Antiqua" w:hAnsi="Book Antiqua"/>
          <w:sz w:val="24"/>
          <w:szCs w:val="24"/>
        </w:rPr>
        <w:t>(Judge's decision number: 1537/</w:t>
      </w:r>
      <w:proofErr w:type="spellStart"/>
      <w:r w:rsidRPr="00144C93">
        <w:rPr>
          <w:rFonts w:ascii="Book Antiqua" w:hAnsi="Book Antiqua"/>
          <w:sz w:val="24"/>
          <w:szCs w:val="24"/>
        </w:rPr>
        <w:t>Pid.B</w:t>
      </w:r>
      <w:proofErr w:type="spellEnd"/>
      <w:r w:rsidRPr="00144C93">
        <w:rPr>
          <w:rFonts w:ascii="Book Antiqua" w:hAnsi="Book Antiqua"/>
          <w:sz w:val="24"/>
          <w:szCs w:val="24"/>
        </w:rPr>
        <w:t xml:space="preserve">/2016/PN.JKT.UTRP North Jakarta District Court). </w:t>
      </w:r>
    </w:p>
    <w:p w:rsidR="004B1F20" w:rsidRPr="00144C93" w:rsidRDefault="00E248BB" w:rsidP="001D3CDD">
      <w:pPr>
        <w:spacing w:after="120" w:line="240" w:lineRule="auto"/>
        <w:ind w:firstLine="567"/>
        <w:jc w:val="both"/>
        <w:rPr>
          <w:rFonts w:ascii="Book Antiqua" w:hAnsi="Book Antiqua"/>
          <w:sz w:val="24"/>
          <w:szCs w:val="24"/>
          <w:shd w:val="clear" w:color="auto" w:fill="FFFFFF"/>
        </w:rPr>
      </w:pPr>
      <w:r w:rsidRPr="00144C93">
        <w:rPr>
          <w:rFonts w:ascii="Book Antiqua" w:hAnsi="Book Antiqua"/>
          <w:sz w:val="24"/>
          <w:szCs w:val="24"/>
          <w:shd w:val="clear" w:color="auto" w:fill="FFFFFF"/>
        </w:rPr>
        <w:t xml:space="preserve">Then, this claim was widely disseminated online thanks to </w:t>
      </w:r>
      <w:proofErr w:type="spellStart"/>
      <w:r w:rsidRPr="00144C93">
        <w:rPr>
          <w:rFonts w:ascii="Book Antiqua" w:hAnsi="Book Antiqua"/>
          <w:sz w:val="24"/>
          <w:szCs w:val="24"/>
          <w:shd w:val="clear" w:color="auto" w:fill="FFFFFF"/>
        </w:rPr>
        <w:t>Buni</w:t>
      </w:r>
      <w:proofErr w:type="spellEnd"/>
      <w:r w:rsidRPr="00144C93">
        <w:rPr>
          <w:rFonts w:ascii="Book Antiqua" w:hAnsi="Book Antiqua"/>
          <w:sz w:val="24"/>
          <w:szCs w:val="24"/>
          <w:shd w:val="clear" w:color="auto" w:fill="FFFFFF"/>
        </w:rPr>
        <w:t xml:space="preserve"> </w:t>
      </w:r>
      <w:proofErr w:type="spellStart"/>
      <w:r w:rsidRPr="00144C93">
        <w:rPr>
          <w:rFonts w:ascii="Book Antiqua" w:hAnsi="Book Antiqua"/>
          <w:sz w:val="24"/>
          <w:szCs w:val="24"/>
          <w:shd w:val="clear" w:color="auto" w:fill="FFFFFF"/>
        </w:rPr>
        <w:t>Yani's</w:t>
      </w:r>
      <w:proofErr w:type="spellEnd"/>
      <w:r w:rsidRPr="00144C93">
        <w:rPr>
          <w:rFonts w:ascii="Book Antiqua" w:hAnsi="Book Antiqua"/>
          <w:sz w:val="24"/>
          <w:szCs w:val="24"/>
          <w:shd w:val="clear" w:color="auto" w:fill="FFFFFF"/>
        </w:rPr>
        <w:t xml:space="preserve"> upload on one of the social media sites under the heading "Blasphemy Against Religion?" </w:t>
      </w:r>
      <w:proofErr w:type="spellStart"/>
      <w:r w:rsidRPr="00144C93">
        <w:rPr>
          <w:rFonts w:ascii="Book Antiqua" w:hAnsi="Book Antiqua"/>
          <w:sz w:val="24"/>
          <w:szCs w:val="24"/>
          <w:shd w:val="clear" w:color="auto" w:fill="FFFFFF"/>
        </w:rPr>
        <w:t>Ahok</w:t>
      </w:r>
      <w:proofErr w:type="spellEnd"/>
      <w:r w:rsidRPr="00144C93">
        <w:rPr>
          <w:rFonts w:ascii="Book Antiqua" w:hAnsi="Book Antiqua"/>
          <w:sz w:val="24"/>
          <w:szCs w:val="24"/>
          <w:shd w:val="clear" w:color="auto" w:fill="FFFFFF"/>
        </w:rPr>
        <w:t xml:space="preserve"> was subsequently reported by the Indonesian </w:t>
      </w:r>
      <w:proofErr w:type="spellStart"/>
      <w:r w:rsidRPr="00144C93">
        <w:rPr>
          <w:rFonts w:ascii="Book Antiqua" w:hAnsi="Book Antiqua"/>
          <w:sz w:val="24"/>
          <w:szCs w:val="24"/>
          <w:shd w:val="clear" w:color="auto" w:fill="FFFFFF"/>
        </w:rPr>
        <w:t>Ulema</w:t>
      </w:r>
      <w:proofErr w:type="spellEnd"/>
      <w:r w:rsidRPr="00144C93">
        <w:rPr>
          <w:rFonts w:ascii="Book Antiqua" w:hAnsi="Book Antiqua"/>
          <w:sz w:val="24"/>
          <w:szCs w:val="24"/>
          <w:shd w:val="clear" w:color="auto" w:fill="FFFFFF"/>
        </w:rPr>
        <w:t xml:space="preserve"> Council (MUI) of South Sumatra and the Secretary General of the Islamic Defenders Front (FPI) for allegedly breaking Law No. 11 of 2008 about Electronic Transaction Information, Article 28 Paragraph 2, and </w:t>
      </w:r>
      <w:r w:rsidR="001D3CDD">
        <w:rPr>
          <w:rFonts w:ascii="Book Antiqua" w:hAnsi="Book Antiqua"/>
          <w:sz w:val="24"/>
          <w:szCs w:val="24"/>
          <w:shd w:val="clear" w:color="auto" w:fill="FFFFFF"/>
        </w:rPr>
        <w:t>Article 156a of the Penal Code.</w:t>
      </w:r>
      <w:r w:rsidR="00643958">
        <w:rPr>
          <w:rStyle w:val="FootnoteReference"/>
          <w:rFonts w:ascii="Book Antiqua" w:hAnsi="Book Antiqua"/>
          <w:sz w:val="24"/>
          <w:szCs w:val="24"/>
          <w:shd w:val="clear" w:color="auto" w:fill="FFFFFF"/>
        </w:rPr>
        <w:footnoteReference w:id="35"/>
      </w:r>
    </w:p>
    <w:p w:rsidR="00E248BB" w:rsidRPr="00144C93" w:rsidRDefault="00E248BB" w:rsidP="001D3CDD">
      <w:pPr>
        <w:spacing w:after="120" w:line="240" w:lineRule="auto"/>
        <w:ind w:firstLine="567"/>
        <w:jc w:val="both"/>
        <w:rPr>
          <w:rFonts w:ascii="Book Antiqua" w:hAnsi="Book Antiqua"/>
          <w:sz w:val="24"/>
          <w:szCs w:val="24"/>
        </w:rPr>
      </w:pPr>
      <w:r w:rsidRPr="00144C93">
        <w:rPr>
          <w:rFonts w:ascii="Book Antiqua" w:hAnsi="Book Antiqua"/>
          <w:sz w:val="24"/>
          <w:szCs w:val="24"/>
        </w:rPr>
        <w:t xml:space="preserve">Reports or accusations of someone committing blasphemy or blasphemy have become a trend in Indonesia. Almost all reports regarding the issue of religious diversity are associated with blasphemy or blasphemy against religion. Legally, there is no definite definition of what constitutes "blasphemy of a religion" in court decisions. In fact, in Indonesian criminal law there are no special provisions governing criminal acts of </w:t>
      </w:r>
      <w:r w:rsidRPr="00144C93">
        <w:rPr>
          <w:rFonts w:ascii="Book Antiqua" w:hAnsi="Book Antiqua"/>
          <w:sz w:val="24"/>
          <w:szCs w:val="24"/>
        </w:rPr>
        <w:lastRenderedPageBreak/>
        <w:t>blasphemy</w:t>
      </w:r>
      <w:r w:rsidR="001D3CDD">
        <w:rPr>
          <w:rFonts w:ascii="Book Antiqua" w:hAnsi="Book Antiqua"/>
          <w:sz w:val="24"/>
          <w:szCs w:val="24"/>
        </w:rPr>
        <w:t>.</w:t>
      </w:r>
      <w:r w:rsidRPr="00144C93">
        <w:rPr>
          <w:rFonts w:ascii="Book Antiqua" w:hAnsi="Book Antiqua"/>
          <w:sz w:val="24"/>
          <w:szCs w:val="24"/>
        </w:rPr>
        <w:t xml:space="preserve"> </w:t>
      </w:r>
      <w:r w:rsidR="00643958">
        <w:rPr>
          <w:rStyle w:val="FootnoteReference"/>
          <w:rFonts w:ascii="Book Antiqua" w:hAnsi="Book Antiqua"/>
          <w:sz w:val="24"/>
          <w:szCs w:val="24"/>
        </w:rPr>
        <w:footnoteReference w:id="36"/>
      </w:r>
      <w:r w:rsidRPr="00144C93">
        <w:rPr>
          <w:rFonts w:ascii="Book Antiqua" w:hAnsi="Book Antiqua"/>
          <w:sz w:val="24"/>
          <w:szCs w:val="24"/>
        </w:rPr>
        <w:t xml:space="preserve"> However, practically speaking, there are a number of laws that are applied to catch blasphemy offenders, such as Criminal Code Article 156 letter a.</w:t>
      </w:r>
    </w:p>
    <w:p w:rsidR="00E248BB" w:rsidRPr="00144C93" w:rsidRDefault="00E248BB" w:rsidP="001D3CDD">
      <w:pPr>
        <w:spacing w:after="120" w:line="240" w:lineRule="auto"/>
        <w:ind w:firstLine="567"/>
        <w:jc w:val="both"/>
        <w:rPr>
          <w:rFonts w:ascii="Book Antiqua" w:hAnsi="Book Antiqua"/>
          <w:sz w:val="24"/>
          <w:szCs w:val="24"/>
        </w:rPr>
      </w:pPr>
      <w:r w:rsidRPr="00144C93">
        <w:rPr>
          <w:rFonts w:ascii="Book Antiqua" w:hAnsi="Book Antiqua"/>
          <w:sz w:val="24"/>
          <w:szCs w:val="24"/>
        </w:rPr>
        <w:t>Also, the blasphemy article applies to a variety of behaviors that are prohibited by Law No. 1/PNPS/1965 Concerning the Prevention of Misuse and/or Blasphemy of Religion as acts that are deemed to be demeaning or disrespectful to particular religions. The limitations on what behaviors can and cannot be punished under this provision are only found in the clarification of Article 4 of Law No. 1/PNPS/1965, which states that "the offense referred to here is solely aimed at the intention to antagonize or insult." This law does not provide a clear definition or definition regarding what actions can be called "blasphemy of a religion." This justification explains the intention behind blaspheming religion rather than the actual acts of doing so. The understanding of the necessary aim as stated above is further supported by this explanation. As "in essence" is now understood to mean "merely," it is evident that an act must be specifically intended to offend or incite enmity.</w:t>
      </w:r>
    </w:p>
    <w:p w:rsidR="00E248BB" w:rsidRPr="00144C93" w:rsidRDefault="00E248BB" w:rsidP="001D3CDD">
      <w:pPr>
        <w:autoSpaceDE w:val="0"/>
        <w:autoSpaceDN w:val="0"/>
        <w:adjustRightInd w:val="0"/>
        <w:spacing w:after="120" w:line="240" w:lineRule="auto"/>
        <w:ind w:firstLine="567"/>
        <w:jc w:val="both"/>
        <w:rPr>
          <w:rFonts w:ascii="Book Antiqua" w:hAnsi="Book Antiqua"/>
          <w:sz w:val="24"/>
          <w:szCs w:val="24"/>
        </w:rPr>
      </w:pPr>
      <w:r w:rsidRPr="00144C93">
        <w:rPr>
          <w:rFonts w:ascii="Book Antiqua" w:hAnsi="Book Antiqua"/>
          <w:sz w:val="24"/>
          <w:szCs w:val="24"/>
        </w:rPr>
        <w:t>The statute above emphasizes that believers in religions that have been tarnished must get legal protection, as stated in numerous of the articles below:</w:t>
      </w:r>
    </w:p>
    <w:p w:rsidR="00E248BB" w:rsidRPr="00144C93" w:rsidRDefault="00E248BB" w:rsidP="00E248BB">
      <w:pPr>
        <w:pStyle w:val="ListParagraph"/>
        <w:numPr>
          <w:ilvl w:val="0"/>
          <w:numId w:val="37"/>
        </w:numPr>
        <w:autoSpaceDE w:val="0"/>
        <w:autoSpaceDN w:val="0"/>
        <w:adjustRightInd w:val="0"/>
        <w:spacing w:after="120" w:line="240" w:lineRule="auto"/>
        <w:ind w:left="360"/>
        <w:contextualSpacing w:val="0"/>
        <w:jc w:val="both"/>
        <w:rPr>
          <w:rFonts w:ascii="Book Antiqua" w:hAnsi="Book Antiqua"/>
          <w:color w:val="FF0000"/>
          <w:sz w:val="24"/>
          <w:szCs w:val="24"/>
        </w:rPr>
      </w:pPr>
      <w:r w:rsidRPr="00144C93">
        <w:rPr>
          <w:rFonts w:ascii="Book Antiqua" w:hAnsi="Book Antiqua"/>
          <w:sz w:val="24"/>
          <w:szCs w:val="24"/>
        </w:rPr>
        <w:t xml:space="preserve">Article 1: "Everyone is prohibited from knowingly publicly telling, advocating or seeking </w:t>
      </w:r>
      <w:r w:rsidRPr="00144C93">
        <w:rPr>
          <w:rFonts w:ascii="Book Antiqua" w:hAnsi="Book Antiqua"/>
          <w:color w:val="000000"/>
          <w:sz w:val="24"/>
          <w:szCs w:val="24"/>
        </w:rPr>
        <w:t>public support, to interpret a religion adhered to in Indonesia or carry out religious activities that resemble those activities, which interpretations and activities deviate from the principal teachings of that religion."</w:t>
      </w:r>
    </w:p>
    <w:p w:rsidR="00E248BB" w:rsidRPr="00144C93" w:rsidRDefault="00E248BB" w:rsidP="00E248BB">
      <w:pPr>
        <w:pStyle w:val="ListParagraph"/>
        <w:numPr>
          <w:ilvl w:val="0"/>
          <w:numId w:val="37"/>
        </w:numPr>
        <w:autoSpaceDE w:val="0"/>
        <w:autoSpaceDN w:val="0"/>
        <w:adjustRightInd w:val="0"/>
        <w:spacing w:after="120" w:line="240" w:lineRule="auto"/>
        <w:ind w:left="357" w:hanging="357"/>
        <w:contextualSpacing w:val="0"/>
        <w:jc w:val="both"/>
        <w:rPr>
          <w:rFonts w:ascii="Book Antiqua" w:hAnsi="Book Antiqua" w:cstheme="majorHAnsi"/>
          <w:color w:val="000000" w:themeColor="text1"/>
          <w:sz w:val="24"/>
          <w:szCs w:val="24"/>
        </w:rPr>
      </w:pPr>
      <w:r w:rsidRPr="00144C93">
        <w:rPr>
          <w:rFonts w:ascii="Book Antiqua" w:hAnsi="Book Antiqua"/>
          <w:color w:val="000000"/>
          <w:sz w:val="24"/>
          <w:szCs w:val="24"/>
        </w:rPr>
        <w:t>Article 2 (paragraph 1): "Anyone who breaches the provisions referred to in Article 1 is given a harsh order and warning to discontinue his acts in a joint decision between the Minister of Religion, the Minister/Attorney General, and the Minister of Home Affairs,". Article 2 clause (2) "The President of the Republic of Indonesia may dissolve the organization if the violation referred to in paragraph (1) is committed by an organization or a belief system."</w:t>
      </w:r>
    </w:p>
    <w:p w:rsidR="00E248BB" w:rsidRPr="00144C93" w:rsidRDefault="00E248BB" w:rsidP="00E248BB">
      <w:pPr>
        <w:pStyle w:val="ListParagraph"/>
        <w:numPr>
          <w:ilvl w:val="0"/>
          <w:numId w:val="37"/>
        </w:numPr>
        <w:autoSpaceDE w:val="0"/>
        <w:autoSpaceDN w:val="0"/>
        <w:adjustRightInd w:val="0"/>
        <w:spacing w:after="120" w:line="240" w:lineRule="auto"/>
        <w:ind w:left="357" w:hanging="357"/>
        <w:contextualSpacing w:val="0"/>
        <w:jc w:val="both"/>
        <w:rPr>
          <w:rFonts w:ascii="Book Antiqua" w:hAnsi="Book Antiqua" w:cstheme="majorHAnsi"/>
          <w:color w:val="000000" w:themeColor="text1"/>
          <w:sz w:val="24"/>
          <w:szCs w:val="24"/>
        </w:rPr>
      </w:pPr>
      <w:r w:rsidRPr="00144C93">
        <w:rPr>
          <w:rFonts w:ascii="Book Antiqua" w:hAnsi="Book Antiqua"/>
          <w:color w:val="000000"/>
          <w:sz w:val="24"/>
          <w:szCs w:val="24"/>
        </w:rPr>
        <w:t>Article 3: "If, after the action taken by the Minister of Religion together with the Minister/Attorney General and the Minister of Home Affairs or the President of the Republic of Indonesia pursuant to the provisions in Article 2 against a person, organization, or belief system, they still continue to violate the provisions in Article 1, then the person, adherent, member and/or management member of the organization concerned from that sect shall be punished with imprisonment for a period of maximum 5 years.</w:t>
      </w:r>
    </w:p>
    <w:p w:rsidR="00E248BB" w:rsidRPr="00144C93" w:rsidRDefault="00E248BB" w:rsidP="001D3CDD">
      <w:pPr>
        <w:autoSpaceDE w:val="0"/>
        <w:autoSpaceDN w:val="0"/>
        <w:adjustRightInd w:val="0"/>
        <w:spacing w:after="120" w:line="240" w:lineRule="auto"/>
        <w:ind w:firstLine="567"/>
        <w:jc w:val="both"/>
        <w:rPr>
          <w:rFonts w:ascii="Book Antiqua" w:hAnsi="Book Antiqua"/>
          <w:color w:val="000000"/>
          <w:sz w:val="24"/>
          <w:szCs w:val="24"/>
        </w:rPr>
      </w:pPr>
      <w:r w:rsidRPr="00144C93">
        <w:rPr>
          <w:rFonts w:ascii="Book Antiqua" w:hAnsi="Book Antiqua"/>
          <w:color w:val="000000"/>
          <w:sz w:val="24"/>
          <w:szCs w:val="24"/>
        </w:rPr>
        <w:t xml:space="preserve">This law demonstrates that anyone who breaches and performs good works either individually or in groups is afforded legal protection for religious believers in Indonesia so that the act will be clear later on if it satisfies the requirements of the law. Although though the acts were not necessarily blasphemous of religion, they were considered criminal acts if they were repeated after a severe warning and if they incited enmity, fulfilling the requirements of Articles 3 and 4 of the statute. Essentially, Article 4 seeks to punish people who publicly express hostile, hating, or disparaging sentiments (or act in such a manner) toward others. A person may be charged with blasphemy against a particular religion based on these principles. This is due to the fact that it may </w:t>
      </w:r>
      <w:r w:rsidRPr="00144C93">
        <w:rPr>
          <w:rFonts w:ascii="Book Antiqua" w:hAnsi="Book Antiqua"/>
          <w:color w:val="000000"/>
          <w:sz w:val="24"/>
          <w:szCs w:val="24"/>
        </w:rPr>
        <w:lastRenderedPageBreak/>
        <w:t>endanger/disturb public order as well as the peace and harmony of the religious community.</w:t>
      </w:r>
    </w:p>
    <w:p w:rsidR="00E248BB" w:rsidRPr="00144C93" w:rsidRDefault="00E248BB" w:rsidP="001D3CDD">
      <w:pPr>
        <w:autoSpaceDE w:val="0"/>
        <w:autoSpaceDN w:val="0"/>
        <w:adjustRightInd w:val="0"/>
        <w:spacing w:after="120" w:line="240" w:lineRule="auto"/>
        <w:ind w:firstLine="567"/>
        <w:jc w:val="both"/>
        <w:rPr>
          <w:rFonts w:ascii="Book Antiqua" w:hAnsi="Book Antiqua"/>
          <w:sz w:val="24"/>
          <w:szCs w:val="24"/>
        </w:rPr>
      </w:pPr>
      <w:r w:rsidRPr="00144C93">
        <w:rPr>
          <w:rFonts w:ascii="Book Antiqua" w:hAnsi="Book Antiqua"/>
          <w:color w:val="000000"/>
          <w:sz w:val="24"/>
          <w:szCs w:val="24"/>
        </w:rPr>
        <w:t xml:space="preserve">The preservation of the sanctity and purity of religion raises numerous legal concerns, so on October 20, 2009, Law No. 1/PNPS/1965 was sent to the Constitutional Court (MK) for review. The Constitutional Court determined from the Judicial Review that the rules of this statute are not unconstitutional in Decision Number 140/PUU-VII/2009. The 19145 Constitution's protection of the right to freedom of religion is not violated by the statute, according to the Constitutional Court's ruling. One argument against the law is that it was not created in accordance with the procedures and guidelines for creating statutory regulations. In order to diminish or even completely eradicate violence committed in the name of religion and blasphemy against religion, the Law on the Protection of Religion must be good and right. The Constitutional Court concluded that the Blasphemy Statute remained constitutional with a number of improvements even though it was thought to have made a very thorough judgement. In addition, the Constitutional Court mandated that the government and the DPR amend a number </w:t>
      </w:r>
      <w:r w:rsidR="001D3CDD">
        <w:rPr>
          <w:rFonts w:ascii="Book Antiqua" w:hAnsi="Book Antiqua"/>
          <w:color w:val="000000"/>
          <w:sz w:val="24"/>
          <w:szCs w:val="24"/>
        </w:rPr>
        <w:t>of the current legal standards.</w:t>
      </w:r>
      <w:r w:rsidR="00643958">
        <w:rPr>
          <w:rStyle w:val="FootnoteReference"/>
          <w:rFonts w:ascii="Book Antiqua" w:hAnsi="Book Antiqua"/>
          <w:color w:val="000000"/>
          <w:sz w:val="24"/>
          <w:szCs w:val="24"/>
        </w:rPr>
        <w:footnoteReference w:id="37"/>
      </w:r>
    </w:p>
    <w:p w:rsidR="00E248BB" w:rsidRPr="00144C93" w:rsidRDefault="00E248BB" w:rsidP="001D3CDD">
      <w:pPr>
        <w:autoSpaceDE w:val="0"/>
        <w:autoSpaceDN w:val="0"/>
        <w:adjustRightInd w:val="0"/>
        <w:spacing w:after="120" w:line="240" w:lineRule="auto"/>
        <w:ind w:firstLine="567"/>
        <w:jc w:val="both"/>
        <w:rPr>
          <w:rFonts w:ascii="Book Antiqua" w:hAnsi="Book Antiqua"/>
          <w:sz w:val="24"/>
          <w:szCs w:val="24"/>
        </w:rPr>
      </w:pPr>
      <w:r w:rsidRPr="00144C93">
        <w:rPr>
          <w:rFonts w:ascii="Book Antiqua" w:hAnsi="Book Antiqua"/>
          <w:sz w:val="24"/>
          <w:szCs w:val="24"/>
        </w:rPr>
        <w:t xml:space="preserve">In the beginning, there were no formulations that could criminalize defamation or blasphemy of religion in all the schools of law adopted by countries around the world. It should be noted that the Dutch Wet Book van </w:t>
      </w:r>
      <w:proofErr w:type="spellStart"/>
      <w:r w:rsidRPr="00144C93">
        <w:rPr>
          <w:rFonts w:ascii="Book Antiqua" w:hAnsi="Book Antiqua"/>
          <w:sz w:val="24"/>
          <w:szCs w:val="24"/>
        </w:rPr>
        <w:t>Straft</w:t>
      </w:r>
      <w:proofErr w:type="spellEnd"/>
      <w:r w:rsidRPr="00144C93">
        <w:rPr>
          <w:rFonts w:ascii="Book Antiqua" w:hAnsi="Book Antiqua"/>
          <w:sz w:val="24"/>
          <w:szCs w:val="24"/>
        </w:rPr>
        <w:t xml:space="preserve"> </w:t>
      </w:r>
      <w:proofErr w:type="spellStart"/>
      <w:r w:rsidRPr="00144C93">
        <w:rPr>
          <w:rFonts w:ascii="Book Antiqua" w:hAnsi="Book Antiqua"/>
          <w:sz w:val="24"/>
          <w:szCs w:val="24"/>
        </w:rPr>
        <w:t>Recht</w:t>
      </w:r>
      <w:proofErr w:type="spellEnd"/>
      <w:r w:rsidRPr="00144C93">
        <w:rPr>
          <w:rFonts w:ascii="Book Antiqua" w:hAnsi="Book Antiqua"/>
          <w:sz w:val="24"/>
          <w:szCs w:val="24"/>
        </w:rPr>
        <w:t xml:space="preserve"> (</w:t>
      </w:r>
      <w:proofErr w:type="spellStart"/>
      <w:proofErr w:type="gramStart"/>
      <w:r w:rsidRPr="00144C93">
        <w:rPr>
          <w:rFonts w:ascii="Book Antiqua" w:hAnsi="Book Antiqua"/>
          <w:sz w:val="24"/>
          <w:szCs w:val="24"/>
        </w:rPr>
        <w:t>WvS</w:t>
      </w:r>
      <w:proofErr w:type="spellEnd"/>
      <w:proofErr w:type="gramEnd"/>
      <w:r w:rsidRPr="00144C93">
        <w:rPr>
          <w:rFonts w:ascii="Book Antiqua" w:hAnsi="Book Antiqua"/>
          <w:sz w:val="24"/>
          <w:szCs w:val="24"/>
        </w:rPr>
        <w:t xml:space="preserve">) itself does not specifically formulate criminal acts concerning religion. </w:t>
      </w:r>
      <w:r w:rsidR="00916307">
        <w:rPr>
          <w:rFonts w:ascii="Book Antiqua" w:hAnsi="Book Antiqua"/>
          <w:sz w:val="24"/>
          <w:szCs w:val="24"/>
        </w:rPr>
        <w:t>H</w:t>
      </w:r>
      <w:r w:rsidRPr="00144C93">
        <w:rPr>
          <w:rFonts w:ascii="Book Antiqua" w:hAnsi="Book Antiqua"/>
          <w:sz w:val="24"/>
          <w:szCs w:val="24"/>
        </w:rPr>
        <w:t>owever, there is only the 1932 Gods-</w:t>
      </w:r>
      <w:proofErr w:type="spellStart"/>
      <w:r w:rsidRPr="00144C93">
        <w:rPr>
          <w:rFonts w:ascii="Book Antiqua" w:hAnsi="Book Antiqua"/>
          <w:sz w:val="24"/>
          <w:szCs w:val="24"/>
        </w:rPr>
        <w:t>Lastering</w:t>
      </w:r>
      <w:proofErr w:type="spellEnd"/>
      <w:r w:rsidRPr="00144C93">
        <w:rPr>
          <w:rFonts w:ascii="Book Antiqua" w:hAnsi="Book Antiqua"/>
          <w:sz w:val="24"/>
          <w:szCs w:val="24"/>
        </w:rPr>
        <w:t xml:space="preserve"> law, which is better known as religious offenses (Lex Donner). This law was inspired by a German law known as </w:t>
      </w:r>
      <w:proofErr w:type="spellStart"/>
      <w:r w:rsidRPr="00144C93">
        <w:rPr>
          <w:rFonts w:ascii="Book Antiqua" w:hAnsi="Book Antiqua"/>
          <w:sz w:val="24"/>
          <w:szCs w:val="24"/>
        </w:rPr>
        <w:t>Strafgesetzbuch</w:t>
      </w:r>
      <w:proofErr w:type="spellEnd"/>
      <w:r w:rsidRPr="00144C93">
        <w:rPr>
          <w:rFonts w:ascii="Book Antiqua" w:hAnsi="Book Antiqua"/>
          <w:sz w:val="24"/>
          <w:szCs w:val="24"/>
        </w:rPr>
        <w:t xml:space="preserve"> which formulated religious offenses in Article 166. It seems that the formulation of Article 166 </w:t>
      </w:r>
      <w:proofErr w:type="spellStart"/>
      <w:r w:rsidRPr="00144C93">
        <w:rPr>
          <w:rFonts w:ascii="Book Antiqua" w:hAnsi="Book Antiqua"/>
          <w:sz w:val="24"/>
          <w:szCs w:val="24"/>
        </w:rPr>
        <w:t>Strafgesetzbuch</w:t>
      </w:r>
      <w:proofErr w:type="spellEnd"/>
      <w:r w:rsidRPr="00144C93">
        <w:rPr>
          <w:rFonts w:ascii="Book Antiqua" w:hAnsi="Book Antiqua"/>
          <w:sz w:val="24"/>
          <w:szCs w:val="24"/>
        </w:rPr>
        <w:t xml:space="preserve"> became a model and was adopted by </w:t>
      </w:r>
      <w:proofErr w:type="spellStart"/>
      <w:proofErr w:type="gramStart"/>
      <w:r w:rsidRPr="00144C93">
        <w:rPr>
          <w:rFonts w:ascii="Book Antiqua" w:hAnsi="Book Antiqua"/>
          <w:sz w:val="24"/>
          <w:szCs w:val="24"/>
        </w:rPr>
        <w:t>WvS</w:t>
      </w:r>
      <w:proofErr w:type="spellEnd"/>
      <w:proofErr w:type="gramEnd"/>
      <w:r w:rsidRPr="00144C93">
        <w:rPr>
          <w:rFonts w:ascii="Book Antiqua" w:hAnsi="Book Antiqua"/>
          <w:sz w:val="24"/>
          <w:szCs w:val="24"/>
        </w:rPr>
        <w:t xml:space="preserve"> Netherlands, which previously had no rules regarding religious offenses</w:t>
      </w:r>
      <w:r w:rsidR="00916307">
        <w:rPr>
          <w:rFonts w:ascii="Book Antiqua" w:hAnsi="Book Antiqua"/>
          <w:sz w:val="24"/>
          <w:szCs w:val="24"/>
        </w:rPr>
        <w:t>.</w:t>
      </w:r>
      <w:r w:rsidR="00643958">
        <w:rPr>
          <w:rStyle w:val="FootnoteReference"/>
          <w:rFonts w:ascii="Book Antiqua" w:hAnsi="Book Antiqua"/>
          <w:sz w:val="24"/>
          <w:szCs w:val="24"/>
        </w:rPr>
        <w:footnoteReference w:id="38"/>
      </w:r>
      <w:r w:rsidRPr="00144C93">
        <w:rPr>
          <w:rFonts w:ascii="Book Antiqua" w:hAnsi="Book Antiqua"/>
          <w:sz w:val="24"/>
          <w:szCs w:val="24"/>
        </w:rPr>
        <w:t xml:space="preserve"> The laws and regulations stipulate that words, statements or actions that ridicule God, the Prophet and others are considered to blaspheme religion.</w:t>
      </w:r>
    </w:p>
    <w:p w:rsidR="00E248BB" w:rsidRPr="00144C93" w:rsidRDefault="00E248BB" w:rsidP="001D3CDD">
      <w:pPr>
        <w:autoSpaceDE w:val="0"/>
        <w:autoSpaceDN w:val="0"/>
        <w:adjustRightInd w:val="0"/>
        <w:spacing w:after="120" w:line="240" w:lineRule="auto"/>
        <w:ind w:firstLine="567"/>
        <w:jc w:val="both"/>
        <w:rPr>
          <w:rFonts w:ascii="Book Antiqua" w:hAnsi="Book Antiqua"/>
          <w:sz w:val="24"/>
          <w:szCs w:val="24"/>
        </w:rPr>
      </w:pPr>
      <w:r w:rsidRPr="00144C93">
        <w:rPr>
          <w:rFonts w:ascii="Book Antiqua" w:hAnsi="Book Antiqua"/>
          <w:sz w:val="24"/>
          <w:szCs w:val="24"/>
        </w:rPr>
        <w:t>Likewise in Indonesia, at first arrangements regarding religious offenses did not exist in the Indonesian Criminal Code, but only provisions related to religious life, such as provisions in articles 175 of the Criminal Code, 176 of the Criminal Code and 177 of the Criminal Code. However, in the development of law in Indonesia, there are many legal incidents that tarnish, harass or defame certain religions, causing uproar, riots and clashes between adherents of religions. Finally, the crime of blasphemy or blasphemy against religion is regulated in Article 156 of the Criminal Code and Article 156 letter (a) of the Criminal Code.</w:t>
      </w:r>
    </w:p>
    <w:p w:rsidR="004B1F20" w:rsidRPr="00144C93" w:rsidRDefault="00E248BB" w:rsidP="00E248BB">
      <w:pPr>
        <w:pStyle w:val="ListParagraph"/>
        <w:numPr>
          <w:ilvl w:val="1"/>
          <w:numId w:val="38"/>
        </w:numPr>
        <w:spacing w:after="120" w:line="240" w:lineRule="auto"/>
        <w:jc w:val="both"/>
        <w:rPr>
          <w:rFonts w:ascii="Book Antiqua" w:hAnsi="Book Antiqua" w:cs="Calibri"/>
          <w:color w:val="000000" w:themeColor="text1"/>
        </w:rPr>
      </w:pPr>
      <w:r w:rsidRPr="00144C93">
        <w:rPr>
          <w:rFonts w:ascii="Book Antiqua" w:hAnsi="Book Antiqua" w:cstheme="majorHAnsi"/>
          <w:b/>
          <w:color w:val="000000" w:themeColor="text1"/>
          <w:sz w:val="24"/>
          <w:szCs w:val="24"/>
          <w:lang w:val="id-ID"/>
        </w:rPr>
        <w:t>Religious Blasphemy from the Islamic Law Perspective</w:t>
      </w:r>
    </w:p>
    <w:p w:rsidR="00E248BB" w:rsidRPr="00144C93" w:rsidRDefault="00E248BB" w:rsidP="001D3CDD">
      <w:pPr>
        <w:spacing w:after="120" w:line="240" w:lineRule="auto"/>
        <w:ind w:firstLine="567"/>
        <w:jc w:val="both"/>
        <w:rPr>
          <w:rFonts w:ascii="Book Antiqua" w:hAnsi="Book Antiqua"/>
          <w:sz w:val="24"/>
          <w:szCs w:val="24"/>
        </w:rPr>
      </w:pPr>
      <w:r w:rsidRPr="00144C93">
        <w:rPr>
          <w:rFonts w:ascii="Book Antiqua" w:hAnsi="Book Antiqua"/>
          <w:sz w:val="24"/>
          <w:szCs w:val="24"/>
        </w:rPr>
        <w:t>According to Islamic law, it is highly forbidden to harass other religions' symbols, doctrines, or figures in order to disparage them. This is based on the provisions of Allah SWT's word, which state:</w:t>
      </w:r>
    </w:p>
    <w:p w:rsidR="00F33FDB" w:rsidRPr="00144C93" w:rsidRDefault="00E248BB" w:rsidP="001D3CDD">
      <w:pPr>
        <w:spacing w:after="120" w:line="240" w:lineRule="auto"/>
        <w:ind w:left="567"/>
        <w:jc w:val="both"/>
        <w:rPr>
          <w:rFonts w:ascii="Book Antiqua" w:hAnsi="Book Antiqua" w:cstheme="majorHAnsi"/>
          <w:color w:val="000000" w:themeColor="text1"/>
          <w:sz w:val="24"/>
          <w:szCs w:val="24"/>
        </w:rPr>
      </w:pPr>
      <w:r w:rsidRPr="00144C93">
        <w:rPr>
          <w:rFonts w:ascii="Book Antiqua" w:hAnsi="Book Antiqua"/>
          <w:sz w:val="24"/>
          <w:szCs w:val="24"/>
        </w:rPr>
        <w:t xml:space="preserve">“And do not insult those they invoke other than Allah, lest they insult Allah in enmity without knowledge. Thus </w:t>
      </w:r>
      <w:proofErr w:type="gramStart"/>
      <w:r w:rsidRPr="00144C93">
        <w:rPr>
          <w:rFonts w:ascii="Book Antiqua" w:hAnsi="Book Antiqua"/>
          <w:sz w:val="24"/>
          <w:szCs w:val="24"/>
        </w:rPr>
        <w:t>We</w:t>
      </w:r>
      <w:proofErr w:type="gramEnd"/>
      <w:r w:rsidRPr="00144C93">
        <w:rPr>
          <w:rFonts w:ascii="Book Antiqua" w:hAnsi="Book Antiqua"/>
          <w:sz w:val="24"/>
          <w:szCs w:val="24"/>
        </w:rPr>
        <w:t xml:space="preserve"> have made pleasing to every community their deeds. Then to their Lord is their return, and He will inform them about what they used to do. ” (Q.S. al-</w:t>
      </w:r>
      <w:proofErr w:type="spellStart"/>
      <w:r w:rsidRPr="00144C93">
        <w:rPr>
          <w:rFonts w:ascii="Book Antiqua" w:hAnsi="Book Antiqua"/>
          <w:sz w:val="24"/>
          <w:szCs w:val="24"/>
        </w:rPr>
        <w:t>An’am</w:t>
      </w:r>
      <w:proofErr w:type="spellEnd"/>
      <w:r w:rsidRPr="00144C93">
        <w:rPr>
          <w:rFonts w:ascii="Book Antiqua" w:hAnsi="Book Antiqua"/>
          <w:sz w:val="24"/>
          <w:szCs w:val="24"/>
        </w:rPr>
        <w:t xml:space="preserve"> (6):108)</w:t>
      </w:r>
      <w:r w:rsidR="00F33FDB" w:rsidRPr="00144C93">
        <w:rPr>
          <w:rFonts w:ascii="Book Antiqua" w:hAnsi="Book Antiqua" w:cstheme="majorHAnsi"/>
          <w:color w:val="000000" w:themeColor="text1"/>
          <w:sz w:val="24"/>
          <w:szCs w:val="24"/>
        </w:rPr>
        <w:t xml:space="preserve"> </w:t>
      </w:r>
    </w:p>
    <w:p w:rsidR="00F33FDB" w:rsidRPr="00144C93" w:rsidRDefault="00E248BB" w:rsidP="001D3CDD">
      <w:pPr>
        <w:spacing w:after="120" w:line="240" w:lineRule="auto"/>
        <w:ind w:firstLine="567"/>
        <w:jc w:val="both"/>
        <w:rPr>
          <w:rFonts w:ascii="Book Antiqua" w:hAnsi="Book Antiqua" w:cstheme="majorHAnsi"/>
          <w:color w:val="000000" w:themeColor="text1"/>
          <w:sz w:val="24"/>
          <w:szCs w:val="24"/>
        </w:rPr>
      </w:pPr>
      <w:r w:rsidRPr="00144C93">
        <w:rPr>
          <w:rFonts w:ascii="Book Antiqua" w:hAnsi="Book Antiqua"/>
          <w:sz w:val="24"/>
          <w:szCs w:val="24"/>
        </w:rPr>
        <w:lastRenderedPageBreak/>
        <w:t>According to Al-</w:t>
      </w:r>
      <w:proofErr w:type="spellStart"/>
      <w:r w:rsidRPr="00144C93">
        <w:rPr>
          <w:rFonts w:ascii="Book Antiqua" w:hAnsi="Book Antiqua"/>
          <w:sz w:val="24"/>
          <w:szCs w:val="24"/>
        </w:rPr>
        <w:t>Razi</w:t>
      </w:r>
      <w:proofErr w:type="spellEnd"/>
      <w:r w:rsidRPr="00144C93">
        <w:rPr>
          <w:rFonts w:ascii="Book Antiqua" w:hAnsi="Book Antiqua"/>
          <w:sz w:val="24"/>
          <w:szCs w:val="24"/>
        </w:rPr>
        <w:t xml:space="preserve">, that verse serves as both a warning and an invitation not to engage in foolish acts of teaching </w:t>
      </w:r>
      <w:r w:rsidR="00BD2049">
        <w:rPr>
          <w:rFonts w:ascii="Book Antiqua" w:hAnsi="Book Antiqua"/>
          <w:sz w:val="24"/>
          <w:szCs w:val="24"/>
        </w:rPr>
        <w:t>by disparaging other religions.</w:t>
      </w:r>
      <w:r w:rsidR="00643958">
        <w:rPr>
          <w:rStyle w:val="FootnoteReference"/>
          <w:rFonts w:ascii="Book Antiqua" w:hAnsi="Book Antiqua"/>
          <w:sz w:val="24"/>
          <w:szCs w:val="24"/>
        </w:rPr>
        <w:footnoteReference w:id="39"/>
      </w:r>
      <w:r w:rsidRPr="00144C93">
        <w:rPr>
          <w:rFonts w:ascii="Book Antiqua" w:hAnsi="Book Antiqua"/>
          <w:sz w:val="24"/>
          <w:szCs w:val="24"/>
        </w:rPr>
        <w:t xml:space="preserve"> </w:t>
      </w:r>
      <w:proofErr w:type="spellStart"/>
      <w:r w:rsidRPr="00144C93">
        <w:rPr>
          <w:rFonts w:ascii="Book Antiqua" w:hAnsi="Book Antiqua"/>
          <w:sz w:val="24"/>
          <w:szCs w:val="24"/>
        </w:rPr>
        <w:t>Zuhaili</w:t>
      </w:r>
      <w:proofErr w:type="spellEnd"/>
      <w:r w:rsidRPr="00144C93">
        <w:rPr>
          <w:rFonts w:ascii="Book Antiqua" w:hAnsi="Book Antiqua"/>
          <w:sz w:val="24"/>
          <w:szCs w:val="24"/>
        </w:rPr>
        <w:t xml:space="preserve"> believes that because it causes more harm, the Quran of Allah SWT truly forbids harassing those who practice other religions.</w:t>
      </w:r>
      <w:r w:rsidR="00643958">
        <w:rPr>
          <w:rStyle w:val="FootnoteReference"/>
          <w:rFonts w:ascii="Book Antiqua" w:hAnsi="Book Antiqua"/>
          <w:sz w:val="24"/>
          <w:szCs w:val="24"/>
        </w:rPr>
        <w:footnoteReference w:id="40"/>
      </w:r>
      <w:r w:rsidRPr="00144C93">
        <w:rPr>
          <w:rFonts w:ascii="Book Antiqua" w:hAnsi="Book Antiqua"/>
          <w:sz w:val="24"/>
          <w:szCs w:val="24"/>
        </w:rPr>
        <w:t xml:space="preserve"> Basically, it's against the law to offend someone's religion because it can spark a riot.</w:t>
      </w:r>
    </w:p>
    <w:p w:rsidR="00F33FDB" w:rsidRPr="00144C93" w:rsidRDefault="00E248BB" w:rsidP="001D3CDD">
      <w:pPr>
        <w:spacing w:after="120" w:line="240" w:lineRule="auto"/>
        <w:ind w:firstLine="567"/>
        <w:jc w:val="both"/>
        <w:rPr>
          <w:rFonts w:ascii="Book Antiqua" w:hAnsi="Book Antiqua" w:cstheme="majorHAnsi"/>
          <w:color w:val="000000" w:themeColor="text1"/>
          <w:sz w:val="24"/>
          <w:szCs w:val="24"/>
        </w:rPr>
      </w:pPr>
      <w:r w:rsidRPr="00144C93">
        <w:rPr>
          <w:rFonts w:ascii="Book Antiqua" w:hAnsi="Book Antiqua"/>
          <w:sz w:val="24"/>
          <w:szCs w:val="24"/>
        </w:rPr>
        <w:t>Basically, it's against the law to offend someone's religion because it can spark a riot</w:t>
      </w:r>
      <w:r w:rsidR="00BD2049">
        <w:rPr>
          <w:rFonts w:ascii="Book Antiqua" w:hAnsi="Book Antiqua"/>
          <w:sz w:val="24"/>
          <w:szCs w:val="24"/>
        </w:rPr>
        <w:t>.</w:t>
      </w:r>
      <w:r w:rsidRPr="00144C93">
        <w:rPr>
          <w:rFonts w:ascii="Book Antiqua" w:hAnsi="Book Antiqua"/>
          <w:color w:val="FF0000"/>
          <w:sz w:val="24"/>
          <w:szCs w:val="24"/>
        </w:rPr>
        <w:t xml:space="preserve"> </w:t>
      </w:r>
      <w:r w:rsidRPr="00144C93">
        <w:rPr>
          <w:rFonts w:ascii="Book Antiqua" w:hAnsi="Book Antiqua"/>
          <w:sz w:val="24"/>
          <w:szCs w:val="24"/>
        </w:rPr>
        <w:t xml:space="preserve">Khalid </w:t>
      </w:r>
      <w:proofErr w:type="spellStart"/>
      <w:r w:rsidRPr="00144C93">
        <w:rPr>
          <w:rFonts w:ascii="Book Antiqua" w:hAnsi="Book Antiqua"/>
          <w:sz w:val="24"/>
          <w:szCs w:val="24"/>
        </w:rPr>
        <w:t>Saifullah</w:t>
      </w:r>
      <w:proofErr w:type="spellEnd"/>
      <w:r w:rsidRPr="00144C93">
        <w:rPr>
          <w:rFonts w:ascii="Book Antiqua" w:hAnsi="Book Antiqua"/>
          <w:sz w:val="24"/>
          <w:szCs w:val="24"/>
        </w:rPr>
        <w:t xml:space="preserve"> Khan asserts that the prohibitions against blasphemy in the Qur'an do not pertain to punishment but rather to Allah SWT's attitude of support for the Prophet Muhammad SAW against his detractors.</w:t>
      </w:r>
      <w:r w:rsidR="00916307">
        <w:rPr>
          <w:rStyle w:val="FootnoteReference"/>
          <w:rFonts w:ascii="Book Antiqua" w:hAnsi="Book Antiqua"/>
          <w:sz w:val="24"/>
          <w:szCs w:val="24"/>
        </w:rPr>
        <w:footnoteReference w:id="41"/>
      </w:r>
      <w:r w:rsidR="00916307">
        <w:rPr>
          <w:rFonts w:ascii="Book Antiqua" w:hAnsi="Book Antiqua"/>
          <w:sz w:val="24"/>
          <w:szCs w:val="24"/>
        </w:rPr>
        <w:t xml:space="preserve"> </w:t>
      </w:r>
      <w:proofErr w:type="spellStart"/>
      <w:r w:rsidRPr="00144C93">
        <w:rPr>
          <w:rFonts w:ascii="Book Antiqua" w:hAnsi="Book Antiqua"/>
          <w:sz w:val="24"/>
          <w:szCs w:val="24"/>
        </w:rPr>
        <w:t>Afriandi</w:t>
      </w:r>
      <w:proofErr w:type="spellEnd"/>
      <w:r w:rsidRPr="00144C93">
        <w:rPr>
          <w:rFonts w:ascii="Book Antiqua" w:hAnsi="Book Antiqua"/>
          <w:sz w:val="24"/>
          <w:szCs w:val="24"/>
        </w:rPr>
        <w:t xml:space="preserve"> expressed a similar viewpoint, claiming that even under Islamic </w:t>
      </w:r>
      <w:proofErr w:type="gramStart"/>
      <w:r w:rsidRPr="00144C93">
        <w:rPr>
          <w:rFonts w:ascii="Book Antiqua" w:hAnsi="Book Antiqua"/>
          <w:sz w:val="24"/>
          <w:szCs w:val="24"/>
        </w:rPr>
        <w:t>law,</w:t>
      </w:r>
      <w:proofErr w:type="gramEnd"/>
      <w:r w:rsidRPr="00144C93">
        <w:rPr>
          <w:rFonts w:ascii="Book Antiqua" w:hAnsi="Book Antiqua"/>
          <w:sz w:val="24"/>
          <w:szCs w:val="24"/>
        </w:rPr>
        <w:t xml:space="preserve"> blasphemy is not criminalized because it is not stated in the Koran or the Hadith. Only the scholars' </w:t>
      </w:r>
      <w:r w:rsidRPr="00144C93">
        <w:rPr>
          <w:rFonts w:ascii="Book Antiqua" w:hAnsi="Book Antiqua"/>
          <w:i/>
          <w:sz w:val="24"/>
          <w:szCs w:val="24"/>
        </w:rPr>
        <w:t>Ijtihad</w:t>
      </w:r>
      <w:r w:rsidRPr="00144C93">
        <w:rPr>
          <w:rFonts w:ascii="Book Antiqua" w:hAnsi="Book Antiqua"/>
          <w:sz w:val="24"/>
          <w:szCs w:val="24"/>
        </w:rPr>
        <w:t xml:space="preserve"> instruments which are later absorbed into the laws of numerous Islamic nations contain this sin. The formulation of punishments for those who commit defamation is quite varied in Islamic law, ranging from the least severe punishments, such as imprisonment, to the most severe punishments, such as life in prison and the death sentence.</w:t>
      </w:r>
      <w:r w:rsidR="00643958">
        <w:rPr>
          <w:rStyle w:val="FootnoteReference"/>
          <w:rFonts w:ascii="Book Antiqua" w:hAnsi="Book Antiqua"/>
          <w:sz w:val="24"/>
          <w:szCs w:val="24"/>
        </w:rPr>
        <w:footnoteReference w:id="42"/>
      </w:r>
    </w:p>
    <w:p w:rsidR="00F33FDB" w:rsidRPr="00144C93" w:rsidRDefault="00E248BB" w:rsidP="001D3CDD">
      <w:pPr>
        <w:spacing w:after="120" w:line="240" w:lineRule="auto"/>
        <w:ind w:firstLine="567"/>
        <w:jc w:val="both"/>
        <w:rPr>
          <w:rFonts w:ascii="Book Antiqua" w:hAnsi="Book Antiqua" w:cstheme="majorHAnsi"/>
          <w:color w:val="000000" w:themeColor="text1"/>
          <w:sz w:val="24"/>
          <w:szCs w:val="24"/>
        </w:rPr>
      </w:pPr>
      <w:r w:rsidRPr="00144C93">
        <w:rPr>
          <w:rFonts w:ascii="Book Antiqua" w:hAnsi="Book Antiqua"/>
          <w:sz w:val="24"/>
          <w:szCs w:val="24"/>
        </w:rPr>
        <w:t>The reference of the scholars' in formulating the offense of blasphemy is motivated by a society that is homogeneous in religion.</w:t>
      </w:r>
      <w:r w:rsidR="00643958">
        <w:rPr>
          <w:rStyle w:val="FootnoteReference"/>
          <w:rFonts w:ascii="Book Antiqua" w:hAnsi="Book Antiqua"/>
          <w:sz w:val="24"/>
          <w:szCs w:val="24"/>
        </w:rPr>
        <w:footnoteReference w:id="43"/>
      </w:r>
      <w:r w:rsidRPr="00144C93">
        <w:rPr>
          <w:rFonts w:ascii="Book Antiqua" w:hAnsi="Book Antiqua"/>
          <w:sz w:val="24"/>
          <w:szCs w:val="24"/>
        </w:rPr>
        <w:t xml:space="preserve"> Make reference to a person by the name of </w:t>
      </w:r>
      <w:proofErr w:type="spellStart"/>
      <w:r w:rsidRPr="00144C93">
        <w:rPr>
          <w:rFonts w:ascii="Book Antiqua" w:hAnsi="Book Antiqua"/>
          <w:sz w:val="24"/>
          <w:szCs w:val="24"/>
        </w:rPr>
        <w:t>Maulana</w:t>
      </w:r>
      <w:proofErr w:type="spellEnd"/>
      <w:r w:rsidRPr="00144C93">
        <w:rPr>
          <w:rFonts w:ascii="Book Antiqua" w:hAnsi="Book Antiqua"/>
          <w:sz w:val="24"/>
          <w:szCs w:val="24"/>
        </w:rPr>
        <w:t xml:space="preserve"> Ahmad </w:t>
      </w:r>
      <w:proofErr w:type="spellStart"/>
      <w:r w:rsidRPr="00144C93">
        <w:rPr>
          <w:rFonts w:ascii="Book Antiqua" w:hAnsi="Book Antiqua"/>
          <w:sz w:val="24"/>
          <w:szCs w:val="24"/>
        </w:rPr>
        <w:t>Saeed</w:t>
      </w:r>
      <w:proofErr w:type="spellEnd"/>
      <w:r w:rsidRPr="00144C93">
        <w:rPr>
          <w:rFonts w:ascii="Book Antiqua" w:hAnsi="Book Antiqua"/>
          <w:sz w:val="24"/>
          <w:szCs w:val="24"/>
        </w:rPr>
        <w:t xml:space="preserve"> </w:t>
      </w:r>
      <w:proofErr w:type="spellStart"/>
      <w:r w:rsidRPr="00144C93">
        <w:rPr>
          <w:rFonts w:ascii="Book Antiqua" w:hAnsi="Book Antiqua"/>
          <w:sz w:val="24"/>
          <w:szCs w:val="24"/>
        </w:rPr>
        <w:t>Kazmi</w:t>
      </w:r>
      <w:proofErr w:type="spellEnd"/>
      <w:r w:rsidRPr="00144C93">
        <w:rPr>
          <w:rFonts w:ascii="Book Antiqua" w:hAnsi="Book Antiqua"/>
          <w:sz w:val="24"/>
          <w:szCs w:val="24"/>
        </w:rPr>
        <w:t xml:space="preserve"> who contends that the death penalty is the only appropriate response to acts of blasphemy against the Prophet Muhammad.</w:t>
      </w:r>
      <w:r w:rsidR="00643958">
        <w:rPr>
          <w:rStyle w:val="FootnoteReference"/>
          <w:rFonts w:ascii="Book Antiqua" w:hAnsi="Book Antiqua"/>
          <w:sz w:val="24"/>
          <w:szCs w:val="24"/>
        </w:rPr>
        <w:footnoteReference w:id="44"/>
      </w:r>
      <w:r w:rsidRPr="00144C93">
        <w:rPr>
          <w:rFonts w:ascii="Book Antiqua" w:hAnsi="Book Antiqua"/>
          <w:sz w:val="24"/>
          <w:szCs w:val="24"/>
        </w:rPr>
        <w:t xml:space="preserve"> In support of his claim that punishing Islamic blasphemers is legitimate, he also cites Q.S. at-</w:t>
      </w:r>
      <w:proofErr w:type="spellStart"/>
      <w:r w:rsidRPr="00144C93">
        <w:rPr>
          <w:rFonts w:ascii="Book Antiqua" w:hAnsi="Book Antiqua"/>
          <w:sz w:val="24"/>
          <w:szCs w:val="24"/>
        </w:rPr>
        <w:t>Taubah</w:t>
      </w:r>
      <w:proofErr w:type="spellEnd"/>
      <w:r w:rsidRPr="00144C93">
        <w:rPr>
          <w:rFonts w:ascii="Book Antiqua" w:hAnsi="Book Antiqua"/>
          <w:sz w:val="24"/>
          <w:szCs w:val="24"/>
        </w:rPr>
        <w:t xml:space="preserve"> (9): 65–66, Q.S. at-</w:t>
      </w:r>
      <w:proofErr w:type="spellStart"/>
      <w:r w:rsidRPr="00144C93">
        <w:rPr>
          <w:rFonts w:ascii="Book Antiqua" w:hAnsi="Book Antiqua"/>
          <w:sz w:val="24"/>
          <w:szCs w:val="24"/>
        </w:rPr>
        <w:t>Taubah</w:t>
      </w:r>
      <w:proofErr w:type="spellEnd"/>
      <w:r w:rsidRPr="00144C93">
        <w:rPr>
          <w:rFonts w:ascii="Book Antiqua" w:hAnsi="Book Antiqua"/>
          <w:sz w:val="24"/>
          <w:szCs w:val="24"/>
        </w:rPr>
        <w:t xml:space="preserve"> (9): 65–66, Q.S. al-</w:t>
      </w:r>
      <w:proofErr w:type="spellStart"/>
      <w:r w:rsidRPr="00144C93">
        <w:rPr>
          <w:rFonts w:ascii="Book Antiqua" w:hAnsi="Book Antiqua"/>
          <w:sz w:val="24"/>
          <w:szCs w:val="24"/>
        </w:rPr>
        <w:t>Ahzab</w:t>
      </w:r>
      <w:proofErr w:type="spellEnd"/>
      <w:r w:rsidRPr="00144C93">
        <w:rPr>
          <w:rFonts w:ascii="Book Antiqua" w:hAnsi="Book Antiqua"/>
          <w:sz w:val="24"/>
          <w:szCs w:val="24"/>
        </w:rPr>
        <w:t xml:space="preserve"> (33): 57, and Q.S. al-</w:t>
      </w:r>
      <w:proofErr w:type="spellStart"/>
      <w:r w:rsidRPr="00144C93">
        <w:rPr>
          <w:rFonts w:ascii="Book Antiqua" w:hAnsi="Book Antiqua"/>
          <w:sz w:val="24"/>
          <w:szCs w:val="24"/>
        </w:rPr>
        <w:t>Mujadilah</w:t>
      </w:r>
      <w:proofErr w:type="spellEnd"/>
      <w:r w:rsidRPr="00144C93">
        <w:rPr>
          <w:rFonts w:ascii="Book Antiqua" w:hAnsi="Book Antiqua"/>
          <w:sz w:val="24"/>
          <w:szCs w:val="24"/>
        </w:rPr>
        <w:t xml:space="preserve"> (58): 22, 8. </w:t>
      </w:r>
      <w:proofErr w:type="spellStart"/>
      <w:r w:rsidRPr="00144C93">
        <w:rPr>
          <w:rFonts w:ascii="Book Antiqua" w:hAnsi="Book Antiqua"/>
          <w:sz w:val="24"/>
          <w:szCs w:val="24"/>
        </w:rPr>
        <w:t>Abir</w:t>
      </w:r>
      <w:proofErr w:type="spellEnd"/>
      <w:r w:rsidRPr="00144C93">
        <w:rPr>
          <w:rFonts w:ascii="Book Antiqua" w:hAnsi="Book Antiqua"/>
          <w:sz w:val="24"/>
          <w:szCs w:val="24"/>
        </w:rPr>
        <w:t xml:space="preserve"> </w:t>
      </w:r>
      <w:proofErr w:type="spellStart"/>
      <w:r w:rsidRPr="00144C93">
        <w:rPr>
          <w:rFonts w:ascii="Book Antiqua" w:hAnsi="Book Antiqua"/>
          <w:sz w:val="24"/>
          <w:szCs w:val="24"/>
        </w:rPr>
        <w:t>Usman</w:t>
      </w:r>
      <w:proofErr w:type="spellEnd"/>
      <w:r w:rsidRPr="00144C93">
        <w:rPr>
          <w:rFonts w:ascii="Book Antiqua" w:hAnsi="Book Antiqua"/>
          <w:sz w:val="24"/>
          <w:szCs w:val="24"/>
        </w:rPr>
        <w:t xml:space="preserve"> pointed out that the passage Q.S. al-</w:t>
      </w:r>
      <w:proofErr w:type="spellStart"/>
      <w:r w:rsidRPr="00144C93">
        <w:rPr>
          <w:rFonts w:ascii="Book Antiqua" w:hAnsi="Book Antiqua"/>
          <w:sz w:val="24"/>
          <w:szCs w:val="24"/>
        </w:rPr>
        <w:t>Maidah</w:t>
      </w:r>
      <w:proofErr w:type="spellEnd"/>
      <w:r w:rsidRPr="00144C93">
        <w:rPr>
          <w:rFonts w:ascii="Book Antiqua" w:hAnsi="Book Antiqua"/>
          <w:sz w:val="24"/>
          <w:szCs w:val="24"/>
        </w:rPr>
        <w:t xml:space="preserve"> (5): 73, 19 is frequently cited as a justification for blasphemy, followed by Q.S. al-</w:t>
      </w:r>
      <w:proofErr w:type="spellStart"/>
      <w:r w:rsidRPr="00144C93">
        <w:rPr>
          <w:rFonts w:ascii="Book Antiqua" w:hAnsi="Book Antiqua"/>
          <w:sz w:val="24"/>
          <w:szCs w:val="24"/>
        </w:rPr>
        <w:t>Maidah</w:t>
      </w:r>
      <w:proofErr w:type="spellEnd"/>
      <w:r w:rsidRPr="00144C93">
        <w:rPr>
          <w:rFonts w:ascii="Book Antiqua" w:hAnsi="Book Antiqua"/>
          <w:sz w:val="24"/>
          <w:szCs w:val="24"/>
        </w:rPr>
        <w:t xml:space="preserve"> (5): 86, 20, which is cited as justification for persecuting the </w:t>
      </w:r>
      <w:proofErr w:type="spellStart"/>
      <w:r w:rsidRPr="00144C93">
        <w:rPr>
          <w:rFonts w:ascii="Book Antiqua" w:hAnsi="Book Antiqua"/>
          <w:sz w:val="24"/>
          <w:szCs w:val="24"/>
        </w:rPr>
        <w:t>Ahmadiyya</w:t>
      </w:r>
      <w:proofErr w:type="spellEnd"/>
      <w:r w:rsidRPr="00144C93">
        <w:rPr>
          <w:rFonts w:ascii="Book Antiqua" w:hAnsi="Book Antiqua"/>
          <w:sz w:val="24"/>
          <w:szCs w:val="24"/>
        </w:rPr>
        <w:t xml:space="preserve"> sect.</w:t>
      </w:r>
      <w:r w:rsidR="00643958">
        <w:rPr>
          <w:rStyle w:val="FootnoteReference"/>
          <w:rFonts w:ascii="Book Antiqua" w:hAnsi="Book Antiqua"/>
          <w:sz w:val="24"/>
          <w:szCs w:val="24"/>
        </w:rPr>
        <w:footnoteReference w:id="45"/>
      </w:r>
      <w:r w:rsidRPr="00144C93">
        <w:rPr>
          <w:rFonts w:ascii="Book Antiqua" w:hAnsi="Book Antiqua"/>
          <w:sz w:val="24"/>
          <w:szCs w:val="24"/>
        </w:rPr>
        <w:t xml:space="preserve"> </w:t>
      </w:r>
      <w:r w:rsidR="00F33FDB" w:rsidRPr="00144C93">
        <w:rPr>
          <w:rFonts w:ascii="Book Antiqua" w:hAnsi="Book Antiqua" w:cstheme="majorHAnsi"/>
          <w:color w:val="000000" w:themeColor="text1"/>
          <w:sz w:val="24"/>
          <w:szCs w:val="24"/>
        </w:rPr>
        <w:t xml:space="preserve">   </w:t>
      </w:r>
    </w:p>
    <w:p w:rsidR="00F33FDB" w:rsidRPr="00144C93" w:rsidRDefault="00E248BB" w:rsidP="001D3CDD">
      <w:pPr>
        <w:spacing w:after="120" w:line="240" w:lineRule="auto"/>
        <w:ind w:firstLine="567"/>
        <w:jc w:val="both"/>
        <w:rPr>
          <w:rFonts w:ascii="Book Antiqua" w:hAnsi="Book Antiqua" w:cstheme="majorHAnsi"/>
          <w:color w:val="000000" w:themeColor="text1"/>
          <w:sz w:val="24"/>
          <w:szCs w:val="24"/>
        </w:rPr>
      </w:pPr>
      <w:r w:rsidRPr="00144C93">
        <w:rPr>
          <w:rFonts w:ascii="Book Antiqua" w:hAnsi="Book Antiqua"/>
          <w:sz w:val="24"/>
          <w:szCs w:val="24"/>
        </w:rPr>
        <w:t xml:space="preserve">Any criticism of Islam, in Imam </w:t>
      </w:r>
      <w:proofErr w:type="spellStart"/>
      <w:r w:rsidRPr="00144C93">
        <w:rPr>
          <w:rFonts w:ascii="Book Antiqua" w:hAnsi="Book Antiqua"/>
          <w:sz w:val="24"/>
          <w:szCs w:val="24"/>
        </w:rPr>
        <w:t>ibn</w:t>
      </w:r>
      <w:proofErr w:type="spellEnd"/>
      <w:r w:rsidRPr="00144C93">
        <w:rPr>
          <w:rFonts w:ascii="Book Antiqua" w:hAnsi="Book Antiqua"/>
          <w:sz w:val="24"/>
          <w:szCs w:val="24"/>
        </w:rPr>
        <w:t xml:space="preserve"> </w:t>
      </w:r>
      <w:proofErr w:type="spellStart"/>
      <w:r w:rsidRPr="00144C93">
        <w:rPr>
          <w:rFonts w:ascii="Book Antiqua" w:hAnsi="Book Antiqua"/>
          <w:sz w:val="24"/>
          <w:szCs w:val="24"/>
        </w:rPr>
        <w:t>Kathir's</w:t>
      </w:r>
      <w:proofErr w:type="spellEnd"/>
      <w:r w:rsidRPr="00144C93">
        <w:rPr>
          <w:rFonts w:ascii="Book Antiqua" w:hAnsi="Book Antiqua"/>
          <w:sz w:val="24"/>
          <w:szCs w:val="24"/>
        </w:rPr>
        <w:t xml:space="preserve"> opinion, constitutes blasphemy.</w:t>
      </w:r>
      <w:r w:rsidR="00643958">
        <w:rPr>
          <w:rStyle w:val="FootnoteReference"/>
          <w:rFonts w:ascii="Book Antiqua" w:hAnsi="Book Antiqua"/>
          <w:sz w:val="24"/>
          <w:szCs w:val="24"/>
        </w:rPr>
        <w:footnoteReference w:id="46"/>
      </w:r>
      <w:r w:rsidRPr="00144C93">
        <w:rPr>
          <w:rFonts w:ascii="Book Antiqua" w:hAnsi="Book Antiqua"/>
          <w:sz w:val="24"/>
          <w:szCs w:val="24"/>
        </w:rPr>
        <w:t xml:space="preserve"> Al-</w:t>
      </w:r>
      <w:proofErr w:type="spellStart"/>
      <w:r w:rsidRPr="00144C93">
        <w:rPr>
          <w:rFonts w:ascii="Book Antiqua" w:hAnsi="Book Antiqua"/>
          <w:sz w:val="24"/>
          <w:szCs w:val="24"/>
        </w:rPr>
        <w:t>Qurthubi</w:t>
      </w:r>
      <w:proofErr w:type="spellEnd"/>
      <w:r w:rsidRPr="00144C93">
        <w:rPr>
          <w:rFonts w:ascii="Book Antiqua" w:hAnsi="Book Antiqua"/>
          <w:sz w:val="24"/>
          <w:szCs w:val="24"/>
        </w:rPr>
        <w:t xml:space="preserve">, meantime, asserted that the majority of </w:t>
      </w:r>
      <w:proofErr w:type="spellStart"/>
      <w:r w:rsidRPr="00144C93">
        <w:rPr>
          <w:rFonts w:ascii="Book Antiqua" w:hAnsi="Book Antiqua"/>
          <w:sz w:val="24"/>
          <w:szCs w:val="24"/>
        </w:rPr>
        <w:t>Ulama</w:t>
      </w:r>
      <w:proofErr w:type="spellEnd"/>
      <w:r w:rsidRPr="00144C93">
        <w:rPr>
          <w:rFonts w:ascii="Book Antiqua" w:hAnsi="Book Antiqua"/>
          <w:sz w:val="24"/>
          <w:szCs w:val="24"/>
        </w:rPr>
        <w:t xml:space="preserve"> concur that any party with any belief who uses offensive phrases (blasphemes, insults) on the persona of Muhammad SAW. </w:t>
      </w:r>
      <w:proofErr w:type="gramStart"/>
      <w:r w:rsidRPr="00144C93">
        <w:rPr>
          <w:rFonts w:ascii="Book Antiqua" w:hAnsi="Book Antiqua"/>
          <w:sz w:val="24"/>
          <w:szCs w:val="24"/>
        </w:rPr>
        <w:t>shall</w:t>
      </w:r>
      <w:proofErr w:type="gramEnd"/>
      <w:r w:rsidRPr="00144C93">
        <w:rPr>
          <w:rFonts w:ascii="Book Antiqua" w:hAnsi="Book Antiqua"/>
          <w:sz w:val="24"/>
          <w:szCs w:val="24"/>
        </w:rPr>
        <w:t xml:space="preserve"> be hanged based on the verse.</w:t>
      </w:r>
      <w:r w:rsidR="00643958">
        <w:rPr>
          <w:rStyle w:val="FootnoteReference"/>
          <w:rFonts w:ascii="Book Antiqua" w:hAnsi="Book Antiqua"/>
          <w:sz w:val="24"/>
          <w:szCs w:val="24"/>
        </w:rPr>
        <w:footnoteReference w:id="47"/>
      </w:r>
      <w:r w:rsidRPr="00144C93">
        <w:rPr>
          <w:rFonts w:ascii="Book Antiqua" w:hAnsi="Book Antiqua"/>
          <w:sz w:val="24"/>
          <w:szCs w:val="24"/>
        </w:rPr>
        <w:t xml:space="preserve"> According to al-</w:t>
      </w:r>
      <w:proofErr w:type="spellStart"/>
      <w:r w:rsidRPr="00144C93">
        <w:rPr>
          <w:rFonts w:ascii="Book Antiqua" w:hAnsi="Book Antiqua"/>
          <w:sz w:val="24"/>
          <w:szCs w:val="24"/>
        </w:rPr>
        <w:t>Baghawi</w:t>
      </w:r>
      <w:proofErr w:type="spellEnd"/>
      <w:r w:rsidRPr="00144C93">
        <w:rPr>
          <w:rFonts w:ascii="Book Antiqua" w:hAnsi="Book Antiqua"/>
          <w:sz w:val="24"/>
          <w:szCs w:val="24"/>
        </w:rPr>
        <w:t>, the verse is loudly interpreted as the death penalty as an official retribution for those who offend Islam.</w:t>
      </w:r>
      <w:r w:rsidR="00643958">
        <w:rPr>
          <w:rStyle w:val="FootnoteReference"/>
          <w:rFonts w:ascii="Book Antiqua" w:hAnsi="Book Antiqua"/>
          <w:sz w:val="24"/>
          <w:szCs w:val="24"/>
        </w:rPr>
        <w:footnoteReference w:id="48"/>
      </w:r>
      <w:r w:rsidRPr="00144C93">
        <w:rPr>
          <w:rFonts w:ascii="Book Antiqua" w:hAnsi="Book Antiqua"/>
          <w:sz w:val="24"/>
          <w:szCs w:val="24"/>
        </w:rPr>
        <w:t xml:space="preserve"> According to </w:t>
      </w:r>
      <w:proofErr w:type="spellStart"/>
      <w:r w:rsidRPr="00144C93">
        <w:rPr>
          <w:rFonts w:ascii="Book Antiqua" w:hAnsi="Book Antiqua"/>
          <w:sz w:val="24"/>
          <w:szCs w:val="24"/>
        </w:rPr>
        <w:t>Ibn</w:t>
      </w:r>
      <w:proofErr w:type="spellEnd"/>
      <w:r w:rsidRPr="00144C93">
        <w:rPr>
          <w:rFonts w:ascii="Book Antiqua" w:hAnsi="Book Antiqua"/>
          <w:sz w:val="24"/>
          <w:szCs w:val="24"/>
        </w:rPr>
        <w:t xml:space="preserve"> </w:t>
      </w:r>
      <w:proofErr w:type="spellStart"/>
      <w:r w:rsidRPr="00144C93">
        <w:rPr>
          <w:rFonts w:ascii="Book Antiqua" w:hAnsi="Book Antiqua"/>
          <w:sz w:val="24"/>
          <w:szCs w:val="24"/>
        </w:rPr>
        <w:t>Taimiyyah</w:t>
      </w:r>
      <w:proofErr w:type="spellEnd"/>
      <w:r w:rsidRPr="00144C93">
        <w:rPr>
          <w:rFonts w:ascii="Book Antiqua" w:hAnsi="Book Antiqua"/>
          <w:sz w:val="24"/>
          <w:szCs w:val="24"/>
        </w:rPr>
        <w:t>, this is an example of Islamic steadfastness to uphold the religion's authority and the stability of the Medina Charter agreement that was reached at the time with Jews and Christians.</w:t>
      </w:r>
      <w:r w:rsidR="00643958">
        <w:rPr>
          <w:rStyle w:val="FootnoteReference"/>
          <w:rFonts w:ascii="Book Antiqua" w:hAnsi="Book Antiqua"/>
          <w:sz w:val="24"/>
          <w:szCs w:val="24"/>
        </w:rPr>
        <w:footnoteReference w:id="49"/>
      </w:r>
    </w:p>
    <w:p w:rsidR="00F33FDB" w:rsidRPr="00144C93" w:rsidRDefault="00E248BB" w:rsidP="001D3CDD">
      <w:pPr>
        <w:spacing w:after="120" w:line="240" w:lineRule="auto"/>
        <w:ind w:firstLine="567"/>
        <w:jc w:val="both"/>
        <w:rPr>
          <w:rFonts w:ascii="Book Antiqua" w:hAnsi="Book Antiqua" w:cstheme="majorHAnsi"/>
          <w:color w:val="000000" w:themeColor="text1"/>
          <w:sz w:val="24"/>
          <w:szCs w:val="24"/>
        </w:rPr>
      </w:pPr>
      <w:proofErr w:type="spellStart"/>
      <w:r w:rsidRPr="00144C93">
        <w:rPr>
          <w:rFonts w:ascii="Book Antiqua" w:hAnsi="Book Antiqua"/>
          <w:sz w:val="24"/>
          <w:szCs w:val="24"/>
        </w:rPr>
        <w:lastRenderedPageBreak/>
        <w:t>Ibn</w:t>
      </w:r>
      <w:proofErr w:type="spellEnd"/>
      <w:r w:rsidRPr="00144C93">
        <w:rPr>
          <w:rFonts w:ascii="Book Antiqua" w:hAnsi="Book Antiqua"/>
          <w:sz w:val="24"/>
          <w:szCs w:val="24"/>
        </w:rPr>
        <w:t xml:space="preserve"> </w:t>
      </w:r>
      <w:proofErr w:type="spellStart"/>
      <w:r w:rsidRPr="00144C93">
        <w:rPr>
          <w:rFonts w:ascii="Book Antiqua" w:hAnsi="Book Antiqua"/>
          <w:sz w:val="24"/>
          <w:szCs w:val="24"/>
        </w:rPr>
        <w:t>Taimiyah</w:t>
      </w:r>
      <w:proofErr w:type="spellEnd"/>
      <w:r w:rsidRPr="00144C93">
        <w:rPr>
          <w:rFonts w:ascii="Book Antiqua" w:hAnsi="Book Antiqua"/>
          <w:sz w:val="24"/>
          <w:szCs w:val="24"/>
        </w:rPr>
        <w:t xml:space="preserve">, who categorized </w:t>
      </w:r>
      <w:proofErr w:type="spellStart"/>
      <w:r w:rsidRPr="00144C93">
        <w:rPr>
          <w:rFonts w:ascii="Book Antiqua" w:hAnsi="Book Antiqua"/>
          <w:i/>
          <w:sz w:val="24"/>
          <w:szCs w:val="24"/>
        </w:rPr>
        <w:t>riddah</w:t>
      </w:r>
      <w:proofErr w:type="spellEnd"/>
      <w:r w:rsidRPr="00144C93">
        <w:rPr>
          <w:rFonts w:ascii="Book Antiqua" w:hAnsi="Book Antiqua"/>
          <w:sz w:val="24"/>
          <w:szCs w:val="24"/>
        </w:rPr>
        <w:t xml:space="preserve"> (apostasy) into two categories, according to Muhammad </w:t>
      </w:r>
      <w:proofErr w:type="spellStart"/>
      <w:r w:rsidRPr="00144C93">
        <w:rPr>
          <w:rFonts w:ascii="Book Antiqua" w:hAnsi="Book Antiqua"/>
          <w:sz w:val="24"/>
          <w:szCs w:val="24"/>
        </w:rPr>
        <w:t>Dahri</w:t>
      </w:r>
      <w:proofErr w:type="spellEnd"/>
      <w:r w:rsidRPr="00144C93">
        <w:rPr>
          <w:rFonts w:ascii="Book Antiqua" w:hAnsi="Book Antiqua"/>
          <w:sz w:val="24"/>
          <w:szCs w:val="24"/>
        </w:rPr>
        <w:t xml:space="preserve">, said: </w:t>
      </w:r>
      <w:r w:rsidRPr="00144C93">
        <w:rPr>
          <w:rFonts w:ascii="Book Antiqua" w:hAnsi="Book Antiqua"/>
          <w:i/>
          <w:sz w:val="24"/>
          <w:szCs w:val="24"/>
        </w:rPr>
        <w:t>"</w:t>
      </w:r>
      <w:proofErr w:type="spellStart"/>
      <w:r w:rsidRPr="00144C93">
        <w:rPr>
          <w:rFonts w:ascii="Book Antiqua" w:hAnsi="Book Antiqua"/>
          <w:i/>
          <w:sz w:val="24"/>
          <w:szCs w:val="24"/>
        </w:rPr>
        <w:t>Riddah</w:t>
      </w:r>
      <w:proofErr w:type="spellEnd"/>
      <w:r w:rsidRPr="00144C93">
        <w:rPr>
          <w:rFonts w:ascii="Book Antiqua" w:hAnsi="Book Antiqua"/>
          <w:i/>
          <w:sz w:val="24"/>
          <w:szCs w:val="24"/>
        </w:rPr>
        <w:t>"</w:t>
      </w:r>
      <w:r w:rsidRPr="00144C93">
        <w:rPr>
          <w:rFonts w:ascii="Book Antiqua" w:hAnsi="Book Antiqua"/>
          <w:sz w:val="24"/>
          <w:szCs w:val="24"/>
        </w:rPr>
        <w:t xml:space="preserve"> is of two kinds: </w:t>
      </w:r>
      <w:proofErr w:type="spellStart"/>
      <w:r w:rsidRPr="00144C93">
        <w:rPr>
          <w:rFonts w:ascii="Book Antiqua" w:hAnsi="Book Antiqua"/>
          <w:i/>
          <w:sz w:val="24"/>
          <w:szCs w:val="24"/>
        </w:rPr>
        <w:t>riddah</w:t>
      </w:r>
      <w:proofErr w:type="spellEnd"/>
      <w:r w:rsidRPr="00144C93">
        <w:rPr>
          <w:rFonts w:ascii="Book Antiqua" w:hAnsi="Book Antiqua"/>
          <w:i/>
          <w:sz w:val="24"/>
          <w:szCs w:val="24"/>
        </w:rPr>
        <w:t xml:space="preserve"> </w:t>
      </w:r>
      <w:proofErr w:type="spellStart"/>
      <w:r w:rsidRPr="00144C93">
        <w:rPr>
          <w:rFonts w:ascii="Book Antiqua" w:hAnsi="Book Antiqua"/>
          <w:i/>
          <w:sz w:val="24"/>
          <w:szCs w:val="24"/>
        </w:rPr>
        <w:t>mujarradah</w:t>
      </w:r>
      <w:proofErr w:type="spellEnd"/>
      <w:r w:rsidRPr="00144C93">
        <w:rPr>
          <w:rFonts w:ascii="Book Antiqua" w:hAnsi="Book Antiqua"/>
          <w:sz w:val="24"/>
          <w:szCs w:val="24"/>
        </w:rPr>
        <w:t xml:space="preserve"> (pure), and </w:t>
      </w:r>
      <w:proofErr w:type="spellStart"/>
      <w:r w:rsidRPr="00144C93">
        <w:rPr>
          <w:rFonts w:ascii="Book Antiqua" w:hAnsi="Book Antiqua"/>
          <w:i/>
          <w:sz w:val="24"/>
          <w:szCs w:val="24"/>
        </w:rPr>
        <w:t>riddah</w:t>
      </w:r>
      <w:proofErr w:type="spellEnd"/>
      <w:r w:rsidRPr="00144C93">
        <w:rPr>
          <w:rFonts w:ascii="Book Antiqua" w:hAnsi="Book Antiqua"/>
          <w:i/>
          <w:sz w:val="24"/>
          <w:szCs w:val="24"/>
        </w:rPr>
        <w:t xml:space="preserve"> </w:t>
      </w:r>
      <w:proofErr w:type="spellStart"/>
      <w:r w:rsidRPr="00144C93">
        <w:rPr>
          <w:rFonts w:ascii="Book Antiqua" w:hAnsi="Book Antiqua"/>
          <w:i/>
          <w:sz w:val="24"/>
          <w:szCs w:val="24"/>
        </w:rPr>
        <w:t>mughalladzhah</w:t>
      </w:r>
      <w:proofErr w:type="spellEnd"/>
      <w:r w:rsidRPr="00144C93">
        <w:rPr>
          <w:rFonts w:ascii="Book Antiqua" w:hAnsi="Book Antiqua"/>
          <w:sz w:val="24"/>
          <w:szCs w:val="24"/>
        </w:rPr>
        <w:t xml:space="preserve"> (heavy class), which expressly calls for the death punishment. Because of his foolishness and lack of faith, if his </w:t>
      </w:r>
      <w:proofErr w:type="spellStart"/>
      <w:r w:rsidRPr="00144C93">
        <w:rPr>
          <w:rFonts w:ascii="Book Antiqua" w:hAnsi="Book Antiqua"/>
          <w:sz w:val="24"/>
          <w:szCs w:val="24"/>
        </w:rPr>
        <w:t>riddah</w:t>
      </w:r>
      <w:proofErr w:type="spellEnd"/>
      <w:r w:rsidRPr="00144C93">
        <w:rPr>
          <w:rFonts w:ascii="Book Antiqua" w:hAnsi="Book Antiqua"/>
          <w:sz w:val="24"/>
          <w:szCs w:val="24"/>
        </w:rPr>
        <w:t xml:space="preserve"> is </w:t>
      </w:r>
      <w:proofErr w:type="spellStart"/>
      <w:r w:rsidRPr="00144C93">
        <w:rPr>
          <w:rFonts w:ascii="Book Antiqua" w:hAnsi="Book Antiqua"/>
          <w:sz w:val="24"/>
          <w:szCs w:val="24"/>
        </w:rPr>
        <w:t>mujarradah</w:t>
      </w:r>
      <w:proofErr w:type="spellEnd"/>
      <w:r w:rsidRPr="00144C93">
        <w:rPr>
          <w:rFonts w:ascii="Book Antiqua" w:hAnsi="Book Antiqua"/>
          <w:sz w:val="24"/>
          <w:szCs w:val="24"/>
        </w:rPr>
        <w:t xml:space="preserve">, he is condemned to death. But, if he does not repent, he is instead placed in </w:t>
      </w:r>
      <w:proofErr w:type="spellStart"/>
      <w:r w:rsidRPr="00144C93">
        <w:rPr>
          <w:rFonts w:ascii="Book Antiqua" w:hAnsi="Book Antiqua"/>
          <w:i/>
          <w:sz w:val="24"/>
          <w:szCs w:val="24"/>
        </w:rPr>
        <w:t>ta'zir</w:t>
      </w:r>
      <w:proofErr w:type="spellEnd"/>
      <w:r w:rsidRPr="00144C93">
        <w:rPr>
          <w:rFonts w:ascii="Book Antiqua" w:hAnsi="Book Antiqua"/>
          <w:i/>
          <w:sz w:val="24"/>
          <w:szCs w:val="24"/>
        </w:rPr>
        <w:t xml:space="preserve"> </w:t>
      </w:r>
      <w:r w:rsidRPr="00144C93">
        <w:rPr>
          <w:rFonts w:ascii="Book Antiqua" w:hAnsi="Book Antiqua"/>
          <w:sz w:val="24"/>
          <w:szCs w:val="24"/>
        </w:rPr>
        <w:t>rather than being executed. The punishment is death if the apostasy is done within a group or sect with the goal to deride and destroy religion, and if the offender does not convert to Islam or repent</w:t>
      </w:r>
      <w:r w:rsidRPr="00144C93">
        <w:rPr>
          <w:rFonts w:ascii="Book Antiqua" w:hAnsi="Book Antiqua"/>
          <w:i/>
          <w:iCs/>
          <w:color w:val="FF0000"/>
          <w:sz w:val="24"/>
          <w:szCs w:val="24"/>
        </w:rPr>
        <w:t xml:space="preserve"> </w:t>
      </w:r>
      <w:r w:rsidRPr="00144C93">
        <w:rPr>
          <w:rFonts w:ascii="Book Antiqua" w:hAnsi="Book Antiqua"/>
          <w:iCs/>
          <w:sz w:val="24"/>
          <w:szCs w:val="24"/>
        </w:rPr>
        <w:t xml:space="preserve">However, not all blasphemous acts render the offender an apostate subject to the death penalty; instead, you must consider the offense's consequences, the offender(s), and the reason(s) for the apostasy. Hence, blasphemy that is unintentional and not intended to tarnish is classified as apostasy </w:t>
      </w:r>
      <w:proofErr w:type="spellStart"/>
      <w:r w:rsidRPr="00144C93">
        <w:rPr>
          <w:rFonts w:ascii="Book Antiqua" w:hAnsi="Book Antiqua"/>
          <w:i/>
          <w:iCs/>
          <w:sz w:val="24"/>
          <w:szCs w:val="24"/>
        </w:rPr>
        <w:t>muraja'ah</w:t>
      </w:r>
      <w:proofErr w:type="spellEnd"/>
      <w:r w:rsidRPr="00144C93">
        <w:rPr>
          <w:rFonts w:ascii="Book Antiqua" w:hAnsi="Book Antiqua"/>
          <w:iCs/>
          <w:sz w:val="24"/>
          <w:szCs w:val="24"/>
        </w:rPr>
        <w:t xml:space="preserve"> or</w:t>
      </w:r>
      <w:r w:rsidRPr="00144C93">
        <w:rPr>
          <w:rFonts w:ascii="Book Antiqua" w:hAnsi="Book Antiqua"/>
          <w:i/>
          <w:iCs/>
          <w:sz w:val="24"/>
          <w:szCs w:val="24"/>
        </w:rPr>
        <w:t xml:space="preserve"> </w:t>
      </w:r>
      <w:proofErr w:type="spellStart"/>
      <w:r w:rsidRPr="00144C93">
        <w:rPr>
          <w:rFonts w:ascii="Book Antiqua" w:hAnsi="Book Antiqua"/>
          <w:i/>
          <w:iCs/>
          <w:sz w:val="24"/>
          <w:szCs w:val="24"/>
        </w:rPr>
        <w:t>jahily</w:t>
      </w:r>
      <w:proofErr w:type="spellEnd"/>
      <w:r w:rsidRPr="00144C93">
        <w:rPr>
          <w:rFonts w:ascii="Book Antiqua" w:hAnsi="Book Antiqua"/>
          <w:iCs/>
          <w:sz w:val="24"/>
          <w:szCs w:val="24"/>
        </w:rPr>
        <w:t xml:space="preserve">, whereas an act of defamation of religion that is purposely committed with the intent to express open hostility is included in apostasy </w:t>
      </w:r>
      <w:proofErr w:type="spellStart"/>
      <w:r w:rsidRPr="00144C93">
        <w:rPr>
          <w:rFonts w:ascii="Book Antiqua" w:hAnsi="Book Antiqua"/>
          <w:i/>
          <w:iCs/>
          <w:sz w:val="24"/>
          <w:szCs w:val="24"/>
        </w:rPr>
        <w:t>mughallazhah</w:t>
      </w:r>
      <w:proofErr w:type="spellEnd"/>
      <w:r w:rsidRPr="00144C93">
        <w:rPr>
          <w:rFonts w:ascii="Book Antiqua" w:hAnsi="Book Antiqua"/>
          <w:iCs/>
          <w:sz w:val="24"/>
          <w:szCs w:val="24"/>
        </w:rPr>
        <w:t xml:space="preserve">, or apostasy </w:t>
      </w:r>
      <w:proofErr w:type="spellStart"/>
      <w:r w:rsidRPr="00144C93">
        <w:rPr>
          <w:rFonts w:ascii="Book Antiqua" w:hAnsi="Book Antiqua"/>
          <w:i/>
          <w:iCs/>
          <w:sz w:val="24"/>
          <w:szCs w:val="24"/>
        </w:rPr>
        <w:t>harby</w:t>
      </w:r>
      <w:proofErr w:type="spellEnd"/>
      <w:r w:rsidRPr="00144C93">
        <w:rPr>
          <w:rFonts w:ascii="Book Antiqua" w:hAnsi="Book Antiqua"/>
          <w:iCs/>
          <w:sz w:val="24"/>
          <w:szCs w:val="24"/>
        </w:rPr>
        <w:t xml:space="preserve"> (against).</w:t>
      </w:r>
      <w:r w:rsidRPr="00144C93">
        <w:rPr>
          <w:rFonts w:ascii="Book Antiqua" w:hAnsi="Book Antiqua"/>
          <w:i/>
          <w:iCs/>
          <w:sz w:val="24"/>
          <w:szCs w:val="24"/>
        </w:rPr>
        <w:t xml:space="preserve"> </w:t>
      </w:r>
      <w:r w:rsidR="00643958">
        <w:rPr>
          <w:rStyle w:val="FootnoteReference"/>
          <w:rFonts w:ascii="Book Antiqua" w:hAnsi="Book Antiqua"/>
          <w:i/>
          <w:iCs/>
          <w:sz w:val="24"/>
          <w:szCs w:val="24"/>
        </w:rPr>
        <w:footnoteReference w:id="50"/>
      </w:r>
      <w:r w:rsidRPr="00144C93">
        <w:rPr>
          <w:rFonts w:ascii="Book Antiqua" w:hAnsi="Book Antiqua"/>
          <w:iCs/>
          <w:sz w:val="24"/>
          <w:szCs w:val="24"/>
        </w:rPr>
        <w:t>.</w:t>
      </w:r>
    </w:p>
    <w:p w:rsidR="00F33FDB" w:rsidRPr="00144C93" w:rsidRDefault="00E248BB" w:rsidP="001D3CDD">
      <w:pPr>
        <w:spacing w:after="120" w:line="240" w:lineRule="auto"/>
        <w:ind w:firstLine="567"/>
        <w:jc w:val="both"/>
        <w:rPr>
          <w:rFonts w:ascii="Book Antiqua" w:hAnsi="Book Antiqua" w:cstheme="majorHAnsi"/>
          <w:color w:val="000000" w:themeColor="text1"/>
          <w:sz w:val="24"/>
          <w:szCs w:val="24"/>
        </w:rPr>
      </w:pPr>
      <w:r w:rsidRPr="00144C93">
        <w:rPr>
          <w:rFonts w:ascii="Book Antiqua" w:hAnsi="Book Antiqua"/>
          <w:sz w:val="24"/>
          <w:szCs w:val="24"/>
        </w:rPr>
        <w:t>Al-</w:t>
      </w:r>
      <w:proofErr w:type="spellStart"/>
      <w:r w:rsidRPr="00144C93">
        <w:rPr>
          <w:rFonts w:ascii="Book Antiqua" w:hAnsi="Book Antiqua"/>
          <w:sz w:val="24"/>
          <w:szCs w:val="24"/>
        </w:rPr>
        <w:t>Qadhi</w:t>
      </w:r>
      <w:proofErr w:type="spellEnd"/>
      <w:r w:rsidRPr="00144C93">
        <w:rPr>
          <w:rFonts w:ascii="Book Antiqua" w:hAnsi="Book Antiqua"/>
          <w:sz w:val="24"/>
          <w:szCs w:val="24"/>
        </w:rPr>
        <w:t xml:space="preserve"> '</w:t>
      </w:r>
      <w:proofErr w:type="spellStart"/>
      <w:r w:rsidRPr="00144C93">
        <w:rPr>
          <w:rFonts w:ascii="Book Antiqua" w:hAnsi="Book Antiqua"/>
          <w:sz w:val="24"/>
          <w:szCs w:val="24"/>
        </w:rPr>
        <w:t>iyadh</w:t>
      </w:r>
      <w:proofErr w:type="spellEnd"/>
      <w:r w:rsidRPr="00144C93">
        <w:rPr>
          <w:rFonts w:ascii="Book Antiqua" w:hAnsi="Book Antiqua"/>
          <w:sz w:val="24"/>
          <w:szCs w:val="24"/>
        </w:rPr>
        <w:t xml:space="preserve"> holds the opinion that the majority of scholars and fatwa-expert priests, going back to the generation of friends, agree that those who insult the Prophet SAW should be subject to the death penalty. Imam Malik, Imam al-</w:t>
      </w:r>
      <w:proofErr w:type="spellStart"/>
      <w:r w:rsidRPr="00144C93">
        <w:rPr>
          <w:rFonts w:ascii="Book Antiqua" w:hAnsi="Book Antiqua"/>
          <w:sz w:val="24"/>
          <w:szCs w:val="24"/>
        </w:rPr>
        <w:t>Laits</w:t>
      </w:r>
      <w:proofErr w:type="spellEnd"/>
      <w:r w:rsidRPr="00144C93">
        <w:rPr>
          <w:rFonts w:ascii="Book Antiqua" w:hAnsi="Book Antiqua"/>
          <w:sz w:val="24"/>
          <w:szCs w:val="24"/>
        </w:rPr>
        <w:t xml:space="preserve">, Imam Ahmad bin </w:t>
      </w:r>
      <w:proofErr w:type="spellStart"/>
      <w:r w:rsidRPr="00144C93">
        <w:rPr>
          <w:rFonts w:ascii="Book Antiqua" w:hAnsi="Book Antiqua"/>
          <w:sz w:val="24"/>
          <w:szCs w:val="24"/>
        </w:rPr>
        <w:t>Hanbal</w:t>
      </w:r>
      <w:proofErr w:type="spellEnd"/>
      <w:r w:rsidRPr="00144C93">
        <w:rPr>
          <w:rFonts w:ascii="Book Antiqua" w:hAnsi="Book Antiqua"/>
          <w:sz w:val="24"/>
          <w:szCs w:val="24"/>
        </w:rPr>
        <w:t xml:space="preserve">, Imam </w:t>
      </w:r>
      <w:proofErr w:type="spellStart"/>
      <w:r w:rsidRPr="00144C93">
        <w:rPr>
          <w:rFonts w:ascii="Book Antiqua" w:hAnsi="Book Antiqua"/>
          <w:sz w:val="24"/>
          <w:szCs w:val="24"/>
        </w:rPr>
        <w:t>Ishaq</w:t>
      </w:r>
      <w:proofErr w:type="spellEnd"/>
      <w:r w:rsidRPr="00144C93">
        <w:rPr>
          <w:rFonts w:ascii="Book Antiqua" w:hAnsi="Book Antiqua"/>
          <w:sz w:val="24"/>
          <w:szCs w:val="24"/>
        </w:rPr>
        <w:t xml:space="preserve"> bin </w:t>
      </w:r>
      <w:proofErr w:type="spellStart"/>
      <w:r w:rsidRPr="00144C93">
        <w:rPr>
          <w:rFonts w:ascii="Book Antiqua" w:hAnsi="Book Antiqua"/>
          <w:sz w:val="24"/>
          <w:szCs w:val="24"/>
        </w:rPr>
        <w:t>Rahawih</w:t>
      </w:r>
      <w:proofErr w:type="spellEnd"/>
      <w:r w:rsidRPr="00144C93">
        <w:rPr>
          <w:rFonts w:ascii="Book Antiqua" w:hAnsi="Book Antiqua"/>
          <w:sz w:val="24"/>
          <w:szCs w:val="24"/>
        </w:rPr>
        <w:t>, and Imam as-</w:t>
      </w:r>
      <w:proofErr w:type="spellStart"/>
      <w:r w:rsidRPr="00144C93">
        <w:rPr>
          <w:rFonts w:ascii="Book Antiqua" w:hAnsi="Book Antiqua"/>
          <w:sz w:val="24"/>
          <w:szCs w:val="24"/>
        </w:rPr>
        <w:t>Shafii</w:t>
      </w:r>
      <w:proofErr w:type="spellEnd"/>
      <w:r w:rsidRPr="00144C93">
        <w:rPr>
          <w:rFonts w:ascii="Book Antiqua" w:hAnsi="Book Antiqua"/>
          <w:sz w:val="24"/>
          <w:szCs w:val="24"/>
        </w:rPr>
        <w:t xml:space="preserve"> all hold this viewpoint. </w:t>
      </w:r>
      <w:r w:rsidR="00643958">
        <w:rPr>
          <w:rStyle w:val="FootnoteReference"/>
          <w:rFonts w:ascii="Book Antiqua" w:hAnsi="Book Antiqua"/>
          <w:sz w:val="24"/>
          <w:szCs w:val="24"/>
        </w:rPr>
        <w:footnoteReference w:id="51"/>
      </w:r>
      <w:r w:rsidRPr="00144C93">
        <w:rPr>
          <w:rFonts w:ascii="Book Antiqua" w:hAnsi="Book Antiqua"/>
          <w:sz w:val="24"/>
          <w:szCs w:val="24"/>
        </w:rPr>
        <w:t xml:space="preserve">. "Anyone curses, ridicules, accuses, denigrates, labels with features that are not his nature, attaches things that are unsuitable to him, denounces him, the punishment is death," </w:t>
      </w:r>
      <w:proofErr w:type="spellStart"/>
      <w:r w:rsidRPr="00144C93">
        <w:rPr>
          <w:rFonts w:ascii="Book Antiqua" w:hAnsi="Book Antiqua"/>
          <w:sz w:val="24"/>
          <w:szCs w:val="24"/>
        </w:rPr>
        <w:t>Kholil</w:t>
      </w:r>
      <w:proofErr w:type="spellEnd"/>
      <w:r w:rsidRPr="00144C93">
        <w:rPr>
          <w:rFonts w:ascii="Book Antiqua" w:hAnsi="Book Antiqua"/>
          <w:sz w:val="24"/>
          <w:szCs w:val="24"/>
        </w:rPr>
        <w:t xml:space="preserve"> </w:t>
      </w:r>
      <w:proofErr w:type="spellStart"/>
      <w:r w:rsidRPr="00144C93">
        <w:rPr>
          <w:rFonts w:ascii="Book Antiqua" w:hAnsi="Book Antiqua"/>
          <w:sz w:val="24"/>
          <w:szCs w:val="24"/>
        </w:rPr>
        <w:t>Ibn</w:t>
      </w:r>
      <w:proofErr w:type="spellEnd"/>
      <w:r w:rsidRPr="00144C93">
        <w:rPr>
          <w:rFonts w:ascii="Book Antiqua" w:hAnsi="Book Antiqua"/>
          <w:sz w:val="24"/>
          <w:szCs w:val="24"/>
        </w:rPr>
        <w:t xml:space="preserve"> </w:t>
      </w:r>
      <w:proofErr w:type="spellStart"/>
      <w:r w:rsidRPr="00144C93">
        <w:rPr>
          <w:rFonts w:ascii="Book Antiqua" w:hAnsi="Book Antiqua"/>
          <w:sz w:val="24"/>
          <w:szCs w:val="24"/>
        </w:rPr>
        <w:t>Ishaq</w:t>
      </w:r>
      <w:proofErr w:type="spellEnd"/>
      <w:r w:rsidRPr="00144C93">
        <w:rPr>
          <w:rFonts w:ascii="Book Antiqua" w:hAnsi="Book Antiqua"/>
          <w:sz w:val="24"/>
          <w:szCs w:val="24"/>
        </w:rPr>
        <w:t xml:space="preserve"> al-</w:t>
      </w:r>
      <w:proofErr w:type="spellStart"/>
      <w:r w:rsidRPr="00144C93">
        <w:rPr>
          <w:rFonts w:ascii="Book Antiqua" w:hAnsi="Book Antiqua"/>
          <w:sz w:val="24"/>
          <w:szCs w:val="24"/>
        </w:rPr>
        <w:t>Jundiy</w:t>
      </w:r>
      <w:proofErr w:type="spellEnd"/>
      <w:r w:rsidRPr="00144C93">
        <w:rPr>
          <w:rFonts w:ascii="Book Antiqua" w:hAnsi="Book Antiqua"/>
          <w:sz w:val="24"/>
          <w:szCs w:val="24"/>
        </w:rPr>
        <w:t xml:space="preserve"> said. </w:t>
      </w:r>
      <w:r w:rsidR="00643958">
        <w:rPr>
          <w:rStyle w:val="FootnoteReference"/>
          <w:rFonts w:ascii="Book Antiqua" w:hAnsi="Book Antiqua"/>
          <w:sz w:val="24"/>
          <w:szCs w:val="24"/>
        </w:rPr>
        <w:footnoteReference w:id="52"/>
      </w:r>
      <w:r w:rsidRPr="00144C93">
        <w:rPr>
          <w:rFonts w:ascii="Book Antiqua" w:hAnsi="Book Antiqua"/>
          <w:sz w:val="24"/>
          <w:szCs w:val="24"/>
        </w:rPr>
        <w:t>.”</w:t>
      </w:r>
    </w:p>
    <w:p w:rsidR="00F33FDB" w:rsidRPr="00144C93" w:rsidRDefault="00E248BB" w:rsidP="001D3CDD">
      <w:pPr>
        <w:spacing w:after="120" w:line="240" w:lineRule="auto"/>
        <w:ind w:firstLine="567"/>
        <w:jc w:val="both"/>
        <w:rPr>
          <w:rFonts w:ascii="Book Antiqua" w:hAnsi="Book Antiqua" w:cstheme="majorHAnsi"/>
          <w:color w:val="000000" w:themeColor="text1"/>
          <w:sz w:val="24"/>
          <w:szCs w:val="24"/>
        </w:rPr>
      </w:pPr>
      <w:r w:rsidRPr="00144C93">
        <w:rPr>
          <w:rFonts w:ascii="Book Antiqua" w:hAnsi="Book Antiqua"/>
          <w:sz w:val="24"/>
          <w:szCs w:val="24"/>
        </w:rPr>
        <w:t>Clerics in Indonesia hold a variety of opinions in reaction to the numerous instances of blasphemy against Islam in their country. Based on Q.S. at-</w:t>
      </w:r>
      <w:proofErr w:type="spellStart"/>
      <w:r w:rsidRPr="00144C93">
        <w:rPr>
          <w:rFonts w:ascii="Book Antiqua" w:hAnsi="Book Antiqua"/>
          <w:sz w:val="24"/>
          <w:szCs w:val="24"/>
        </w:rPr>
        <w:t>Taubah</w:t>
      </w:r>
      <w:proofErr w:type="spellEnd"/>
      <w:r w:rsidRPr="00144C93">
        <w:rPr>
          <w:rFonts w:ascii="Book Antiqua" w:hAnsi="Book Antiqua"/>
          <w:sz w:val="24"/>
          <w:szCs w:val="24"/>
        </w:rPr>
        <w:t>: 9 and Q.S. at-</w:t>
      </w:r>
      <w:proofErr w:type="spellStart"/>
      <w:r w:rsidRPr="00144C93">
        <w:rPr>
          <w:rFonts w:ascii="Book Antiqua" w:hAnsi="Book Antiqua"/>
          <w:sz w:val="24"/>
          <w:szCs w:val="24"/>
        </w:rPr>
        <w:t>Taubah</w:t>
      </w:r>
      <w:proofErr w:type="spellEnd"/>
      <w:r w:rsidRPr="00144C93">
        <w:rPr>
          <w:rFonts w:ascii="Book Antiqua" w:hAnsi="Book Antiqua"/>
          <w:sz w:val="24"/>
          <w:szCs w:val="24"/>
        </w:rPr>
        <w:t xml:space="preserve">: 66, scholars including </w:t>
      </w:r>
      <w:proofErr w:type="spellStart"/>
      <w:r w:rsidRPr="00144C93">
        <w:rPr>
          <w:rFonts w:ascii="Book Antiqua" w:hAnsi="Book Antiqua"/>
          <w:sz w:val="24"/>
          <w:szCs w:val="24"/>
        </w:rPr>
        <w:t>Adi</w:t>
      </w:r>
      <w:proofErr w:type="spellEnd"/>
      <w:r w:rsidRPr="00144C93">
        <w:rPr>
          <w:rFonts w:ascii="Book Antiqua" w:hAnsi="Book Antiqua"/>
          <w:sz w:val="24"/>
          <w:szCs w:val="24"/>
        </w:rPr>
        <w:t xml:space="preserve"> </w:t>
      </w:r>
      <w:proofErr w:type="spellStart"/>
      <w:r w:rsidRPr="00144C93">
        <w:rPr>
          <w:rFonts w:ascii="Book Antiqua" w:hAnsi="Book Antiqua"/>
          <w:sz w:val="24"/>
          <w:szCs w:val="24"/>
        </w:rPr>
        <w:t>Hidayat</w:t>
      </w:r>
      <w:proofErr w:type="spellEnd"/>
      <w:r w:rsidRPr="00144C93">
        <w:rPr>
          <w:rFonts w:ascii="Book Antiqua" w:hAnsi="Book Antiqua"/>
          <w:sz w:val="24"/>
          <w:szCs w:val="24"/>
        </w:rPr>
        <w:t xml:space="preserve">, Khalid </w:t>
      </w:r>
      <w:proofErr w:type="spellStart"/>
      <w:r w:rsidRPr="00144C93">
        <w:rPr>
          <w:rFonts w:ascii="Book Antiqua" w:hAnsi="Book Antiqua"/>
          <w:sz w:val="24"/>
          <w:szCs w:val="24"/>
        </w:rPr>
        <w:t>Basalamah</w:t>
      </w:r>
      <w:proofErr w:type="spellEnd"/>
      <w:r w:rsidRPr="00144C93">
        <w:rPr>
          <w:rFonts w:ascii="Book Antiqua" w:hAnsi="Book Antiqua"/>
          <w:sz w:val="24"/>
          <w:szCs w:val="24"/>
        </w:rPr>
        <w:t xml:space="preserve">, </w:t>
      </w:r>
      <w:proofErr w:type="spellStart"/>
      <w:r w:rsidRPr="00144C93">
        <w:rPr>
          <w:rFonts w:ascii="Book Antiqua" w:hAnsi="Book Antiqua"/>
          <w:sz w:val="24"/>
          <w:szCs w:val="24"/>
        </w:rPr>
        <w:t>Oemar</w:t>
      </w:r>
      <w:proofErr w:type="spellEnd"/>
      <w:r w:rsidRPr="00144C93">
        <w:rPr>
          <w:rFonts w:ascii="Book Antiqua" w:hAnsi="Book Antiqua"/>
          <w:sz w:val="24"/>
          <w:szCs w:val="24"/>
        </w:rPr>
        <w:t xml:space="preserve"> </w:t>
      </w:r>
      <w:proofErr w:type="spellStart"/>
      <w:r w:rsidRPr="00144C93">
        <w:rPr>
          <w:rFonts w:ascii="Book Antiqua" w:hAnsi="Book Antiqua"/>
          <w:sz w:val="24"/>
          <w:szCs w:val="24"/>
        </w:rPr>
        <w:t>Mita</w:t>
      </w:r>
      <w:proofErr w:type="spellEnd"/>
      <w:r w:rsidRPr="00144C93">
        <w:rPr>
          <w:rFonts w:ascii="Book Antiqua" w:hAnsi="Book Antiqua"/>
          <w:sz w:val="24"/>
          <w:szCs w:val="24"/>
        </w:rPr>
        <w:t xml:space="preserve">, </w:t>
      </w:r>
      <w:proofErr w:type="spellStart"/>
      <w:r w:rsidRPr="00144C93">
        <w:rPr>
          <w:rFonts w:ascii="Book Antiqua" w:hAnsi="Book Antiqua"/>
          <w:sz w:val="24"/>
          <w:szCs w:val="24"/>
        </w:rPr>
        <w:t>Zulkifli</w:t>
      </w:r>
      <w:proofErr w:type="spellEnd"/>
      <w:r w:rsidRPr="00144C93">
        <w:rPr>
          <w:rFonts w:ascii="Book Antiqua" w:hAnsi="Book Antiqua"/>
          <w:sz w:val="24"/>
          <w:szCs w:val="24"/>
        </w:rPr>
        <w:t xml:space="preserve">, </w:t>
      </w:r>
      <w:proofErr w:type="spellStart"/>
      <w:r w:rsidRPr="00144C93">
        <w:rPr>
          <w:rFonts w:ascii="Book Antiqua" w:hAnsi="Book Antiqua"/>
          <w:sz w:val="24"/>
          <w:szCs w:val="24"/>
        </w:rPr>
        <w:t>Riziq</w:t>
      </w:r>
      <w:proofErr w:type="spellEnd"/>
      <w:r w:rsidRPr="00144C93">
        <w:rPr>
          <w:rFonts w:ascii="Book Antiqua" w:hAnsi="Book Antiqua"/>
          <w:sz w:val="24"/>
          <w:szCs w:val="24"/>
        </w:rPr>
        <w:t xml:space="preserve"> </w:t>
      </w:r>
      <w:proofErr w:type="spellStart"/>
      <w:r w:rsidRPr="00144C93">
        <w:rPr>
          <w:rFonts w:ascii="Book Antiqua" w:hAnsi="Book Antiqua"/>
          <w:sz w:val="24"/>
          <w:szCs w:val="24"/>
        </w:rPr>
        <w:t>Shihab</w:t>
      </w:r>
      <w:proofErr w:type="spellEnd"/>
      <w:r w:rsidRPr="00144C93">
        <w:rPr>
          <w:rFonts w:ascii="Book Antiqua" w:hAnsi="Book Antiqua"/>
          <w:sz w:val="24"/>
          <w:szCs w:val="24"/>
        </w:rPr>
        <w:t xml:space="preserve">, </w:t>
      </w:r>
      <w:proofErr w:type="spellStart"/>
      <w:r w:rsidRPr="00144C93">
        <w:rPr>
          <w:rFonts w:ascii="Book Antiqua" w:hAnsi="Book Antiqua"/>
          <w:sz w:val="24"/>
          <w:szCs w:val="24"/>
        </w:rPr>
        <w:t>Syafiq</w:t>
      </w:r>
      <w:proofErr w:type="spellEnd"/>
      <w:r w:rsidRPr="00144C93">
        <w:rPr>
          <w:rFonts w:ascii="Book Antiqua" w:hAnsi="Book Antiqua"/>
          <w:sz w:val="24"/>
          <w:szCs w:val="24"/>
        </w:rPr>
        <w:t xml:space="preserve"> </w:t>
      </w:r>
      <w:proofErr w:type="spellStart"/>
      <w:r w:rsidRPr="00144C93">
        <w:rPr>
          <w:rFonts w:ascii="Book Antiqua" w:hAnsi="Book Antiqua"/>
          <w:sz w:val="24"/>
          <w:szCs w:val="24"/>
        </w:rPr>
        <w:t>Riza</w:t>
      </w:r>
      <w:proofErr w:type="spellEnd"/>
      <w:r w:rsidRPr="00144C93">
        <w:rPr>
          <w:rFonts w:ascii="Book Antiqua" w:hAnsi="Book Antiqua"/>
          <w:sz w:val="24"/>
          <w:szCs w:val="24"/>
        </w:rPr>
        <w:t xml:space="preserve">, </w:t>
      </w:r>
      <w:proofErr w:type="spellStart"/>
      <w:r w:rsidRPr="00144C93">
        <w:rPr>
          <w:rFonts w:ascii="Book Antiqua" w:hAnsi="Book Antiqua"/>
          <w:sz w:val="24"/>
          <w:szCs w:val="24"/>
        </w:rPr>
        <w:t>Hanan</w:t>
      </w:r>
      <w:proofErr w:type="spellEnd"/>
      <w:r w:rsidRPr="00144C93">
        <w:rPr>
          <w:rFonts w:ascii="Book Antiqua" w:hAnsi="Book Antiqua"/>
          <w:sz w:val="24"/>
          <w:szCs w:val="24"/>
        </w:rPr>
        <w:t xml:space="preserve"> </w:t>
      </w:r>
      <w:proofErr w:type="spellStart"/>
      <w:r w:rsidRPr="00144C93">
        <w:rPr>
          <w:rFonts w:ascii="Book Antiqua" w:hAnsi="Book Antiqua"/>
          <w:sz w:val="24"/>
          <w:szCs w:val="24"/>
        </w:rPr>
        <w:t>Attaki</w:t>
      </w:r>
      <w:proofErr w:type="spellEnd"/>
      <w:r w:rsidRPr="00144C93">
        <w:rPr>
          <w:rFonts w:ascii="Book Antiqua" w:hAnsi="Book Antiqua"/>
          <w:sz w:val="24"/>
          <w:szCs w:val="24"/>
        </w:rPr>
        <w:t xml:space="preserve">, Abdul </w:t>
      </w:r>
      <w:proofErr w:type="spellStart"/>
      <w:r w:rsidRPr="00144C93">
        <w:rPr>
          <w:rFonts w:ascii="Book Antiqua" w:hAnsi="Book Antiqua"/>
          <w:sz w:val="24"/>
          <w:szCs w:val="24"/>
        </w:rPr>
        <w:t>Shomad</w:t>
      </w:r>
      <w:proofErr w:type="spellEnd"/>
      <w:r w:rsidRPr="00144C93">
        <w:rPr>
          <w:rFonts w:ascii="Book Antiqua" w:hAnsi="Book Antiqua"/>
          <w:sz w:val="24"/>
          <w:szCs w:val="24"/>
        </w:rPr>
        <w:t xml:space="preserve">, and several other </w:t>
      </w:r>
      <w:proofErr w:type="spellStart"/>
      <w:r w:rsidRPr="00144C93">
        <w:rPr>
          <w:rFonts w:ascii="Book Antiqua" w:hAnsi="Book Antiqua"/>
          <w:sz w:val="24"/>
          <w:szCs w:val="24"/>
        </w:rPr>
        <w:t>Ustadz</w:t>
      </w:r>
      <w:proofErr w:type="spellEnd"/>
      <w:r w:rsidRPr="00144C93">
        <w:rPr>
          <w:rFonts w:ascii="Book Antiqua" w:hAnsi="Book Antiqua"/>
          <w:sz w:val="24"/>
          <w:szCs w:val="24"/>
        </w:rPr>
        <w:t xml:space="preserve"> believe that the punishment for those who mock Islam cannot be pardoned and may even result in death. These Indonesian intellectuals also drew inspiration from a number of traditional Islamic thinkers who shared the belief that the Koran set the standards for blasphemy punishment, including </w:t>
      </w:r>
      <w:proofErr w:type="spellStart"/>
      <w:r w:rsidRPr="00144C93">
        <w:rPr>
          <w:rFonts w:ascii="Book Antiqua" w:hAnsi="Book Antiqua"/>
          <w:sz w:val="24"/>
          <w:szCs w:val="24"/>
        </w:rPr>
        <w:t>Ibn</w:t>
      </w:r>
      <w:proofErr w:type="spellEnd"/>
      <w:r w:rsidRPr="00144C93">
        <w:rPr>
          <w:rFonts w:ascii="Book Antiqua" w:hAnsi="Book Antiqua"/>
          <w:sz w:val="24"/>
          <w:szCs w:val="24"/>
        </w:rPr>
        <w:t xml:space="preserve"> </w:t>
      </w:r>
      <w:proofErr w:type="spellStart"/>
      <w:r w:rsidRPr="00144C93">
        <w:rPr>
          <w:rFonts w:ascii="Book Antiqua" w:hAnsi="Book Antiqua"/>
          <w:sz w:val="24"/>
          <w:szCs w:val="24"/>
        </w:rPr>
        <w:t>Taimiyyah</w:t>
      </w:r>
      <w:proofErr w:type="spellEnd"/>
      <w:r w:rsidRPr="00144C93">
        <w:rPr>
          <w:rFonts w:ascii="Book Antiqua" w:hAnsi="Book Antiqua"/>
          <w:sz w:val="24"/>
          <w:szCs w:val="24"/>
        </w:rPr>
        <w:t xml:space="preserve">, </w:t>
      </w:r>
      <w:proofErr w:type="spellStart"/>
      <w:r w:rsidRPr="00144C93">
        <w:rPr>
          <w:rFonts w:ascii="Book Antiqua" w:hAnsi="Book Antiqua"/>
          <w:sz w:val="24"/>
          <w:szCs w:val="24"/>
        </w:rPr>
        <w:t>Ibn</w:t>
      </w:r>
      <w:proofErr w:type="spellEnd"/>
      <w:r w:rsidRPr="00144C93">
        <w:rPr>
          <w:rFonts w:ascii="Book Antiqua" w:hAnsi="Book Antiqua"/>
          <w:sz w:val="24"/>
          <w:szCs w:val="24"/>
        </w:rPr>
        <w:t xml:space="preserve"> </w:t>
      </w:r>
      <w:proofErr w:type="spellStart"/>
      <w:r w:rsidRPr="00144C93">
        <w:rPr>
          <w:rFonts w:ascii="Book Antiqua" w:hAnsi="Book Antiqua"/>
          <w:sz w:val="24"/>
          <w:szCs w:val="24"/>
        </w:rPr>
        <w:t>Kathir</w:t>
      </w:r>
      <w:proofErr w:type="spellEnd"/>
      <w:r w:rsidRPr="00144C93">
        <w:rPr>
          <w:rFonts w:ascii="Book Antiqua" w:hAnsi="Book Antiqua"/>
          <w:sz w:val="24"/>
          <w:szCs w:val="24"/>
        </w:rPr>
        <w:t>, al-</w:t>
      </w:r>
      <w:proofErr w:type="spellStart"/>
      <w:r w:rsidRPr="00144C93">
        <w:rPr>
          <w:rFonts w:ascii="Book Antiqua" w:hAnsi="Book Antiqua"/>
          <w:sz w:val="24"/>
          <w:szCs w:val="24"/>
        </w:rPr>
        <w:t>Baghawi</w:t>
      </w:r>
      <w:proofErr w:type="spellEnd"/>
      <w:r w:rsidRPr="00144C93">
        <w:rPr>
          <w:rFonts w:ascii="Book Antiqua" w:hAnsi="Book Antiqua"/>
          <w:sz w:val="24"/>
          <w:szCs w:val="24"/>
        </w:rPr>
        <w:t>, and al-</w:t>
      </w:r>
      <w:proofErr w:type="spellStart"/>
      <w:r w:rsidRPr="00144C93">
        <w:rPr>
          <w:rFonts w:ascii="Book Antiqua" w:hAnsi="Book Antiqua"/>
          <w:sz w:val="24"/>
          <w:szCs w:val="24"/>
        </w:rPr>
        <w:t>Qurtuby</w:t>
      </w:r>
      <w:proofErr w:type="spellEnd"/>
      <w:r w:rsidRPr="00144C93">
        <w:rPr>
          <w:rFonts w:ascii="Book Antiqua" w:hAnsi="Book Antiqua"/>
          <w:sz w:val="24"/>
          <w:szCs w:val="24"/>
        </w:rPr>
        <w:t>.</w:t>
      </w:r>
      <w:r w:rsidR="00643958">
        <w:rPr>
          <w:rStyle w:val="FootnoteReference"/>
          <w:rFonts w:ascii="Book Antiqua" w:hAnsi="Book Antiqua"/>
          <w:sz w:val="24"/>
          <w:szCs w:val="24"/>
        </w:rPr>
        <w:footnoteReference w:id="53"/>
      </w:r>
    </w:p>
    <w:p w:rsidR="00F33FDB" w:rsidRPr="00144C93" w:rsidRDefault="00E248BB" w:rsidP="001D3CDD">
      <w:pPr>
        <w:spacing w:after="120" w:line="240" w:lineRule="auto"/>
        <w:ind w:firstLine="567"/>
        <w:jc w:val="both"/>
        <w:rPr>
          <w:rFonts w:ascii="Book Antiqua" w:hAnsi="Book Antiqua" w:cstheme="majorHAnsi"/>
          <w:color w:val="000000" w:themeColor="text1"/>
          <w:sz w:val="24"/>
          <w:szCs w:val="24"/>
        </w:rPr>
      </w:pPr>
      <w:r w:rsidRPr="00144C93">
        <w:rPr>
          <w:rFonts w:ascii="Book Antiqua" w:hAnsi="Book Antiqua"/>
          <w:sz w:val="24"/>
          <w:szCs w:val="24"/>
        </w:rPr>
        <w:t>In light of the description above, it should be noted that the dynamics of religious diversity are always accompanied by issues, disagreements, and friction between followers of various religions, which can result in legal proceedings such as defamation or the humiliation of particular religions. Denigration or humiliation of specific religious doctrines is strictly forbidden under Indonesian law and Islamic law, and those who commit acts of religious blasphemy face harsh punishments. The sole purpose of doing this is to preserve religious harmony in Indonesia, which is highly pluralistic. All facets of the country must adopt the viewpoint that Indonesia's religious diversity is an unappreciable national asset. Hence, rather than religion itself, the community and the government must take an active role in preserving the integrity of religious plurality from all angles.</w:t>
      </w:r>
    </w:p>
    <w:p w:rsidR="00643958" w:rsidRDefault="00643958" w:rsidP="00A26219">
      <w:pPr>
        <w:spacing w:after="120" w:line="240" w:lineRule="auto"/>
        <w:jc w:val="both"/>
        <w:rPr>
          <w:rFonts w:ascii="Book Antiqua" w:hAnsi="Book Antiqua" w:cstheme="majorHAnsi"/>
          <w:color w:val="000000" w:themeColor="text1"/>
          <w:sz w:val="24"/>
          <w:szCs w:val="24"/>
        </w:rPr>
      </w:pPr>
    </w:p>
    <w:p w:rsidR="00916307" w:rsidRPr="00144C93" w:rsidRDefault="00916307" w:rsidP="00A26219">
      <w:pPr>
        <w:spacing w:after="120" w:line="240" w:lineRule="auto"/>
        <w:jc w:val="both"/>
        <w:rPr>
          <w:rFonts w:ascii="Book Antiqua" w:hAnsi="Book Antiqua" w:cstheme="majorHAnsi"/>
          <w:color w:val="000000" w:themeColor="text1"/>
          <w:sz w:val="24"/>
          <w:szCs w:val="24"/>
        </w:rPr>
      </w:pPr>
    </w:p>
    <w:p w:rsidR="004B1F20" w:rsidRPr="00144C93" w:rsidRDefault="00E248BB" w:rsidP="00E248BB">
      <w:pPr>
        <w:spacing w:after="120" w:line="240" w:lineRule="auto"/>
        <w:jc w:val="both"/>
        <w:rPr>
          <w:rFonts w:ascii="Book Antiqua" w:hAnsi="Book Antiqua"/>
          <w:b/>
          <w:bCs/>
          <w:color w:val="FFC000" w:themeColor="accent4"/>
          <w:szCs w:val="22"/>
          <w:lang w:val="id-ID"/>
        </w:rPr>
      </w:pPr>
      <w:r w:rsidRPr="00144C93">
        <w:rPr>
          <w:rFonts w:ascii="Book Antiqua" w:hAnsi="Book Antiqua"/>
          <w:b/>
          <w:color w:val="2F5496" w:themeColor="accent1" w:themeShade="BF"/>
          <w:sz w:val="24"/>
          <w:szCs w:val="24"/>
        </w:rPr>
        <w:lastRenderedPageBreak/>
        <w:t xml:space="preserve">4. </w:t>
      </w:r>
      <w:r w:rsidR="004B1F20" w:rsidRPr="00144C93">
        <w:rPr>
          <w:rFonts w:ascii="Book Antiqua" w:hAnsi="Book Antiqua"/>
          <w:b/>
          <w:color w:val="2F5496" w:themeColor="accent1" w:themeShade="BF"/>
          <w:sz w:val="24"/>
          <w:szCs w:val="24"/>
        </w:rPr>
        <w:t>CONCLUSION</w:t>
      </w:r>
    </w:p>
    <w:p w:rsidR="00F33FDB" w:rsidRPr="00144C93" w:rsidRDefault="00C26A6F" w:rsidP="001D3CDD">
      <w:pPr>
        <w:spacing w:after="120" w:line="240" w:lineRule="auto"/>
        <w:ind w:firstLine="567"/>
        <w:jc w:val="both"/>
        <w:rPr>
          <w:rFonts w:ascii="Book Antiqua" w:hAnsi="Book Antiqua" w:cstheme="majorHAnsi"/>
          <w:color w:val="000000" w:themeColor="text1"/>
          <w:sz w:val="24"/>
          <w:szCs w:val="24"/>
          <w:lang w:val="en-GB"/>
        </w:rPr>
      </w:pPr>
      <w:r w:rsidRPr="00144C93">
        <w:rPr>
          <w:rFonts w:ascii="Book Antiqua" w:hAnsi="Book Antiqua"/>
          <w:sz w:val="24"/>
          <w:szCs w:val="24"/>
        </w:rPr>
        <w:t>Being the fundamental tenet of the State of Indonesia, Pancasila openly declares that Indonesia is a God-fearing nation that acknowledges the unity of God through the diversity of its religious traditions. In Indonesia, the ideas underlying Articles 28E, 28I, and 29 of the 1945 Constitution constitute the concept of freedom of religion. Article 4 and paragraphs 1 and 2 of Article 22 of Law-Invite No. 39 of 1999 Concerning Human Rights both refer to freedom of religion as it relates to human rights. This clause indicates that every Indonesian citizen has a religious freedom that cannot be restricted by anyone or anything.</w:t>
      </w:r>
    </w:p>
    <w:p w:rsidR="004B1F20" w:rsidRPr="00144C93" w:rsidRDefault="00C26A6F" w:rsidP="001D3CDD">
      <w:pPr>
        <w:spacing w:after="120" w:line="240" w:lineRule="auto"/>
        <w:ind w:firstLine="567"/>
        <w:jc w:val="both"/>
        <w:rPr>
          <w:rFonts w:ascii="Book Antiqua" w:hAnsi="Book Antiqua"/>
          <w:sz w:val="24"/>
          <w:szCs w:val="24"/>
          <w:shd w:val="clear" w:color="auto" w:fill="FFFFFF"/>
        </w:rPr>
      </w:pPr>
      <w:r w:rsidRPr="00144C93">
        <w:rPr>
          <w:rFonts w:ascii="Book Antiqua" w:hAnsi="Book Antiqua"/>
          <w:sz w:val="24"/>
          <w:szCs w:val="24"/>
          <w:shd w:val="clear" w:color="auto" w:fill="FFFFFF"/>
        </w:rPr>
        <w:t>Several laws, including the Criminal Code, Law No. 1/PNPS/1965 concerning Prevention of Misuse and/or Blasphemy of Religion, and Law No. 19 of 2016 concerning Changes to Law No. 11 of 2008 concerning Electronic Transaction Information, control limits on religious freedom and diversity (ITE</w:t>
      </w:r>
      <w:r w:rsidR="00144C93" w:rsidRPr="00144C93">
        <w:rPr>
          <w:rFonts w:ascii="Book Antiqua" w:hAnsi="Book Antiqua"/>
          <w:sz w:val="24"/>
          <w:szCs w:val="24"/>
          <w:shd w:val="clear" w:color="auto" w:fill="FFFFFF"/>
        </w:rPr>
        <w:t xml:space="preserve"> Law</w:t>
      </w:r>
      <w:r w:rsidRPr="00144C93">
        <w:rPr>
          <w:rFonts w:ascii="Book Antiqua" w:hAnsi="Book Antiqua"/>
          <w:sz w:val="24"/>
          <w:szCs w:val="24"/>
          <w:shd w:val="clear" w:color="auto" w:fill="FFFFFF"/>
        </w:rPr>
        <w:t>). All the legal requirements preserve religious believers' right to practice their faith in accordance with their convictions, yet the law also places restrictions on freedom that harm, profane, and offend some religions. It is not only restricted in the framework of distribution through manual media like leaflets, letters, photos, and others, but also in the provisions for limits and bans against defamation or destruction of the sanctity of specific religions. The ITE Law regulates everything from the ban on disseminating news that contains material that disparages, mocks, or undermines the sacredness of particular religions through virtual media.</w:t>
      </w:r>
    </w:p>
    <w:p w:rsidR="00C26A6F" w:rsidRPr="00144C93" w:rsidRDefault="00C26A6F" w:rsidP="001D3CDD">
      <w:pPr>
        <w:spacing w:after="120" w:line="240" w:lineRule="auto"/>
        <w:ind w:firstLine="567"/>
        <w:jc w:val="both"/>
        <w:rPr>
          <w:rFonts w:ascii="Book Antiqua" w:hAnsi="Book Antiqua"/>
          <w:sz w:val="24"/>
          <w:szCs w:val="24"/>
        </w:rPr>
      </w:pPr>
      <w:r w:rsidRPr="00144C93">
        <w:rPr>
          <w:rFonts w:ascii="Book Antiqua" w:hAnsi="Book Antiqua"/>
          <w:sz w:val="24"/>
          <w:szCs w:val="24"/>
        </w:rPr>
        <w:t>The crime of blasphemy is defined by Islamic law as an act that desecrates (</w:t>
      </w:r>
      <w:proofErr w:type="spellStart"/>
      <w:r w:rsidRPr="00144C93">
        <w:rPr>
          <w:rFonts w:ascii="Book Antiqua" w:hAnsi="Book Antiqua"/>
          <w:i/>
          <w:sz w:val="24"/>
          <w:szCs w:val="24"/>
        </w:rPr>
        <w:t>tadnis</w:t>
      </w:r>
      <w:proofErr w:type="spellEnd"/>
      <w:r w:rsidRPr="00144C93">
        <w:rPr>
          <w:rFonts w:ascii="Book Antiqua" w:hAnsi="Book Antiqua"/>
          <w:sz w:val="24"/>
          <w:szCs w:val="24"/>
        </w:rPr>
        <w:t>), insults (</w:t>
      </w:r>
      <w:proofErr w:type="spellStart"/>
      <w:r w:rsidRPr="00144C93">
        <w:rPr>
          <w:rFonts w:ascii="Book Antiqua" w:hAnsi="Book Antiqua"/>
          <w:i/>
          <w:sz w:val="24"/>
          <w:szCs w:val="24"/>
        </w:rPr>
        <w:t>istihza</w:t>
      </w:r>
      <w:proofErr w:type="spellEnd"/>
      <w:r w:rsidRPr="00144C93">
        <w:rPr>
          <w:rFonts w:ascii="Book Antiqua" w:hAnsi="Book Antiqua"/>
          <w:sz w:val="24"/>
          <w:szCs w:val="24"/>
        </w:rPr>
        <w:t>), mocks (</w:t>
      </w:r>
      <w:proofErr w:type="spellStart"/>
      <w:r w:rsidRPr="00144C93">
        <w:rPr>
          <w:rFonts w:ascii="Book Antiqua" w:hAnsi="Book Antiqua"/>
          <w:i/>
          <w:sz w:val="24"/>
          <w:szCs w:val="24"/>
        </w:rPr>
        <w:t>syatama</w:t>
      </w:r>
      <w:proofErr w:type="spellEnd"/>
      <w:r w:rsidRPr="00144C93">
        <w:rPr>
          <w:rFonts w:ascii="Book Antiqua" w:hAnsi="Book Antiqua"/>
          <w:sz w:val="24"/>
          <w:szCs w:val="24"/>
        </w:rPr>
        <w:t>), insults (</w:t>
      </w:r>
      <w:proofErr w:type="spellStart"/>
      <w:r w:rsidRPr="00144C93">
        <w:rPr>
          <w:rFonts w:ascii="Book Antiqua" w:hAnsi="Book Antiqua"/>
          <w:i/>
          <w:sz w:val="24"/>
          <w:szCs w:val="24"/>
        </w:rPr>
        <w:t>saba</w:t>
      </w:r>
      <w:proofErr w:type="spellEnd"/>
      <w:r w:rsidRPr="00144C93">
        <w:rPr>
          <w:rFonts w:ascii="Book Antiqua" w:hAnsi="Book Antiqua"/>
          <w:sz w:val="24"/>
          <w:szCs w:val="24"/>
        </w:rPr>
        <w:t>), curses (</w:t>
      </w:r>
      <w:proofErr w:type="spellStart"/>
      <w:r w:rsidRPr="00144C93">
        <w:rPr>
          <w:rFonts w:ascii="Book Antiqua" w:hAnsi="Book Antiqua"/>
          <w:i/>
          <w:sz w:val="24"/>
          <w:szCs w:val="24"/>
        </w:rPr>
        <w:t>taq</w:t>
      </w:r>
      <w:proofErr w:type="spellEnd"/>
      <w:r w:rsidRPr="00144C93">
        <w:rPr>
          <w:rFonts w:ascii="Book Antiqua" w:hAnsi="Book Antiqua"/>
          <w:sz w:val="24"/>
          <w:szCs w:val="24"/>
        </w:rPr>
        <w:t>), and denigrates (</w:t>
      </w:r>
      <w:proofErr w:type="spellStart"/>
      <w:r w:rsidRPr="00144C93">
        <w:rPr>
          <w:rFonts w:ascii="Book Antiqua" w:hAnsi="Book Antiqua"/>
          <w:i/>
          <w:sz w:val="24"/>
          <w:szCs w:val="24"/>
        </w:rPr>
        <w:t>saba</w:t>
      </w:r>
      <w:proofErr w:type="spellEnd"/>
      <w:r w:rsidRPr="00144C93">
        <w:rPr>
          <w:rFonts w:ascii="Book Antiqua" w:hAnsi="Book Antiqua"/>
          <w:sz w:val="24"/>
          <w:szCs w:val="24"/>
        </w:rPr>
        <w:t>) Allah and His Messenger, the Holy Qur'an, as well as attacking Islamic beliefs and acting in a manner that departs from Islamic teachings (</w:t>
      </w:r>
      <w:proofErr w:type="spellStart"/>
      <w:r w:rsidRPr="00144C93">
        <w:rPr>
          <w:rFonts w:ascii="Book Antiqua" w:hAnsi="Book Antiqua"/>
          <w:i/>
          <w:sz w:val="24"/>
          <w:szCs w:val="24"/>
        </w:rPr>
        <w:t>bid'ah</w:t>
      </w:r>
      <w:proofErr w:type="spellEnd"/>
      <w:r w:rsidRPr="00144C93">
        <w:rPr>
          <w:rFonts w:ascii="Book Antiqua" w:hAnsi="Book Antiqua"/>
          <w:sz w:val="24"/>
          <w:szCs w:val="24"/>
        </w:rPr>
        <w:t xml:space="preserve">). While the Qur'an and al-Hadith contain prohibitions against blasphemous acts, the means of punishment are found in the </w:t>
      </w:r>
      <w:proofErr w:type="spellStart"/>
      <w:r w:rsidRPr="00144C93">
        <w:rPr>
          <w:rFonts w:ascii="Book Antiqua" w:hAnsi="Book Antiqua"/>
          <w:sz w:val="24"/>
          <w:szCs w:val="24"/>
        </w:rPr>
        <w:t>ijtihad</w:t>
      </w:r>
      <w:proofErr w:type="spellEnd"/>
      <w:r w:rsidRPr="00144C93">
        <w:rPr>
          <w:rFonts w:ascii="Book Antiqua" w:hAnsi="Book Antiqua"/>
          <w:sz w:val="24"/>
          <w:szCs w:val="24"/>
        </w:rPr>
        <w:t xml:space="preserve"> of the </w:t>
      </w:r>
      <w:proofErr w:type="spellStart"/>
      <w:r w:rsidRPr="00144C93">
        <w:rPr>
          <w:rFonts w:ascii="Book Antiqua" w:hAnsi="Book Antiqua"/>
          <w:sz w:val="24"/>
          <w:szCs w:val="24"/>
        </w:rPr>
        <w:t>ulama</w:t>
      </w:r>
      <w:proofErr w:type="spellEnd"/>
      <w:r w:rsidRPr="00144C93">
        <w:rPr>
          <w:rFonts w:ascii="Book Antiqua" w:hAnsi="Book Antiqua"/>
          <w:sz w:val="24"/>
          <w:szCs w:val="24"/>
        </w:rPr>
        <w:t>, which is then incorporated into the legal systems of many Islamic nations, resulting in a wide range of punishments for those who commit blasphemy. The formulation of punishments for those who commit defamation is quite varied in Islamic law, ranging from the least severe punishments, such as imprisonment, to the most severe punishments, such as life in prison or even the death penalty.</w:t>
      </w:r>
    </w:p>
    <w:p w:rsidR="00C26A6F" w:rsidRPr="00144C93" w:rsidRDefault="00C26A6F" w:rsidP="001D3CDD">
      <w:pPr>
        <w:spacing w:after="120" w:line="240" w:lineRule="auto"/>
        <w:ind w:firstLine="567"/>
        <w:jc w:val="both"/>
        <w:rPr>
          <w:rFonts w:ascii="Book Antiqua" w:hAnsi="Book Antiqua" w:cstheme="majorHAnsi"/>
          <w:color w:val="000000" w:themeColor="text1"/>
          <w:sz w:val="24"/>
          <w:szCs w:val="24"/>
          <w:lang w:val="en-GB"/>
        </w:rPr>
      </w:pPr>
      <w:r w:rsidRPr="00144C93">
        <w:rPr>
          <w:rFonts w:ascii="Book Antiqua" w:hAnsi="Book Antiqua"/>
          <w:sz w:val="24"/>
          <w:szCs w:val="24"/>
          <w:shd w:val="clear" w:color="auto" w:fill="FFFFFF"/>
        </w:rPr>
        <w:t>All of these agreements are made with the intention of upholding the sanctity and holiness of religion as well as promoting peace among religious groups. In order to prevent the human rights of the religious community from being tainted by the immoral actions of the followers of other religions, the government is merely establishing itself as the protector of public order. The goal of this restriction is to ensure that all religious adherents can practice their religion freely and without interference from outside parties or groups while also controlling, ensuring, and preserving each individual's right to practice their religion.</w:t>
      </w:r>
    </w:p>
    <w:p w:rsidR="00AA1A42" w:rsidRPr="00144C93" w:rsidRDefault="00AA1A42" w:rsidP="00A26219">
      <w:pPr>
        <w:spacing w:after="120" w:line="240" w:lineRule="auto"/>
        <w:jc w:val="both"/>
        <w:rPr>
          <w:rFonts w:ascii="Book Antiqua" w:hAnsi="Book Antiqua" w:cs="Calibri"/>
          <w:bCs/>
          <w:color w:val="333333"/>
          <w:sz w:val="4"/>
        </w:rPr>
      </w:pPr>
    </w:p>
    <w:p w:rsidR="00E55E71" w:rsidRDefault="00E55E71" w:rsidP="00A26219">
      <w:pPr>
        <w:spacing w:after="120" w:line="240" w:lineRule="auto"/>
        <w:jc w:val="both"/>
        <w:rPr>
          <w:rFonts w:ascii="Book Antiqua" w:eastAsia="Arial Unicode MS" w:hAnsi="Book Antiqua" w:cstheme="majorHAnsi"/>
          <w:b/>
          <w:color w:val="2F5496" w:themeColor="accent1" w:themeShade="BF"/>
          <w:sz w:val="24"/>
          <w:szCs w:val="24"/>
          <w:lang w:val="en-GB"/>
        </w:rPr>
      </w:pPr>
    </w:p>
    <w:p w:rsidR="00643958" w:rsidRDefault="00643958" w:rsidP="00A26219">
      <w:pPr>
        <w:spacing w:after="120" w:line="240" w:lineRule="auto"/>
        <w:jc w:val="both"/>
        <w:rPr>
          <w:rFonts w:ascii="Book Antiqua" w:eastAsia="Arial Unicode MS" w:hAnsi="Book Antiqua" w:cstheme="majorHAnsi"/>
          <w:b/>
          <w:color w:val="2F5496" w:themeColor="accent1" w:themeShade="BF"/>
          <w:sz w:val="24"/>
          <w:szCs w:val="24"/>
          <w:lang w:val="en-GB"/>
        </w:rPr>
      </w:pPr>
    </w:p>
    <w:p w:rsidR="00643958" w:rsidRDefault="00643958" w:rsidP="00A26219">
      <w:pPr>
        <w:spacing w:after="120" w:line="240" w:lineRule="auto"/>
        <w:jc w:val="both"/>
        <w:rPr>
          <w:rFonts w:ascii="Book Antiqua" w:eastAsia="Arial Unicode MS" w:hAnsi="Book Antiqua" w:cstheme="majorHAnsi"/>
          <w:b/>
          <w:color w:val="2F5496" w:themeColor="accent1" w:themeShade="BF"/>
          <w:sz w:val="24"/>
          <w:szCs w:val="24"/>
          <w:lang w:val="en-GB"/>
        </w:rPr>
      </w:pPr>
    </w:p>
    <w:p w:rsidR="00643958" w:rsidRDefault="00643958" w:rsidP="00A26219">
      <w:pPr>
        <w:spacing w:after="120" w:line="240" w:lineRule="auto"/>
        <w:jc w:val="both"/>
        <w:rPr>
          <w:rFonts w:ascii="Book Antiqua" w:eastAsia="Arial Unicode MS" w:hAnsi="Book Antiqua" w:cstheme="majorHAnsi"/>
          <w:b/>
          <w:color w:val="2F5496" w:themeColor="accent1" w:themeShade="BF"/>
          <w:sz w:val="24"/>
          <w:szCs w:val="24"/>
          <w:lang w:val="en-GB"/>
        </w:rPr>
      </w:pPr>
    </w:p>
    <w:p w:rsidR="00E55E71" w:rsidRDefault="00E55E71" w:rsidP="00A26219">
      <w:pPr>
        <w:spacing w:after="120" w:line="240" w:lineRule="auto"/>
        <w:jc w:val="both"/>
        <w:rPr>
          <w:rFonts w:ascii="Book Antiqua" w:eastAsia="Arial Unicode MS" w:hAnsi="Book Antiqua" w:cstheme="majorHAnsi"/>
          <w:b/>
          <w:color w:val="2F5496" w:themeColor="accent1" w:themeShade="BF"/>
          <w:sz w:val="24"/>
          <w:szCs w:val="24"/>
          <w:lang w:val="en-GB"/>
        </w:rPr>
      </w:pPr>
    </w:p>
    <w:p w:rsidR="00E55E71" w:rsidRDefault="00E55E71" w:rsidP="00A26219">
      <w:pPr>
        <w:spacing w:after="120" w:line="240" w:lineRule="auto"/>
        <w:jc w:val="both"/>
        <w:rPr>
          <w:rFonts w:ascii="Book Antiqua" w:eastAsia="Arial Unicode MS" w:hAnsi="Book Antiqua" w:cstheme="majorHAnsi"/>
          <w:b/>
          <w:color w:val="2F5496" w:themeColor="accent1" w:themeShade="BF"/>
          <w:sz w:val="24"/>
          <w:szCs w:val="24"/>
          <w:lang w:val="en-GB"/>
        </w:rPr>
      </w:pPr>
    </w:p>
    <w:p w:rsidR="00916307" w:rsidRPr="00144C93" w:rsidRDefault="00916307" w:rsidP="00916307">
      <w:pPr>
        <w:spacing w:after="120" w:line="240" w:lineRule="auto"/>
        <w:jc w:val="both"/>
        <w:rPr>
          <w:rFonts w:ascii="Book Antiqua" w:eastAsia="Arial Unicode MS" w:hAnsi="Book Antiqua" w:cstheme="majorHAnsi"/>
          <w:b/>
          <w:color w:val="2F5496" w:themeColor="accent1" w:themeShade="BF"/>
          <w:sz w:val="24"/>
          <w:szCs w:val="24"/>
          <w:lang w:val="en-GB"/>
        </w:rPr>
      </w:pPr>
      <w:r w:rsidRPr="00144C93">
        <w:rPr>
          <w:rFonts w:ascii="Book Antiqua" w:eastAsia="Arial Unicode MS" w:hAnsi="Book Antiqua" w:cstheme="majorHAnsi"/>
          <w:b/>
          <w:color w:val="2F5496" w:themeColor="accent1" w:themeShade="BF"/>
          <w:sz w:val="24"/>
          <w:szCs w:val="24"/>
          <w:lang w:val="en-GB"/>
        </w:rPr>
        <w:lastRenderedPageBreak/>
        <w:t>REFERENCES</w:t>
      </w:r>
    </w:p>
    <w:p w:rsidR="00916307" w:rsidRPr="00C0082A" w:rsidRDefault="00916307" w:rsidP="00916307">
      <w:pPr>
        <w:pStyle w:val="Heading3"/>
        <w:spacing w:before="0" w:line="240" w:lineRule="auto"/>
        <w:jc w:val="both"/>
        <w:rPr>
          <w:rFonts w:ascii="Book Antiqua" w:hAnsi="Book Antiqua" w:cstheme="majorHAnsi"/>
          <w:b/>
          <w:i/>
          <w:color w:val="000000" w:themeColor="text1"/>
          <w:lang w:val="en-GB"/>
        </w:rPr>
      </w:pPr>
      <w:r w:rsidRPr="00C0082A">
        <w:rPr>
          <w:rFonts w:ascii="Book Antiqua" w:hAnsi="Book Antiqua" w:cstheme="majorHAnsi"/>
          <w:b/>
          <w:i/>
          <w:color w:val="000000" w:themeColor="text1"/>
          <w:lang w:val="en-GB"/>
        </w:rPr>
        <w:t>Journal Article</w:t>
      </w:r>
    </w:p>
    <w:p w:rsidR="00D23BD3" w:rsidRPr="00D23BD3" w:rsidRDefault="00D23BD3" w:rsidP="00C0082A">
      <w:pPr>
        <w:widowControl w:val="0"/>
        <w:autoSpaceDE w:val="0"/>
        <w:autoSpaceDN w:val="0"/>
        <w:adjustRightInd w:val="0"/>
        <w:spacing w:after="120" w:line="240" w:lineRule="auto"/>
        <w:ind w:left="480" w:hanging="480"/>
        <w:jc w:val="both"/>
        <w:rPr>
          <w:rFonts w:ascii="Book Antiqua" w:hAnsi="Book Antiqua"/>
          <w:noProof/>
          <w:sz w:val="24"/>
          <w:szCs w:val="24"/>
        </w:rPr>
      </w:pPr>
      <w:r>
        <w:rPr>
          <w:rFonts w:ascii="Book Antiqua" w:eastAsia="Arial Unicode MS" w:hAnsi="Book Antiqua" w:cstheme="majorHAnsi"/>
          <w:b/>
          <w:color w:val="2F5496" w:themeColor="accent1" w:themeShade="BF"/>
          <w:sz w:val="24"/>
          <w:szCs w:val="24"/>
          <w:lang w:val="en-GB"/>
        </w:rPr>
        <w:fldChar w:fldCharType="begin" w:fldLock="1"/>
      </w:r>
      <w:r>
        <w:rPr>
          <w:rFonts w:ascii="Book Antiqua" w:eastAsia="Arial Unicode MS" w:hAnsi="Book Antiqua" w:cstheme="majorHAnsi"/>
          <w:b/>
          <w:color w:val="2F5496" w:themeColor="accent1" w:themeShade="BF"/>
          <w:sz w:val="24"/>
          <w:szCs w:val="24"/>
          <w:lang w:val="en-GB"/>
        </w:rPr>
        <w:instrText xml:space="preserve">ADDIN Mendeley Bibliography CSL_BIBLIOGRAPHY </w:instrText>
      </w:r>
      <w:r>
        <w:rPr>
          <w:rFonts w:ascii="Book Antiqua" w:eastAsia="Arial Unicode MS" w:hAnsi="Book Antiqua" w:cstheme="majorHAnsi"/>
          <w:b/>
          <w:color w:val="2F5496" w:themeColor="accent1" w:themeShade="BF"/>
          <w:sz w:val="24"/>
          <w:szCs w:val="24"/>
          <w:lang w:val="en-GB"/>
        </w:rPr>
        <w:fldChar w:fldCharType="separate"/>
      </w:r>
      <w:r w:rsidRPr="00D23BD3">
        <w:rPr>
          <w:rFonts w:ascii="Book Antiqua" w:hAnsi="Book Antiqua"/>
          <w:noProof/>
          <w:sz w:val="24"/>
          <w:szCs w:val="24"/>
        </w:rPr>
        <w:t>Akbar, Irwan. “Dinamika Kasus Penistaan Agama Di Indonesia (Polemik Pemaknaan Ayat-Ayat Penistaan Dan U</w:t>
      </w:r>
      <w:r w:rsidR="00916307">
        <w:rPr>
          <w:rFonts w:ascii="Book Antiqua" w:hAnsi="Book Antiqua"/>
          <w:noProof/>
          <w:sz w:val="24"/>
          <w:szCs w:val="24"/>
        </w:rPr>
        <w:t xml:space="preserve">ndang-UNdang Penodaan Agama), </w:t>
      </w:r>
      <w:r w:rsidRPr="00D23BD3">
        <w:rPr>
          <w:rFonts w:ascii="Book Antiqua" w:hAnsi="Book Antiqua"/>
          <w:noProof/>
          <w:sz w:val="24"/>
          <w:szCs w:val="24"/>
        </w:rPr>
        <w:t xml:space="preserve">” </w:t>
      </w:r>
      <w:r w:rsidRPr="00D23BD3">
        <w:rPr>
          <w:rFonts w:ascii="Book Antiqua" w:hAnsi="Book Antiqua"/>
          <w:i/>
          <w:iCs/>
          <w:noProof/>
          <w:sz w:val="24"/>
          <w:szCs w:val="24"/>
        </w:rPr>
        <w:t>QOF: Jurnal Studi Al-Qur`an Dan Tafsir</w:t>
      </w:r>
      <w:r w:rsidRPr="00D23BD3">
        <w:rPr>
          <w:rFonts w:ascii="Book Antiqua" w:hAnsi="Book Antiqua"/>
          <w:noProof/>
          <w:sz w:val="24"/>
          <w:szCs w:val="24"/>
        </w:rPr>
        <w:t xml:space="preserve"> 3, no. 1 (2019): 89–105.</w:t>
      </w:r>
    </w:p>
    <w:p w:rsidR="00D23BD3" w:rsidRPr="00D23BD3" w:rsidRDefault="00D23BD3" w:rsidP="00C0082A">
      <w:pPr>
        <w:widowControl w:val="0"/>
        <w:autoSpaceDE w:val="0"/>
        <w:autoSpaceDN w:val="0"/>
        <w:adjustRightInd w:val="0"/>
        <w:spacing w:after="120" w:line="240" w:lineRule="auto"/>
        <w:ind w:left="480" w:hanging="480"/>
        <w:jc w:val="both"/>
        <w:rPr>
          <w:rFonts w:ascii="Book Antiqua" w:hAnsi="Book Antiqua"/>
          <w:noProof/>
          <w:sz w:val="24"/>
          <w:szCs w:val="24"/>
        </w:rPr>
      </w:pPr>
      <w:r w:rsidRPr="00D23BD3">
        <w:rPr>
          <w:rFonts w:ascii="Book Antiqua" w:hAnsi="Book Antiqua"/>
          <w:noProof/>
          <w:sz w:val="24"/>
          <w:szCs w:val="24"/>
        </w:rPr>
        <w:t xml:space="preserve">Bielefeldt, Heiner. “Freedom of Religion or Belief: A Human Right under Pressure.” </w:t>
      </w:r>
      <w:r w:rsidRPr="00D23BD3">
        <w:rPr>
          <w:rFonts w:ascii="Book Antiqua" w:hAnsi="Book Antiqua"/>
          <w:i/>
          <w:iCs/>
          <w:noProof/>
          <w:sz w:val="24"/>
          <w:szCs w:val="24"/>
        </w:rPr>
        <w:t>Oxford Journal of Law and Religion</w:t>
      </w:r>
      <w:r w:rsidRPr="00D23BD3">
        <w:rPr>
          <w:rFonts w:ascii="Book Antiqua" w:hAnsi="Book Antiqua"/>
          <w:noProof/>
          <w:sz w:val="24"/>
          <w:szCs w:val="24"/>
        </w:rPr>
        <w:t xml:space="preserve"> 1, no. 1 (2012): 15–35.</w:t>
      </w:r>
    </w:p>
    <w:p w:rsidR="00D23BD3" w:rsidRPr="00D23BD3" w:rsidRDefault="00D23BD3" w:rsidP="00C0082A">
      <w:pPr>
        <w:widowControl w:val="0"/>
        <w:autoSpaceDE w:val="0"/>
        <w:autoSpaceDN w:val="0"/>
        <w:adjustRightInd w:val="0"/>
        <w:spacing w:after="120" w:line="240" w:lineRule="auto"/>
        <w:ind w:left="480" w:hanging="480"/>
        <w:jc w:val="both"/>
        <w:rPr>
          <w:rFonts w:ascii="Book Antiqua" w:hAnsi="Book Antiqua"/>
          <w:noProof/>
          <w:sz w:val="24"/>
          <w:szCs w:val="24"/>
        </w:rPr>
      </w:pPr>
      <w:r w:rsidRPr="00D23BD3">
        <w:rPr>
          <w:rFonts w:ascii="Book Antiqua" w:hAnsi="Book Antiqua"/>
          <w:noProof/>
          <w:sz w:val="24"/>
          <w:szCs w:val="24"/>
        </w:rPr>
        <w:t xml:space="preserve">Bohlander, Michael. “There Is No Compulsion in Religion: Freedom of Religion, Responsibility to Protect (R2P) and Crimes Against Humanity at the Example of the Islamic Blasphemy Laws of Pakistan.” </w:t>
      </w:r>
      <w:r w:rsidRPr="00D23BD3">
        <w:rPr>
          <w:rFonts w:ascii="Book Antiqua" w:hAnsi="Book Antiqua"/>
          <w:i/>
          <w:iCs/>
          <w:noProof/>
          <w:sz w:val="24"/>
          <w:szCs w:val="24"/>
        </w:rPr>
        <w:t>J. Islamic St. Prac. Int’enational Law</w:t>
      </w:r>
      <w:r w:rsidRPr="00D23BD3">
        <w:rPr>
          <w:rFonts w:ascii="Book Antiqua" w:hAnsi="Book Antiqua"/>
          <w:noProof/>
          <w:sz w:val="24"/>
          <w:szCs w:val="24"/>
        </w:rPr>
        <w:t xml:space="preserve"> 8 (2012): 36–40.</w:t>
      </w:r>
    </w:p>
    <w:p w:rsidR="00D23BD3" w:rsidRPr="00D23BD3" w:rsidRDefault="00D23BD3" w:rsidP="00C0082A">
      <w:pPr>
        <w:widowControl w:val="0"/>
        <w:autoSpaceDE w:val="0"/>
        <w:autoSpaceDN w:val="0"/>
        <w:adjustRightInd w:val="0"/>
        <w:spacing w:after="120" w:line="240" w:lineRule="auto"/>
        <w:ind w:left="480" w:hanging="480"/>
        <w:jc w:val="both"/>
        <w:rPr>
          <w:rFonts w:ascii="Book Antiqua" w:hAnsi="Book Antiqua"/>
          <w:noProof/>
          <w:sz w:val="24"/>
          <w:szCs w:val="24"/>
        </w:rPr>
      </w:pPr>
      <w:r w:rsidRPr="00D23BD3">
        <w:rPr>
          <w:rFonts w:ascii="Book Antiqua" w:hAnsi="Book Antiqua"/>
          <w:noProof/>
          <w:sz w:val="24"/>
          <w:szCs w:val="24"/>
        </w:rPr>
        <w:t xml:space="preserve">Crouch, Melissa A. “Law and Religion in Indonesia: The Constitutional Court and the Blasphemy Law.” </w:t>
      </w:r>
      <w:r w:rsidRPr="00D23BD3">
        <w:rPr>
          <w:rFonts w:ascii="Book Antiqua" w:hAnsi="Book Antiqua"/>
          <w:i/>
          <w:iCs/>
          <w:noProof/>
          <w:sz w:val="24"/>
          <w:szCs w:val="24"/>
        </w:rPr>
        <w:t>Asian Journal of Comparative Law</w:t>
      </w:r>
      <w:r w:rsidRPr="00D23BD3">
        <w:rPr>
          <w:rFonts w:ascii="Book Antiqua" w:hAnsi="Book Antiqua"/>
          <w:noProof/>
          <w:sz w:val="24"/>
          <w:szCs w:val="24"/>
        </w:rPr>
        <w:t xml:space="preserve"> 7, no. 1 (2012): 1–45.</w:t>
      </w:r>
    </w:p>
    <w:p w:rsidR="00D23BD3" w:rsidRPr="00D23BD3" w:rsidRDefault="00D23BD3" w:rsidP="00C0082A">
      <w:pPr>
        <w:widowControl w:val="0"/>
        <w:autoSpaceDE w:val="0"/>
        <w:autoSpaceDN w:val="0"/>
        <w:adjustRightInd w:val="0"/>
        <w:spacing w:after="120" w:line="240" w:lineRule="auto"/>
        <w:ind w:left="480" w:hanging="480"/>
        <w:jc w:val="both"/>
        <w:rPr>
          <w:rFonts w:ascii="Book Antiqua" w:hAnsi="Book Antiqua"/>
          <w:noProof/>
          <w:sz w:val="24"/>
          <w:szCs w:val="24"/>
        </w:rPr>
      </w:pPr>
      <w:r w:rsidRPr="00D23BD3">
        <w:rPr>
          <w:rFonts w:ascii="Book Antiqua" w:hAnsi="Book Antiqua"/>
          <w:noProof/>
          <w:sz w:val="24"/>
          <w:szCs w:val="24"/>
        </w:rPr>
        <w:t xml:space="preserve">Dahri, Muhammad. “Tindak Pidana Penodaan Agama Di Indonesia: Tinjauan Pengaturan Perundang-Undangan Dan Konsep Hukum Islam.” </w:t>
      </w:r>
      <w:r w:rsidRPr="00D23BD3">
        <w:rPr>
          <w:rFonts w:ascii="Book Antiqua" w:hAnsi="Book Antiqua"/>
          <w:i/>
          <w:iCs/>
          <w:noProof/>
          <w:sz w:val="24"/>
          <w:szCs w:val="24"/>
        </w:rPr>
        <w:t>At-Tafahum: Journal of Islamic Law</w:t>
      </w:r>
      <w:r w:rsidRPr="00D23BD3">
        <w:rPr>
          <w:rFonts w:ascii="Book Antiqua" w:hAnsi="Book Antiqua"/>
          <w:noProof/>
          <w:sz w:val="24"/>
          <w:szCs w:val="24"/>
        </w:rPr>
        <w:t xml:space="preserve"> 1, no. 2 (2017): 57–71.</w:t>
      </w:r>
    </w:p>
    <w:p w:rsidR="00D23BD3" w:rsidRPr="00D23BD3" w:rsidRDefault="00D23BD3" w:rsidP="00C0082A">
      <w:pPr>
        <w:widowControl w:val="0"/>
        <w:autoSpaceDE w:val="0"/>
        <w:autoSpaceDN w:val="0"/>
        <w:adjustRightInd w:val="0"/>
        <w:spacing w:after="120" w:line="240" w:lineRule="auto"/>
        <w:ind w:left="480" w:hanging="480"/>
        <w:jc w:val="both"/>
        <w:rPr>
          <w:rFonts w:ascii="Book Antiqua" w:hAnsi="Book Antiqua"/>
          <w:noProof/>
          <w:sz w:val="24"/>
          <w:szCs w:val="24"/>
        </w:rPr>
      </w:pPr>
      <w:r w:rsidRPr="00D23BD3">
        <w:rPr>
          <w:rFonts w:ascii="Book Antiqua" w:hAnsi="Book Antiqua"/>
          <w:noProof/>
          <w:sz w:val="24"/>
          <w:szCs w:val="24"/>
        </w:rPr>
        <w:t xml:space="preserve">Hatta, Muhammad. “Kejahatan Penistaan Agama Dan Konsekuensi Hukumnya.” </w:t>
      </w:r>
      <w:r w:rsidRPr="00D23BD3">
        <w:rPr>
          <w:rFonts w:ascii="Book Antiqua" w:hAnsi="Book Antiqua"/>
          <w:i/>
          <w:iCs/>
          <w:noProof/>
          <w:sz w:val="24"/>
          <w:szCs w:val="24"/>
        </w:rPr>
        <w:t>Al’ Adl : Jurnal Hukum</w:t>
      </w:r>
      <w:r w:rsidRPr="00D23BD3">
        <w:rPr>
          <w:rFonts w:ascii="Book Antiqua" w:hAnsi="Book Antiqua"/>
          <w:noProof/>
          <w:sz w:val="24"/>
          <w:szCs w:val="24"/>
        </w:rPr>
        <w:t xml:space="preserve"> 13, no. 2 (2021): 342–68.</w:t>
      </w:r>
    </w:p>
    <w:p w:rsidR="00D23BD3" w:rsidRPr="00D23BD3" w:rsidRDefault="00D23BD3" w:rsidP="00C0082A">
      <w:pPr>
        <w:widowControl w:val="0"/>
        <w:autoSpaceDE w:val="0"/>
        <w:autoSpaceDN w:val="0"/>
        <w:adjustRightInd w:val="0"/>
        <w:spacing w:after="120" w:line="240" w:lineRule="auto"/>
        <w:ind w:left="480" w:hanging="480"/>
        <w:jc w:val="both"/>
        <w:rPr>
          <w:rFonts w:ascii="Book Antiqua" w:hAnsi="Book Antiqua"/>
          <w:noProof/>
          <w:sz w:val="24"/>
          <w:szCs w:val="24"/>
        </w:rPr>
      </w:pPr>
      <w:r w:rsidRPr="00D23BD3">
        <w:rPr>
          <w:rFonts w:ascii="Book Antiqua" w:hAnsi="Book Antiqua"/>
          <w:noProof/>
          <w:sz w:val="24"/>
          <w:szCs w:val="24"/>
        </w:rPr>
        <w:t xml:space="preserve">Hilman, Didi. “Tindak Pidana Agama Menurut Perspektif Hukum Islam, Hukum Positif Dan Hak Asasi Manusia.” </w:t>
      </w:r>
      <w:r w:rsidRPr="00D23BD3">
        <w:rPr>
          <w:rFonts w:ascii="Book Antiqua" w:hAnsi="Book Antiqua"/>
          <w:i/>
          <w:iCs/>
          <w:noProof/>
          <w:sz w:val="24"/>
          <w:szCs w:val="24"/>
        </w:rPr>
        <w:t>MIZAN: Journal of Islamic Law</w:t>
      </w:r>
      <w:r w:rsidRPr="00D23BD3">
        <w:rPr>
          <w:rFonts w:ascii="Book Antiqua" w:hAnsi="Book Antiqua"/>
          <w:noProof/>
          <w:sz w:val="24"/>
          <w:szCs w:val="24"/>
        </w:rPr>
        <w:t xml:space="preserve"> 4, no. 1 (2020): 31–46.</w:t>
      </w:r>
    </w:p>
    <w:p w:rsidR="00D23BD3" w:rsidRPr="00D23BD3" w:rsidRDefault="00D23BD3" w:rsidP="00C0082A">
      <w:pPr>
        <w:widowControl w:val="0"/>
        <w:autoSpaceDE w:val="0"/>
        <w:autoSpaceDN w:val="0"/>
        <w:adjustRightInd w:val="0"/>
        <w:spacing w:after="120" w:line="240" w:lineRule="auto"/>
        <w:ind w:left="480" w:hanging="480"/>
        <w:jc w:val="both"/>
        <w:rPr>
          <w:rFonts w:ascii="Book Antiqua" w:hAnsi="Book Antiqua"/>
          <w:noProof/>
          <w:sz w:val="24"/>
          <w:szCs w:val="24"/>
        </w:rPr>
      </w:pPr>
      <w:r w:rsidRPr="00D23BD3">
        <w:rPr>
          <w:rFonts w:ascii="Book Antiqua" w:hAnsi="Book Antiqua"/>
          <w:noProof/>
          <w:sz w:val="24"/>
          <w:szCs w:val="24"/>
        </w:rPr>
        <w:t xml:space="preserve">Idami, Zahratul. “Law Protection By A State For Religion Believers In Indonesia And Its Comparison With Islamic Laws.” </w:t>
      </w:r>
      <w:r w:rsidRPr="00D23BD3">
        <w:rPr>
          <w:rFonts w:ascii="Book Antiqua" w:hAnsi="Book Antiqua"/>
          <w:i/>
          <w:iCs/>
          <w:noProof/>
          <w:sz w:val="24"/>
          <w:szCs w:val="24"/>
        </w:rPr>
        <w:t>Kanun: Jurnal Ilmu Hukum</w:t>
      </w:r>
      <w:r w:rsidRPr="00D23BD3">
        <w:rPr>
          <w:rFonts w:ascii="Book Antiqua" w:hAnsi="Book Antiqua"/>
          <w:noProof/>
          <w:sz w:val="24"/>
          <w:szCs w:val="24"/>
        </w:rPr>
        <w:t xml:space="preserve"> 18, no. 1 (2016): 69–92.</w:t>
      </w:r>
    </w:p>
    <w:p w:rsidR="00C0082A" w:rsidRPr="00D23BD3" w:rsidRDefault="00C0082A" w:rsidP="00C0082A">
      <w:pPr>
        <w:widowControl w:val="0"/>
        <w:autoSpaceDE w:val="0"/>
        <w:autoSpaceDN w:val="0"/>
        <w:adjustRightInd w:val="0"/>
        <w:spacing w:after="120" w:line="240" w:lineRule="auto"/>
        <w:ind w:left="480" w:hanging="480"/>
        <w:jc w:val="both"/>
        <w:rPr>
          <w:rFonts w:ascii="Book Antiqua" w:hAnsi="Book Antiqua"/>
          <w:noProof/>
          <w:sz w:val="24"/>
          <w:szCs w:val="24"/>
        </w:rPr>
      </w:pPr>
      <w:r w:rsidRPr="00D23BD3">
        <w:rPr>
          <w:rFonts w:ascii="Book Antiqua" w:hAnsi="Book Antiqua"/>
          <w:noProof/>
          <w:sz w:val="24"/>
          <w:szCs w:val="24"/>
        </w:rPr>
        <w:t xml:space="preserve">Ismuhadi. </w:t>
      </w:r>
      <w:r w:rsidRPr="00D23BD3">
        <w:rPr>
          <w:rFonts w:ascii="Book Antiqua" w:hAnsi="Book Antiqua"/>
          <w:i/>
          <w:iCs/>
          <w:noProof/>
          <w:sz w:val="24"/>
          <w:szCs w:val="24"/>
        </w:rPr>
        <w:t>Analisa Pidana Hukum Dan Kriminologi Terhadap Tindak Pidana Di Indonesia</w:t>
      </w:r>
      <w:r w:rsidRPr="00D23BD3">
        <w:rPr>
          <w:rFonts w:ascii="Book Antiqua" w:hAnsi="Book Antiqua"/>
          <w:noProof/>
          <w:sz w:val="24"/>
          <w:szCs w:val="24"/>
        </w:rPr>
        <w:t>. Medan: www.repository.usu.ac.id/bitstream/123456789/12134/1/09E02103.pdf, 2019.</w:t>
      </w:r>
    </w:p>
    <w:p w:rsidR="00D23BD3" w:rsidRPr="00D23BD3" w:rsidRDefault="00D23BD3" w:rsidP="00C0082A">
      <w:pPr>
        <w:widowControl w:val="0"/>
        <w:autoSpaceDE w:val="0"/>
        <w:autoSpaceDN w:val="0"/>
        <w:adjustRightInd w:val="0"/>
        <w:spacing w:after="120" w:line="240" w:lineRule="auto"/>
        <w:ind w:left="480" w:hanging="480"/>
        <w:jc w:val="both"/>
        <w:rPr>
          <w:rFonts w:ascii="Book Antiqua" w:hAnsi="Book Antiqua"/>
          <w:noProof/>
          <w:sz w:val="24"/>
          <w:szCs w:val="24"/>
        </w:rPr>
      </w:pPr>
      <w:r w:rsidRPr="00D23BD3">
        <w:rPr>
          <w:rFonts w:ascii="Book Antiqua" w:hAnsi="Book Antiqua"/>
          <w:noProof/>
          <w:sz w:val="24"/>
          <w:szCs w:val="24"/>
        </w:rPr>
        <w:t xml:space="preserve">Makin, Al. “Not A Religious State; A Study of Three Indonesian Religious Leaders on The Relation of State And Religion.” </w:t>
      </w:r>
      <w:r w:rsidRPr="00D23BD3">
        <w:rPr>
          <w:rFonts w:ascii="Book Antiqua" w:hAnsi="Book Antiqua"/>
          <w:i/>
          <w:iCs/>
          <w:noProof/>
          <w:sz w:val="24"/>
          <w:szCs w:val="24"/>
        </w:rPr>
        <w:t>Journal Indonesia and the Malay Word</w:t>
      </w:r>
      <w:r w:rsidRPr="00D23BD3">
        <w:rPr>
          <w:rFonts w:ascii="Book Antiqua" w:hAnsi="Book Antiqua"/>
          <w:noProof/>
          <w:sz w:val="24"/>
          <w:szCs w:val="24"/>
        </w:rPr>
        <w:t xml:space="preserve"> 45 (2017): 1–22.</w:t>
      </w:r>
    </w:p>
    <w:p w:rsidR="00D23BD3" w:rsidRPr="00D23BD3" w:rsidRDefault="00D23BD3" w:rsidP="00C0082A">
      <w:pPr>
        <w:widowControl w:val="0"/>
        <w:autoSpaceDE w:val="0"/>
        <w:autoSpaceDN w:val="0"/>
        <w:adjustRightInd w:val="0"/>
        <w:spacing w:after="120" w:line="240" w:lineRule="auto"/>
        <w:ind w:left="480" w:hanging="480"/>
        <w:jc w:val="both"/>
        <w:rPr>
          <w:rFonts w:ascii="Book Antiqua" w:hAnsi="Book Antiqua"/>
          <w:noProof/>
          <w:sz w:val="24"/>
          <w:szCs w:val="24"/>
        </w:rPr>
      </w:pPr>
      <w:r w:rsidRPr="00D23BD3">
        <w:rPr>
          <w:rFonts w:ascii="Book Antiqua" w:hAnsi="Book Antiqua"/>
          <w:noProof/>
          <w:sz w:val="24"/>
          <w:szCs w:val="24"/>
        </w:rPr>
        <w:t xml:space="preserve">Maula, Bani Syarif. “Religious Freedom In Indonesia Between Upholding Constitutional Provisions and Complying with Social Considerations.” </w:t>
      </w:r>
      <w:r w:rsidRPr="00D23BD3">
        <w:rPr>
          <w:rFonts w:ascii="Book Antiqua" w:hAnsi="Book Antiqua"/>
          <w:i/>
          <w:iCs/>
          <w:noProof/>
          <w:sz w:val="24"/>
          <w:szCs w:val="24"/>
        </w:rPr>
        <w:t>Journal Of Indonesian Islam</w:t>
      </w:r>
      <w:r w:rsidRPr="00D23BD3">
        <w:rPr>
          <w:rFonts w:ascii="Book Antiqua" w:hAnsi="Book Antiqua"/>
          <w:noProof/>
          <w:sz w:val="24"/>
          <w:szCs w:val="24"/>
        </w:rPr>
        <w:t xml:space="preserve"> 7, no. 2 (2013): 383–403.</w:t>
      </w:r>
    </w:p>
    <w:p w:rsidR="00D23BD3" w:rsidRPr="00D23BD3" w:rsidRDefault="00D23BD3" w:rsidP="00C0082A">
      <w:pPr>
        <w:widowControl w:val="0"/>
        <w:autoSpaceDE w:val="0"/>
        <w:autoSpaceDN w:val="0"/>
        <w:adjustRightInd w:val="0"/>
        <w:spacing w:after="120" w:line="240" w:lineRule="auto"/>
        <w:ind w:left="480" w:hanging="480"/>
        <w:jc w:val="both"/>
        <w:rPr>
          <w:rFonts w:ascii="Book Antiqua" w:hAnsi="Book Antiqua"/>
          <w:noProof/>
          <w:sz w:val="24"/>
          <w:szCs w:val="24"/>
        </w:rPr>
      </w:pPr>
      <w:r w:rsidRPr="00D23BD3">
        <w:rPr>
          <w:rFonts w:ascii="Book Antiqua" w:hAnsi="Book Antiqua"/>
          <w:noProof/>
          <w:sz w:val="24"/>
          <w:szCs w:val="24"/>
        </w:rPr>
        <w:t xml:space="preserve">MD, Moh. Mahfud. “Politik Hukum Dalam Sistem Hukum Nasional.” </w:t>
      </w:r>
      <w:r w:rsidRPr="00D23BD3">
        <w:rPr>
          <w:rFonts w:ascii="Book Antiqua" w:hAnsi="Book Antiqua"/>
          <w:i/>
          <w:iCs/>
          <w:noProof/>
          <w:sz w:val="24"/>
          <w:szCs w:val="24"/>
        </w:rPr>
        <w:t>Varia Peradilan</w:t>
      </w:r>
      <w:r w:rsidRPr="00D23BD3">
        <w:rPr>
          <w:rFonts w:ascii="Book Antiqua" w:hAnsi="Book Antiqua"/>
          <w:noProof/>
          <w:sz w:val="24"/>
          <w:szCs w:val="24"/>
        </w:rPr>
        <w:t xml:space="preserve"> XXV (2010): 2.</w:t>
      </w:r>
    </w:p>
    <w:p w:rsidR="00D23BD3" w:rsidRDefault="00D23BD3" w:rsidP="00C0082A">
      <w:pPr>
        <w:widowControl w:val="0"/>
        <w:autoSpaceDE w:val="0"/>
        <w:autoSpaceDN w:val="0"/>
        <w:adjustRightInd w:val="0"/>
        <w:spacing w:after="120" w:line="240" w:lineRule="auto"/>
        <w:ind w:left="480" w:hanging="480"/>
        <w:jc w:val="both"/>
        <w:rPr>
          <w:rFonts w:ascii="Book Antiqua" w:hAnsi="Book Antiqua"/>
          <w:noProof/>
          <w:sz w:val="24"/>
          <w:szCs w:val="24"/>
        </w:rPr>
      </w:pPr>
      <w:r w:rsidRPr="00D23BD3">
        <w:rPr>
          <w:rFonts w:ascii="Book Antiqua" w:hAnsi="Book Antiqua"/>
          <w:noProof/>
          <w:sz w:val="24"/>
          <w:szCs w:val="24"/>
        </w:rPr>
        <w:t xml:space="preserve">MS, Afriandi. “Criminal Law Analysis of Religious Blasphemy Violation in Aceh.” </w:t>
      </w:r>
      <w:r w:rsidRPr="00D23BD3">
        <w:rPr>
          <w:rFonts w:ascii="Book Antiqua" w:hAnsi="Book Antiqua"/>
          <w:i/>
          <w:iCs/>
          <w:noProof/>
          <w:sz w:val="24"/>
          <w:szCs w:val="24"/>
        </w:rPr>
        <w:t>Dejure: Jurnal Penelitian Hukum</w:t>
      </w:r>
      <w:r w:rsidRPr="00D23BD3">
        <w:rPr>
          <w:rFonts w:ascii="Book Antiqua" w:hAnsi="Book Antiqua"/>
          <w:noProof/>
          <w:sz w:val="24"/>
          <w:szCs w:val="24"/>
        </w:rPr>
        <w:t xml:space="preserve"> 17, no. 1 (2017): 1–12.</w:t>
      </w:r>
    </w:p>
    <w:p w:rsidR="00C0082A" w:rsidRPr="00D23BD3" w:rsidRDefault="00C0082A" w:rsidP="00C0082A">
      <w:pPr>
        <w:widowControl w:val="0"/>
        <w:autoSpaceDE w:val="0"/>
        <w:autoSpaceDN w:val="0"/>
        <w:adjustRightInd w:val="0"/>
        <w:spacing w:after="120" w:line="240" w:lineRule="auto"/>
        <w:ind w:left="480" w:hanging="480"/>
        <w:jc w:val="both"/>
        <w:rPr>
          <w:rFonts w:ascii="Book Antiqua" w:hAnsi="Book Antiqua"/>
          <w:noProof/>
          <w:sz w:val="24"/>
          <w:szCs w:val="24"/>
        </w:rPr>
      </w:pPr>
      <w:r w:rsidRPr="00D23BD3">
        <w:rPr>
          <w:rFonts w:ascii="Book Antiqua" w:hAnsi="Book Antiqua"/>
          <w:noProof/>
          <w:sz w:val="24"/>
          <w:szCs w:val="24"/>
        </w:rPr>
        <w:t>Medistiara, Yulida. “YLBHI Catat 38 Kasus Penodaan Agama Hingga Mei, Ada Yang Jerat ABG.” www.detik.com, 2020. https://news.detik.com/berita/d-5141781/ylbhi-catat-38-kasus-penodaan-agama-hingga-mei-ada-yangjerat-abg.</w:t>
      </w:r>
    </w:p>
    <w:p w:rsidR="00D23BD3" w:rsidRPr="00D23BD3" w:rsidRDefault="00D23BD3" w:rsidP="00C0082A">
      <w:pPr>
        <w:widowControl w:val="0"/>
        <w:autoSpaceDE w:val="0"/>
        <w:autoSpaceDN w:val="0"/>
        <w:adjustRightInd w:val="0"/>
        <w:spacing w:after="120" w:line="240" w:lineRule="auto"/>
        <w:ind w:left="480" w:hanging="480"/>
        <w:jc w:val="both"/>
        <w:rPr>
          <w:rFonts w:ascii="Book Antiqua" w:hAnsi="Book Antiqua"/>
          <w:noProof/>
          <w:sz w:val="24"/>
          <w:szCs w:val="24"/>
        </w:rPr>
      </w:pPr>
      <w:r w:rsidRPr="00D23BD3">
        <w:rPr>
          <w:rFonts w:ascii="Book Antiqua" w:hAnsi="Book Antiqua"/>
          <w:noProof/>
          <w:sz w:val="24"/>
          <w:szCs w:val="24"/>
        </w:rPr>
        <w:t xml:space="preserve">Muktiomo. “Mengkaji Politik Hukum Kebebasan Beragama Dan Berkeyakinan Di Indonesia.” </w:t>
      </w:r>
      <w:r w:rsidRPr="00D23BD3">
        <w:rPr>
          <w:rFonts w:ascii="Book Antiqua" w:hAnsi="Book Antiqua"/>
          <w:i/>
          <w:iCs/>
          <w:noProof/>
          <w:sz w:val="24"/>
          <w:szCs w:val="24"/>
        </w:rPr>
        <w:t>Jurnal Dinamika Hukum</w:t>
      </w:r>
      <w:r w:rsidRPr="00D23BD3">
        <w:rPr>
          <w:rFonts w:ascii="Book Antiqua" w:hAnsi="Book Antiqua"/>
          <w:noProof/>
          <w:sz w:val="24"/>
          <w:szCs w:val="24"/>
        </w:rPr>
        <w:t xml:space="preserve"> 12, no. 2 (2012): 344–57.</w:t>
      </w:r>
    </w:p>
    <w:p w:rsidR="00D23BD3" w:rsidRPr="00D23BD3" w:rsidRDefault="00D23BD3" w:rsidP="00C0082A">
      <w:pPr>
        <w:widowControl w:val="0"/>
        <w:autoSpaceDE w:val="0"/>
        <w:autoSpaceDN w:val="0"/>
        <w:adjustRightInd w:val="0"/>
        <w:spacing w:after="120" w:line="240" w:lineRule="auto"/>
        <w:ind w:left="480" w:hanging="480"/>
        <w:jc w:val="both"/>
        <w:rPr>
          <w:rFonts w:ascii="Book Antiqua" w:hAnsi="Book Antiqua"/>
          <w:noProof/>
          <w:sz w:val="24"/>
          <w:szCs w:val="24"/>
        </w:rPr>
      </w:pPr>
      <w:r w:rsidRPr="00D23BD3">
        <w:rPr>
          <w:rFonts w:ascii="Book Antiqua" w:hAnsi="Book Antiqua"/>
          <w:noProof/>
          <w:sz w:val="24"/>
          <w:szCs w:val="24"/>
        </w:rPr>
        <w:t xml:space="preserve">Prasetyo, Kresna Adi. “Analisis Hukum Pidana Mengenai Tindak Pidana Penistaan Agama Di Indonesia.” </w:t>
      </w:r>
      <w:r w:rsidRPr="00D23BD3">
        <w:rPr>
          <w:rFonts w:ascii="Book Antiqua" w:hAnsi="Book Antiqua"/>
          <w:i/>
          <w:iCs/>
          <w:noProof/>
          <w:sz w:val="24"/>
          <w:szCs w:val="24"/>
        </w:rPr>
        <w:t>Gorontalo Law Review</w:t>
      </w:r>
      <w:r w:rsidRPr="00D23BD3">
        <w:rPr>
          <w:rFonts w:ascii="Book Antiqua" w:hAnsi="Book Antiqua"/>
          <w:noProof/>
          <w:sz w:val="24"/>
          <w:szCs w:val="24"/>
        </w:rPr>
        <w:t xml:space="preserve"> 2, no. 1 (2019): 3.</w:t>
      </w:r>
    </w:p>
    <w:p w:rsidR="00D23BD3" w:rsidRDefault="00D23BD3" w:rsidP="00C0082A">
      <w:pPr>
        <w:widowControl w:val="0"/>
        <w:autoSpaceDE w:val="0"/>
        <w:autoSpaceDN w:val="0"/>
        <w:adjustRightInd w:val="0"/>
        <w:spacing w:after="120" w:line="240" w:lineRule="auto"/>
        <w:ind w:left="480" w:hanging="480"/>
        <w:jc w:val="both"/>
        <w:rPr>
          <w:rFonts w:ascii="Book Antiqua" w:hAnsi="Book Antiqua"/>
          <w:noProof/>
          <w:sz w:val="24"/>
          <w:szCs w:val="24"/>
        </w:rPr>
      </w:pPr>
      <w:r w:rsidRPr="00D23BD3">
        <w:rPr>
          <w:rFonts w:ascii="Book Antiqua" w:hAnsi="Book Antiqua"/>
          <w:noProof/>
          <w:sz w:val="24"/>
          <w:szCs w:val="24"/>
        </w:rPr>
        <w:lastRenderedPageBreak/>
        <w:t xml:space="preserve">Rahmawati, Mei. “Membedah Kasus Penistaan Agama Oleh Sang Murtad Kace, Vol 9, No 1 (2022), 24-36.” </w:t>
      </w:r>
      <w:r w:rsidRPr="00D23BD3">
        <w:rPr>
          <w:rFonts w:ascii="Book Antiqua" w:hAnsi="Book Antiqua"/>
          <w:i/>
          <w:iCs/>
          <w:noProof/>
          <w:sz w:val="24"/>
          <w:szCs w:val="24"/>
        </w:rPr>
        <w:t>Ar-Raniry: International Journal of Islamic Studies</w:t>
      </w:r>
      <w:r w:rsidRPr="00D23BD3">
        <w:rPr>
          <w:rFonts w:ascii="Book Antiqua" w:hAnsi="Book Antiqua"/>
          <w:noProof/>
          <w:sz w:val="24"/>
          <w:szCs w:val="24"/>
        </w:rPr>
        <w:t xml:space="preserve"> 9, no. 1 (2022): 24–36.</w:t>
      </w:r>
    </w:p>
    <w:p w:rsidR="00C0082A" w:rsidRPr="00D23BD3" w:rsidRDefault="00C0082A" w:rsidP="00C0082A">
      <w:pPr>
        <w:widowControl w:val="0"/>
        <w:autoSpaceDE w:val="0"/>
        <w:autoSpaceDN w:val="0"/>
        <w:adjustRightInd w:val="0"/>
        <w:spacing w:after="120" w:line="240" w:lineRule="auto"/>
        <w:ind w:left="480" w:hanging="480"/>
        <w:jc w:val="both"/>
        <w:rPr>
          <w:rFonts w:ascii="Book Antiqua" w:hAnsi="Book Antiqua"/>
          <w:noProof/>
          <w:sz w:val="24"/>
          <w:szCs w:val="24"/>
        </w:rPr>
      </w:pPr>
      <w:r w:rsidRPr="00D23BD3">
        <w:rPr>
          <w:rFonts w:ascii="Book Antiqua" w:hAnsi="Book Antiqua"/>
          <w:noProof/>
          <w:sz w:val="24"/>
          <w:szCs w:val="24"/>
        </w:rPr>
        <w:t>Redaksi BBC News Indonesia. “Vlog Masak Babi Kurma: Mencari Batas Antara Lelucon Dan Penistaan Agama.” www.bbc.com, 2018. https://www.bbc.com/indonesia/trensosial-46040537.</w:t>
      </w:r>
    </w:p>
    <w:p w:rsidR="00C0082A" w:rsidRPr="00D23BD3" w:rsidRDefault="00C0082A" w:rsidP="00C0082A">
      <w:pPr>
        <w:widowControl w:val="0"/>
        <w:autoSpaceDE w:val="0"/>
        <w:autoSpaceDN w:val="0"/>
        <w:adjustRightInd w:val="0"/>
        <w:spacing w:after="120" w:line="240" w:lineRule="auto"/>
        <w:ind w:left="480" w:hanging="480"/>
        <w:jc w:val="both"/>
        <w:rPr>
          <w:rFonts w:ascii="Book Antiqua" w:hAnsi="Book Antiqua"/>
          <w:noProof/>
          <w:sz w:val="24"/>
          <w:szCs w:val="24"/>
        </w:rPr>
      </w:pPr>
      <w:r w:rsidRPr="00D23BD3">
        <w:rPr>
          <w:rFonts w:ascii="Book Antiqua" w:hAnsi="Book Antiqua"/>
          <w:noProof/>
          <w:sz w:val="24"/>
          <w:szCs w:val="24"/>
        </w:rPr>
        <w:t>Redaksi. “Ustaz Abdul Somad Dilaporkan Ke Polda NTT.” www.cnnindonesia.com, 2019.</w:t>
      </w:r>
    </w:p>
    <w:p w:rsidR="00C0082A" w:rsidRPr="00D23BD3" w:rsidRDefault="00C0082A" w:rsidP="00C0082A">
      <w:pPr>
        <w:widowControl w:val="0"/>
        <w:autoSpaceDE w:val="0"/>
        <w:autoSpaceDN w:val="0"/>
        <w:adjustRightInd w:val="0"/>
        <w:spacing w:after="120" w:line="240" w:lineRule="auto"/>
        <w:ind w:left="480" w:hanging="480"/>
        <w:jc w:val="both"/>
        <w:rPr>
          <w:rFonts w:ascii="Book Antiqua" w:hAnsi="Book Antiqua"/>
          <w:noProof/>
          <w:sz w:val="24"/>
          <w:szCs w:val="24"/>
        </w:rPr>
      </w:pPr>
      <w:r w:rsidRPr="00D23BD3">
        <w:rPr>
          <w:rFonts w:ascii="Book Antiqua" w:hAnsi="Book Antiqua"/>
          <w:noProof/>
          <w:sz w:val="24"/>
          <w:szCs w:val="24"/>
        </w:rPr>
        <w:t>Ronald. “Ahok: Pidato Saya Baru Jadi Masalah Setelah Diposting Buni Yani.” www.detik.com, 2023. https://news.detik.com/berita/d-3482873/ahok-pidato-saya-baru-jadi-masalah-setelah-diposting-buni-yani.</w:t>
      </w:r>
    </w:p>
    <w:p w:rsidR="00D23BD3" w:rsidRPr="00D23BD3" w:rsidRDefault="00D23BD3" w:rsidP="00C0082A">
      <w:pPr>
        <w:widowControl w:val="0"/>
        <w:autoSpaceDE w:val="0"/>
        <w:autoSpaceDN w:val="0"/>
        <w:adjustRightInd w:val="0"/>
        <w:spacing w:after="120" w:line="240" w:lineRule="auto"/>
        <w:ind w:left="480" w:hanging="480"/>
        <w:jc w:val="both"/>
        <w:rPr>
          <w:rFonts w:ascii="Book Antiqua" w:hAnsi="Book Antiqua"/>
          <w:noProof/>
          <w:sz w:val="24"/>
          <w:szCs w:val="24"/>
        </w:rPr>
      </w:pPr>
      <w:r w:rsidRPr="00D23BD3">
        <w:rPr>
          <w:rFonts w:ascii="Book Antiqua" w:hAnsi="Book Antiqua"/>
          <w:noProof/>
          <w:sz w:val="24"/>
          <w:szCs w:val="24"/>
        </w:rPr>
        <w:t xml:space="preserve">Septiani, Rina. “Tindak Pidana Penistaan Agama Perspektif Hukum Islam Dan Hukum Positif Indonesia.” </w:t>
      </w:r>
      <w:r w:rsidRPr="00D23BD3">
        <w:rPr>
          <w:rFonts w:ascii="Book Antiqua" w:hAnsi="Book Antiqua"/>
          <w:i/>
          <w:iCs/>
          <w:noProof/>
          <w:sz w:val="24"/>
          <w:szCs w:val="24"/>
        </w:rPr>
        <w:t>Syariah: Jurnal Ilmu Hukum Dan Pemikiran</w:t>
      </w:r>
      <w:r w:rsidRPr="00D23BD3">
        <w:rPr>
          <w:rFonts w:ascii="Book Antiqua" w:hAnsi="Book Antiqua"/>
          <w:noProof/>
          <w:sz w:val="24"/>
          <w:szCs w:val="24"/>
        </w:rPr>
        <w:t xml:space="preserve"> 17, no. 1 (2017): 28.</w:t>
      </w:r>
    </w:p>
    <w:p w:rsidR="00D23BD3" w:rsidRPr="00D23BD3" w:rsidRDefault="00D23BD3" w:rsidP="00C0082A">
      <w:pPr>
        <w:widowControl w:val="0"/>
        <w:autoSpaceDE w:val="0"/>
        <w:autoSpaceDN w:val="0"/>
        <w:adjustRightInd w:val="0"/>
        <w:spacing w:after="120" w:line="240" w:lineRule="auto"/>
        <w:ind w:left="480" w:hanging="480"/>
        <w:jc w:val="both"/>
        <w:rPr>
          <w:rFonts w:ascii="Book Antiqua" w:hAnsi="Book Antiqua"/>
          <w:noProof/>
          <w:sz w:val="24"/>
          <w:szCs w:val="24"/>
        </w:rPr>
      </w:pPr>
      <w:r w:rsidRPr="00D23BD3">
        <w:rPr>
          <w:rFonts w:ascii="Book Antiqua" w:hAnsi="Book Antiqua"/>
          <w:noProof/>
          <w:sz w:val="24"/>
          <w:szCs w:val="24"/>
        </w:rPr>
        <w:t xml:space="preserve">Shakir, Naeem. “Islamic Shariah and Blasphemy Laws in Pakistan.” </w:t>
      </w:r>
      <w:r w:rsidRPr="00D23BD3">
        <w:rPr>
          <w:rFonts w:ascii="Book Antiqua" w:hAnsi="Book Antiqua"/>
          <w:i/>
          <w:iCs/>
          <w:noProof/>
          <w:sz w:val="24"/>
          <w:szCs w:val="24"/>
        </w:rPr>
        <w:t>Journal Of Islamic Law</w:t>
      </w:r>
      <w:r w:rsidRPr="00D23BD3">
        <w:rPr>
          <w:rFonts w:ascii="Book Antiqua" w:hAnsi="Book Antiqua"/>
          <w:noProof/>
          <w:sz w:val="24"/>
          <w:szCs w:val="24"/>
        </w:rPr>
        <w:t xml:space="preserve"> 4, no. 1 (2015): 307–17.</w:t>
      </w:r>
    </w:p>
    <w:p w:rsidR="00D23BD3" w:rsidRPr="00D23BD3" w:rsidRDefault="00D23BD3" w:rsidP="00C0082A">
      <w:pPr>
        <w:widowControl w:val="0"/>
        <w:autoSpaceDE w:val="0"/>
        <w:autoSpaceDN w:val="0"/>
        <w:adjustRightInd w:val="0"/>
        <w:spacing w:after="120" w:line="240" w:lineRule="auto"/>
        <w:ind w:left="480" w:hanging="480"/>
        <w:jc w:val="both"/>
        <w:rPr>
          <w:rFonts w:ascii="Book Antiqua" w:hAnsi="Book Antiqua"/>
          <w:noProof/>
          <w:sz w:val="24"/>
          <w:szCs w:val="24"/>
        </w:rPr>
      </w:pPr>
      <w:r w:rsidRPr="00D23BD3">
        <w:rPr>
          <w:rFonts w:ascii="Book Antiqua" w:hAnsi="Book Antiqua"/>
          <w:noProof/>
          <w:sz w:val="24"/>
          <w:szCs w:val="24"/>
        </w:rPr>
        <w:t xml:space="preserve">Tamale, Sylvia. “Exploring The Contours Of African Sexualities: Religion, Law And Power.” </w:t>
      </w:r>
      <w:r w:rsidRPr="00D23BD3">
        <w:rPr>
          <w:rFonts w:ascii="Book Antiqua" w:hAnsi="Book Antiqua"/>
          <w:i/>
          <w:iCs/>
          <w:noProof/>
          <w:sz w:val="24"/>
          <w:szCs w:val="24"/>
        </w:rPr>
        <w:t>African Human Rights Law Journal</w:t>
      </w:r>
      <w:r w:rsidRPr="00D23BD3">
        <w:rPr>
          <w:rFonts w:ascii="Book Antiqua" w:hAnsi="Book Antiqua"/>
          <w:noProof/>
          <w:sz w:val="24"/>
          <w:szCs w:val="24"/>
        </w:rPr>
        <w:t xml:space="preserve"> 14, no. 1 (2012): 150–77.</w:t>
      </w:r>
    </w:p>
    <w:p w:rsidR="00D23BD3" w:rsidRPr="00D23BD3" w:rsidRDefault="00D23BD3" w:rsidP="00C0082A">
      <w:pPr>
        <w:widowControl w:val="0"/>
        <w:autoSpaceDE w:val="0"/>
        <w:autoSpaceDN w:val="0"/>
        <w:adjustRightInd w:val="0"/>
        <w:spacing w:after="120" w:line="240" w:lineRule="auto"/>
        <w:ind w:left="480" w:hanging="480"/>
        <w:jc w:val="both"/>
        <w:rPr>
          <w:rFonts w:ascii="Book Antiqua" w:hAnsi="Book Antiqua"/>
          <w:noProof/>
          <w:sz w:val="24"/>
          <w:szCs w:val="24"/>
        </w:rPr>
      </w:pPr>
      <w:r w:rsidRPr="00D23BD3">
        <w:rPr>
          <w:rFonts w:ascii="Book Antiqua" w:hAnsi="Book Antiqua"/>
          <w:noProof/>
          <w:sz w:val="24"/>
          <w:szCs w:val="24"/>
        </w:rPr>
        <w:t xml:space="preserve">Usman, Abir. “Pakistan’s Blasphemy Laws as a Totem.” </w:t>
      </w:r>
      <w:r w:rsidRPr="00D23BD3">
        <w:rPr>
          <w:rFonts w:ascii="Book Antiqua" w:hAnsi="Book Antiqua"/>
          <w:i/>
          <w:iCs/>
          <w:noProof/>
          <w:sz w:val="24"/>
          <w:szCs w:val="24"/>
        </w:rPr>
        <w:t>Journal of Islamic Law</w:t>
      </w:r>
      <w:r w:rsidRPr="00D23BD3">
        <w:rPr>
          <w:rFonts w:ascii="Book Antiqua" w:hAnsi="Book Antiqua"/>
          <w:noProof/>
          <w:sz w:val="24"/>
          <w:szCs w:val="24"/>
        </w:rPr>
        <w:t xml:space="preserve"> 5, no. 68 (2022): 72–73.</w:t>
      </w:r>
    </w:p>
    <w:p w:rsidR="00D23BD3" w:rsidRPr="00D23BD3" w:rsidRDefault="00D23BD3" w:rsidP="00C0082A">
      <w:pPr>
        <w:widowControl w:val="0"/>
        <w:autoSpaceDE w:val="0"/>
        <w:autoSpaceDN w:val="0"/>
        <w:adjustRightInd w:val="0"/>
        <w:spacing w:after="120" w:line="240" w:lineRule="auto"/>
        <w:ind w:left="480" w:hanging="480"/>
        <w:jc w:val="both"/>
        <w:rPr>
          <w:rFonts w:ascii="Book Antiqua" w:hAnsi="Book Antiqua"/>
          <w:noProof/>
          <w:sz w:val="24"/>
          <w:szCs w:val="24"/>
        </w:rPr>
      </w:pPr>
      <w:r w:rsidRPr="00D23BD3">
        <w:rPr>
          <w:rFonts w:ascii="Book Antiqua" w:hAnsi="Book Antiqua"/>
          <w:noProof/>
          <w:sz w:val="24"/>
          <w:szCs w:val="24"/>
        </w:rPr>
        <w:t xml:space="preserve">Winkle, Andrew B. Van. “Separation Of Religion And State In Japan: A Pragmatic Interpretation of Articles 20 And 89 of The Japanese Constitution.” </w:t>
      </w:r>
      <w:r w:rsidRPr="00D23BD3">
        <w:rPr>
          <w:rFonts w:ascii="Book Antiqua" w:hAnsi="Book Antiqua"/>
          <w:i/>
          <w:iCs/>
          <w:noProof/>
          <w:sz w:val="24"/>
          <w:szCs w:val="24"/>
        </w:rPr>
        <w:t>Pacific Rim Law &amp; Policy Journal Association</w:t>
      </w:r>
      <w:r w:rsidRPr="00D23BD3">
        <w:rPr>
          <w:rFonts w:ascii="Book Antiqua" w:hAnsi="Book Antiqua"/>
          <w:noProof/>
          <w:sz w:val="24"/>
          <w:szCs w:val="24"/>
        </w:rPr>
        <w:t xml:space="preserve"> 21, no. 2 (2012): 363–70.</w:t>
      </w:r>
    </w:p>
    <w:p w:rsidR="00D23BD3" w:rsidRDefault="00D23BD3" w:rsidP="00C0082A">
      <w:pPr>
        <w:widowControl w:val="0"/>
        <w:autoSpaceDE w:val="0"/>
        <w:autoSpaceDN w:val="0"/>
        <w:adjustRightInd w:val="0"/>
        <w:spacing w:after="120" w:line="240" w:lineRule="auto"/>
        <w:ind w:left="480" w:hanging="480"/>
        <w:jc w:val="both"/>
        <w:rPr>
          <w:rFonts w:ascii="Book Antiqua" w:hAnsi="Book Antiqua"/>
          <w:noProof/>
          <w:sz w:val="24"/>
          <w:szCs w:val="24"/>
        </w:rPr>
      </w:pPr>
      <w:r w:rsidRPr="00D23BD3">
        <w:rPr>
          <w:rFonts w:ascii="Book Antiqua" w:hAnsi="Book Antiqua"/>
          <w:noProof/>
          <w:sz w:val="24"/>
          <w:szCs w:val="24"/>
        </w:rPr>
        <w:t xml:space="preserve">Yaqin, A. “Legal Research and Writting.” </w:t>
      </w:r>
      <w:r w:rsidRPr="00D23BD3">
        <w:rPr>
          <w:rFonts w:ascii="Book Antiqua" w:hAnsi="Book Antiqua"/>
          <w:i/>
          <w:iCs/>
          <w:noProof/>
          <w:sz w:val="24"/>
          <w:szCs w:val="24"/>
        </w:rPr>
        <w:t>Malayan Law Journal SDN BHD</w:t>
      </w:r>
      <w:r w:rsidRPr="00D23BD3">
        <w:rPr>
          <w:rFonts w:ascii="Book Antiqua" w:hAnsi="Book Antiqua"/>
          <w:noProof/>
          <w:sz w:val="24"/>
          <w:szCs w:val="24"/>
        </w:rPr>
        <w:t xml:space="preserve"> 1 (2007): 10.</w:t>
      </w:r>
    </w:p>
    <w:p w:rsidR="00C0082A" w:rsidRDefault="00C0082A" w:rsidP="00C0082A">
      <w:pPr>
        <w:widowControl w:val="0"/>
        <w:autoSpaceDE w:val="0"/>
        <w:autoSpaceDN w:val="0"/>
        <w:adjustRightInd w:val="0"/>
        <w:spacing w:after="120" w:line="240" w:lineRule="auto"/>
        <w:ind w:left="480" w:hanging="480"/>
        <w:jc w:val="both"/>
        <w:rPr>
          <w:rFonts w:ascii="Book Antiqua" w:hAnsi="Book Antiqua"/>
          <w:noProof/>
          <w:sz w:val="24"/>
          <w:szCs w:val="24"/>
        </w:rPr>
      </w:pPr>
    </w:p>
    <w:p w:rsidR="00C0082A" w:rsidRPr="00C0082A" w:rsidRDefault="00C0082A" w:rsidP="00C0082A">
      <w:pPr>
        <w:widowControl w:val="0"/>
        <w:autoSpaceDE w:val="0"/>
        <w:autoSpaceDN w:val="0"/>
        <w:adjustRightInd w:val="0"/>
        <w:spacing w:after="120" w:line="240" w:lineRule="auto"/>
        <w:ind w:left="480" w:hanging="480"/>
        <w:jc w:val="both"/>
        <w:rPr>
          <w:rFonts w:ascii="Book Antiqua" w:hAnsi="Book Antiqua"/>
          <w:b/>
          <w:i/>
          <w:noProof/>
          <w:sz w:val="24"/>
          <w:szCs w:val="24"/>
        </w:rPr>
      </w:pPr>
      <w:r w:rsidRPr="00C0082A">
        <w:rPr>
          <w:rFonts w:ascii="Book Antiqua" w:hAnsi="Book Antiqua"/>
          <w:b/>
          <w:i/>
          <w:noProof/>
          <w:sz w:val="24"/>
          <w:szCs w:val="24"/>
        </w:rPr>
        <w:t>Book</w:t>
      </w:r>
    </w:p>
    <w:p w:rsidR="00C0082A" w:rsidRPr="00D23BD3" w:rsidRDefault="00C0082A" w:rsidP="00C0082A">
      <w:pPr>
        <w:widowControl w:val="0"/>
        <w:autoSpaceDE w:val="0"/>
        <w:autoSpaceDN w:val="0"/>
        <w:adjustRightInd w:val="0"/>
        <w:spacing w:after="120" w:line="240" w:lineRule="auto"/>
        <w:ind w:left="480" w:hanging="480"/>
        <w:jc w:val="both"/>
        <w:rPr>
          <w:rFonts w:ascii="Book Antiqua" w:hAnsi="Book Antiqua"/>
          <w:noProof/>
          <w:sz w:val="24"/>
          <w:szCs w:val="24"/>
        </w:rPr>
      </w:pPr>
      <w:r w:rsidRPr="00D23BD3">
        <w:rPr>
          <w:rFonts w:ascii="Book Antiqua" w:hAnsi="Book Antiqua"/>
          <w:noProof/>
          <w:sz w:val="24"/>
          <w:szCs w:val="24"/>
        </w:rPr>
        <w:t xml:space="preserve">Al-Baghawi, Imam Abu Muhammad al-Husain ibn Mas’ud. </w:t>
      </w:r>
      <w:r w:rsidRPr="00D23BD3">
        <w:rPr>
          <w:rFonts w:ascii="Book Antiqua" w:hAnsi="Book Antiqua"/>
          <w:i/>
          <w:iCs/>
          <w:noProof/>
          <w:sz w:val="24"/>
          <w:szCs w:val="24"/>
        </w:rPr>
        <w:t>Tafsir Ma’alim at-Tanzil</w:t>
      </w:r>
      <w:r w:rsidRPr="00D23BD3">
        <w:rPr>
          <w:rFonts w:ascii="Book Antiqua" w:hAnsi="Book Antiqua"/>
          <w:noProof/>
          <w:sz w:val="24"/>
          <w:szCs w:val="24"/>
        </w:rPr>
        <w:t>. 4th ed. Multan: Idarah Talifat Ashrafiyyah, n.d.</w:t>
      </w:r>
    </w:p>
    <w:p w:rsidR="00C0082A" w:rsidRPr="00D23BD3" w:rsidRDefault="00C0082A" w:rsidP="00C0082A">
      <w:pPr>
        <w:widowControl w:val="0"/>
        <w:autoSpaceDE w:val="0"/>
        <w:autoSpaceDN w:val="0"/>
        <w:adjustRightInd w:val="0"/>
        <w:spacing w:after="120" w:line="240" w:lineRule="auto"/>
        <w:ind w:left="480" w:hanging="480"/>
        <w:jc w:val="both"/>
        <w:rPr>
          <w:rFonts w:ascii="Book Antiqua" w:hAnsi="Book Antiqua"/>
          <w:noProof/>
          <w:sz w:val="24"/>
          <w:szCs w:val="24"/>
        </w:rPr>
      </w:pPr>
      <w:r w:rsidRPr="00D23BD3">
        <w:rPr>
          <w:rFonts w:ascii="Book Antiqua" w:hAnsi="Book Antiqua"/>
          <w:noProof/>
          <w:sz w:val="24"/>
          <w:szCs w:val="24"/>
        </w:rPr>
        <w:t xml:space="preserve">Al-Bugha, Mustafa Dib. </w:t>
      </w:r>
      <w:r w:rsidRPr="00D23BD3">
        <w:rPr>
          <w:rFonts w:ascii="Book Antiqua" w:hAnsi="Book Antiqua"/>
          <w:i/>
          <w:iCs/>
          <w:noProof/>
          <w:sz w:val="24"/>
          <w:szCs w:val="24"/>
        </w:rPr>
        <w:t>Fikih Islam Lengkap</w:t>
      </w:r>
      <w:r w:rsidRPr="00D23BD3">
        <w:rPr>
          <w:rFonts w:ascii="Book Antiqua" w:hAnsi="Book Antiqua"/>
          <w:noProof/>
          <w:sz w:val="24"/>
          <w:szCs w:val="24"/>
        </w:rPr>
        <w:t>. Jakarta: Media Dzikir, 2006.</w:t>
      </w:r>
    </w:p>
    <w:p w:rsidR="00C0082A" w:rsidRPr="00D23BD3" w:rsidRDefault="00C0082A" w:rsidP="00C0082A">
      <w:pPr>
        <w:widowControl w:val="0"/>
        <w:autoSpaceDE w:val="0"/>
        <w:autoSpaceDN w:val="0"/>
        <w:adjustRightInd w:val="0"/>
        <w:spacing w:after="120" w:line="240" w:lineRule="auto"/>
        <w:ind w:left="480" w:hanging="480"/>
        <w:jc w:val="both"/>
        <w:rPr>
          <w:rFonts w:ascii="Book Antiqua" w:hAnsi="Book Antiqua"/>
          <w:noProof/>
          <w:sz w:val="24"/>
          <w:szCs w:val="24"/>
        </w:rPr>
      </w:pPr>
      <w:r w:rsidRPr="00D23BD3">
        <w:rPr>
          <w:rFonts w:ascii="Book Antiqua" w:hAnsi="Book Antiqua"/>
          <w:noProof/>
          <w:sz w:val="24"/>
          <w:szCs w:val="24"/>
        </w:rPr>
        <w:t xml:space="preserve">Al-Qurthubi, Abu Abdullah bin Ahmad. </w:t>
      </w:r>
      <w:r w:rsidRPr="00D23BD3">
        <w:rPr>
          <w:rFonts w:ascii="Book Antiqua" w:hAnsi="Book Antiqua"/>
          <w:i/>
          <w:iCs/>
          <w:noProof/>
          <w:sz w:val="24"/>
          <w:szCs w:val="24"/>
        </w:rPr>
        <w:t>Imam Al-Jam’i Li Ahkam Al-Qur’an</w:t>
      </w:r>
      <w:r w:rsidRPr="00D23BD3">
        <w:rPr>
          <w:rFonts w:ascii="Book Antiqua" w:hAnsi="Book Antiqua"/>
          <w:noProof/>
          <w:sz w:val="24"/>
          <w:szCs w:val="24"/>
        </w:rPr>
        <w:t>. Islamabad: International Islamic University, 2004.</w:t>
      </w:r>
    </w:p>
    <w:p w:rsidR="00C0082A" w:rsidRPr="00D23BD3" w:rsidRDefault="00C0082A" w:rsidP="00C0082A">
      <w:pPr>
        <w:widowControl w:val="0"/>
        <w:autoSpaceDE w:val="0"/>
        <w:autoSpaceDN w:val="0"/>
        <w:adjustRightInd w:val="0"/>
        <w:spacing w:after="120" w:line="240" w:lineRule="auto"/>
        <w:ind w:left="480" w:hanging="480"/>
        <w:jc w:val="both"/>
        <w:rPr>
          <w:rFonts w:ascii="Book Antiqua" w:hAnsi="Book Antiqua"/>
          <w:noProof/>
          <w:sz w:val="24"/>
          <w:szCs w:val="24"/>
        </w:rPr>
      </w:pPr>
      <w:r w:rsidRPr="00D23BD3">
        <w:rPr>
          <w:rFonts w:ascii="Book Antiqua" w:hAnsi="Book Antiqua"/>
          <w:noProof/>
          <w:sz w:val="24"/>
          <w:szCs w:val="24"/>
        </w:rPr>
        <w:t xml:space="preserve">Al-Razi, Fakhr. </w:t>
      </w:r>
      <w:r w:rsidRPr="00D23BD3">
        <w:rPr>
          <w:rFonts w:ascii="Book Antiqua" w:hAnsi="Book Antiqua"/>
          <w:i/>
          <w:iCs/>
          <w:noProof/>
          <w:sz w:val="24"/>
          <w:szCs w:val="24"/>
        </w:rPr>
        <w:t>Mafatih Al-Ghaib</w:t>
      </w:r>
      <w:r w:rsidRPr="00D23BD3">
        <w:rPr>
          <w:rFonts w:ascii="Book Antiqua" w:hAnsi="Book Antiqua"/>
          <w:noProof/>
          <w:sz w:val="24"/>
          <w:szCs w:val="24"/>
        </w:rPr>
        <w:t>. Edited by Dar Al-Fikr. 7th ed. Beirut, 1994.</w:t>
      </w:r>
    </w:p>
    <w:p w:rsidR="00C0082A" w:rsidRPr="00D23BD3" w:rsidRDefault="00C0082A" w:rsidP="00C0082A">
      <w:pPr>
        <w:widowControl w:val="0"/>
        <w:autoSpaceDE w:val="0"/>
        <w:autoSpaceDN w:val="0"/>
        <w:adjustRightInd w:val="0"/>
        <w:spacing w:after="120" w:line="240" w:lineRule="auto"/>
        <w:ind w:left="480" w:hanging="480"/>
        <w:jc w:val="both"/>
        <w:rPr>
          <w:rFonts w:ascii="Book Antiqua" w:hAnsi="Book Antiqua"/>
          <w:noProof/>
          <w:sz w:val="24"/>
          <w:szCs w:val="24"/>
        </w:rPr>
      </w:pPr>
      <w:r w:rsidRPr="00D23BD3">
        <w:rPr>
          <w:rFonts w:ascii="Book Antiqua" w:hAnsi="Book Antiqua"/>
          <w:noProof/>
          <w:sz w:val="24"/>
          <w:szCs w:val="24"/>
        </w:rPr>
        <w:t xml:space="preserve">Arief, Barda Nawawi. </w:t>
      </w:r>
      <w:r w:rsidRPr="00D23BD3">
        <w:rPr>
          <w:rFonts w:ascii="Book Antiqua" w:hAnsi="Book Antiqua"/>
          <w:i/>
          <w:iCs/>
          <w:noProof/>
          <w:sz w:val="24"/>
          <w:szCs w:val="24"/>
        </w:rPr>
        <w:t>Delik Agama Dan Penghinaan Tuhan (Blasphemy) Di Indonesia Dan Perbandingan Berbagai Negara</w:t>
      </w:r>
      <w:r w:rsidRPr="00D23BD3">
        <w:rPr>
          <w:rFonts w:ascii="Book Antiqua" w:hAnsi="Book Antiqua"/>
          <w:noProof/>
          <w:sz w:val="24"/>
          <w:szCs w:val="24"/>
        </w:rPr>
        <w:t>. Semarang: Penerbit UNDIP, 2007.</w:t>
      </w:r>
    </w:p>
    <w:p w:rsidR="00C0082A" w:rsidRPr="00D23BD3" w:rsidRDefault="00C0082A" w:rsidP="00C0082A">
      <w:pPr>
        <w:widowControl w:val="0"/>
        <w:autoSpaceDE w:val="0"/>
        <w:autoSpaceDN w:val="0"/>
        <w:adjustRightInd w:val="0"/>
        <w:spacing w:after="120" w:line="240" w:lineRule="auto"/>
        <w:ind w:left="480" w:hanging="480"/>
        <w:jc w:val="both"/>
        <w:rPr>
          <w:rFonts w:ascii="Book Antiqua" w:hAnsi="Book Antiqua"/>
          <w:noProof/>
          <w:sz w:val="24"/>
          <w:szCs w:val="24"/>
        </w:rPr>
      </w:pPr>
      <w:r w:rsidRPr="00D23BD3">
        <w:rPr>
          <w:rFonts w:ascii="Book Antiqua" w:hAnsi="Book Antiqua"/>
          <w:noProof/>
          <w:sz w:val="24"/>
          <w:szCs w:val="24"/>
        </w:rPr>
        <w:t>Artharini, Isyana. “Pelaporan Ahok Atas Tuduhan Menghina Agama Dan Pemilih.” www.bbc.com, 2016.</w:t>
      </w:r>
    </w:p>
    <w:p w:rsidR="00C0082A" w:rsidRPr="00D23BD3" w:rsidRDefault="00C0082A" w:rsidP="00C0082A">
      <w:pPr>
        <w:widowControl w:val="0"/>
        <w:autoSpaceDE w:val="0"/>
        <w:autoSpaceDN w:val="0"/>
        <w:adjustRightInd w:val="0"/>
        <w:spacing w:after="120" w:line="240" w:lineRule="auto"/>
        <w:ind w:left="480" w:hanging="480"/>
        <w:jc w:val="both"/>
        <w:rPr>
          <w:rFonts w:ascii="Book Antiqua" w:hAnsi="Book Antiqua"/>
          <w:noProof/>
          <w:sz w:val="24"/>
          <w:szCs w:val="24"/>
        </w:rPr>
      </w:pPr>
      <w:r w:rsidRPr="00D23BD3">
        <w:rPr>
          <w:rFonts w:ascii="Book Antiqua" w:hAnsi="Book Antiqua"/>
          <w:noProof/>
          <w:sz w:val="24"/>
          <w:szCs w:val="24"/>
        </w:rPr>
        <w:t xml:space="preserve">As-Shalih, Subhi. </w:t>
      </w:r>
      <w:r w:rsidRPr="00D23BD3">
        <w:rPr>
          <w:rFonts w:ascii="Book Antiqua" w:hAnsi="Book Antiqua"/>
          <w:i/>
          <w:iCs/>
          <w:noProof/>
          <w:sz w:val="24"/>
          <w:szCs w:val="24"/>
        </w:rPr>
        <w:t>Membahas Ilmu-Ilmu Al-Qur‟an</w:t>
      </w:r>
      <w:r w:rsidRPr="00D23BD3">
        <w:rPr>
          <w:rFonts w:ascii="Book Antiqua" w:hAnsi="Book Antiqua"/>
          <w:noProof/>
          <w:sz w:val="24"/>
          <w:szCs w:val="24"/>
        </w:rPr>
        <w:t>. Jakarta: Pustaka Firdaus, 1999.</w:t>
      </w:r>
    </w:p>
    <w:p w:rsidR="00C0082A" w:rsidRDefault="00C0082A" w:rsidP="00C0082A">
      <w:pPr>
        <w:widowControl w:val="0"/>
        <w:autoSpaceDE w:val="0"/>
        <w:autoSpaceDN w:val="0"/>
        <w:adjustRightInd w:val="0"/>
        <w:spacing w:after="120" w:line="240" w:lineRule="auto"/>
        <w:ind w:left="480" w:hanging="480"/>
        <w:jc w:val="both"/>
        <w:rPr>
          <w:rFonts w:ascii="Book Antiqua" w:hAnsi="Book Antiqua"/>
          <w:noProof/>
          <w:sz w:val="24"/>
          <w:szCs w:val="24"/>
        </w:rPr>
      </w:pPr>
      <w:r w:rsidRPr="00D23BD3">
        <w:rPr>
          <w:rFonts w:ascii="Book Antiqua" w:hAnsi="Book Antiqua"/>
          <w:noProof/>
          <w:sz w:val="24"/>
          <w:szCs w:val="24"/>
        </w:rPr>
        <w:t xml:space="preserve">Diantha, I Made Pasek. </w:t>
      </w:r>
      <w:r w:rsidRPr="00D23BD3">
        <w:rPr>
          <w:rFonts w:ascii="Book Antiqua" w:hAnsi="Book Antiqua"/>
          <w:i/>
          <w:iCs/>
          <w:noProof/>
          <w:sz w:val="24"/>
          <w:szCs w:val="24"/>
        </w:rPr>
        <w:t>Metodologi Penelitian Hukum Normatif Dalam Justifikasi Teori Hukum</w:t>
      </w:r>
      <w:r w:rsidRPr="00D23BD3">
        <w:rPr>
          <w:rFonts w:ascii="Book Antiqua" w:hAnsi="Book Antiqua"/>
          <w:noProof/>
          <w:sz w:val="24"/>
          <w:szCs w:val="24"/>
        </w:rPr>
        <w:t>. Jakarta: Prenanda Media Group, 2017.</w:t>
      </w:r>
    </w:p>
    <w:p w:rsidR="00C0082A" w:rsidRPr="00D23BD3" w:rsidRDefault="00C0082A" w:rsidP="00C0082A">
      <w:pPr>
        <w:widowControl w:val="0"/>
        <w:autoSpaceDE w:val="0"/>
        <w:autoSpaceDN w:val="0"/>
        <w:adjustRightInd w:val="0"/>
        <w:spacing w:after="120" w:line="240" w:lineRule="auto"/>
        <w:ind w:left="480" w:hanging="480"/>
        <w:jc w:val="both"/>
        <w:rPr>
          <w:rFonts w:ascii="Book Antiqua" w:hAnsi="Book Antiqua"/>
          <w:noProof/>
          <w:sz w:val="24"/>
          <w:szCs w:val="24"/>
        </w:rPr>
      </w:pPr>
      <w:r w:rsidRPr="00D23BD3">
        <w:rPr>
          <w:rFonts w:ascii="Book Antiqua" w:hAnsi="Book Antiqua"/>
          <w:noProof/>
          <w:sz w:val="24"/>
          <w:szCs w:val="24"/>
        </w:rPr>
        <w:t xml:space="preserve">Jalaluddin. </w:t>
      </w:r>
      <w:r w:rsidRPr="00D23BD3">
        <w:rPr>
          <w:rFonts w:ascii="Book Antiqua" w:hAnsi="Book Antiqua"/>
          <w:i/>
          <w:iCs/>
          <w:noProof/>
          <w:sz w:val="24"/>
          <w:szCs w:val="24"/>
        </w:rPr>
        <w:t>Phiscology Agama</w:t>
      </w:r>
      <w:r w:rsidRPr="00D23BD3">
        <w:rPr>
          <w:rFonts w:ascii="Book Antiqua" w:hAnsi="Book Antiqua"/>
          <w:noProof/>
          <w:sz w:val="24"/>
          <w:szCs w:val="24"/>
        </w:rPr>
        <w:t>. Jakarta: Siantar Press, 2000.</w:t>
      </w:r>
    </w:p>
    <w:p w:rsidR="00C0082A" w:rsidRPr="00D23BD3" w:rsidRDefault="00C0082A" w:rsidP="00C0082A">
      <w:pPr>
        <w:widowControl w:val="0"/>
        <w:autoSpaceDE w:val="0"/>
        <w:autoSpaceDN w:val="0"/>
        <w:adjustRightInd w:val="0"/>
        <w:spacing w:after="120" w:line="240" w:lineRule="auto"/>
        <w:ind w:left="480" w:hanging="480"/>
        <w:jc w:val="both"/>
        <w:rPr>
          <w:rFonts w:ascii="Book Antiqua" w:hAnsi="Book Antiqua"/>
          <w:noProof/>
          <w:sz w:val="24"/>
          <w:szCs w:val="24"/>
        </w:rPr>
      </w:pPr>
      <w:r w:rsidRPr="00D23BD3">
        <w:rPr>
          <w:rFonts w:ascii="Book Antiqua" w:hAnsi="Book Antiqua"/>
          <w:noProof/>
          <w:sz w:val="24"/>
          <w:szCs w:val="24"/>
        </w:rPr>
        <w:t xml:space="preserve">Katir, Isma’il bin ‘Umar. </w:t>
      </w:r>
      <w:r w:rsidRPr="00D23BD3">
        <w:rPr>
          <w:rFonts w:ascii="Book Antiqua" w:hAnsi="Book Antiqua"/>
          <w:i/>
          <w:iCs/>
          <w:noProof/>
          <w:sz w:val="24"/>
          <w:szCs w:val="24"/>
        </w:rPr>
        <w:t>Tafsir Qur’an Al-‘Azim</w:t>
      </w:r>
      <w:r w:rsidRPr="00D23BD3">
        <w:rPr>
          <w:rFonts w:ascii="Book Antiqua" w:hAnsi="Book Antiqua"/>
          <w:noProof/>
          <w:sz w:val="24"/>
          <w:szCs w:val="24"/>
        </w:rPr>
        <w:t>. 4th ed. Madinah: Dar at-Taybah, 1999.</w:t>
      </w:r>
    </w:p>
    <w:p w:rsidR="00C0082A" w:rsidRPr="00D23BD3" w:rsidRDefault="00C0082A" w:rsidP="00C0082A">
      <w:pPr>
        <w:widowControl w:val="0"/>
        <w:autoSpaceDE w:val="0"/>
        <w:autoSpaceDN w:val="0"/>
        <w:adjustRightInd w:val="0"/>
        <w:spacing w:after="120" w:line="240" w:lineRule="auto"/>
        <w:ind w:left="480" w:hanging="480"/>
        <w:jc w:val="both"/>
        <w:rPr>
          <w:rFonts w:ascii="Book Antiqua" w:hAnsi="Book Antiqua"/>
          <w:noProof/>
          <w:sz w:val="24"/>
          <w:szCs w:val="24"/>
        </w:rPr>
      </w:pPr>
      <w:r w:rsidRPr="00D23BD3">
        <w:rPr>
          <w:rFonts w:ascii="Book Antiqua" w:hAnsi="Book Antiqua"/>
          <w:noProof/>
          <w:sz w:val="24"/>
          <w:szCs w:val="24"/>
        </w:rPr>
        <w:t xml:space="preserve">Muin, Abdul. </w:t>
      </w:r>
      <w:r w:rsidRPr="00D23BD3">
        <w:rPr>
          <w:rFonts w:ascii="Book Antiqua" w:hAnsi="Book Antiqua"/>
          <w:i/>
          <w:iCs/>
          <w:noProof/>
          <w:sz w:val="24"/>
          <w:szCs w:val="24"/>
        </w:rPr>
        <w:t>Benturan NU-PKI 1948-1965</w:t>
      </w:r>
      <w:r w:rsidRPr="00D23BD3">
        <w:rPr>
          <w:rFonts w:ascii="Book Antiqua" w:hAnsi="Book Antiqua"/>
          <w:noProof/>
          <w:sz w:val="24"/>
          <w:szCs w:val="24"/>
        </w:rPr>
        <w:t>. Jakarta: PB.NU Press, 2014.</w:t>
      </w:r>
    </w:p>
    <w:p w:rsidR="00C0082A" w:rsidRPr="00D23BD3" w:rsidRDefault="00C0082A" w:rsidP="00C0082A">
      <w:pPr>
        <w:widowControl w:val="0"/>
        <w:autoSpaceDE w:val="0"/>
        <w:autoSpaceDN w:val="0"/>
        <w:adjustRightInd w:val="0"/>
        <w:spacing w:after="120" w:line="240" w:lineRule="auto"/>
        <w:ind w:left="480" w:hanging="480"/>
        <w:jc w:val="both"/>
        <w:rPr>
          <w:rFonts w:ascii="Book Antiqua" w:hAnsi="Book Antiqua"/>
          <w:noProof/>
          <w:sz w:val="24"/>
          <w:szCs w:val="24"/>
        </w:rPr>
      </w:pPr>
      <w:r w:rsidRPr="00D23BD3">
        <w:rPr>
          <w:rFonts w:ascii="Book Antiqua" w:hAnsi="Book Antiqua"/>
          <w:noProof/>
          <w:sz w:val="24"/>
          <w:szCs w:val="24"/>
        </w:rPr>
        <w:lastRenderedPageBreak/>
        <w:t xml:space="preserve">Noer, Deliar. </w:t>
      </w:r>
      <w:r w:rsidRPr="00D23BD3">
        <w:rPr>
          <w:rFonts w:ascii="Book Antiqua" w:hAnsi="Book Antiqua"/>
          <w:i/>
          <w:iCs/>
          <w:noProof/>
          <w:sz w:val="24"/>
          <w:szCs w:val="24"/>
        </w:rPr>
        <w:t>Gerakan Modern Islam Di Indonesia 1900-1942</w:t>
      </w:r>
      <w:r w:rsidRPr="00D23BD3">
        <w:rPr>
          <w:rFonts w:ascii="Book Antiqua" w:hAnsi="Book Antiqua"/>
          <w:noProof/>
          <w:sz w:val="24"/>
          <w:szCs w:val="24"/>
        </w:rPr>
        <w:t>. Jakarta: LP3ES, 1980.</w:t>
      </w:r>
    </w:p>
    <w:p w:rsidR="00C0082A" w:rsidRPr="00D23BD3" w:rsidRDefault="00C0082A" w:rsidP="00C0082A">
      <w:pPr>
        <w:widowControl w:val="0"/>
        <w:autoSpaceDE w:val="0"/>
        <w:autoSpaceDN w:val="0"/>
        <w:adjustRightInd w:val="0"/>
        <w:spacing w:after="120" w:line="240" w:lineRule="auto"/>
        <w:ind w:left="480" w:hanging="480"/>
        <w:jc w:val="both"/>
        <w:rPr>
          <w:rFonts w:ascii="Book Antiqua" w:hAnsi="Book Antiqua"/>
          <w:noProof/>
          <w:sz w:val="24"/>
          <w:szCs w:val="24"/>
        </w:rPr>
      </w:pPr>
      <w:r w:rsidRPr="00D23BD3">
        <w:rPr>
          <w:rFonts w:ascii="Book Antiqua" w:hAnsi="Book Antiqua"/>
          <w:noProof/>
          <w:sz w:val="24"/>
          <w:szCs w:val="24"/>
        </w:rPr>
        <w:t xml:space="preserve">Pultoni. </w:t>
      </w:r>
      <w:r w:rsidRPr="00D23BD3">
        <w:rPr>
          <w:rFonts w:ascii="Book Antiqua" w:hAnsi="Book Antiqua"/>
          <w:i/>
          <w:iCs/>
          <w:noProof/>
          <w:sz w:val="24"/>
          <w:szCs w:val="24"/>
        </w:rPr>
        <w:t>Panduan Pemantauan Tindak Pidana Penodaan Agama Dan Ujaran Kebencian Atas Nama Agama</w:t>
      </w:r>
      <w:r w:rsidRPr="00D23BD3">
        <w:rPr>
          <w:rFonts w:ascii="Book Antiqua" w:hAnsi="Book Antiqua"/>
          <w:noProof/>
          <w:sz w:val="24"/>
          <w:szCs w:val="24"/>
        </w:rPr>
        <w:t>. Jakarta: The Indonesian Legal Resounce Center, 2012.</w:t>
      </w:r>
    </w:p>
    <w:p w:rsidR="00C0082A" w:rsidRPr="00D23BD3" w:rsidRDefault="00C0082A" w:rsidP="00C0082A">
      <w:pPr>
        <w:widowControl w:val="0"/>
        <w:autoSpaceDE w:val="0"/>
        <w:autoSpaceDN w:val="0"/>
        <w:adjustRightInd w:val="0"/>
        <w:spacing w:after="120" w:line="240" w:lineRule="auto"/>
        <w:ind w:left="480" w:hanging="480"/>
        <w:jc w:val="both"/>
        <w:rPr>
          <w:rFonts w:ascii="Book Antiqua" w:hAnsi="Book Antiqua"/>
          <w:noProof/>
          <w:sz w:val="24"/>
          <w:szCs w:val="24"/>
        </w:rPr>
      </w:pPr>
      <w:r w:rsidRPr="00D23BD3">
        <w:rPr>
          <w:rFonts w:ascii="Book Antiqua" w:hAnsi="Book Antiqua"/>
          <w:noProof/>
          <w:sz w:val="24"/>
          <w:szCs w:val="24"/>
        </w:rPr>
        <w:t xml:space="preserve">Qureshy, Muhammad Ismail. </w:t>
      </w:r>
      <w:r w:rsidRPr="00D23BD3">
        <w:rPr>
          <w:rFonts w:ascii="Book Antiqua" w:hAnsi="Book Antiqua"/>
          <w:i/>
          <w:iCs/>
          <w:noProof/>
          <w:sz w:val="24"/>
          <w:szCs w:val="24"/>
        </w:rPr>
        <w:t>Muhammad-The Messenger of God and the Law of Blasphemy in Islam and the West</w:t>
      </w:r>
      <w:r w:rsidRPr="00D23BD3">
        <w:rPr>
          <w:rFonts w:ascii="Book Antiqua" w:hAnsi="Book Antiqua"/>
          <w:noProof/>
          <w:sz w:val="24"/>
          <w:szCs w:val="24"/>
        </w:rPr>
        <w:t>. Lahore: Nuqoosh, 2008.</w:t>
      </w:r>
    </w:p>
    <w:p w:rsidR="00C0082A" w:rsidRPr="00D23BD3" w:rsidRDefault="00C0082A" w:rsidP="00C0082A">
      <w:pPr>
        <w:widowControl w:val="0"/>
        <w:autoSpaceDE w:val="0"/>
        <w:autoSpaceDN w:val="0"/>
        <w:adjustRightInd w:val="0"/>
        <w:spacing w:after="120" w:line="240" w:lineRule="auto"/>
        <w:ind w:left="480" w:hanging="480"/>
        <w:jc w:val="both"/>
        <w:rPr>
          <w:rFonts w:ascii="Book Antiqua" w:hAnsi="Book Antiqua"/>
          <w:noProof/>
          <w:sz w:val="24"/>
          <w:szCs w:val="24"/>
        </w:rPr>
      </w:pPr>
      <w:r w:rsidRPr="00D23BD3">
        <w:rPr>
          <w:rFonts w:ascii="Book Antiqua" w:hAnsi="Book Antiqua"/>
          <w:noProof/>
          <w:sz w:val="24"/>
          <w:szCs w:val="24"/>
        </w:rPr>
        <w:t xml:space="preserve">Syarifuddin, Amir. </w:t>
      </w:r>
      <w:r w:rsidRPr="00D23BD3">
        <w:rPr>
          <w:rFonts w:ascii="Book Antiqua" w:hAnsi="Book Antiqua"/>
          <w:i/>
          <w:iCs/>
          <w:noProof/>
          <w:sz w:val="24"/>
          <w:szCs w:val="24"/>
        </w:rPr>
        <w:t>Ushul Fiqh</w:t>
      </w:r>
      <w:r w:rsidRPr="00D23BD3">
        <w:rPr>
          <w:rFonts w:ascii="Book Antiqua" w:hAnsi="Book Antiqua"/>
          <w:noProof/>
          <w:sz w:val="24"/>
          <w:szCs w:val="24"/>
        </w:rPr>
        <w:t>. 2nd ed. Jakarta: Kencana Prenada Media Group, 2008.</w:t>
      </w:r>
    </w:p>
    <w:p w:rsidR="00C0082A" w:rsidRPr="00D23BD3" w:rsidRDefault="00C0082A" w:rsidP="00C0082A">
      <w:pPr>
        <w:widowControl w:val="0"/>
        <w:autoSpaceDE w:val="0"/>
        <w:autoSpaceDN w:val="0"/>
        <w:adjustRightInd w:val="0"/>
        <w:spacing w:after="120" w:line="240" w:lineRule="auto"/>
        <w:ind w:left="480" w:hanging="480"/>
        <w:jc w:val="both"/>
        <w:rPr>
          <w:rFonts w:ascii="Book Antiqua" w:hAnsi="Book Antiqua"/>
          <w:noProof/>
          <w:sz w:val="24"/>
          <w:szCs w:val="24"/>
        </w:rPr>
      </w:pPr>
      <w:r w:rsidRPr="00D23BD3">
        <w:rPr>
          <w:rFonts w:ascii="Book Antiqua" w:hAnsi="Book Antiqua"/>
          <w:noProof/>
          <w:sz w:val="24"/>
          <w:szCs w:val="24"/>
        </w:rPr>
        <w:t xml:space="preserve">Taimiyah, Ibn. </w:t>
      </w:r>
      <w:r w:rsidRPr="00D23BD3">
        <w:rPr>
          <w:rFonts w:ascii="Book Antiqua" w:hAnsi="Book Antiqua"/>
          <w:i/>
          <w:iCs/>
          <w:noProof/>
          <w:sz w:val="24"/>
          <w:szCs w:val="24"/>
        </w:rPr>
        <w:t>As-Sharim Al-Maslul ‘ala Syatimi Ar-Rasul</w:t>
      </w:r>
      <w:r w:rsidRPr="00D23BD3">
        <w:rPr>
          <w:rFonts w:ascii="Book Antiqua" w:hAnsi="Book Antiqua"/>
          <w:noProof/>
          <w:sz w:val="24"/>
          <w:szCs w:val="24"/>
        </w:rPr>
        <w:t>. Juz I. Kaherah: Daar Ibn al-Jawaziy, 2016.</w:t>
      </w:r>
    </w:p>
    <w:p w:rsidR="00C0082A" w:rsidRPr="00D23BD3" w:rsidRDefault="00C0082A" w:rsidP="00C0082A">
      <w:pPr>
        <w:widowControl w:val="0"/>
        <w:autoSpaceDE w:val="0"/>
        <w:autoSpaceDN w:val="0"/>
        <w:adjustRightInd w:val="0"/>
        <w:spacing w:after="120" w:line="240" w:lineRule="auto"/>
        <w:ind w:left="480" w:hanging="480"/>
        <w:jc w:val="both"/>
        <w:rPr>
          <w:rFonts w:ascii="Book Antiqua" w:hAnsi="Book Antiqua"/>
          <w:noProof/>
          <w:sz w:val="24"/>
          <w:szCs w:val="24"/>
        </w:rPr>
      </w:pPr>
      <w:r w:rsidRPr="00D23BD3">
        <w:rPr>
          <w:rFonts w:ascii="Book Antiqua" w:hAnsi="Book Antiqua"/>
          <w:noProof/>
          <w:sz w:val="24"/>
          <w:szCs w:val="24"/>
        </w:rPr>
        <w:t xml:space="preserve">Taimiyyah, Imam Taqi al-Din Ahmad Ibn. </w:t>
      </w:r>
      <w:r w:rsidRPr="00D23BD3">
        <w:rPr>
          <w:rFonts w:ascii="Book Antiqua" w:hAnsi="Book Antiqua"/>
          <w:i/>
          <w:iCs/>
          <w:noProof/>
          <w:sz w:val="24"/>
          <w:szCs w:val="24"/>
        </w:rPr>
        <w:t>Al-Sarim Al-Maslul ‘ala Syatim Al-Rasul</w:t>
      </w:r>
      <w:r w:rsidRPr="00D23BD3">
        <w:rPr>
          <w:rFonts w:ascii="Book Antiqua" w:hAnsi="Book Antiqua"/>
          <w:noProof/>
          <w:sz w:val="24"/>
          <w:szCs w:val="24"/>
        </w:rPr>
        <w:t>. Lahore: Nuriyah Rizwiyah Publications, 2010.</w:t>
      </w:r>
    </w:p>
    <w:p w:rsidR="00C0082A" w:rsidRPr="00D23BD3" w:rsidRDefault="00C0082A" w:rsidP="00C0082A">
      <w:pPr>
        <w:widowControl w:val="0"/>
        <w:autoSpaceDE w:val="0"/>
        <w:autoSpaceDN w:val="0"/>
        <w:adjustRightInd w:val="0"/>
        <w:spacing w:after="120" w:line="240" w:lineRule="auto"/>
        <w:ind w:left="480" w:hanging="480"/>
        <w:jc w:val="both"/>
        <w:rPr>
          <w:rFonts w:ascii="Book Antiqua" w:hAnsi="Book Antiqua"/>
          <w:noProof/>
          <w:sz w:val="24"/>
          <w:szCs w:val="24"/>
        </w:rPr>
      </w:pPr>
      <w:r w:rsidRPr="00D23BD3">
        <w:rPr>
          <w:rFonts w:ascii="Book Antiqua" w:hAnsi="Book Antiqua"/>
          <w:noProof/>
          <w:sz w:val="24"/>
          <w:szCs w:val="24"/>
        </w:rPr>
        <w:t xml:space="preserve">Tim. </w:t>
      </w:r>
      <w:r w:rsidRPr="00D23BD3">
        <w:rPr>
          <w:rFonts w:ascii="Book Antiqua" w:hAnsi="Book Antiqua"/>
          <w:i/>
          <w:iCs/>
          <w:noProof/>
          <w:sz w:val="24"/>
          <w:szCs w:val="24"/>
        </w:rPr>
        <w:t>Pengkajian Hukum Tentang Perlindungan Hukum Bagi Upaya Menjamin Kerukunan Umat Beragama</w:t>
      </w:r>
      <w:r w:rsidRPr="00D23BD3">
        <w:rPr>
          <w:rFonts w:ascii="Book Antiqua" w:hAnsi="Book Antiqua"/>
          <w:noProof/>
          <w:sz w:val="24"/>
          <w:szCs w:val="24"/>
        </w:rPr>
        <w:t>. Jakarta: Kementerian Hukum Dan Hak Asasi Manusia Badan Pembinaan Hukum Nasional, 2011.</w:t>
      </w:r>
    </w:p>
    <w:p w:rsidR="00C0082A" w:rsidRPr="00144C93" w:rsidRDefault="00C0082A" w:rsidP="00C0082A">
      <w:pPr>
        <w:spacing w:after="120" w:line="240" w:lineRule="auto"/>
        <w:ind w:left="540" w:hanging="540"/>
        <w:jc w:val="both"/>
        <w:rPr>
          <w:rFonts w:ascii="Book Antiqua" w:hAnsi="Book Antiqua" w:cstheme="majorHAnsi"/>
          <w:color w:val="000000" w:themeColor="text1"/>
          <w:sz w:val="24"/>
          <w:szCs w:val="24"/>
          <w:lang w:val="en-GB"/>
        </w:rPr>
      </w:pPr>
      <w:r w:rsidRPr="00D23BD3">
        <w:rPr>
          <w:rFonts w:ascii="Book Antiqua" w:hAnsi="Book Antiqua"/>
          <w:noProof/>
          <w:sz w:val="24"/>
          <w:szCs w:val="24"/>
        </w:rPr>
        <w:t xml:space="preserve">Zuhaili, Wahbah. </w:t>
      </w:r>
      <w:r w:rsidRPr="00D23BD3">
        <w:rPr>
          <w:rFonts w:ascii="Book Antiqua" w:hAnsi="Book Antiqua"/>
          <w:i/>
          <w:iCs/>
          <w:noProof/>
          <w:sz w:val="24"/>
          <w:szCs w:val="24"/>
        </w:rPr>
        <w:t>Al-Tafsir Al-Munir Li Al-Zuhaili</w:t>
      </w:r>
      <w:r w:rsidRPr="00D23BD3">
        <w:rPr>
          <w:rFonts w:ascii="Book Antiqua" w:hAnsi="Book Antiqua"/>
          <w:noProof/>
          <w:sz w:val="24"/>
          <w:szCs w:val="24"/>
        </w:rPr>
        <w:t>. 7th ed. Damaskus: Dar al-Fikr al-Mu’asir, 1418</w:t>
      </w:r>
      <w:r>
        <w:rPr>
          <w:rFonts w:ascii="Book Antiqua" w:hAnsi="Book Antiqua"/>
          <w:noProof/>
          <w:sz w:val="24"/>
          <w:szCs w:val="24"/>
        </w:rPr>
        <w:t>.</w:t>
      </w:r>
    </w:p>
    <w:p w:rsidR="00C0082A" w:rsidRDefault="00C0082A" w:rsidP="00C0082A">
      <w:pPr>
        <w:widowControl w:val="0"/>
        <w:autoSpaceDE w:val="0"/>
        <w:autoSpaceDN w:val="0"/>
        <w:adjustRightInd w:val="0"/>
        <w:spacing w:after="120" w:line="240" w:lineRule="auto"/>
        <w:ind w:left="480" w:hanging="480"/>
        <w:jc w:val="both"/>
        <w:rPr>
          <w:rFonts w:ascii="Book Antiqua" w:hAnsi="Book Antiqua"/>
          <w:noProof/>
          <w:sz w:val="24"/>
          <w:szCs w:val="24"/>
        </w:rPr>
      </w:pPr>
    </w:p>
    <w:p w:rsidR="00F246FE" w:rsidRPr="00144C93" w:rsidRDefault="00D23BD3" w:rsidP="00DD6BC9">
      <w:pPr>
        <w:widowControl w:val="0"/>
        <w:autoSpaceDE w:val="0"/>
        <w:autoSpaceDN w:val="0"/>
        <w:adjustRightInd w:val="0"/>
        <w:spacing w:after="120" w:line="240" w:lineRule="auto"/>
        <w:ind w:left="480" w:hanging="480"/>
        <w:jc w:val="both"/>
        <w:rPr>
          <w:rFonts w:ascii="Book Antiqua" w:hAnsi="Book Antiqua"/>
          <w:lang w:val="en-GB" w:eastAsia="fi-FI" w:bidi="ar-SA"/>
        </w:rPr>
      </w:pPr>
      <w:r>
        <w:rPr>
          <w:rFonts w:ascii="Book Antiqua" w:eastAsia="Arial Unicode MS" w:hAnsi="Book Antiqua" w:cstheme="majorHAnsi"/>
          <w:b/>
          <w:color w:val="2F5496" w:themeColor="accent1" w:themeShade="BF"/>
          <w:sz w:val="24"/>
          <w:szCs w:val="24"/>
          <w:lang w:val="en-GB"/>
        </w:rPr>
        <w:fldChar w:fldCharType="end"/>
      </w:r>
    </w:p>
    <w:bookmarkEnd w:id="0"/>
    <w:bookmarkEnd w:id="1"/>
    <w:p w:rsidR="004B1F20" w:rsidRPr="00144C93" w:rsidRDefault="004B1F20" w:rsidP="00A26219">
      <w:pPr>
        <w:pStyle w:val="Heading3"/>
        <w:spacing w:before="0" w:line="240" w:lineRule="auto"/>
        <w:jc w:val="both"/>
        <w:rPr>
          <w:rStyle w:val="Heading1Char"/>
          <w:rFonts w:ascii="Book Antiqua" w:hAnsi="Book Antiqua" w:cstheme="majorHAnsi"/>
          <w:b/>
          <w:sz w:val="36"/>
          <w:lang w:val="id-ID"/>
        </w:rPr>
      </w:pPr>
    </w:p>
    <w:sectPr w:rsidR="004B1F20" w:rsidRPr="00144C93" w:rsidSect="00B4626A">
      <w:footerReference w:type="even" r:id="rId12"/>
      <w:footerReference w:type="default" r:id="rId13"/>
      <w:headerReference w:type="first" r:id="rId14"/>
      <w:pgSz w:w="11906" w:h="16838" w:code="9"/>
      <w:pgMar w:top="925" w:right="1134" w:bottom="1134" w:left="1134"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6A1A" w:rsidRDefault="00226A1A" w:rsidP="00934130">
      <w:pPr>
        <w:spacing w:after="0" w:line="240" w:lineRule="auto"/>
      </w:pPr>
      <w:r>
        <w:separator/>
      </w:r>
    </w:p>
  </w:endnote>
  <w:endnote w:type="continuationSeparator" w:id="0">
    <w:p w:rsidR="00226A1A" w:rsidRDefault="00226A1A" w:rsidP="009341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 New Roman Bold">
    <w:altName w:val="Times New Roman"/>
    <w:panose1 w:val="02020803070505020304"/>
    <w:charset w:val="00"/>
    <w:family w:val="roman"/>
    <w:pitch w:val="variable"/>
    <w:sig w:usb0="E0002AEF" w:usb1="C0007841"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rinda">
    <w:altName w:val="Courier New"/>
    <w:panose1 w:val="00000400000000000000"/>
    <w:charset w:val="01"/>
    <w:family w:val="roman"/>
    <w:notTrueType/>
    <w:pitch w:val="variable"/>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Devanagari MT">
    <w:charset w:val="00"/>
    <w:family w:val="auto"/>
    <w:pitch w:val="variable"/>
    <w:sig w:usb0="80008003" w:usb1="1000C0C0" w:usb2="00000000" w:usb3="00000000" w:csb0="00000001" w:csb1="00000000"/>
  </w:font>
  <w:font w:name="Algerian">
    <w:altName w:val="Gabriola"/>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2252991"/>
      <w:docPartObj>
        <w:docPartGallery w:val="Page Numbers (Bottom of Page)"/>
        <w:docPartUnique/>
      </w:docPartObj>
    </w:sdtPr>
    <w:sdtEndPr>
      <w:rPr>
        <w:color w:val="7F7F7F" w:themeColor="background1" w:themeShade="7F"/>
        <w:spacing w:val="60"/>
      </w:rPr>
    </w:sdtEndPr>
    <w:sdtContent>
      <w:p w:rsidR="00302F4C" w:rsidRDefault="00302F4C" w:rsidP="0038264A">
        <w:pPr>
          <w:pStyle w:val="Footer"/>
          <w:pBdr>
            <w:top w:val="single" w:sz="4" w:space="1" w:color="D9D9D9" w:themeColor="background1" w:themeShade="D9"/>
          </w:pBdr>
          <w:rPr>
            <w:b/>
            <w:bCs/>
          </w:rPr>
        </w:pPr>
        <w:r w:rsidRPr="0038264A">
          <w:rPr>
            <w:rFonts w:asciiTheme="majorHAnsi" w:hAnsiTheme="majorHAnsi" w:cstheme="majorHAnsi"/>
            <w:b/>
            <w:noProof/>
            <w:sz w:val="24"/>
            <w:lang w:bidi="ar-SA"/>
          </w:rPr>
          <mc:AlternateContent>
            <mc:Choice Requires="wps">
              <w:drawing>
                <wp:anchor distT="45720" distB="45720" distL="114300" distR="114300" simplePos="0" relativeHeight="251674624" behindDoc="0" locked="0" layoutInCell="1" allowOverlap="1" wp14:anchorId="10B78E34" wp14:editId="6CD72838">
                  <wp:simplePos x="0" y="0"/>
                  <wp:positionH relativeFrom="column">
                    <wp:posOffset>390525</wp:posOffset>
                  </wp:positionH>
                  <wp:positionV relativeFrom="paragraph">
                    <wp:posOffset>0</wp:posOffset>
                  </wp:positionV>
                  <wp:extent cx="5791200" cy="638175"/>
                  <wp:effectExtent l="0" t="0" r="0" b="952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1200" cy="638175"/>
                          </a:xfrm>
                          <a:prstGeom prst="rect">
                            <a:avLst/>
                          </a:prstGeom>
                          <a:solidFill>
                            <a:schemeClr val="bg1"/>
                          </a:solidFill>
                          <a:ln w="12700">
                            <a:noFill/>
                            <a:miter lim="800000"/>
                            <a:headEnd/>
                            <a:tailEnd/>
                          </a:ln>
                        </wps:spPr>
                        <wps:txbx>
                          <w:txbxContent>
                            <w:p w:rsidR="00302F4C" w:rsidRPr="0038264A" w:rsidRDefault="00C26A6F" w:rsidP="0038264A">
                              <w:pPr>
                                <w:spacing w:after="0" w:line="240" w:lineRule="auto"/>
                                <w:jc w:val="right"/>
                                <w:rPr>
                                  <w:rFonts w:ascii="Book Antiqua" w:hAnsi="Book Antiqua"/>
                                  <w:b/>
                                  <w:i/>
                                  <w:color w:val="000000" w:themeColor="text1"/>
                                  <w:sz w:val="16"/>
                                  <w:szCs w:val="16"/>
                                </w:rPr>
                              </w:pPr>
                              <w:r>
                                <w:rPr>
                                  <w:rFonts w:ascii="Book Antiqua" w:hAnsi="Book Antiqua"/>
                                  <w:b/>
                                  <w:i/>
                                  <w:color w:val="000000" w:themeColor="text1"/>
                                  <w:sz w:val="16"/>
                                  <w:szCs w:val="16"/>
                                </w:rPr>
                                <w:t>Abdullah</w:t>
                              </w:r>
                              <w:r w:rsidR="00302F4C" w:rsidRPr="0038264A">
                                <w:rPr>
                                  <w:rFonts w:ascii="Book Antiqua" w:hAnsi="Book Antiqua"/>
                                  <w:b/>
                                  <w:i/>
                                  <w:color w:val="000000" w:themeColor="text1"/>
                                  <w:sz w:val="16"/>
                                  <w:szCs w:val="16"/>
                                </w:rPr>
                                <w:t>, “</w:t>
                              </w:r>
                              <w:r w:rsidR="001D3CDD">
                                <w:rPr>
                                  <w:rFonts w:ascii="Book Antiqua" w:hAnsi="Book Antiqua"/>
                                  <w:b/>
                                  <w:i/>
                                  <w:color w:val="000000" w:themeColor="text1"/>
                                  <w:sz w:val="16"/>
                                  <w:szCs w:val="16"/>
                                </w:rPr>
                                <w:t>The Crime of Blasphemy i</w:t>
                              </w:r>
                              <w:r w:rsidRPr="00C26A6F">
                                <w:rPr>
                                  <w:rFonts w:ascii="Book Antiqua" w:hAnsi="Book Antiqua"/>
                                  <w:b/>
                                  <w:i/>
                                  <w:color w:val="000000" w:themeColor="text1"/>
                                  <w:sz w:val="16"/>
                                  <w:szCs w:val="16"/>
                                </w:rPr>
                                <w:t>n Indonesia:  A Comparative Study</w:t>
                              </w:r>
                              <w:r w:rsidR="00302F4C" w:rsidRPr="0038264A">
                                <w:rPr>
                                  <w:rFonts w:ascii="Book Antiqua" w:hAnsi="Book Antiqua"/>
                                  <w:b/>
                                  <w:i/>
                                  <w:color w:val="000000" w:themeColor="text1"/>
                                  <w:sz w:val="16"/>
                                  <w:szCs w:val="16"/>
                                </w:rPr>
                                <w:t>”</w:t>
                              </w:r>
                            </w:p>
                            <w:p w:rsidR="00302F4C" w:rsidRPr="0038264A" w:rsidRDefault="00302F4C" w:rsidP="0038264A">
                              <w:pPr>
                                <w:spacing w:after="0" w:line="240" w:lineRule="auto"/>
                                <w:jc w:val="right"/>
                                <w:rPr>
                                  <w:rFonts w:ascii="Book Antiqua" w:hAnsi="Book Antiqua"/>
                                  <w:b/>
                                  <w:i/>
                                  <w:color w:val="000000" w:themeColor="text1"/>
                                  <w:sz w:val="16"/>
                                  <w:szCs w:val="16"/>
                                  <w:lang w:val="id-ID"/>
                                </w:rPr>
                              </w:pPr>
                              <w:r w:rsidRPr="0038264A">
                                <w:rPr>
                                  <w:rFonts w:ascii="Book Antiqua" w:hAnsi="Book Antiqua"/>
                                  <w:b/>
                                  <w:i/>
                                  <w:color w:val="000000" w:themeColor="text1"/>
                                  <w:sz w:val="16"/>
                                  <w:szCs w:val="16"/>
                                </w:rPr>
                                <w:t>SASI,</w:t>
                              </w:r>
                              <w:r w:rsidRPr="0038264A">
                                <w:rPr>
                                  <w:rFonts w:ascii="Book Antiqua" w:hAnsi="Book Antiqua"/>
                                  <w:b/>
                                  <w:i/>
                                  <w:color w:val="000000" w:themeColor="text1"/>
                                  <w:sz w:val="16"/>
                                  <w:szCs w:val="16"/>
                                  <w:lang w:val="id-ID"/>
                                </w:rPr>
                                <w:t xml:space="preserve"> </w:t>
                              </w:r>
                              <w:r w:rsidRPr="0038264A">
                                <w:rPr>
                                  <w:rFonts w:ascii="Book Antiqua" w:hAnsi="Book Antiqua"/>
                                  <w:b/>
                                  <w:i/>
                                  <w:color w:val="000000" w:themeColor="text1"/>
                                  <w:sz w:val="16"/>
                                  <w:szCs w:val="16"/>
                                </w:rPr>
                                <w:t>27</w:t>
                              </w:r>
                              <w:r w:rsidRPr="0038264A">
                                <w:rPr>
                                  <w:rFonts w:ascii="Book Antiqua" w:hAnsi="Book Antiqua"/>
                                  <w:b/>
                                  <w:i/>
                                  <w:color w:val="000000" w:themeColor="text1"/>
                                  <w:sz w:val="16"/>
                                  <w:szCs w:val="16"/>
                                  <w:lang w:val="id-ID"/>
                                </w:rPr>
                                <w:t>(1)</w:t>
                              </w:r>
                              <w:r w:rsidRPr="0038264A">
                                <w:rPr>
                                  <w:rFonts w:ascii="Book Antiqua" w:hAnsi="Book Antiqua"/>
                                  <w:b/>
                                  <w:i/>
                                  <w:color w:val="000000" w:themeColor="text1"/>
                                  <w:sz w:val="16"/>
                                  <w:szCs w:val="16"/>
                                </w:rPr>
                                <w:t xml:space="preserve"> 2022</w:t>
                              </w:r>
                              <w:r w:rsidRPr="0038264A">
                                <w:rPr>
                                  <w:rFonts w:ascii="Book Antiqua" w:hAnsi="Book Antiqua"/>
                                  <w:b/>
                                  <w:i/>
                                  <w:color w:val="000000" w:themeColor="text1"/>
                                  <w:sz w:val="16"/>
                                  <w:szCs w:val="16"/>
                                  <w:lang w:val="id-ID"/>
                                </w:rPr>
                                <w:t xml:space="preserve">: </w:t>
                              </w:r>
                              <w:r w:rsidRPr="0038264A">
                                <w:rPr>
                                  <w:rFonts w:ascii="Book Antiqua" w:hAnsi="Book Antiqua"/>
                                  <w:b/>
                                  <w:i/>
                                  <w:color w:val="000000" w:themeColor="text1"/>
                                  <w:sz w:val="16"/>
                                  <w:szCs w:val="16"/>
                                </w:rPr>
                                <w:t>1</w:t>
                              </w:r>
                              <w:r w:rsidRPr="0038264A">
                                <w:rPr>
                                  <w:rFonts w:ascii="Book Antiqua" w:hAnsi="Book Antiqua"/>
                                  <w:b/>
                                  <w:i/>
                                  <w:color w:val="000000" w:themeColor="text1"/>
                                  <w:sz w:val="16"/>
                                  <w:szCs w:val="16"/>
                                  <w:lang w:val="id-ID"/>
                                </w:rPr>
                                <w:t>-15</w:t>
                              </w:r>
                            </w:p>
                            <w:p w:rsidR="00302F4C" w:rsidRPr="009D4306" w:rsidRDefault="00302F4C" w:rsidP="0038264A">
                              <w:pPr>
                                <w:spacing w:after="0" w:line="240" w:lineRule="auto"/>
                                <w:jc w:val="right"/>
                                <w:rPr>
                                  <w:sz w:val="18"/>
                                  <w:szCs w:val="18"/>
                                </w:rPr>
                              </w:pPr>
                              <w:r w:rsidRPr="0038264A">
                                <w:rPr>
                                  <w:rFonts w:ascii="Book Antiqua" w:hAnsi="Book Antiqua"/>
                                  <w:b/>
                                  <w:i/>
                                  <w:color w:val="000000" w:themeColor="text1"/>
                                  <w:sz w:val="16"/>
                                  <w:szCs w:val="16"/>
                                  <w:lang w:val="id-ID"/>
                                </w:rPr>
                                <w:t>P-ISSN: 1693-0061, E-ISSN: 2614-2961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0.75pt;margin-top:0;width:456pt;height:50.25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" fillcolor="white [3212]" stroked="f" strokeweight="1pt">
                  <v:textbox>
                    <w:txbxContent>
                      <w:p w:rsidR="00302F4C" w:rsidRPr="0038264A" w:rsidRDefault="00C26A6F" w:rsidP="0038264A">
                        <w:pPr>
                          <w:spacing w:after="0" w:line="240" w:lineRule="auto"/>
                          <w:jc w:val="right"/>
                          <w:rPr>
                            <w:rFonts w:ascii="Book Antiqua" w:hAnsi="Book Antiqua"/>
                            <w:b/>
                            <w:i/>
                            <w:color w:val="000000" w:themeColor="text1"/>
                            <w:sz w:val="16"/>
                            <w:szCs w:val="16"/>
                          </w:rPr>
                        </w:pPr>
                        <w:r>
                          <w:rPr>
                            <w:rFonts w:ascii="Book Antiqua" w:hAnsi="Book Antiqua"/>
                            <w:b/>
                            <w:i/>
                            <w:color w:val="000000" w:themeColor="text1"/>
                            <w:sz w:val="16"/>
                            <w:szCs w:val="16"/>
                          </w:rPr>
                          <w:t>Abdullah</w:t>
                        </w:r>
                        <w:r w:rsidR="00302F4C" w:rsidRPr="0038264A">
                          <w:rPr>
                            <w:rFonts w:ascii="Book Antiqua" w:hAnsi="Book Antiqua"/>
                            <w:b/>
                            <w:i/>
                            <w:color w:val="000000" w:themeColor="text1"/>
                            <w:sz w:val="16"/>
                            <w:szCs w:val="16"/>
                          </w:rPr>
                          <w:t>, “</w:t>
                        </w:r>
                        <w:r w:rsidR="001D3CDD">
                          <w:rPr>
                            <w:rFonts w:ascii="Book Antiqua" w:hAnsi="Book Antiqua"/>
                            <w:b/>
                            <w:i/>
                            <w:color w:val="000000" w:themeColor="text1"/>
                            <w:sz w:val="16"/>
                            <w:szCs w:val="16"/>
                          </w:rPr>
                          <w:t>The Crime of Blasphemy i</w:t>
                        </w:r>
                        <w:r w:rsidRPr="00C26A6F">
                          <w:rPr>
                            <w:rFonts w:ascii="Book Antiqua" w:hAnsi="Book Antiqua"/>
                            <w:b/>
                            <w:i/>
                            <w:color w:val="000000" w:themeColor="text1"/>
                            <w:sz w:val="16"/>
                            <w:szCs w:val="16"/>
                          </w:rPr>
                          <w:t>n Indonesia:  A Comparative Study</w:t>
                        </w:r>
                        <w:r w:rsidR="00302F4C" w:rsidRPr="0038264A">
                          <w:rPr>
                            <w:rFonts w:ascii="Book Antiqua" w:hAnsi="Book Antiqua"/>
                            <w:b/>
                            <w:i/>
                            <w:color w:val="000000" w:themeColor="text1"/>
                            <w:sz w:val="16"/>
                            <w:szCs w:val="16"/>
                          </w:rPr>
                          <w:t>”</w:t>
                        </w:r>
                      </w:p>
                      <w:p w:rsidR="00302F4C" w:rsidRPr="0038264A" w:rsidRDefault="00302F4C" w:rsidP="0038264A">
                        <w:pPr>
                          <w:spacing w:after="0" w:line="240" w:lineRule="auto"/>
                          <w:jc w:val="right"/>
                          <w:rPr>
                            <w:rFonts w:ascii="Book Antiqua" w:hAnsi="Book Antiqua"/>
                            <w:b/>
                            <w:i/>
                            <w:color w:val="000000" w:themeColor="text1"/>
                            <w:sz w:val="16"/>
                            <w:szCs w:val="16"/>
                            <w:lang w:val="id-ID"/>
                          </w:rPr>
                        </w:pPr>
                        <w:r w:rsidRPr="0038264A">
                          <w:rPr>
                            <w:rFonts w:ascii="Book Antiqua" w:hAnsi="Book Antiqua"/>
                            <w:b/>
                            <w:i/>
                            <w:color w:val="000000" w:themeColor="text1"/>
                            <w:sz w:val="16"/>
                            <w:szCs w:val="16"/>
                          </w:rPr>
                          <w:t>SASI,</w:t>
                        </w:r>
                        <w:r w:rsidRPr="0038264A">
                          <w:rPr>
                            <w:rFonts w:ascii="Book Antiqua" w:hAnsi="Book Antiqua"/>
                            <w:b/>
                            <w:i/>
                            <w:color w:val="000000" w:themeColor="text1"/>
                            <w:sz w:val="16"/>
                            <w:szCs w:val="16"/>
                            <w:lang w:val="id-ID"/>
                          </w:rPr>
                          <w:t xml:space="preserve"> </w:t>
                        </w:r>
                        <w:r w:rsidRPr="0038264A">
                          <w:rPr>
                            <w:rFonts w:ascii="Book Antiqua" w:hAnsi="Book Antiqua"/>
                            <w:b/>
                            <w:i/>
                            <w:color w:val="000000" w:themeColor="text1"/>
                            <w:sz w:val="16"/>
                            <w:szCs w:val="16"/>
                          </w:rPr>
                          <w:t>27</w:t>
                        </w:r>
                        <w:r w:rsidRPr="0038264A">
                          <w:rPr>
                            <w:rFonts w:ascii="Book Antiqua" w:hAnsi="Book Antiqua"/>
                            <w:b/>
                            <w:i/>
                            <w:color w:val="000000" w:themeColor="text1"/>
                            <w:sz w:val="16"/>
                            <w:szCs w:val="16"/>
                            <w:lang w:val="id-ID"/>
                          </w:rPr>
                          <w:t>(1)</w:t>
                        </w:r>
                        <w:r w:rsidRPr="0038264A">
                          <w:rPr>
                            <w:rFonts w:ascii="Book Antiqua" w:hAnsi="Book Antiqua"/>
                            <w:b/>
                            <w:i/>
                            <w:color w:val="000000" w:themeColor="text1"/>
                            <w:sz w:val="16"/>
                            <w:szCs w:val="16"/>
                          </w:rPr>
                          <w:t xml:space="preserve"> 2022</w:t>
                        </w:r>
                        <w:r w:rsidRPr="0038264A">
                          <w:rPr>
                            <w:rFonts w:ascii="Book Antiqua" w:hAnsi="Book Antiqua"/>
                            <w:b/>
                            <w:i/>
                            <w:color w:val="000000" w:themeColor="text1"/>
                            <w:sz w:val="16"/>
                            <w:szCs w:val="16"/>
                            <w:lang w:val="id-ID"/>
                          </w:rPr>
                          <w:t xml:space="preserve">: </w:t>
                        </w:r>
                        <w:r w:rsidRPr="0038264A">
                          <w:rPr>
                            <w:rFonts w:ascii="Book Antiqua" w:hAnsi="Book Antiqua"/>
                            <w:b/>
                            <w:i/>
                            <w:color w:val="000000" w:themeColor="text1"/>
                            <w:sz w:val="16"/>
                            <w:szCs w:val="16"/>
                          </w:rPr>
                          <w:t>1</w:t>
                        </w:r>
                        <w:r w:rsidRPr="0038264A">
                          <w:rPr>
                            <w:rFonts w:ascii="Book Antiqua" w:hAnsi="Book Antiqua"/>
                            <w:b/>
                            <w:i/>
                            <w:color w:val="000000" w:themeColor="text1"/>
                            <w:sz w:val="16"/>
                            <w:szCs w:val="16"/>
                            <w:lang w:val="id-ID"/>
                          </w:rPr>
                          <w:t>-15</w:t>
                        </w:r>
                      </w:p>
                      <w:p w:rsidR="00302F4C" w:rsidRPr="009D4306" w:rsidRDefault="00302F4C" w:rsidP="0038264A">
                        <w:pPr>
                          <w:spacing w:after="0" w:line="240" w:lineRule="auto"/>
                          <w:jc w:val="right"/>
                          <w:rPr>
                            <w:sz w:val="18"/>
                            <w:szCs w:val="18"/>
                          </w:rPr>
                        </w:pPr>
                        <w:r w:rsidRPr="0038264A">
                          <w:rPr>
                            <w:rFonts w:ascii="Book Antiqua" w:hAnsi="Book Antiqua"/>
                            <w:b/>
                            <w:i/>
                            <w:color w:val="000000" w:themeColor="text1"/>
                            <w:sz w:val="16"/>
                            <w:szCs w:val="16"/>
                            <w:lang w:val="id-ID"/>
                          </w:rPr>
                          <w:t>P-ISSN: 1693-0061, E-ISSN: 2614-2961</w:t>
                        </w:r>
                      </w:p>
                    </w:txbxContent>
                  </v:textbox>
                </v:shape>
              </w:pict>
            </mc:Fallback>
          </mc:AlternateContent>
        </w:r>
        <w:r w:rsidRPr="0038264A">
          <w:rPr>
            <w:rFonts w:ascii="Book Antiqua" w:hAnsi="Book Antiqua"/>
            <w:b/>
            <w:color w:val="1F3864" w:themeColor="accent1" w:themeShade="80"/>
            <w:sz w:val="28"/>
          </w:rPr>
          <w:fldChar w:fldCharType="begin"/>
        </w:r>
        <w:r w:rsidRPr="0038264A">
          <w:rPr>
            <w:rFonts w:ascii="Book Antiqua" w:hAnsi="Book Antiqua"/>
            <w:b/>
            <w:color w:val="1F3864" w:themeColor="accent1" w:themeShade="80"/>
            <w:sz w:val="28"/>
          </w:rPr>
          <w:instrText xml:space="preserve"> PAGE   \* MERGEFORMAT </w:instrText>
        </w:r>
        <w:r w:rsidRPr="0038264A">
          <w:rPr>
            <w:rFonts w:ascii="Book Antiqua" w:hAnsi="Book Antiqua"/>
            <w:b/>
            <w:color w:val="1F3864" w:themeColor="accent1" w:themeShade="80"/>
            <w:sz w:val="28"/>
          </w:rPr>
          <w:fldChar w:fldCharType="separate"/>
        </w:r>
        <w:r w:rsidR="00070E07" w:rsidRPr="00070E07">
          <w:rPr>
            <w:rFonts w:ascii="Book Antiqua" w:hAnsi="Book Antiqua"/>
            <w:b/>
            <w:bCs/>
            <w:noProof/>
            <w:color w:val="1F3864" w:themeColor="accent1" w:themeShade="80"/>
            <w:sz w:val="28"/>
          </w:rPr>
          <w:t>2</w:t>
        </w:r>
        <w:r w:rsidRPr="0038264A">
          <w:rPr>
            <w:rFonts w:ascii="Book Antiqua" w:hAnsi="Book Antiqua"/>
            <w:b/>
            <w:bCs/>
            <w:noProof/>
            <w:color w:val="1F3864" w:themeColor="accent1" w:themeShade="80"/>
            <w:sz w:val="28"/>
          </w:rPr>
          <w:fldChar w:fldCharType="end"/>
        </w:r>
        <w:r w:rsidRPr="0038264A">
          <w:rPr>
            <w:b/>
            <w:bCs/>
            <w:color w:val="1F3864" w:themeColor="accent1" w:themeShade="80"/>
            <w:sz w:val="24"/>
          </w:rPr>
          <w:t xml:space="preserve"> </w:t>
        </w:r>
        <w:r>
          <w:rPr>
            <w:b/>
            <w:bCs/>
          </w:rPr>
          <w:t xml:space="preserve">|    </w:t>
        </w:r>
      </w:p>
    </w:sdtContent>
  </w:sdt>
  <w:p w:rsidR="00302F4C" w:rsidRPr="00185CD9" w:rsidRDefault="00302F4C">
    <w:pPr>
      <w:pStyle w:val="Footer"/>
      <w:rPr>
        <w:rFonts w:asciiTheme="majorHAnsi" w:hAnsiTheme="majorHAnsi" w:cstheme="majorHAnsi"/>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63575198"/>
      <w:docPartObj>
        <w:docPartGallery w:val="Page Numbers (Bottom of Page)"/>
        <w:docPartUnique/>
      </w:docPartObj>
    </w:sdtPr>
    <w:sdtEndPr>
      <w:rPr>
        <w:color w:val="7F7F7F" w:themeColor="background1" w:themeShade="7F"/>
        <w:spacing w:val="60"/>
      </w:rPr>
    </w:sdtEndPr>
    <w:sdtContent>
      <w:p w:rsidR="00302F4C" w:rsidRDefault="00302F4C" w:rsidP="0038264A">
        <w:pPr>
          <w:pStyle w:val="Footer"/>
          <w:pBdr>
            <w:top w:val="single" w:sz="4" w:space="1" w:color="D9D9D9" w:themeColor="background1" w:themeShade="D9"/>
          </w:pBdr>
          <w:rPr>
            <w:b/>
            <w:bCs/>
          </w:rPr>
        </w:pPr>
        <w:r w:rsidRPr="0038264A">
          <w:rPr>
            <w:rFonts w:asciiTheme="majorHAnsi" w:hAnsiTheme="majorHAnsi" w:cstheme="majorHAnsi"/>
            <w:b/>
            <w:noProof/>
            <w:sz w:val="24"/>
            <w:lang w:bidi="ar-SA"/>
          </w:rPr>
          <mc:AlternateContent>
            <mc:Choice Requires="wps">
              <w:drawing>
                <wp:anchor distT="45720" distB="45720" distL="114300" distR="114300" simplePos="0" relativeHeight="251676672" behindDoc="0" locked="0" layoutInCell="1" allowOverlap="1" wp14:anchorId="0A3B047A" wp14:editId="15277618">
                  <wp:simplePos x="0" y="0"/>
                  <wp:positionH relativeFrom="column">
                    <wp:posOffset>466725</wp:posOffset>
                  </wp:positionH>
                  <wp:positionV relativeFrom="paragraph">
                    <wp:posOffset>-6985</wp:posOffset>
                  </wp:positionV>
                  <wp:extent cx="5791200" cy="638175"/>
                  <wp:effectExtent l="0" t="0" r="0"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1200" cy="638175"/>
                          </a:xfrm>
                          <a:prstGeom prst="rect">
                            <a:avLst/>
                          </a:prstGeom>
                          <a:solidFill>
                            <a:schemeClr val="bg1"/>
                          </a:solidFill>
                          <a:ln w="12700">
                            <a:noFill/>
                            <a:miter lim="800000"/>
                            <a:headEnd/>
                            <a:tailEnd/>
                          </a:ln>
                        </wps:spPr>
                        <wps:txbx>
                          <w:txbxContent>
                            <w:p w:rsidR="00302F4C" w:rsidRPr="0038264A" w:rsidRDefault="00C26A6F" w:rsidP="0038264A">
                              <w:pPr>
                                <w:spacing w:after="0" w:line="240" w:lineRule="auto"/>
                                <w:jc w:val="right"/>
                                <w:rPr>
                                  <w:rFonts w:ascii="Book Antiqua" w:hAnsi="Book Antiqua"/>
                                  <w:b/>
                                  <w:i/>
                                  <w:color w:val="000000" w:themeColor="text1"/>
                                  <w:sz w:val="16"/>
                                  <w:szCs w:val="18"/>
                                </w:rPr>
                              </w:pPr>
                              <w:r>
                                <w:rPr>
                                  <w:rFonts w:ascii="Book Antiqua" w:hAnsi="Book Antiqua"/>
                                  <w:b/>
                                  <w:i/>
                                  <w:color w:val="000000" w:themeColor="text1"/>
                                  <w:sz w:val="16"/>
                                  <w:szCs w:val="18"/>
                                </w:rPr>
                                <w:t>Abdullah</w:t>
                              </w:r>
                              <w:r w:rsidR="00302F4C" w:rsidRPr="0038264A">
                                <w:rPr>
                                  <w:rFonts w:ascii="Book Antiqua" w:hAnsi="Book Antiqua"/>
                                  <w:b/>
                                  <w:i/>
                                  <w:color w:val="000000" w:themeColor="text1"/>
                                  <w:sz w:val="16"/>
                                  <w:szCs w:val="18"/>
                                </w:rPr>
                                <w:t>, “</w:t>
                              </w:r>
                              <w:r w:rsidR="001D3CDD">
                                <w:rPr>
                                  <w:rFonts w:ascii="Book Antiqua" w:hAnsi="Book Antiqua"/>
                                  <w:b/>
                                  <w:i/>
                                  <w:color w:val="000000" w:themeColor="text1"/>
                                  <w:sz w:val="16"/>
                                  <w:szCs w:val="18"/>
                                </w:rPr>
                                <w:t>The Crime of Blasphemy i</w:t>
                              </w:r>
                              <w:r w:rsidRPr="00C26A6F">
                                <w:rPr>
                                  <w:rFonts w:ascii="Book Antiqua" w:hAnsi="Book Antiqua"/>
                                  <w:b/>
                                  <w:i/>
                                  <w:color w:val="000000" w:themeColor="text1"/>
                                  <w:sz w:val="16"/>
                                  <w:szCs w:val="18"/>
                                </w:rPr>
                                <w:t>n Indonesia:  A Comparative Study</w:t>
                              </w:r>
                              <w:r w:rsidR="00302F4C" w:rsidRPr="0038264A">
                                <w:rPr>
                                  <w:rFonts w:ascii="Book Antiqua" w:hAnsi="Book Antiqua"/>
                                  <w:b/>
                                  <w:i/>
                                  <w:color w:val="000000" w:themeColor="text1"/>
                                  <w:sz w:val="16"/>
                                  <w:szCs w:val="18"/>
                                </w:rPr>
                                <w:t>”</w:t>
                              </w:r>
                            </w:p>
                            <w:p w:rsidR="00302F4C" w:rsidRPr="0038264A" w:rsidRDefault="00302F4C" w:rsidP="0038264A">
                              <w:pPr>
                                <w:spacing w:after="0" w:line="240" w:lineRule="auto"/>
                                <w:jc w:val="right"/>
                                <w:rPr>
                                  <w:rFonts w:ascii="Book Antiqua" w:hAnsi="Book Antiqua"/>
                                  <w:b/>
                                  <w:i/>
                                  <w:color w:val="000000" w:themeColor="text1"/>
                                  <w:sz w:val="16"/>
                                  <w:szCs w:val="18"/>
                                  <w:lang w:val="id-ID"/>
                                </w:rPr>
                              </w:pPr>
                              <w:r w:rsidRPr="0038264A">
                                <w:rPr>
                                  <w:rFonts w:ascii="Book Antiqua" w:hAnsi="Book Antiqua"/>
                                  <w:b/>
                                  <w:i/>
                                  <w:color w:val="000000" w:themeColor="text1"/>
                                  <w:sz w:val="16"/>
                                  <w:szCs w:val="18"/>
                                </w:rPr>
                                <w:t>SASI,</w:t>
                              </w:r>
                              <w:r w:rsidRPr="0038264A">
                                <w:rPr>
                                  <w:rFonts w:ascii="Book Antiqua" w:hAnsi="Book Antiqua"/>
                                  <w:b/>
                                  <w:i/>
                                  <w:color w:val="000000" w:themeColor="text1"/>
                                  <w:sz w:val="16"/>
                                  <w:szCs w:val="18"/>
                                  <w:lang w:val="id-ID"/>
                                </w:rPr>
                                <w:t xml:space="preserve"> </w:t>
                              </w:r>
                              <w:r w:rsidRPr="0038264A">
                                <w:rPr>
                                  <w:rFonts w:ascii="Book Antiqua" w:hAnsi="Book Antiqua"/>
                                  <w:b/>
                                  <w:i/>
                                  <w:color w:val="000000" w:themeColor="text1"/>
                                  <w:sz w:val="16"/>
                                  <w:szCs w:val="18"/>
                                </w:rPr>
                                <w:t>27</w:t>
                              </w:r>
                              <w:r w:rsidRPr="0038264A">
                                <w:rPr>
                                  <w:rFonts w:ascii="Book Antiqua" w:hAnsi="Book Antiqua"/>
                                  <w:b/>
                                  <w:i/>
                                  <w:color w:val="000000" w:themeColor="text1"/>
                                  <w:sz w:val="16"/>
                                  <w:szCs w:val="18"/>
                                  <w:lang w:val="id-ID"/>
                                </w:rPr>
                                <w:t>(1)</w:t>
                              </w:r>
                              <w:r w:rsidRPr="0038264A">
                                <w:rPr>
                                  <w:rFonts w:ascii="Book Antiqua" w:hAnsi="Book Antiqua"/>
                                  <w:b/>
                                  <w:i/>
                                  <w:color w:val="000000" w:themeColor="text1"/>
                                  <w:sz w:val="16"/>
                                  <w:szCs w:val="18"/>
                                </w:rPr>
                                <w:t xml:space="preserve"> 2022</w:t>
                              </w:r>
                              <w:r w:rsidRPr="0038264A">
                                <w:rPr>
                                  <w:rFonts w:ascii="Book Antiqua" w:hAnsi="Book Antiqua"/>
                                  <w:b/>
                                  <w:i/>
                                  <w:color w:val="000000" w:themeColor="text1"/>
                                  <w:sz w:val="16"/>
                                  <w:szCs w:val="18"/>
                                  <w:lang w:val="id-ID"/>
                                </w:rPr>
                                <w:t xml:space="preserve">: </w:t>
                              </w:r>
                              <w:r w:rsidRPr="0038264A">
                                <w:rPr>
                                  <w:rFonts w:ascii="Book Antiqua" w:hAnsi="Book Antiqua"/>
                                  <w:b/>
                                  <w:i/>
                                  <w:color w:val="000000" w:themeColor="text1"/>
                                  <w:sz w:val="16"/>
                                  <w:szCs w:val="18"/>
                                </w:rPr>
                                <w:t>1</w:t>
                              </w:r>
                              <w:r w:rsidRPr="0038264A">
                                <w:rPr>
                                  <w:rFonts w:ascii="Book Antiqua" w:hAnsi="Book Antiqua"/>
                                  <w:b/>
                                  <w:i/>
                                  <w:color w:val="000000" w:themeColor="text1"/>
                                  <w:sz w:val="16"/>
                                  <w:szCs w:val="18"/>
                                  <w:lang w:val="id-ID"/>
                                </w:rPr>
                                <w:t>-15</w:t>
                              </w:r>
                            </w:p>
                            <w:p w:rsidR="00302F4C" w:rsidRPr="009D4306" w:rsidRDefault="00302F4C" w:rsidP="0038264A">
                              <w:pPr>
                                <w:spacing w:after="0" w:line="240" w:lineRule="auto"/>
                                <w:jc w:val="right"/>
                                <w:rPr>
                                  <w:sz w:val="18"/>
                                  <w:szCs w:val="18"/>
                                </w:rPr>
                              </w:pPr>
                              <w:r w:rsidRPr="0038264A">
                                <w:rPr>
                                  <w:rFonts w:ascii="Book Antiqua" w:hAnsi="Book Antiqua"/>
                                  <w:b/>
                                  <w:i/>
                                  <w:color w:val="000000" w:themeColor="text1"/>
                                  <w:sz w:val="16"/>
                                  <w:szCs w:val="18"/>
                                  <w:lang w:val="id-ID"/>
                                </w:rPr>
                                <w:t>P-ISSN: 1693-0061, E-ISSN: 2614-2961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margin-left:36.75pt;margin-top:-.55pt;width:456pt;height:50.25pt;z-index:2516766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" fillcolor="white [3212]" stroked="f" strokeweight="1pt">
                  <v:textbox>
                    <w:txbxContent>
                      <w:p w:rsidR="00302F4C" w:rsidRPr="0038264A" w:rsidRDefault="00C26A6F" w:rsidP="0038264A">
                        <w:pPr>
                          <w:spacing w:after="0" w:line="240" w:lineRule="auto"/>
                          <w:jc w:val="right"/>
                          <w:rPr>
                            <w:rFonts w:ascii="Book Antiqua" w:hAnsi="Book Antiqua"/>
                            <w:b/>
                            <w:i/>
                            <w:color w:val="000000" w:themeColor="text1"/>
                            <w:sz w:val="16"/>
                            <w:szCs w:val="18"/>
                          </w:rPr>
                        </w:pPr>
                        <w:r>
                          <w:rPr>
                            <w:rFonts w:ascii="Book Antiqua" w:hAnsi="Book Antiqua"/>
                            <w:b/>
                            <w:i/>
                            <w:color w:val="000000" w:themeColor="text1"/>
                            <w:sz w:val="16"/>
                            <w:szCs w:val="18"/>
                          </w:rPr>
                          <w:t>Abdullah</w:t>
                        </w:r>
                        <w:r w:rsidR="00302F4C" w:rsidRPr="0038264A">
                          <w:rPr>
                            <w:rFonts w:ascii="Book Antiqua" w:hAnsi="Book Antiqua"/>
                            <w:b/>
                            <w:i/>
                            <w:color w:val="000000" w:themeColor="text1"/>
                            <w:sz w:val="16"/>
                            <w:szCs w:val="18"/>
                          </w:rPr>
                          <w:t>, “</w:t>
                        </w:r>
                        <w:r w:rsidR="001D3CDD">
                          <w:rPr>
                            <w:rFonts w:ascii="Book Antiqua" w:hAnsi="Book Antiqua"/>
                            <w:b/>
                            <w:i/>
                            <w:color w:val="000000" w:themeColor="text1"/>
                            <w:sz w:val="16"/>
                            <w:szCs w:val="18"/>
                          </w:rPr>
                          <w:t>The Crime of Blasphemy i</w:t>
                        </w:r>
                        <w:r w:rsidRPr="00C26A6F">
                          <w:rPr>
                            <w:rFonts w:ascii="Book Antiqua" w:hAnsi="Book Antiqua"/>
                            <w:b/>
                            <w:i/>
                            <w:color w:val="000000" w:themeColor="text1"/>
                            <w:sz w:val="16"/>
                            <w:szCs w:val="18"/>
                          </w:rPr>
                          <w:t>n Indonesia:  A Comparative Study</w:t>
                        </w:r>
                        <w:r w:rsidR="00302F4C" w:rsidRPr="0038264A">
                          <w:rPr>
                            <w:rFonts w:ascii="Book Antiqua" w:hAnsi="Book Antiqua"/>
                            <w:b/>
                            <w:i/>
                            <w:color w:val="000000" w:themeColor="text1"/>
                            <w:sz w:val="16"/>
                            <w:szCs w:val="18"/>
                          </w:rPr>
                          <w:t>”</w:t>
                        </w:r>
                      </w:p>
                      <w:p w:rsidR="00302F4C" w:rsidRPr="0038264A" w:rsidRDefault="00302F4C" w:rsidP="0038264A">
                        <w:pPr>
                          <w:spacing w:after="0" w:line="240" w:lineRule="auto"/>
                          <w:jc w:val="right"/>
                          <w:rPr>
                            <w:rFonts w:ascii="Book Antiqua" w:hAnsi="Book Antiqua"/>
                            <w:b/>
                            <w:i/>
                            <w:color w:val="000000" w:themeColor="text1"/>
                            <w:sz w:val="16"/>
                            <w:szCs w:val="18"/>
                            <w:lang w:val="id-ID"/>
                          </w:rPr>
                        </w:pPr>
                        <w:r w:rsidRPr="0038264A">
                          <w:rPr>
                            <w:rFonts w:ascii="Book Antiqua" w:hAnsi="Book Antiqua"/>
                            <w:b/>
                            <w:i/>
                            <w:color w:val="000000" w:themeColor="text1"/>
                            <w:sz w:val="16"/>
                            <w:szCs w:val="18"/>
                          </w:rPr>
                          <w:t>SASI,</w:t>
                        </w:r>
                        <w:r w:rsidRPr="0038264A">
                          <w:rPr>
                            <w:rFonts w:ascii="Book Antiqua" w:hAnsi="Book Antiqua"/>
                            <w:b/>
                            <w:i/>
                            <w:color w:val="000000" w:themeColor="text1"/>
                            <w:sz w:val="16"/>
                            <w:szCs w:val="18"/>
                            <w:lang w:val="id-ID"/>
                          </w:rPr>
                          <w:t xml:space="preserve"> </w:t>
                        </w:r>
                        <w:r w:rsidRPr="0038264A">
                          <w:rPr>
                            <w:rFonts w:ascii="Book Antiqua" w:hAnsi="Book Antiqua"/>
                            <w:b/>
                            <w:i/>
                            <w:color w:val="000000" w:themeColor="text1"/>
                            <w:sz w:val="16"/>
                            <w:szCs w:val="18"/>
                          </w:rPr>
                          <w:t>27</w:t>
                        </w:r>
                        <w:r w:rsidRPr="0038264A">
                          <w:rPr>
                            <w:rFonts w:ascii="Book Antiqua" w:hAnsi="Book Antiqua"/>
                            <w:b/>
                            <w:i/>
                            <w:color w:val="000000" w:themeColor="text1"/>
                            <w:sz w:val="16"/>
                            <w:szCs w:val="18"/>
                            <w:lang w:val="id-ID"/>
                          </w:rPr>
                          <w:t>(1)</w:t>
                        </w:r>
                        <w:r w:rsidRPr="0038264A">
                          <w:rPr>
                            <w:rFonts w:ascii="Book Antiqua" w:hAnsi="Book Antiqua"/>
                            <w:b/>
                            <w:i/>
                            <w:color w:val="000000" w:themeColor="text1"/>
                            <w:sz w:val="16"/>
                            <w:szCs w:val="18"/>
                          </w:rPr>
                          <w:t xml:space="preserve"> 2022</w:t>
                        </w:r>
                        <w:r w:rsidRPr="0038264A">
                          <w:rPr>
                            <w:rFonts w:ascii="Book Antiqua" w:hAnsi="Book Antiqua"/>
                            <w:b/>
                            <w:i/>
                            <w:color w:val="000000" w:themeColor="text1"/>
                            <w:sz w:val="16"/>
                            <w:szCs w:val="18"/>
                            <w:lang w:val="id-ID"/>
                          </w:rPr>
                          <w:t xml:space="preserve">: </w:t>
                        </w:r>
                        <w:r w:rsidRPr="0038264A">
                          <w:rPr>
                            <w:rFonts w:ascii="Book Antiqua" w:hAnsi="Book Antiqua"/>
                            <w:b/>
                            <w:i/>
                            <w:color w:val="000000" w:themeColor="text1"/>
                            <w:sz w:val="16"/>
                            <w:szCs w:val="18"/>
                          </w:rPr>
                          <w:t>1</w:t>
                        </w:r>
                        <w:r w:rsidRPr="0038264A">
                          <w:rPr>
                            <w:rFonts w:ascii="Book Antiqua" w:hAnsi="Book Antiqua"/>
                            <w:b/>
                            <w:i/>
                            <w:color w:val="000000" w:themeColor="text1"/>
                            <w:sz w:val="16"/>
                            <w:szCs w:val="18"/>
                            <w:lang w:val="id-ID"/>
                          </w:rPr>
                          <w:t>-15</w:t>
                        </w:r>
                      </w:p>
                      <w:p w:rsidR="00302F4C" w:rsidRPr="009D4306" w:rsidRDefault="00302F4C" w:rsidP="0038264A">
                        <w:pPr>
                          <w:spacing w:after="0" w:line="240" w:lineRule="auto"/>
                          <w:jc w:val="right"/>
                          <w:rPr>
                            <w:sz w:val="18"/>
                            <w:szCs w:val="18"/>
                          </w:rPr>
                        </w:pPr>
                        <w:r w:rsidRPr="0038264A">
                          <w:rPr>
                            <w:rFonts w:ascii="Book Antiqua" w:hAnsi="Book Antiqua"/>
                            <w:b/>
                            <w:i/>
                            <w:color w:val="000000" w:themeColor="text1"/>
                            <w:sz w:val="16"/>
                            <w:szCs w:val="18"/>
                            <w:lang w:val="id-ID"/>
                          </w:rPr>
                          <w:t>P-ISSN: 1693-0061, E-ISSN: 2614-2961</w:t>
                        </w:r>
                      </w:p>
                    </w:txbxContent>
                  </v:textbox>
                </v:shape>
              </w:pict>
            </mc:Fallback>
          </mc:AlternateContent>
        </w:r>
        <w:r w:rsidRPr="0038264A">
          <w:rPr>
            <w:rFonts w:ascii="Book Antiqua" w:hAnsi="Book Antiqua"/>
            <w:b/>
            <w:color w:val="2F5496" w:themeColor="accent1" w:themeShade="BF"/>
            <w:sz w:val="28"/>
          </w:rPr>
          <w:fldChar w:fldCharType="begin"/>
        </w:r>
        <w:r w:rsidRPr="0038264A">
          <w:rPr>
            <w:rFonts w:ascii="Book Antiqua" w:hAnsi="Book Antiqua"/>
            <w:b/>
            <w:color w:val="2F5496" w:themeColor="accent1" w:themeShade="BF"/>
            <w:sz w:val="28"/>
          </w:rPr>
          <w:instrText xml:space="preserve"> PAGE   \* MERGEFORMAT </w:instrText>
        </w:r>
        <w:r w:rsidRPr="0038264A">
          <w:rPr>
            <w:rFonts w:ascii="Book Antiqua" w:hAnsi="Book Antiqua"/>
            <w:b/>
            <w:color w:val="2F5496" w:themeColor="accent1" w:themeShade="BF"/>
            <w:sz w:val="28"/>
          </w:rPr>
          <w:fldChar w:fldCharType="separate"/>
        </w:r>
        <w:r w:rsidR="00070E07" w:rsidRPr="00070E07">
          <w:rPr>
            <w:rFonts w:ascii="Book Antiqua" w:hAnsi="Book Antiqua"/>
            <w:b/>
            <w:bCs/>
            <w:noProof/>
            <w:color w:val="2F5496" w:themeColor="accent1" w:themeShade="BF"/>
            <w:sz w:val="28"/>
          </w:rPr>
          <w:t>3</w:t>
        </w:r>
        <w:r w:rsidRPr="0038264A">
          <w:rPr>
            <w:rFonts w:ascii="Book Antiqua" w:hAnsi="Book Antiqua"/>
            <w:b/>
            <w:bCs/>
            <w:noProof/>
            <w:color w:val="2F5496" w:themeColor="accent1" w:themeShade="BF"/>
            <w:sz w:val="28"/>
          </w:rPr>
          <w:fldChar w:fldCharType="end"/>
        </w:r>
        <w:r w:rsidRPr="0038264A">
          <w:rPr>
            <w:b/>
            <w:bCs/>
            <w:sz w:val="24"/>
          </w:rPr>
          <w:t xml:space="preserve"> </w:t>
        </w:r>
        <w:r>
          <w:rPr>
            <w:b/>
            <w:bCs/>
          </w:rPr>
          <w:t xml:space="preserve">|     </w:t>
        </w:r>
      </w:p>
    </w:sdtContent>
  </w:sdt>
  <w:p w:rsidR="00302F4C" w:rsidRPr="00185CD9" w:rsidRDefault="00302F4C">
    <w:pPr>
      <w:pStyle w:val="Footer"/>
      <w:rPr>
        <w:rFonts w:asciiTheme="majorHAnsi" w:hAnsiTheme="majorHAnsi" w:cstheme="majorHAnsi"/>
        <w:color w:val="C00000"/>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6A1A" w:rsidRDefault="00226A1A" w:rsidP="00934130">
      <w:pPr>
        <w:spacing w:after="0" w:line="240" w:lineRule="auto"/>
      </w:pPr>
      <w:r>
        <w:separator/>
      </w:r>
    </w:p>
  </w:footnote>
  <w:footnote w:type="continuationSeparator" w:id="0">
    <w:p w:rsidR="00226A1A" w:rsidRDefault="00226A1A" w:rsidP="00934130">
      <w:pPr>
        <w:spacing w:after="0" w:line="240" w:lineRule="auto"/>
      </w:pPr>
      <w:r>
        <w:continuationSeparator/>
      </w:r>
    </w:p>
  </w:footnote>
  <w:footnote w:id="1">
    <w:p w:rsidR="00643958" w:rsidRDefault="00643958" w:rsidP="002E076C">
      <w:pPr>
        <w:pStyle w:val="FootnoteText"/>
        <w:ind w:firstLine="567"/>
        <w:jc w:val="both"/>
      </w:pPr>
      <w:r>
        <w:rPr>
          <w:rStyle w:val="FootnoteReference"/>
        </w:rPr>
        <w:footnoteRef/>
      </w:r>
      <w:r>
        <w:t xml:space="preserve"> </w:t>
      </w:r>
      <w:r>
        <w:fldChar w:fldCharType="begin" w:fldLock="1"/>
      </w:r>
      <w:r w:rsidR="00D23BD3">
        <w:instrText>ADDIN CSL_CITATION {"citationItems":[{"id":"ITEM-1","itemData":{"author":[{"dropping-particle":"","family":"Makin","given":"Al","non-dropping-particle":"","parse-names":false,"suffix":""}],"container-title":"Journal Indonesia and the Malay Word","id":"ITEM-1","issued":{"date-parts":[["2017"]]},"page":"1-22","title":"Not A Religious State; A study of three Indonesian Religious Leaders on The Relation of State And Religion","type":"article-journal","volume":"45"},"uris":["http://www.mendeley.com/documents/?uuid=b177a334-c8f9-42f1-97a5-77bb6ef8965c"]}],"mendeley":{"formattedCitation":"Al Makin, “Not A Religious State; A Study of Three Indonesian Religious Leaders on The Relation of State And Religion,” &lt;i&gt;Journal Indonesia and the Malay Word&lt;/i&gt; 45 (2017): 1–22.","plainTextFormattedCitation":"Al Makin, “Not A Religious State; A Study of Three Indonesian Religious Leaders on The Relation of State And Religion,” Journal Indonesia and the Malay Word 45 (2017): 1–22.","previouslyFormattedCitation":"Al Makin, “Not A Religious State; A Study of Three Indonesian Religious Leaders on The Relation of State And Religion,” &lt;i&gt;Journal Indonesia and the Malay Word&lt;/i&gt; 45 (2017): 1–22."},"properties":{"noteIndex":1},"schema":"https://github.com/citation-style-language/schema/raw/master/csl-citation.json"}</w:instrText>
      </w:r>
      <w:r>
        <w:fldChar w:fldCharType="separate"/>
      </w:r>
      <w:r w:rsidRPr="00643958">
        <w:rPr>
          <w:noProof/>
        </w:rPr>
        <w:t xml:space="preserve">Al Makin, “Not A Religious State; A Study of Three Indonesian Religious Leaders on The Relation of State And Religion,” </w:t>
      </w:r>
      <w:r w:rsidRPr="00643958">
        <w:rPr>
          <w:i/>
          <w:noProof/>
        </w:rPr>
        <w:t>Journal Indonesia and the Malay Word</w:t>
      </w:r>
      <w:r w:rsidRPr="00643958">
        <w:rPr>
          <w:noProof/>
        </w:rPr>
        <w:t xml:space="preserve"> 45 (2017): 1–22</w:t>
      </w:r>
      <w:r w:rsidR="00DD6BC9">
        <w:rPr>
          <w:noProof/>
        </w:rPr>
        <w:t>. DOI:</w:t>
      </w:r>
      <w:r w:rsidR="00DD6BC9" w:rsidRPr="00DD6BC9">
        <w:t xml:space="preserve"> </w:t>
      </w:r>
      <w:r w:rsidR="00DD6BC9" w:rsidRPr="00DD6BC9">
        <w:rPr>
          <w:noProof/>
        </w:rPr>
        <w:t>https://doi.org/10.1080/13639811.2017.1380279</w:t>
      </w:r>
      <w:r w:rsidRPr="00643958">
        <w:rPr>
          <w:noProof/>
        </w:rPr>
        <w:t>.</w:t>
      </w:r>
      <w:r>
        <w:fldChar w:fldCharType="end"/>
      </w:r>
    </w:p>
  </w:footnote>
  <w:footnote w:id="2">
    <w:p w:rsidR="00643958" w:rsidRDefault="00643958" w:rsidP="002E076C">
      <w:pPr>
        <w:pStyle w:val="FootnoteText"/>
        <w:ind w:firstLine="567"/>
        <w:jc w:val="both"/>
      </w:pPr>
      <w:r>
        <w:rPr>
          <w:rStyle w:val="FootnoteReference"/>
        </w:rPr>
        <w:footnoteRef/>
      </w:r>
      <w:r>
        <w:t xml:space="preserve"> </w:t>
      </w:r>
      <w:r>
        <w:fldChar w:fldCharType="begin" w:fldLock="1"/>
      </w:r>
      <w:r w:rsidR="00D23BD3">
        <w:instrText>ADDIN CSL_CITATION {"citationItems":[{"id":"ITEM-1","itemData":{"author":[{"dropping-particle":"","family":"Arief","given":"Barda Nawawi","non-dropping-particle":"","parse-names":false,"suffix":""}],"id":"ITEM-1","issued":{"date-parts":[["2007"]]},"number-of-pages":"64","publisher":"Penerbit UNDIP","publisher-place":"Semarang","title":"Delik Agama dan Penghinaan Tuhan (Blasphemy) di Indonesia dan Perbandingan Berbagai Negara","type":"book"},"uris":["http://www.mendeley.com/documents/?uuid=b8732e59-ed5c-4d88-91da-8cf0028eb0a2"]}],"mendeley":{"formattedCitation":"Barda Nawawi Arief, &lt;i&gt;Delik Agama Dan Penghinaan Tuhan (Blasphemy) Di Indonesia Dan Perbandingan Berbagai Negara&lt;/i&gt; (Semarang: Penerbit UNDIP, 2007).","plainTextFormattedCitation":"Barda Nawawi Arief, Delik Agama Dan Penghinaan Tuhan (Blasphemy) Di Indonesia Dan Perbandingan Berbagai Negara (Semarang: Penerbit UNDIP, 2007).","previouslyFormattedCitation":"Barda Nawawi Arief, &lt;i&gt;Delik Agama Dan Penghinaan Tuhan (Blasphemy) Di Indonesia Dan Perbandingan Berbagai Negara&lt;/i&gt; (Semarang: Penerbit UNDIP, 2007)."},"properties":{"noteIndex":2},"schema":"https://github.com/citation-style-language/schema/raw/master/csl-citation.json"}</w:instrText>
      </w:r>
      <w:r>
        <w:fldChar w:fldCharType="separate"/>
      </w:r>
      <w:r w:rsidRPr="00643958">
        <w:rPr>
          <w:noProof/>
        </w:rPr>
        <w:t xml:space="preserve">Barda Nawawi Arief, </w:t>
      </w:r>
      <w:r w:rsidRPr="00643958">
        <w:rPr>
          <w:i/>
          <w:noProof/>
        </w:rPr>
        <w:t>Delik Agama Dan Penghinaan Tuhan (Blasphemy) Di Indonesia Dan Perbandingan Berbagai Negara</w:t>
      </w:r>
      <w:r w:rsidRPr="00643958">
        <w:rPr>
          <w:noProof/>
        </w:rPr>
        <w:t xml:space="preserve"> (Semarang: Penerbit UNDIP, 2007).</w:t>
      </w:r>
      <w:r>
        <w:fldChar w:fldCharType="end"/>
      </w:r>
    </w:p>
  </w:footnote>
  <w:footnote w:id="3">
    <w:p w:rsidR="00643958" w:rsidRDefault="00643958" w:rsidP="002E076C">
      <w:pPr>
        <w:pStyle w:val="FootnoteText"/>
        <w:ind w:firstLine="567"/>
        <w:jc w:val="both"/>
      </w:pPr>
      <w:r>
        <w:rPr>
          <w:rStyle w:val="FootnoteReference"/>
        </w:rPr>
        <w:footnoteRef/>
      </w:r>
      <w:r>
        <w:t xml:space="preserve"> </w:t>
      </w:r>
      <w:r>
        <w:fldChar w:fldCharType="begin" w:fldLock="1"/>
      </w:r>
      <w:r w:rsidR="00D23BD3">
        <w:instrText>ADDIN CSL_CITATION {"citationItems":[{"id":"ITEM-1","itemData":{"author":[{"dropping-particle":"Van","family":"Winkle","given":"Andrew B.","non-dropping-particle":"","parse-names":false,"suffix":""}],"container-title":"Pacific Rim Law &amp; Policy Journal Association","id":"ITEM-1","issue":"2","issued":{"date-parts":[["2012"]]},"page":"363-370","title":"Separation Of Religion And State In Japan: A Pragmatic Interpretation of Articles 20 And 89 of The Japanese Constitution","type":"article-journal","volume":"21"},"uris":["http://www.mendeley.com/documents/?uuid=e88dd160-2579-4a75-8c0e-3576c86bc2d8"]}],"mendeley":{"formattedCitation":"Andrew B. Van Winkle, “Separation Of Religion And State In Japan: A Pragmatic Interpretation of Articles 20 And 89 of The Japanese Constitution,” &lt;i&gt;Pacific Rim Law &amp; Policy Journal Association&lt;/i&gt; 21, no. 2 (2012): 363–70.","plainTextFormattedCitation":"Andrew B. Van Winkle, “Separation Of Religion And State In Japan: A Pragmatic Interpretation of Articles 20 And 89 of The Japanese Constitution,” Pacific Rim Law &amp; Policy Journal Association 21, no. 2 (2012): 363–70.","previouslyFormattedCitation":"Andrew B. Van Winkle, “Separation Of Religion And State In Japan: A Pragmatic Interpretation of Articles 20 And 89 of The Japanese Constitution,” &lt;i&gt;Pacific Rim Law &amp; Policy Journal Association&lt;/i&gt; 21, no. 2 (2012): 363–70."},"properties":{"noteIndex":3},"schema":"https://github.com/citation-style-language/schema/raw/master/csl-citation.json"}</w:instrText>
      </w:r>
      <w:r>
        <w:fldChar w:fldCharType="separate"/>
      </w:r>
      <w:r w:rsidRPr="00643958">
        <w:rPr>
          <w:noProof/>
        </w:rPr>
        <w:t xml:space="preserve">Andrew B. Van Winkle, “Separation Of Religion And State In Japan: A Pragmatic Interpretation of Articles 20 And 89 of The Japanese Constitution,” </w:t>
      </w:r>
      <w:r w:rsidRPr="00643958">
        <w:rPr>
          <w:i/>
          <w:noProof/>
        </w:rPr>
        <w:t>Pacific Rim Law &amp; Policy Journal Association</w:t>
      </w:r>
      <w:r w:rsidRPr="00643958">
        <w:rPr>
          <w:noProof/>
        </w:rPr>
        <w:t xml:space="preserve"> 21, no. 2 (2012): 363–70.</w:t>
      </w:r>
      <w:r>
        <w:fldChar w:fldCharType="end"/>
      </w:r>
    </w:p>
  </w:footnote>
  <w:footnote w:id="4">
    <w:p w:rsidR="00643958" w:rsidRDefault="00643958" w:rsidP="002E076C">
      <w:pPr>
        <w:pStyle w:val="FootnoteText"/>
        <w:ind w:firstLine="567"/>
        <w:jc w:val="both"/>
      </w:pPr>
      <w:r>
        <w:rPr>
          <w:rStyle w:val="FootnoteReference"/>
        </w:rPr>
        <w:footnoteRef/>
      </w:r>
      <w:r>
        <w:t xml:space="preserve"> </w:t>
      </w:r>
      <w:r>
        <w:fldChar w:fldCharType="begin" w:fldLock="1"/>
      </w:r>
      <w:r w:rsidR="00D23BD3">
        <w:instrText>ADDIN CSL_CITATION {"citationItems":[{"id":"ITEM-1","itemData":{"author":[{"dropping-particle":"","family":"Maula","given":"Bani Syarif","non-dropping-particle":"","parse-names":false,"suffix":""}],"container-title":"Journal Of Indonesian Islam","id":"ITEM-1","issue":"2","issued":{"date-parts":[["2013"]]},"page":"383- 403","title":"Religious Freedom In Indonesia Between Upholding Constitutional Provisions and Complying with Social Considerations","type":"article-journal","volume":"7"},"uris":["http://www.mendeley.com/documents/?uuid=a2d25e38-bb61-4a85-981b-3b2fa08869d1"]}],"mendeley":{"formattedCitation":"Bani Syarif Maula, “Religious Freedom In Indonesia Between Upholding Constitutional Provisions and Complying with Social Considerations,” &lt;i&gt;Journal Of Indonesian Islam&lt;/i&gt; 7, no. 2 (2013): 383–403.","plainTextFormattedCitation":"Bani Syarif Maula, “Religious Freedom In Indonesia Between Upholding Constitutional Provisions and Complying with Social Considerations,” Journal Of Indonesian Islam 7, no. 2 (2013): 383–403.","previouslyFormattedCitation":"Bani Syarif Maula, “Religious Freedom In Indonesia Between Upholding Constitutional Provisions and Complying with Social Considerations,” &lt;i&gt;Journal Of Indonesian Islam&lt;/i&gt; 7, no. 2 (2013): 383–403."},"properties":{"noteIndex":4},"schema":"https://github.com/citation-style-language/schema/raw/master/csl-citation.json"}</w:instrText>
      </w:r>
      <w:r>
        <w:fldChar w:fldCharType="separate"/>
      </w:r>
      <w:r w:rsidRPr="00643958">
        <w:rPr>
          <w:noProof/>
        </w:rPr>
        <w:t xml:space="preserve">Bani Syarif Maula, “Religious Freedom In Indonesia Between Upholding Constitutional Provisions and Complying with Social Considerations,” </w:t>
      </w:r>
      <w:r w:rsidRPr="00643958">
        <w:rPr>
          <w:i/>
          <w:noProof/>
        </w:rPr>
        <w:t>Journal Of Indonesian Islam</w:t>
      </w:r>
      <w:r w:rsidRPr="00643958">
        <w:rPr>
          <w:noProof/>
        </w:rPr>
        <w:t xml:space="preserve"> 7, no. 2 (2013): 383–403</w:t>
      </w:r>
      <w:r w:rsidR="0051028D">
        <w:rPr>
          <w:noProof/>
        </w:rPr>
        <w:t xml:space="preserve">. </w:t>
      </w:r>
      <w:r w:rsidR="0051028D" w:rsidRPr="0051028D">
        <w:rPr>
          <w:noProof/>
        </w:rPr>
        <w:t>DOI: 10.15642/JIIS.2013.7.2.383-403</w:t>
      </w:r>
      <w:r w:rsidRPr="00643958">
        <w:rPr>
          <w:noProof/>
        </w:rPr>
        <w:t>.</w:t>
      </w:r>
      <w:r>
        <w:fldChar w:fldCharType="end"/>
      </w:r>
    </w:p>
  </w:footnote>
  <w:footnote w:id="5">
    <w:p w:rsidR="00643958" w:rsidRDefault="00643958" w:rsidP="002E076C">
      <w:pPr>
        <w:pStyle w:val="FootnoteText"/>
        <w:ind w:firstLine="567"/>
        <w:jc w:val="both"/>
      </w:pPr>
      <w:r>
        <w:rPr>
          <w:rStyle w:val="FootnoteReference"/>
        </w:rPr>
        <w:footnoteRef/>
      </w:r>
      <w:r>
        <w:t xml:space="preserve"> </w:t>
      </w:r>
      <w:r>
        <w:fldChar w:fldCharType="begin" w:fldLock="1"/>
      </w:r>
      <w:r w:rsidR="00D23BD3">
        <w:instrText>ADDIN CSL_CITATION {"citationItems":[{"id":"ITEM-1","itemData":{"author":[{"dropping-particle":"","family":"MD","given":"Moh. Mahfud","non-dropping-particle":"","parse-names":false,"suffix":""}],"container-title":"Varia Peradilan","id":"ITEM-1","issued":{"date-parts":[["2010"]]},"page":"2","title":"Politik Hukum Dalam Sistem Hukum Nasional","type":"article-journal","volume":"XXV"},"uris":["http://www.mendeley.com/documents/?uuid=dc8a05cf-5e1f-4673-855e-0f15b665b043"]}],"mendeley":{"formattedCitation":"Moh. Mahfud MD, “Politik Hukum Dalam Sistem Hukum Nasional,” &lt;i&gt;Varia Peradilan&lt;/i&gt; XXV (2010): 2.","plainTextFormattedCitation":"Moh. Mahfud MD, “Politik Hukum Dalam Sistem Hukum Nasional,” Varia Peradilan XXV (2010): 2.","previouslyFormattedCitation":"Moh. Mahfud MD, “Politik Hukum Dalam Sistem Hukum Nasional,” &lt;i&gt;Varia Peradilan&lt;/i&gt; XXV (2010): 2."},"properties":{"noteIndex":5},"schema":"https://github.com/citation-style-language/schema/raw/master/csl-citation.json"}</w:instrText>
      </w:r>
      <w:r>
        <w:fldChar w:fldCharType="separate"/>
      </w:r>
      <w:r w:rsidRPr="00643958">
        <w:rPr>
          <w:noProof/>
        </w:rPr>
        <w:t xml:space="preserve">Moh. Mahfud MD, “Politik Hukum Dalam Sistem Hukum Nasional,” </w:t>
      </w:r>
      <w:r w:rsidRPr="00643958">
        <w:rPr>
          <w:i/>
          <w:noProof/>
        </w:rPr>
        <w:t>Varia Peradilan</w:t>
      </w:r>
      <w:r w:rsidRPr="00643958">
        <w:rPr>
          <w:noProof/>
        </w:rPr>
        <w:t xml:space="preserve"> XXV (2010): 2.</w:t>
      </w:r>
      <w:r>
        <w:fldChar w:fldCharType="end"/>
      </w:r>
    </w:p>
  </w:footnote>
  <w:footnote w:id="6">
    <w:p w:rsidR="00643958" w:rsidRDefault="00643958" w:rsidP="002E076C">
      <w:pPr>
        <w:pStyle w:val="FootnoteText"/>
        <w:ind w:firstLine="567"/>
        <w:jc w:val="both"/>
      </w:pPr>
      <w:r>
        <w:rPr>
          <w:rStyle w:val="FootnoteReference"/>
        </w:rPr>
        <w:footnoteRef/>
      </w:r>
      <w:r>
        <w:t xml:space="preserve"> </w:t>
      </w:r>
      <w:r>
        <w:fldChar w:fldCharType="begin" w:fldLock="1"/>
      </w:r>
      <w:r w:rsidR="00D23BD3">
        <w:instrText>ADDIN CSL_CITATION {"citationItems":[{"id":"ITEM-1","itemData":{"author":[{"dropping-particle":"","family":"Bielefeldt","given":"Heiner","non-dropping-particle":"","parse-names":false,"suffix":""}],"container-title":"Oxford Journal of Law and Religion","id":"ITEM-1","issue":"1","issued":{"date-parts":[["2012"]]},"page":"15-35","title":"Freedom of Religion or Belief: A Human Right under Pressure","type":"article-journal","volume":"1"},"uris":["http://www.mendeley.com/documents/?uuid=decc6d7b-3102-4563-ab2c-447676fc22c5"]}],"mendeley":{"formattedCitation":"Heiner Bielefeldt, “Freedom of Religion or Belief: A Human Right under Pressure,” &lt;i&gt;Oxford Journal of Law and Religion&lt;/i&gt; 1, no. 1 (2012): 15–35.","plainTextFormattedCitation":"Heiner Bielefeldt, “Freedom of Religion or Belief: A Human Right under Pressure,” Oxford Journal of Law and Religion 1, no. 1 (2012): 15–35.","previouslyFormattedCitation":"Heiner Bielefeldt, “Freedom of Religion or Belief: A Human Right under Pressure,” &lt;i&gt;Oxford Journal of Law and Religion&lt;/i&gt; 1, no. 1 (2012): 15–35."},"properties":{"noteIndex":6},"schema":"https://github.com/citation-style-language/schema/raw/master/csl-citation.json"}</w:instrText>
      </w:r>
      <w:r>
        <w:fldChar w:fldCharType="separate"/>
      </w:r>
      <w:r w:rsidRPr="00643958">
        <w:rPr>
          <w:noProof/>
        </w:rPr>
        <w:t xml:space="preserve">Heiner Bielefeldt, “Freedom of Religion or Belief: A Human Right under Pressure,” </w:t>
      </w:r>
      <w:r w:rsidRPr="00643958">
        <w:rPr>
          <w:i/>
          <w:noProof/>
        </w:rPr>
        <w:t>Oxford Journal of Law and Religion</w:t>
      </w:r>
      <w:r w:rsidRPr="00643958">
        <w:rPr>
          <w:noProof/>
        </w:rPr>
        <w:t xml:space="preserve"> 1, no. 1 (2012): 15–35.</w:t>
      </w:r>
      <w:r>
        <w:fldChar w:fldCharType="end"/>
      </w:r>
    </w:p>
  </w:footnote>
  <w:footnote w:id="7">
    <w:p w:rsidR="00643958" w:rsidRDefault="00643958" w:rsidP="002E076C">
      <w:pPr>
        <w:pStyle w:val="FootnoteText"/>
        <w:ind w:firstLine="567"/>
        <w:jc w:val="both"/>
      </w:pPr>
      <w:r>
        <w:rPr>
          <w:rStyle w:val="FootnoteReference"/>
        </w:rPr>
        <w:footnoteRef/>
      </w:r>
      <w:r>
        <w:t xml:space="preserve"> </w:t>
      </w:r>
      <w:r>
        <w:fldChar w:fldCharType="begin" w:fldLock="1"/>
      </w:r>
      <w:r w:rsidR="00D23BD3">
        <w:instrText>ADDIN CSL_CITATION {"citationItems":[{"id":"ITEM-1","itemData":{"author":[{"dropping-particle":"","family":"Noer","given":"Deliar","non-dropping-particle":"","parse-names":false,"suffix":""}],"id":"ITEM-1","issued":{"date-parts":[["1980"]]},"number-of-pages":"143","publisher":"LP3ES","publisher-place":"Jakarta","title":"Gerakan Modern Islam di Indonesia 1900-1942","type":"book"},"uris":["http://www.mendeley.com/documents/?uuid=bad9caa9-b4cd-4cb9-9749-6bf1bce44676"]}],"mendeley":{"formattedCitation":"Deliar Noer, &lt;i&gt;Gerakan Modern Islam Di Indonesia 1900-1942&lt;/i&gt; (Jakarta: LP3ES, 1980).","plainTextFormattedCitation":"Deliar Noer, Gerakan Modern Islam Di Indonesia 1900-1942 (Jakarta: LP3ES, 1980).","previouslyFormattedCitation":"Deliar Noer, &lt;i&gt;Gerakan Modern Islam Di Indonesia 1900-1942&lt;/i&gt; (Jakarta: LP3ES, 1980)."},"properties":{"noteIndex":7},"schema":"https://github.com/citation-style-language/schema/raw/master/csl-citation.json"}</w:instrText>
      </w:r>
      <w:r>
        <w:fldChar w:fldCharType="separate"/>
      </w:r>
      <w:r w:rsidRPr="00643958">
        <w:rPr>
          <w:noProof/>
        </w:rPr>
        <w:t xml:space="preserve">Deliar Noer, </w:t>
      </w:r>
      <w:r w:rsidRPr="00643958">
        <w:rPr>
          <w:i/>
          <w:noProof/>
        </w:rPr>
        <w:t>Gerakan Modern Islam Di Indonesia 1900-1942</w:t>
      </w:r>
      <w:r w:rsidRPr="00643958">
        <w:rPr>
          <w:noProof/>
        </w:rPr>
        <w:t xml:space="preserve"> (Jakarta: LP3ES, 1980).</w:t>
      </w:r>
      <w:r>
        <w:fldChar w:fldCharType="end"/>
      </w:r>
    </w:p>
  </w:footnote>
  <w:footnote w:id="8">
    <w:p w:rsidR="00643958" w:rsidRDefault="00643958" w:rsidP="002E076C">
      <w:pPr>
        <w:pStyle w:val="FootnoteText"/>
        <w:ind w:firstLine="567"/>
        <w:jc w:val="both"/>
      </w:pPr>
      <w:r>
        <w:rPr>
          <w:rStyle w:val="FootnoteReference"/>
        </w:rPr>
        <w:footnoteRef/>
      </w:r>
      <w:r>
        <w:t xml:space="preserve"> </w:t>
      </w:r>
      <w:r>
        <w:fldChar w:fldCharType="begin" w:fldLock="1"/>
      </w:r>
      <w:r w:rsidR="00D23BD3">
        <w:instrText>ADDIN CSL_CITATION {"citationItems":[{"id":"ITEM-1","itemData":{"author":[{"dropping-particle":"","family":"Muin","given":"Abdul","non-dropping-particle":"","parse-names":false,"suffix":""}],"id":"ITEM-1","issued":{"date-parts":[["2014"]]},"number-of-pages":"96-104","publisher":"PB.NU Press","publisher-place":"Jakarta","title":"Benturan NU-PKI 1948-1965","type":"book"},"uris":["http://www.mendeley.com/documents/?uuid=0b2e4aa3-9052-4740-8fc1-64cc88c71cf5"]}],"mendeley":{"formattedCitation":"Abdul Muin, &lt;i&gt;Benturan NU-PKI 1948-1965&lt;/i&gt; (Jakarta: PB.NU Press, 2014).","plainTextFormattedCitation":"Abdul Muin, Benturan NU-PKI 1948-1965 (Jakarta: PB.NU Press, 2014).","previouslyFormattedCitation":"Abdul Muin, &lt;i&gt;Benturan NU-PKI 1948-1965&lt;/i&gt; (Jakarta: PB.NU Press, 2014)."},"properties":{"noteIndex":8},"schema":"https://github.com/citation-style-language/schema/raw/master/csl-citation.json"}</w:instrText>
      </w:r>
      <w:r>
        <w:fldChar w:fldCharType="separate"/>
      </w:r>
      <w:r w:rsidRPr="00643958">
        <w:rPr>
          <w:noProof/>
        </w:rPr>
        <w:t xml:space="preserve">Abdul Muin, </w:t>
      </w:r>
      <w:r w:rsidRPr="00643958">
        <w:rPr>
          <w:i/>
          <w:noProof/>
        </w:rPr>
        <w:t>Benturan NU-PKI 1948-1965</w:t>
      </w:r>
      <w:r w:rsidRPr="00643958">
        <w:rPr>
          <w:noProof/>
        </w:rPr>
        <w:t xml:space="preserve"> (Jakarta: PB.NU Press, 2014).</w:t>
      </w:r>
      <w:r>
        <w:fldChar w:fldCharType="end"/>
      </w:r>
    </w:p>
  </w:footnote>
  <w:footnote w:id="9">
    <w:p w:rsidR="00643958" w:rsidRDefault="00643958" w:rsidP="002E076C">
      <w:pPr>
        <w:pStyle w:val="FootnoteText"/>
        <w:ind w:firstLine="567"/>
        <w:jc w:val="both"/>
      </w:pPr>
      <w:r>
        <w:rPr>
          <w:rStyle w:val="FootnoteReference"/>
        </w:rPr>
        <w:footnoteRef/>
      </w:r>
      <w:r w:rsidR="002E076C">
        <w:t xml:space="preserve"> </w:t>
      </w:r>
      <w:r>
        <w:fldChar w:fldCharType="begin" w:fldLock="1"/>
      </w:r>
      <w:r w:rsidR="00D23BD3">
        <w:instrText>ADDIN CSL_CITATION {"citationItems":[{"id":"ITEM-1","itemData":{"author":[{"dropping-particle":"","family":"Muktiomo","given":"","non-dropping-particle":"","parse-names":false,"suffix":""}],"container-title":"Jurnal Dinamika Hukum","id":"ITEM-1","issue":"2","issued":{"date-parts":[["2012"]]},"page":"344-357","title":"Mengkaji Politik Hukum Kebebasan Beragama dan Berkeyakinan di Indonesia","type":"article-journal","volume":"12"},"uris":["http://www.mendeley.com/documents/?uuid=6eeb0c1e-6166-4abf-b42f-b916633c9879"]}],"mendeley":{"formattedCitation":"Muktiomo, “Mengkaji Politik Hukum Kebebasan Beragama Dan Berkeyakinan Di Indonesia,” &lt;i&gt;Jurnal Dinamika Hukum&lt;/i&gt; 12, no. 2 (2012): 344–57.","plainTextFormattedCitation":"Muktiomo, “Mengkaji Politik Hukum Kebebasan Beragama Dan Berkeyakinan Di Indonesia,” Jurnal Dinamika Hukum 12, no. 2 (2012): 344–57.","previouslyFormattedCitation":"Muktiomo, “Mengkaji Politik Hukum Kebebasan Beragama Dan Berkeyakinan Di Indonesia,” &lt;i&gt;Jurnal Dinamika Hukum&lt;/i&gt; 12, no. 2 (2012): 344–57."},"properties":{"noteIndex":9},"schema":"https://github.com/citation-style-language/schema/raw/master/csl-citation.json"}</w:instrText>
      </w:r>
      <w:r>
        <w:fldChar w:fldCharType="separate"/>
      </w:r>
      <w:r w:rsidRPr="00643958">
        <w:rPr>
          <w:noProof/>
        </w:rPr>
        <w:t xml:space="preserve">Muktiomo, “Mengkaji Politik Hukum Kebebasan Beragama Dan Berkeyakinan Di Indonesia,” </w:t>
      </w:r>
      <w:r w:rsidRPr="00643958">
        <w:rPr>
          <w:i/>
          <w:noProof/>
        </w:rPr>
        <w:t>Jurnal Dinamika Hukum</w:t>
      </w:r>
      <w:r w:rsidRPr="00643958">
        <w:rPr>
          <w:noProof/>
        </w:rPr>
        <w:t xml:space="preserve"> 12, no. 2 (2012): 344–57</w:t>
      </w:r>
      <w:r w:rsidR="0051028D">
        <w:rPr>
          <w:noProof/>
        </w:rPr>
        <w:t xml:space="preserve">. </w:t>
      </w:r>
      <w:r w:rsidR="0051028D" w:rsidRPr="0051028D">
        <w:rPr>
          <w:noProof/>
        </w:rPr>
        <w:t>DOI: http://dx.doi.org/10.20884/1.jdh.2012.12.2.59</w:t>
      </w:r>
      <w:r w:rsidRPr="00643958">
        <w:rPr>
          <w:noProof/>
        </w:rPr>
        <w:t>.</w:t>
      </w:r>
      <w:r>
        <w:fldChar w:fldCharType="end"/>
      </w:r>
    </w:p>
  </w:footnote>
  <w:footnote w:id="10">
    <w:p w:rsidR="00643958" w:rsidRDefault="00643958" w:rsidP="002E076C">
      <w:pPr>
        <w:pStyle w:val="FootnoteText"/>
        <w:ind w:firstLine="567"/>
        <w:jc w:val="both"/>
      </w:pPr>
      <w:r>
        <w:rPr>
          <w:rStyle w:val="FootnoteReference"/>
        </w:rPr>
        <w:footnoteRef/>
      </w:r>
      <w:r>
        <w:t xml:space="preserve"> </w:t>
      </w:r>
      <w:r>
        <w:fldChar w:fldCharType="begin" w:fldLock="1"/>
      </w:r>
      <w:r w:rsidR="00D23BD3">
        <w:instrText>ADDIN CSL_CITATION {"citationItems":[{"id":"ITEM-1","itemData":{"author":[{"dropping-particle":"","family":"Pultoni","given":"","non-dropping-particle":"","parse-names":false,"suffix":""}],"id":"ITEM-1","issued":{"date-parts":[["2012"]]},"number-of-pages":"51","publisher":"The Indonesian Legal Resounce Center","publisher-place":"Jakarta","title":"Panduan Pemantauan Tindak Pidana Penodaan Agama dan Ujaran Kebencian atas Nama Agama","type":"book"},"uris":["http://www.mendeley.com/documents/?uuid=334a89a2-f666-454b-802c-8e4cb819eb3d"]}],"mendeley":{"formattedCitation":"Pultoni, &lt;i&gt;Panduan Pemantauan Tindak Pidana Penodaan Agama Dan Ujaran Kebencian Atas Nama Agama&lt;/i&gt; (Jakarta: The Indonesian Legal Resounce Center, 2012).","plainTextFormattedCitation":"Pultoni, Panduan Pemantauan Tindak Pidana Penodaan Agama Dan Ujaran Kebencian Atas Nama Agama (Jakarta: The Indonesian Legal Resounce Center, 2012).","previouslyFormattedCitation":"Pultoni, &lt;i&gt;Panduan Pemantauan Tindak Pidana Penodaan Agama Dan Ujaran Kebencian Atas Nama Agama&lt;/i&gt; (Jakarta: The Indonesian Legal Resounce Center, 2012)."},"properties":{"noteIndex":10},"schema":"https://github.com/citation-style-language/schema/raw/master/csl-citation.json"}</w:instrText>
      </w:r>
      <w:r>
        <w:fldChar w:fldCharType="separate"/>
      </w:r>
      <w:r w:rsidRPr="00643958">
        <w:rPr>
          <w:noProof/>
        </w:rPr>
        <w:t xml:space="preserve">Pultoni, </w:t>
      </w:r>
      <w:r w:rsidRPr="00643958">
        <w:rPr>
          <w:i/>
          <w:noProof/>
        </w:rPr>
        <w:t>Panduan Pemantauan Tindak Pidana Penodaan Agama Dan Ujaran Kebencian Atas Nama Agama</w:t>
      </w:r>
      <w:r w:rsidRPr="00643958">
        <w:rPr>
          <w:noProof/>
        </w:rPr>
        <w:t xml:space="preserve"> (Jakarta: The Indonesian Legal Resounce Center, 2012).</w:t>
      </w:r>
      <w:r>
        <w:fldChar w:fldCharType="end"/>
      </w:r>
    </w:p>
  </w:footnote>
  <w:footnote w:id="11">
    <w:p w:rsidR="00643958" w:rsidRDefault="00643958" w:rsidP="002E076C">
      <w:pPr>
        <w:pStyle w:val="FootnoteText"/>
        <w:ind w:firstLine="567"/>
        <w:jc w:val="both"/>
      </w:pPr>
      <w:r>
        <w:rPr>
          <w:rStyle w:val="FootnoteReference"/>
        </w:rPr>
        <w:footnoteRef/>
      </w:r>
      <w:r>
        <w:t xml:space="preserve"> </w:t>
      </w:r>
      <w:r>
        <w:fldChar w:fldCharType="begin" w:fldLock="1"/>
      </w:r>
      <w:r w:rsidR="00D23BD3">
        <w:instrText>ADDIN CSL_CITATION {"citationItems":[{"id":"ITEM-1","itemData":{"author":[{"dropping-particle":"","family":"Hilman","given":"Didi","non-dropping-particle":"","parse-names":false,"suffix":""}],"container-title":"MIZAN: Journal of Islamic Law","id":"ITEM-1","issue":"1","issued":{"date-parts":[["2020"]]},"page":"31-46","title":"Tindak Pidana Agama Menurut Perspektif Hukum Islam, Hukum Positif dan Hak Asasi Manusia","type":"article-journal","volume":"4"},"uris":["http://www.mendeley.com/documents/?uuid=4c2fbdf2-fe56-4580-8977-57f5b7a5fbc0"]}],"mendeley":{"formattedCitation":"Didi Hilman, “Tindak Pidana Agama Menurut Perspektif Hukum Islam, Hukum Positif Dan Hak Asasi Manusia,” &lt;i&gt;MIZAN: Journal of Islamic Law&lt;/i&gt; 4, no. 1 (2020): 31–46.","plainTextFormattedCitation":"Didi Hilman, “Tindak Pidana Agama Menurut Perspektif Hukum Islam, Hukum Positif Dan Hak Asasi Manusia,” MIZAN: Journal of Islamic Law 4, no. 1 (2020): 31–46.","previouslyFormattedCitation":"Didi Hilman, “Tindak Pidana Agama Menurut Perspektif Hukum Islam, Hukum Positif Dan Hak Asasi Manusia,” &lt;i&gt;MIZAN: Journal of Islamic Law&lt;/i&gt; 4, no. 1 (2020): 31–46."},"properties":{"noteIndex":11},"schema":"https://github.com/citation-style-language/schema/raw/master/csl-citation.json"}</w:instrText>
      </w:r>
      <w:r>
        <w:fldChar w:fldCharType="separate"/>
      </w:r>
      <w:r w:rsidRPr="00643958">
        <w:rPr>
          <w:noProof/>
        </w:rPr>
        <w:t xml:space="preserve">Didi Hilman, “Tindak Pidana Agama Menurut Perspektif Hukum Islam, Hukum Positif Dan Hak Asasi Manusia,” </w:t>
      </w:r>
      <w:r w:rsidRPr="00643958">
        <w:rPr>
          <w:i/>
          <w:noProof/>
        </w:rPr>
        <w:t>MIZAN: Journal of Islamic Law</w:t>
      </w:r>
      <w:r w:rsidRPr="00643958">
        <w:rPr>
          <w:noProof/>
        </w:rPr>
        <w:t xml:space="preserve"> 4, no. 1 (2020): 31–46.</w:t>
      </w:r>
      <w:r>
        <w:fldChar w:fldCharType="end"/>
      </w:r>
    </w:p>
  </w:footnote>
  <w:footnote w:id="12">
    <w:p w:rsidR="00643958" w:rsidRDefault="00643958" w:rsidP="002E076C">
      <w:pPr>
        <w:pStyle w:val="FootnoteText"/>
        <w:ind w:firstLine="567"/>
        <w:jc w:val="both"/>
      </w:pPr>
      <w:r>
        <w:rPr>
          <w:rStyle w:val="FootnoteReference"/>
        </w:rPr>
        <w:footnoteRef/>
      </w:r>
      <w:r>
        <w:t xml:space="preserve"> </w:t>
      </w:r>
      <w:r>
        <w:fldChar w:fldCharType="begin" w:fldLock="1"/>
      </w:r>
      <w:r w:rsidR="00D23BD3">
        <w:instrText>ADDIN CSL_CITATION {"citationItems":[{"id":"ITEM-1","itemData":{"author":[{"dropping-particle":"","family":"Akbar","given":"Irwan","non-dropping-particle":"","parse-names":false,"suffix":""}],"container-title":"QOF: Jurnal Studi Al-Qur`an dan Tafsir","id":"ITEM-1","issue":"1","issued":{"date-parts":[["2019"]]},"page":"89–105","title":"Dinamika Kasus Penistaan Agama di Indonesia (Polemik Pemaknaan Ayat-Ayat Penistaan dan Undang-UNdang Penodaan Agama), ,","type":"article-journal","volume":"3"},"uris":["http://www.mendeley.com/documents/?uuid=ea455168-a3cb-4e6b-811e-3dda7e20900e"]}],"mendeley":{"formattedCitation":"Irwan Akbar, “Dinamika Kasus Penistaan Agama Di Indonesia (Polemik Pemaknaan Ayat-Ayat Penistaan Dan Undang-UNdang Penodaan Agama), ,” &lt;i&gt;QOF: Jurnal Studi Al-Qur`an Dan Tafsir&lt;/i&gt; 3, no. 1 (2019): 89–105.","plainTextFormattedCitation":"Irwan Akbar, “Dinamika Kasus Penistaan Agama Di Indonesia (Polemik Pemaknaan Ayat-Ayat Penistaan Dan Undang-UNdang Penodaan Agama), ,” QOF: Jurnal Studi Al-Qur`an Dan Tafsir 3, no. 1 (2019): 89–105.","previouslyFormattedCitation":"Irwan Akbar, “Dinamika Kasus Penistaan Agama Di Indonesia (Polemik Pemaknaan Ayat-Ayat Penistaan Dan Undang-UNdang Penodaan Agama), ,” &lt;i&gt;QOF: Jurnal Studi Al-Qur`an Dan Tafsir&lt;/i&gt; 3, no. 1 (2019): 89–105."},"properties":{"noteIndex":12},"schema":"https://github.com/citation-style-language/schema/raw/master/csl-citation.json"}</w:instrText>
      </w:r>
      <w:r>
        <w:fldChar w:fldCharType="separate"/>
      </w:r>
      <w:r w:rsidRPr="00643958">
        <w:rPr>
          <w:noProof/>
        </w:rPr>
        <w:t xml:space="preserve">Irwan Akbar, “Dinamika Kasus Penistaan Agama Di Indonesia (Polemik Pemaknaan Ayat-Ayat Penistaan Dan Undang-UNdang Penodaan Agama), ,” </w:t>
      </w:r>
      <w:r w:rsidRPr="00643958">
        <w:rPr>
          <w:i/>
          <w:noProof/>
        </w:rPr>
        <w:t>QOF: Jurnal Studi Al-Qur`an Dan Tafsir</w:t>
      </w:r>
      <w:r w:rsidRPr="00643958">
        <w:rPr>
          <w:noProof/>
        </w:rPr>
        <w:t xml:space="preserve"> 3, no. 1 (2019): 89–105.</w:t>
      </w:r>
      <w:r>
        <w:fldChar w:fldCharType="end"/>
      </w:r>
    </w:p>
  </w:footnote>
  <w:footnote w:id="13">
    <w:p w:rsidR="00643958" w:rsidRDefault="00643958" w:rsidP="002E076C">
      <w:pPr>
        <w:pStyle w:val="FootnoteText"/>
        <w:ind w:firstLine="567"/>
        <w:jc w:val="both"/>
      </w:pPr>
      <w:r>
        <w:rPr>
          <w:rStyle w:val="FootnoteReference"/>
        </w:rPr>
        <w:footnoteRef/>
      </w:r>
      <w:r>
        <w:t xml:space="preserve"> </w:t>
      </w:r>
      <w:r>
        <w:fldChar w:fldCharType="begin" w:fldLock="1"/>
      </w:r>
      <w:r w:rsidR="00D23BD3">
        <w:instrText>ADDIN CSL_CITATION {"citationItems":[{"id":"ITEM-1","itemData":{"author":[{"dropping-particle":"","family":"Tamale","given":"Sylvia","non-dropping-particle":"","parse-names":false,"suffix":""}],"container-title":"African Human Rights Law Journal","id":"ITEM-1","issue":"1","issued":{"date-parts":[["2012"]]},"page":"150-177","title":"Exploring The Contours Of African Sexualities: Religion, Law And Power","type":"article-journal","volume":"14"},"uris":["http://www.mendeley.com/documents/?uuid=06a7a15d-0eaf-40ae-8d4d-8dcff3df1da2"]}],"mendeley":{"formattedCitation":"Sylvia Tamale, “Exploring The Contours Of African Sexualities: Religion, Law And Power,” &lt;i&gt;African Human Rights Law Journal&lt;/i&gt; 14, no. 1 (2012): 150–77.","plainTextFormattedCitation":"Sylvia Tamale, “Exploring The Contours Of African Sexualities: Religion, Law And Power,” African Human Rights Law Journal 14, no. 1 (2012): 150–77.","previouslyFormattedCitation":"Sylvia Tamale, “Exploring The Contours Of African Sexualities: Religion, Law And Power,” &lt;i&gt;African Human Rights Law Journal&lt;/i&gt; 14, no. 1 (2012): 150–77."},"properties":{"noteIndex":13},"schema":"https://github.com/citation-style-language/schema/raw/master/csl-citation.json"}</w:instrText>
      </w:r>
      <w:r>
        <w:fldChar w:fldCharType="separate"/>
      </w:r>
      <w:r w:rsidRPr="00643958">
        <w:rPr>
          <w:noProof/>
        </w:rPr>
        <w:t xml:space="preserve">Sylvia Tamale, “Exploring The Contours Of African Sexualities: Religion, Law And Power,” </w:t>
      </w:r>
      <w:r w:rsidRPr="00643958">
        <w:rPr>
          <w:i/>
          <w:noProof/>
        </w:rPr>
        <w:t>African Human Rights Law Journal</w:t>
      </w:r>
      <w:r w:rsidRPr="00643958">
        <w:rPr>
          <w:noProof/>
        </w:rPr>
        <w:t xml:space="preserve"> 14, no. 1 (2012): 150–77.</w:t>
      </w:r>
      <w:r>
        <w:fldChar w:fldCharType="end"/>
      </w:r>
    </w:p>
  </w:footnote>
  <w:footnote w:id="14">
    <w:p w:rsidR="00643958" w:rsidRDefault="00643958" w:rsidP="002E076C">
      <w:pPr>
        <w:pStyle w:val="FootnoteText"/>
        <w:ind w:firstLine="567"/>
        <w:jc w:val="both"/>
      </w:pPr>
      <w:r>
        <w:rPr>
          <w:rStyle w:val="FootnoteReference"/>
        </w:rPr>
        <w:footnoteRef/>
      </w:r>
      <w:r>
        <w:t xml:space="preserve"> </w:t>
      </w:r>
      <w:r>
        <w:fldChar w:fldCharType="begin" w:fldLock="1"/>
      </w:r>
      <w:r w:rsidR="00D23BD3">
        <w:instrText>ADDIN CSL_CITATION {"citationItems":[{"id":"ITEM-1","itemData":{"author":[{"dropping-particle":"","family":"Hatta","given":"Muhammad","non-dropping-particle":"","parse-names":false,"suffix":""}],"container-title":"Al’ Adl : Jurnal Hukum","id":"ITEM-1","issue":"2","issued":{"date-parts":[["2021"]]},"page":"342-368","title":"Kejahatan Penistaan Agama Dan Konsekuensi Hukumnya","type":"article-journal","volume":"13"},"uris":["http://www.mendeley.com/documents/?uuid=6c869bf2-0119-4a2e-9193-89a0cba4a286"]}],"mendeley":{"formattedCitation":"Muhammad Hatta, “Kejahatan Penistaan Agama Dan Konsekuensi Hukumnya,” &lt;i&gt;Al’ Adl : Jurnal Hukum&lt;/i&gt; 13, no. 2 (2021): 342–68.","plainTextFormattedCitation":"Muhammad Hatta, “Kejahatan Penistaan Agama Dan Konsekuensi Hukumnya,” Al’ Adl : Jurnal Hukum 13, no. 2 (2021): 342–68.","previouslyFormattedCitation":"Muhammad Hatta, “Kejahatan Penistaan Agama Dan Konsekuensi Hukumnya,” &lt;i&gt;Al’ Adl : Jurnal Hukum&lt;/i&gt; 13, no. 2 (2021): 342–68."},"properties":{"noteIndex":14},"schema":"https://github.com/citation-style-language/schema/raw/master/csl-citation.json"}</w:instrText>
      </w:r>
      <w:r>
        <w:fldChar w:fldCharType="separate"/>
      </w:r>
      <w:r w:rsidRPr="00643958">
        <w:rPr>
          <w:noProof/>
        </w:rPr>
        <w:t xml:space="preserve">Muhammad Hatta, “Kejahatan Penistaan Agama Dan Konsekuensi Hukumnya,” </w:t>
      </w:r>
      <w:r w:rsidRPr="00643958">
        <w:rPr>
          <w:i/>
          <w:noProof/>
        </w:rPr>
        <w:t>Al’ Adl : Jurnal Hukum</w:t>
      </w:r>
      <w:r w:rsidRPr="00643958">
        <w:rPr>
          <w:noProof/>
        </w:rPr>
        <w:t xml:space="preserve"> 13, no. 2 (2021): 342–68.</w:t>
      </w:r>
      <w:r>
        <w:fldChar w:fldCharType="end"/>
      </w:r>
    </w:p>
  </w:footnote>
  <w:footnote w:id="15">
    <w:p w:rsidR="00643958" w:rsidRDefault="00643958" w:rsidP="002E076C">
      <w:pPr>
        <w:pStyle w:val="FootnoteText"/>
        <w:ind w:firstLine="567"/>
        <w:jc w:val="both"/>
      </w:pPr>
      <w:r>
        <w:rPr>
          <w:rStyle w:val="FootnoteReference"/>
        </w:rPr>
        <w:footnoteRef/>
      </w:r>
      <w:r>
        <w:t xml:space="preserve"> </w:t>
      </w:r>
      <w:r>
        <w:fldChar w:fldCharType="begin" w:fldLock="1"/>
      </w:r>
      <w:r w:rsidR="00D23BD3">
        <w:instrText>ADDIN CSL_CITATION {"citationItems":[{"id":"ITEM-1","itemData":{"URL":"https://news.detik.com/berita/d-3482873/ahok-pidato-saya-baru-jadi-masalah-setelah-diposting-buni-yani","accessed":{"date-parts":[["2013","1","12"]]},"author":[{"dropping-particle":"","family":"Ronald","given":"","non-dropping-particle":"","parse-names":false,"suffix":""}],"container-title":"www.detik.com","id":"ITEM-1","issued":{"date-parts":[["2023"]]},"page":"1","title":"Ahok: Pidato Saya Baru Jadi Masalah Setelah Diposting Buni Yani","type":"webpage"},"uris":["http://www.mendeley.com/documents/?uuid=1e80c91a-b602-423f-b5cc-9fdacb054e68"]}],"mendeley":{"formattedCitation":"Ronald, “Ahok: Pidato Saya Baru Jadi Masalah Setelah Diposting Buni Yani,” www.detik.com, 2023, https://news.detik.com/berita/d-3482873/ahok-pidato-saya-baru-jadi-masalah-setelah-diposting-buni-yani.","plainTextFormattedCitation":"Ronald, “Ahok: Pidato Saya Baru Jadi Masalah Setelah Diposting Buni Yani,” www.detik.com, 2023, https://news.detik.com/berita/d-3482873/ahok-pidato-saya-baru-jadi-masalah-setelah-diposting-buni-yani.","previouslyFormattedCitation":"Ronald, “Ahok: Pidato Saya Baru Jadi Masalah Setelah Diposting Buni Yani,” www.detik.com, 2023, https://news.detik.com/berita/d-3482873/ahok-pidato-saya-baru-jadi-masalah-setelah-diposting-buni-yani."},"properties":{"noteIndex":15},"schema":"https://github.com/citation-style-language/schema/raw/master/csl-citation.json"}</w:instrText>
      </w:r>
      <w:r>
        <w:fldChar w:fldCharType="separate"/>
      </w:r>
      <w:r w:rsidRPr="00643958">
        <w:rPr>
          <w:noProof/>
        </w:rPr>
        <w:t>Ronald, “Ahok: Pidato Saya Baru Jadi Masalah Setelah Diposting Buni Yani,” www.detik.com, 2023, https://news.detik.com/berita/d-3482873/ahok-pidato-saya-baru-jadi-masalah-setelah-diposting-buni-yani.</w:t>
      </w:r>
      <w:r>
        <w:fldChar w:fldCharType="end"/>
      </w:r>
    </w:p>
  </w:footnote>
  <w:footnote w:id="16">
    <w:p w:rsidR="00643958" w:rsidRDefault="00643958" w:rsidP="002E076C">
      <w:pPr>
        <w:pStyle w:val="FootnoteText"/>
        <w:ind w:firstLine="567"/>
        <w:jc w:val="both"/>
      </w:pPr>
      <w:r>
        <w:rPr>
          <w:rStyle w:val="FootnoteReference"/>
        </w:rPr>
        <w:footnoteRef/>
      </w:r>
      <w:r>
        <w:t xml:space="preserve"> </w:t>
      </w:r>
      <w:r>
        <w:fldChar w:fldCharType="begin" w:fldLock="1"/>
      </w:r>
      <w:r w:rsidR="00D23BD3">
        <w:instrText>ADDIN CSL_CITATION {"citationItems":[{"id":"ITEM-1","itemData":{"author":[{"dropping-particle":"","family":"Prasetyo","given":"Kresna Adi","non-dropping-particle":"","parse-names":false,"suffix":""}],"container-title":"Gorontalo Law Review","id":"ITEM-1","issue":"1","issued":{"date-parts":[["2019"]]},"page":"3","title":"Analisis Hukum Pidana Mengenai Tindak Pidana Penistaan Agama Di Indonesia","type":"article-journal","volume":"2"},"uris":["http://www.mendeley.com/documents/?uuid=f2879224-b7b9-408c-a002-85ff0fdef095"]}],"mendeley":{"formattedCitation":"Kresna Adi Prasetyo, “Analisis Hukum Pidana Mengenai Tindak Pidana Penistaan Agama Di Indonesia,” &lt;i&gt;Gorontalo Law Review&lt;/i&gt; 2, no. 1 (2019): 3.","plainTextFormattedCitation":"Kresna Adi Prasetyo, “Analisis Hukum Pidana Mengenai Tindak Pidana Penistaan Agama Di Indonesia,” Gorontalo Law Review 2, no. 1 (2019): 3.","previouslyFormattedCitation":"Kresna Adi Prasetyo, “Analisis Hukum Pidana Mengenai Tindak Pidana Penistaan Agama Di Indonesia,” &lt;i&gt;Gorontalo Law Review&lt;/i&gt; 2, no. 1 (2019): 3."},"properties":{"noteIndex":16},"schema":"https://github.com/citation-style-language/schema/raw/master/csl-citation.json"}</w:instrText>
      </w:r>
      <w:r>
        <w:fldChar w:fldCharType="separate"/>
      </w:r>
      <w:r w:rsidRPr="00643958">
        <w:rPr>
          <w:noProof/>
        </w:rPr>
        <w:t xml:space="preserve">Kresna Adi Prasetyo, “Analisis Hukum Pidana Mengenai Tindak Pidana Penistaan Agama Di Indonesia,” </w:t>
      </w:r>
      <w:r w:rsidRPr="00643958">
        <w:rPr>
          <w:i/>
          <w:noProof/>
        </w:rPr>
        <w:t>Gorontalo Law Review</w:t>
      </w:r>
      <w:r w:rsidRPr="00643958">
        <w:rPr>
          <w:noProof/>
        </w:rPr>
        <w:t xml:space="preserve"> 2, no. 1 (2019): 3.</w:t>
      </w:r>
      <w:r>
        <w:fldChar w:fldCharType="end"/>
      </w:r>
    </w:p>
  </w:footnote>
  <w:footnote w:id="17">
    <w:p w:rsidR="00643958" w:rsidRDefault="00643958" w:rsidP="002E076C">
      <w:pPr>
        <w:pStyle w:val="FootnoteText"/>
        <w:ind w:firstLine="567"/>
        <w:jc w:val="both"/>
      </w:pPr>
      <w:r>
        <w:rPr>
          <w:rStyle w:val="FootnoteReference"/>
        </w:rPr>
        <w:footnoteRef/>
      </w:r>
      <w:r>
        <w:t xml:space="preserve"> </w:t>
      </w:r>
      <w:r>
        <w:fldChar w:fldCharType="begin" w:fldLock="1"/>
      </w:r>
      <w:r w:rsidR="00D23BD3">
        <w:instrText>ADDIN CSL_CITATION {"citationItems":[{"id":"ITEM-1","itemData":{"author":[{"dropping-particle":"","family":"Rahmawati","given":"Mei","non-dropping-particle":"","parse-names":false,"suffix":""}],"container-title":"Ar-Raniry: International Journal of Islamic Studies","id":"ITEM-1","issue":"1","issued":{"date-parts":[["2022"]]},"page":"24-36","title":"Membedah Kasus Penistaan Agama oleh sang Murtad Kace, Vol 9, No 1 (2022), 24-36","type":"article-journal","volume":"9"},"uris":["http://www.mendeley.com/documents/?uuid=8f4a2267-fac3-4269-bb3d-4ca2b2dd7b80"]}],"mendeley":{"formattedCitation":"Mei Rahmawati, “Membedah Kasus Penistaan Agama Oleh Sang Murtad Kace, Vol 9, No 1 (2022), 24-36,” &lt;i&gt;Ar-Raniry: International Journal of Islamic Studies&lt;/i&gt; 9, no. 1 (2022): 24–36.","plainTextFormattedCitation":"Mei Rahmawati, “Membedah Kasus Penistaan Agama Oleh Sang Murtad Kace, Vol 9, No 1 (2022), 24-36,” Ar-Raniry: International Journal of Islamic Studies 9, no. 1 (2022): 24–36.","previouslyFormattedCitation":"Mei Rahmawati, “Membedah Kasus Penistaan Agama Oleh Sang Murtad Kace, Vol 9, No 1 (2022), 24-36,” &lt;i&gt;Ar-Raniry: International Journal of Islamic Studies&lt;/i&gt; 9, no. 1 (2022): 24–36."},"properties":{"noteIndex":17},"schema":"https://github.com/citation-style-language/schema/raw/master/csl-citation.json"}</w:instrText>
      </w:r>
      <w:r>
        <w:fldChar w:fldCharType="separate"/>
      </w:r>
      <w:r w:rsidRPr="00643958">
        <w:rPr>
          <w:noProof/>
        </w:rPr>
        <w:t xml:space="preserve">Mei Rahmawati, “Membedah Kasus Penistaan Agama Oleh Sang Murtad Kace, Vol 9, No 1 (2022), 24-36,” </w:t>
      </w:r>
      <w:r w:rsidRPr="00643958">
        <w:rPr>
          <w:i/>
          <w:noProof/>
        </w:rPr>
        <w:t>Ar-Raniry: International Journal of Islamic Studies</w:t>
      </w:r>
      <w:r w:rsidRPr="00643958">
        <w:rPr>
          <w:noProof/>
        </w:rPr>
        <w:t xml:space="preserve"> 9, no. 1 (2022): 24–36.</w:t>
      </w:r>
      <w:r>
        <w:fldChar w:fldCharType="end"/>
      </w:r>
    </w:p>
  </w:footnote>
  <w:footnote w:id="18">
    <w:p w:rsidR="00643958" w:rsidRDefault="00643958" w:rsidP="002E076C">
      <w:pPr>
        <w:pStyle w:val="FootnoteText"/>
        <w:ind w:firstLine="567"/>
        <w:jc w:val="both"/>
      </w:pPr>
      <w:r>
        <w:rPr>
          <w:rStyle w:val="FootnoteReference"/>
        </w:rPr>
        <w:footnoteRef/>
      </w:r>
      <w:r>
        <w:t xml:space="preserve"> </w:t>
      </w:r>
      <w:r>
        <w:fldChar w:fldCharType="begin" w:fldLock="1"/>
      </w:r>
      <w:r w:rsidR="00D23BD3">
        <w:instrText>ADDIN CSL_CITATION {"citationItems":[{"id":"ITEM-1","itemData":{"URL":"https://www.bbc.com/indonesia/trensosial-46040537","accessed":{"date-parts":[["2023","1","1"]]},"author":[{"dropping-particle":"","family":"Redaksi BBC News Indonesia","given":"","non-dropping-particle":"","parse-names":false,"suffix":""}],"container-title":"www.bbc.com","id":"ITEM-1","issued":{"date-parts":[["2018"]]},"page":"1","title":"Vlog Masak Babi Kurma: Mencari Batas Antara Lelucon Dan Penistaan Agama","type":"webpage"},"uris":["http://www.mendeley.com/documents/?uuid=d5229af3-b43f-4022-9eca-2540f0607755"]}],"mendeley":{"formattedCitation":"Redaksi BBC News Indonesia, “Vlog Masak Babi Kurma: Mencari Batas Antara Lelucon Dan Penistaan Agama,” www.bbc.com, 2018, https://www.bbc.com/indonesia/trensosial-46040537.","plainTextFormattedCitation":"Redaksi BBC News Indonesia, “Vlog Masak Babi Kurma: Mencari Batas Antara Lelucon Dan Penistaan Agama,” www.bbc.com, 2018, https://www.bbc.com/indonesia/trensosial-46040537.","previouslyFormattedCitation":"Redaksi BBC News Indonesia, “Vlog Masak Babi Kurma: Mencari Batas Antara Lelucon Dan Penistaan Agama,” www.bbc.com, 2018, https://www.bbc.com/indonesia/trensosial-46040537."},"properties":{"noteIndex":18},"schema":"https://github.com/citation-style-language/schema/raw/master/csl-citation.json"}</w:instrText>
      </w:r>
      <w:r>
        <w:fldChar w:fldCharType="separate"/>
      </w:r>
      <w:r w:rsidRPr="00643958">
        <w:rPr>
          <w:noProof/>
        </w:rPr>
        <w:t>Redaksi BBC News Indonesia, “Vlog Masak Babi Kurma: Mencari Batas Antara Lelucon Dan Penistaan Agama,” www.bbc.com, 2018, https://www.bbc.com/indonesia/trensosial-46040537.</w:t>
      </w:r>
      <w:r>
        <w:fldChar w:fldCharType="end"/>
      </w:r>
    </w:p>
  </w:footnote>
  <w:footnote w:id="19">
    <w:p w:rsidR="00643958" w:rsidRDefault="00643958" w:rsidP="002E076C">
      <w:pPr>
        <w:pStyle w:val="FootnoteText"/>
        <w:ind w:firstLine="567"/>
        <w:jc w:val="both"/>
      </w:pPr>
      <w:r>
        <w:rPr>
          <w:rStyle w:val="FootnoteReference"/>
        </w:rPr>
        <w:footnoteRef/>
      </w:r>
      <w:r>
        <w:t xml:space="preserve"> </w:t>
      </w:r>
      <w:r>
        <w:fldChar w:fldCharType="begin" w:fldLock="1"/>
      </w:r>
      <w:r w:rsidR="00D23BD3">
        <w:instrText>ADDIN CSL_CITATION {"citationItems":[{"id":"ITEM-1","itemData":{"author":[{"dropping-particle":"","family":"Akbar","given":"Irwan","non-dropping-particle":"","parse-names":false,"suffix":""}],"container-title":"QOF: Jurnal Studi Al-Qur`an dan Tafsir","id":"ITEM-1","issue":"1","issued":{"date-parts":[["2019"]]},"page":"89–105","title":"Dinamika Kasus Penistaan Agama di Indonesia (Polemik Pemaknaan Ayat-Ayat Penistaan dan Undang-UNdang Penodaan Agama), ,","type":"article-journal","volume":"3"},"uris":["http://www.mendeley.com/documents/?uuid=ea455168-a3cb-4e6b-811e-3dda7e20900e"]}],"mendeley":{"formattedCitation":"Akbar, “Dinamika Kasus Penistaan Agama Di Indonesia (Polemik Pemaknaan Ayat-Ayat Penistaan Dan Undang-UNdang Penodaan Agama), ,.”","manualFormatting":"Akbar, “Dinamika Kasus Penistaan Agama Di Indonesia (Polemik Pemaknaan Ayat-Ayat Penistaan Dan Undang-UNdang Penodaan Agama),”","plainTextFormattedCitation":"Akbar, “Dinamika Kasus Penistaan Agama Di Indonesia (Polemik Pemaknaan Ayat-Ayat Penistaan Dan Undang-UNdang Penodaan Agama), ,.”","previouslyFormattedCitation":"Akbar, “Dinamika Kasus Penistaan Agama Di Indonesia (Polemik Pemaknaan Ayat-Ayat Penistaan Dan Undang-UNdang Penodaan Agama), ,.”"},"properties":{"noteIndex":19},"schema":"https://github.com/citation-style-language/schema/raw/master/csl-citation.json"}</w:instrText>
      </w:r>
      <w:r>
        <w:fldChar w:fldCharType="separate"/>
      </w:r>
      <w:r w:rsidRPr="00643958">
        <w:rPr>
          <w:noProof/>
        </w:rPr>
        <w:t>Akbar, “Dinamika Kasus Penistaan Agama Di Indonesia (Polemik Pemaknaan Ayat-Ayat Penistaan Dan Undan</w:t>
      </w:r>
      <w:r>
        <w:rPr>
          <w:noProof/>
        </w:rPr>
        <w:t>g-UNdang Penodaan Agama),</w:t>
      </w:r>
      <w:r w:rsidRPr="00643958">
        <w:rPr>
          <w:noProof/>
        </w:rPr>
        <w:t>”</w:t>
      </w:r>
      <w:r>
        <w:fldChar w:fldCharType="end"/>
      </w:r>
    </w:p>
  </w:footnote>
  <w:footnote w:id="20">
    <w:p w:rsidR="00643958" w:rsidRDefault="00643958" w:rsidP="002E076C">
      <w:pPr>
        <w:pStyle w:val="FootnoteText"/>
        <w:ind w:firstLine="567"/>
        <w:jc w:val="both"/>
      </w:pPr>
      <w:r>
        <w:rPr>
          <w:rStyle w:val="FootnoteReference"/>
        </w:rPr>
        <w:footnoteRef/>
      </w:r>
      <w:r>
        <w:t xml:space="preserve"> </w:t>
      </w:r>
      <w:r>
        <w:fldChar w:fldCharType="begin" w:fldLock="1"/>
      </w:r>
      <w:r w:rsidR="00D23BD3">
        <w:instrText>ADDIN CSL_CITATION {"citationItems":[{"id":"ITEM-1","itemData":{"URL":"https://news.detik.com/berita/d-5141781/ylbhi-catat-38-kasus-penodaan-agama-hingga-mei-ada-yangjerat-abg","author":[{"dropping-particle":"","family":"Medistiara","given":"Yulida","non-dropping-particle":"","parse-names":false,"suffix":""}],"container-title":"www.detik.com","id":"ITEM-1","issued":{"date-parts":[["2020"]]},"page":"1","title":"YLBHI Catat 38 Kasus Penodaan Agama hingga Mei, Ada yang Jerat ABG","type":"webpage"},"uris":["http://www.mendeley.com/documents/?uuid=bc29ca39-484a-4932-a3c3-e1dcb30eabee"]}],"mendeley":{"formattedCitation":"Yulida Medistiara, “YLBHI Catat 38 Kasus Penodaan Agama Hingga Mei, Ada Yang Jerat ABG,” www.detik.com, 2020, https://news.detik.com/berita/d-5141781/ylbhi-catat-38-kasus-penodaan-agama-hingga-mei-ada-yangjerat-abg.","plainTextFormattedCitation":"Yulida Medistiara, “YLBHI Catat 38 Kasus Penodaan Agama Hingga Mei, Ada Yang Jerat ABG,” www.detik.com, 2020, https://news.detik.com/berita/d-5141781/ylbhi-catat-38-kasus-penodaan-agama-hingga-mei-ada-yangjerat-abg.","previouslyFormattedCitation":"Yulida Medistiara, “YLBHI Catat 38 Kasus Penodaan Agama Hingga Mei, Ada Yang Jerat ABG,” www.detik.com, 2020, https://news.detik.com/berita/d-5141781/ylbhi-catat-38-kasus-penodaan-agama-hingga-mei-ada-yangjerat-abg."},"properties":{"noteIndex":20},"schema":"https://github.com/citation-style-language/schema/raw/master/csl-citation.json"}</w:instrText>
      </w:r>
      <w:r>
        <w:fldChar w:fldCharType="separate"/>
      </w:r>
      <w:r w:rsidRPr="00643958">
        <w:rPr>
          <w:noProof/>
        </w:rPr>
        <w:t>Yulida Medistiara, “YLBHI Catat 38 Kasus Penodaan Agama Hingga Mei, Ada Yang Jerat ABG,” www.detik.com, 2020, https://news.detik.com/berita/d-5141781/ylbhi-catat-38-kasus-penodaan-agama-hingga-mei-ada-yangjerat-abg.</w:t>
      </w:r>
      <w:r>
        <w:fldChar w:fldCharType="end"/>
      </w:r>
    </w:p>
  </w:footnote>
  <w:footnote w:id="21">
    <w:p w:rsidR="00643958" w:rsidRPr="00643958" w:rsidRDefault="00643958" w:rsidP="002E076C">
      <w:pPr>
        <w:pStyle w:val="FootnoteText"/>
        <w:ind w:firstLine="567"/>
        <w:jc w:val="both"/>
      </w:pPr>
      <w:r w:rsidRPr="00643958">
        <w:rPr>
          <w:rStyle w:val="FootnoteReference"/>
        </w:rPr>
        <w:footnoteRef/>
      </w:r>
      <w:r w:rsidRPr="00643958">
        <w:t xml:space="preserve"> </w:t>
      </w:r>
      <w:r w:rsidRPr="00643958">
        <w:fldChar w:fldCharType="begin" w:fldLock="1"/>
      </w:r>
      <w:r w:rsidR="00D23BD3">
        <w:instrText>ADDIN CSL_CITATION {"citationItems":[{"id":"ITEM-1","itemData":{"author":[{"dropping-particle":"","family":"Yaqin","given":"A.","non-dropping-particle":"","parse-names":false,"suffix":""}],"container-title":"Malayan Law Journal SDN BHD","id":"ITEM-1","issued":{"date-parts":[["2007"]]},"page":"10","title":"Legal Research and Writting","type":"article-journal","volume":"1"},"uris":["http://www.mendeley.com/documents/?uuid=7aa9cc05-fb6d-41a9-8fe1-b6611fd9b2ea"]}],"mendeley":{"formattedCitation":"A. Yaqin, “Legal Research and Writting,” &lt;i&gt;Malayan Law Journal SDN BHD&lt;/i&gt; 1 (2007): 10.","manualFormatting":"A. Yaqin, ‘Legal Research and Writting’, Malayan Law Journal SDN BHD, 1 (2018), 10.","plainTextFormattedCitation":"A. Yaqin, “Legal Research and Writting,” Malayan Law Journal SDN BHD 1 (2007): 10.","previouslyFormattedCitation":"A. Yaqin, “Legal Research and Writting,” &lt;i&gt;Malayan Law Journal SDN BHD&lt;/i&gt; 1 (2007): 10."},"properties":{"noteIndex":21},"schema":"https://github.com/citation-style-language/schema/raw/master/csl-citation.json"}</w:instrText>
      </w:r>
      <w:r w:rsidRPr="00643958">
        <w:fldChar w:fldCharType="separate"/>
      </w:r>
      <w:r w:rsidRPr="00643958">
        <w:rPr>
          <w:bCs/>
          <w:noProof/>
        </w:rPr>
        <w:t>A. Yaqin, ‘Legal Research and Writting’, Malayan Law Journal SDN BHD, 1 (2018), 10.</w:t>
      </w:r>
      <w:r w:rsidRPr="00643958">
        <w:fldChar w:fldCharType="end"/>
      </w:r>
    </w:p>
  </w:footnote>
  <w:footnote w:id="22">
    <w:p w:rsidR="00643958" w:rsidRDefault="00643958" w:rsidP="002E076C">
      <w:pPr>
        <w:pStyle w:val="FootnoteText"/>
        <w:ind w:firstLine="567"/>
        <w:jc w:val="both"/>
      </w:pPr>
      <w:r>
        <w:rPr>
          <w:rStyle w:val="FootnoteReference"/>
        </w:rPr>
        <w:footnoteRef/>
      </w:r>
      <w:r>
        <w:t xml:space="preserve"> </w:t>
      </w:r>
      <w:r>
        <w:fldChar w:fldCharType="begin" w:fldLock="1"/>
      </w:r>
      <w:r w:rsidR="00D23BD3">
        <w:instrText>ADDIN CSL_CITATION {"citationItems":[{"id":"ITEM-1","itemData":{"author":[{"dropping-particle":"","family":"Diantha","given":"I Made Pasek","non-dropping-particle":"","parse-names":false,"suffix":""}],"id":"ITEM-1","issued":{"date-parts":[["2017"]]},"number-of-pages":"159","publisher":"Prenanda Media Group","publisher-place":"Jakarta","title":"Metodologi Penelitian Hukum Normatif Dalam Justifikasi Teori Hukum","type":"book"},"uris":["http://www.mendeley.com/documents/?uuid=a2084247-1bc1-42d5-bb9e-e8e704a4f41d"]}],"mendeley":{"formattedCitation":"I Made Pasek Diantha, &lt;i&gt;Metodologi Penelitian Hukum Normatif Dalam Justifikasi Teori Hukum&lt;/i&gt; (Jakarta: Prenanda Media Group, 2017).","plainTextFormattedCitation":"I Made Pasek Diantha, Metodologi Penelitian Hukum Normatif Dalam Justifikasi Teori Hukum (Jakarta: Prenanda Media Group, 2017).","previouslyFormattedCitation":"I Made Pasek Diantha, &lt;i&gt;Metodologi Penelitian Hukum Normatif Dalam Justifikasi Teori Hukum&lt;/i&gt; (Jakarta: Prenanda Media Group, 2017)."},"properties":{"noteIndex":22},"schema":"https://github.com/citation-style-language/schema/raw/master/csl-citation.json"}</w:instrText>
      </w:r>
      <w:r>
        <w:fldChar w:fldCharType="separate"/>
      </w:r>
      <w:r w:rsidRPr="00643958">
        <w:rPr>
          <w:noProof/>
        </w:rPr>
        <w:t xml:space="preserve">I Made Pasek Diantha, </w:t>
      </w:r>
      <w:r w:rsidRPr="00643958">
        <w:rPr>
          <w:i/>
          <w:noProof/>
        </w:rPr>
        <w:t>Metodologi Penelitian Hukum Normatif Dalam Justifikasi Teori Hukum</w:t>
      </w:r>
      <w:r w:rsidRPr="00643958">
        <w:rPr>
          <w:noProof/>
        </w:rPr>
        <w:t xml:space="preserve"> (Jakarta: Prenanda Media Group, 2017).</w:t>
      </w:r>
      <w:r>
        <w:fldChar w:fldCharType="end"/>
      </w:r>
    </w:p>
  </w:footnote>
  <w:footnote w:id="23">
    <w:p w:rsidR="00643958" w:rsidRDefault="00643958" w:rsidP="002E076C">
      <w:pPr>
        <w:pStyle w:val="FootnoteText"/>
        <w:ind w:firstLine="567"/>
        <w:jc w:val="both"/>
      </w:pPr>
      <w:r>
        <w:rPr>
          <w:rStyle w:val="FootnoteReference"/>
        </w:rPr>
        <w:footnoteRef/>
      </w:r>
      <w:r>
        <w:t xml:space="preserve"> </w:t>
      </w:r>
      <w:r>
        <w:fldChar w:fldCharType="begin" w:fldLock="1"/>
      </w:r>
      <w:r w:rsidR="00D23BD3">
        <w:instrText>ADDIN CSL_CITATION {"citationItems":[{"id":"ITEM-1","itemData":{"author":[{"dropping-particle":"","family":"Rahmawati","given":"Mei","non-dropping-particle":"","parse-names":false,"suffix":""}],"container-title":"Ar-Raniry: International Journal of Islamic Studies","id":"ITEM-1","issue":"1","issued":{"date-parts":[["2022"]]},"page":"24-36","title":"Membedah Kasus Penistaan Agama oleh sang Murtad Kace, Vol 9, No 1 (2022), 24-36","type":"article-journal","volume":"9"},"uris":["http://www.mendeley.com/documents/?uuid=8f4a2267-fac3-4269-bb3d-4ca2b2dd7b80"]}],"mendeley":{"formattedCitation":"Rahmawati, “Membedah Kasus Penistaan Agama Oleh Sang Murtad Kace, Vol 9, No 1 (2022), 24-36.”","plainTextFormattedCitation":"Rahmawati, “Membedah Kasus Penistaan Agama Oleh Sang Murtad Kace, Vol 9, No 1 (2022), 24-36.”","previouslyFormattedCitation":"Rahmawati, “Membedah Kasus Penistaan Agama Oleh Sang Murtad Kace, Vol 9, No 1 (2022), 24-36.”"},"properties":{"noteIndex":23},"schema":"https://github.com/citation-style-language/schema/raw/master/csl-citation.json"}</w:instrText>
      </w:r>
      <w:r>
        <w:fldChar w:fldCharType="separate"/>
      </w:r>
      <w:r w:rsidRPr="00643958">
        <w:rPr>
          <w:noProof/>
        </w:rPr>
        <w:t>Rahmawati, “Membedah Kasus Penistaan Agama Oleh Sang Murtad Kace, Vol 9, No 1 (2022), 24-36.”</w:t>
      </w:r>
      <w:r>
        <w:fldChar w:fldCharType="end"/>
      </w:r>
    </w:p>
  </w:footnote>
  <w:footnote w:id="24">
    <w:p w:rsidR="00643958" w:rsidRDefault="00643958" w:rsidP="002E076C">
      <w:pPr>
        <w:pStyle w:val="FootnoteText"/>
        <w:ind w:firstLine="567"/>
        <w:jc w:val="both"/>
      </w:pPr>
      <w:r>
        <w:rPr>
          <w:rStyle w:val="FootnoteReference"/>
        </w:rPr>
        <w:footnoteRef/>
      </w:r>
      <w:r>
        <w:t xml:space="preserve"> </w:t>
      </w:r>
      <w:r>
        <w:fldChar w:fldCharType="begin" w:fldLock="1"/>
      </w:r>
      <w:r w:rsidR="00D23BD3">
        <w:instrText>ADDIN CSL_CITATION {"citationItems":[{"id":"ITEM-1","itemData":{"author":[{"dropping-particle":"","family":"Hatta","given":"Muhammad","non-dropping-particle":"","parse-names":false,"suffix":""}],"container-title":"Al’ Adl : Jurnal Hukum","id":"ITEM-1","issue":"2","issued":{"date-parts":[["2021"]]},"page":"342-368","title":"Kejahatan Penistaan Agama Dan Konsekuensi Hukumnya","type":"article-journal","volume":"13"},"uris":["http://www.mendeley.com/documents/?uuid=6c869bf2-0119-4a2e-9193-89a0cba4a286"]}],"mendeley":{"formattedCitation":"Hatta, “Kejahatan Penistaan Agama Dan Konsekuensi Hukumnya.”","plainTextFormattedCitation":"Hatta, “Kejahatan Penistaan Agama Dan Konsekuensi Hukumnya.”","previouslyFormattedCitation":"Hatta, “Kejahatan Penistaan Agama Dan Konsekuensi Hukumnya.”"},"properties":{"noteIndex":24},"schema":"https://github.com/citation-style-language/schema/raw/master/csl-citation.json"}</w:instrText>
      </w:r>
      <w:r>
        <w:fldChar w:fldCharType="separate"/>
      </w:r>
      <w:r w:rsidRPr="00643958">
        <w:rPr>
          <w:noProof/>
        </w:rPr>
        <w:t>Hatta, “Kejahatan Penistaan Agama Dan Konsekuensi Hukumnya.”</w:t>
      </w:r>
      <w:r>
        <w:fldChar w:fldCharType="end"/>
      </w:r>
    </w:p>
  </w:footnote>
  <w:footnote w:id="25">
    <w:p w:rsidR="00643958" w:rsidRDefault="00643958" w:rsidP="002E076C">
      <w:pPr>
        <w:pStyle w:val="FootnoteText"/>
        <w:ind w:firstLine="567"/>
        <w:jc w:val="both"/>
      </w:pPr>
      <w:r>
        <w:rPr>
          <w:rStyle w:val="FootnoteReference"/>
        </w:rPr>
        <w:footnoteRef/>
      </w:r>
      <w:r>
        <w:t xml:space="preserve"> </w:t>
      </w:r>
      <w:r>
        <w:fldChar w:fldCharType="begin" w:fldLock="1"/>
      </w:r>
      <w:r w:rsidR="00D23BD3">
        <w:instrText>ADDIN CSL_CITATION {"citationItems":[{"id":"ITEM-1","itemData":{"author":[{"dropping-particle":"","family":"Hilman","given":"Didi","non-dropping-particle":"","parse-names":false,"suffix":""}],"container-title":"MIZAN: Journal of Islamic Law","id":"ITEM-1","issue":"1","issued":{"date-parts":[["2020"]]},"page":"31-46","title":"Tindak Pidana Agama Menurut Perspektif Hukum Islam, Hukum Positif dan Hak Asasi Manusia","type":"article-journal","volume":"4"},"uris":["http://www.mendeley.com/documents/?uuid=4c2fbdf2-fe56-4580-8977-57f5b7a5fbc0"]}],"mendeley":{"formattedCitation":"Hilman, “Tindak Pidana Agama Menurut Perspektif Hukum Islam, Hukum Positif Dan Hak Asasi Manusia.”","plainTextFormattedCitation":"Hilman, “Tindak Pidana Agama Menurut Perspektif Hukum Islam, Hukum Positif Dan Hak Asasi Manusia.”","previouslyFormattedCitation":"Hilman, “Tindak Pidana Agama Menurut Perspektif Hukum Islam, Hukum Positif Dan Hak Asasi Manusia.”"},"properties":{"noteIndex":25},"schema":"https://github.com/citation-style-language/schema/raw/master/csl-citation.json"}</w:instrText>
      </w:r>
      <w:r>
        <w:fldChar w:fldCharType="separate"/>
      </w:r>
      <w:r w:rsidRPr="00643958">
        <w:rPr>
          <w:noProof/>
        </w:rPr>
        <w:t>Hilman, “Tindak Pidana Agama Menurut Perspektif Hukum Islam, Hukum Positif Dan Hak Asasi Manusia.”</w:t>
      </w:r>
      <w:r>
        <w:fldChar w:fldCharType="end"/>
      </w:r>
    </w:p>
  </w:footnote>
  <w:footnote w:id="26">
    <w:p w:rsidR="00643958" w:rsidRDefault="00643958" w:rsidP="002E076C">
      <w:pPr>
        <w:pStyle w:val="FootnoteText"/>
        <w:ind w:firstLine="567"/>
        <w:jc w:val="both"/>
      </w:pPr>
      <w:r>
        <w:rPr>
          <w:rStyle w:val="FootnoteReference"/>
        </w:rPr>
        <w:footnoteRef/>
      </w:r>
      <w:r>
        <w:t xml:space="preserve"> </w:t>
      </w:r>
      <w:r>
        <w:fldChar w:fldCharType="begin" w:fldLock="1"/>
      </w:r>
      <w:r w:rsidR="00D23BD3">
        <w:instrText>ADDIN CSL_CITATION {"citationItems":[{"id":"ITEM-1","itemData":{"URL":"https://news.detik.com/berita/d-5141781/ylbhi-catat-38-kasus-penodaan-agama-hingga-mei-ada-yangjerat-abg","author":[{"dropping-particle":"","family":"Medistiara","given":"Yulida","non-dropping-particle":"","parse-names":false,"suffix":""}],"container-title":"www.detik.com","id":"ITEM-1","issued":{"date-parts":[["2020"]]},"page":"1","title":"YLBHI Catat 38 Kasus Penodaan Agama hingga Mei, Ada yang Jerat ABG","type":"webpage"},"uris":["http://www.mendeley.com/documents/?uuid=bc29ca39-484a-4932-a3c3-e1dcb30eabee"]}],"mendeley":{"formattedCitation":"Medistiara, “YLBHI Catat 38 Kasus Penodaan Agama Hingga Mei, Ada Yang Jerat ABG.”","plainTextFormattedCitation":"Medistiara, “YLBHI Catat 38 Kasus Penodaan Agama Hingga Mei, Ada Yang Jerat ABG.”","previouslyFormattedCitation":"Medistiara, “YLBHI Catat 38 Kasus Penodaan Agama Hingga Mei, Ada Yang Jerat ABG.”"},"properties":{"noteIndex":26},"schema":"https://github.com/citation-style-language/schema/raw/master/csl-citation.json"}</w:instrText>
      </w:r>
      <w:r>
        <w:fldChar w:fldCharType="separate"/>
      </w:r>
      <w:r w:rsidRPr="00643958">
        <w:rPr>
          <w:noProof/>
        </w:rPr>
        <w:t>Medistiara, “YLBHI Catat 38 Kasus Penodaan Agama Hingga Mei, Ada Yang Jerat ABG.”</w:t>
      </w:r>
      <w:r>
        <w:fldChar w:fldCharType="end"/>
      </w:r>
    </w:p>
  </w:footnote>
  <w:footnote w:id="27">
    <w:p w:rsidR="00643958" w:rsidRDefault="00643958" w:rsidP="002E076C">
      <w:pPr>
        <w:pStyle w:val="FootnoteText"/>
        <w:ind w:firstLine="567"/>
        <w:jc w:val="both"/>
      </w:pPr>
      <w:r>
        <w:rPr>
          <w:rStyle w:val="FootnoteReference"/>
        </w:rPr>
        <w:footnoteRef/>
      </w:r>
      <w:r>
        <w:t xml:space="preserve"> </w:t>
      </w:r>
      <w:r>
        <w:fldChar w:fldCharType="begin" w:fldLock="1"/>
      </w:r>
      <w:r w:rsidR="00D23BD3">
        <w:instrText>ADDIN CSL_CITATION {"citationItems":[{"id":"ITEM-1","itemData":{"author":[{"dropping-particle":"","family":"MS","given":"Afriandi","non-dropping-particle":"","parse-names":false,"suffix":""}],"container-title":"Dejure: Jurnal Penelitian Hukum","id":"ITEM-1","issue":"1","issued":{"date-parts":[["2017"]]},"page":"1-12","title":"Criminal Law Analysis of Religious Blasphemy Violation in Aceh","type":"article-journal","volume":"17"},"uris":["http://www.mendeley.com/documents/?uuid=a6dc0a15-bff4-47ba-a51a-43a896a68b96"]}],"mendeley":{"formattedCitation":"Afriandi MS, “Criminal Law Analysis of Religious Blasphemy Violation in Aceh,” &lt;i&gt;Dejure: Jurnal Penelitian Hukum&lt;/i&gt; 17, no. 1 (2017): 1–12.","plainTextFormattedCitation":"Afriandi MS, “Criminal Law Analysis of Religious Blasphemy Violation in Aceh,” Dejure: Jurnal Penelitian Hukum 17, no. 1 (2017): 1–12.","previouslyFormattedCitation":"Afriandi MS, “Criminal Law Analysis of Religious Blasphemy Violation in Aceh,” &lt;i&gt;Dejure: Jurnal Penelitian Hukum&lt;/i&gt; 17, no. 1 (2017): 1–12."},"properties":{"noteIndex":27},"schema":"https://github.com/citation-style-language/schema/raw/master/csl-citation.json"}</w:instrText>
      </w:r>
      <w:r>
        <w:fldChar w:fldCharType="separate"/>
      </w:r>
      <w:r w:rsidRPr="00643958">
        <w:rPr>
          <w:noProof/>
        </w:rPr>
        <w:t xml:space="preserve">Afriandi MS, “Criminal Law Analysis of Religious Blasphemy Violation in Aceh,” </w:t>
      </w:r>
      <w:r w:rsidRPr="00643958">
        <w:rPr>
          <w:i/>
          <w:noProof/>
        </w:rPr>
        <w:t>Dejure: Jurnal Penelitian Hukum</w:t>
      </w:r>
      <w:r w:rsidRPr="00643958">
        <w:rPr>
          <w:noProof/>
        </w:rPr>
        <w:t xml:space="preserve"> 17, no. 1 (2017): 1–12.</w:t>
      </w:r>
      <w:r>
        <w:fldChar w:fldCharType="end"/>
      </w:r>
    </w:p>
  </w:footnote>
  <w:footnote w:id="28">
    <w:p w:rsidR="00643958" w:rsidRDefault="00643958" w:rsidP="002E076C">
      <w:pPr>
        <w:pStyle w:val="FootnoteText"/>
        <w:ind w:firstLine="567"/>
        <w:jc w:val="both"/>
      </w:pPr>
      <w:r>
        <w:rPr>
          <w:rStyle w:val="FootnoteReference"/>
        </w:rPr>
        <w:footnoteRef/>
      </w:r>
      <w:r>
        <w:t xml:space="preserve"> </w:t>
      </w:r>
      <w:r>
        <w:fldChar w:fldCharType="begin" w:fldLock="1"/>
      </w:r>
      <w:r w:rsidR="00D23BD3">
        <w:instrText>ADDIN CSL_CITATION {"citationItems":[{"id":"ITEM-1","itemData":{"author":[{"dropping-particle":"","family":"As-Shalih","given":"Subhi","non-dropping-particle":"","parse-names":false,"suffix":""}],"id":"ITEM-1","issued":{"date-parts":[["1999"]]},"number-of-pages":"383","publisher":"Pustaka Firdaus","publisher-place":"Jakarta","title":"Membahas Ilmu-Ilmu Al-Qur‟an","type":"book"},"uris":["http://www.mendeley.com/documents/?uuid=12501998-59e0-4395-9ca1-b7185d33d145"]}],"mendeley":{"formattedCitation":"Subhi As-Shalih, &lt;i&gt;Membahas Ilmu-Ilmu Al-Qur‟an&lt;/i&gt; (Jakarta: Pustaka Firdaus, 1999).","plainTextFormattedCitation":"Subhi As-Shalih, Membahas Ilmu-Ilmu Al-Qur‟an (Jakarta: Pustaka Firdaus, 1999).","previouslyFormattedCitation":"Subhi As-Shalih, &lt;i&gt;Membahas Ilmu-Ilmu Al-Qur‟an&lt;/i&gt; (Jakarta: Pustaka Firdaus, 1999)."},"properties":{"noteIndex":28},"schema":"https://github.com/citation-style-language/schema/raw/master/csl-citation.json"}</w:instrText>
      </w:r>
      <w:r>
        <w:fldChar w:fldCharType="separate"/>
      </w:r>
      <w:r w:rsidRPr="00643958">
        <w:rPr>
          <w:noProof/>
        </w:rPr>
        <w:t xml:space="preserve">Subhi As-Shalih, </w:t>
      </w:r>
      <w:r w:rsidRPr="00643958">
        <w:rPr>
          <w:i/>
          <w:noProof/>
        </w:rPr>
        <w:t>Membahas Ilmu-Ilmu Al-Qur‟an</w:t>
      </w:r>
      <w:r w:rsidRPr="00643958">
        <w:rPr>
          <w:noProof/>
        </w:rPr>
        <w:t xml:space="preserve"> (Jakarta: Pustaka Firdaus, 1999).</w:t>
      </w:r>
      <w:r>
        <w:fldChar w:fldCharType="end"/>
      </w:r>
    </w:p>
  </w:footnote>
  <w:footnote w:id="29">
    <w:p w:rsidR="00643958" w:rsidRDefault="00643958" w:rsidP="002E076C">
      <w:pPr>
        <w:pStyle w:val="FootnoteText"/>
        <w:ind w:firstLine="567"/>
        <w:jc w:val="both"/>
      </w:pPr>
      <w:r>
        <w:rPr>
          <w:rStyle w:val="FootnoteReference"/>
        </w:rPr>
        <w:footnoteRef/>
      </w:r>
      <w:r>
        <w:t xml:space="preserve"> </w:t>
      </w:r>
      <w:r>
        <w:fldChar w:fldCharType="begin" w:fldLock="1"/>
      </w:r>
      <w:r w:rsidR="00D23BD3">
        <w:instrText>ADDIN CSL_CITATION {"citationItems":[{"id":"ITEM-1","itemData":{"author":[{"dropping-particle":"","family":"Crouch","given":"Melissa A.","non-dropping-particle":"","parse-names":false,"suffix":""}],"container-title":"Asian Journal of Comparative Law","id":"ITEM-1","issue":"1","issued":{"date-parts":[["2012"]]},"page":"1-45","title":"Law and Religion in Indonesia: The Constitutional Court and the Blasphemy Law","type":"article-journal","volume":"7"},"uris":["http://www.mendeley.com/documents/?uuid=f9be2ac1-7012-4744-83e2-c37080a4959e"]}],"mendeley":{"formattedCitation":"Melissa A. Crouch, “Law and Religion in Indonesia: The Constitutional Court and the Blasphemy Law,” &lt;i&gt;Asian Journal of Comparative Law&lt;/i&gt; 7, no. 1 (2012): 1–45.","plainTextFormattedCitation":"Melissa A. Crouch, “Law and Religion in Indonesia: The Constitutional Court and the Blasphemy Law,” Asian Journal of Comparative Law 7, no. 1 (2012): 1–45.","previouslyFormattedCitation":"Melissa A. Crouch, “Law and Religion in Indonesia: The Constitutional Court and the Blasphemy Law,” &lt;i&gt;Asian Journal of Comparative Law&lt;/i&gt; 7, no. 1 (2012): 1–45."},"properties":{"noteIndex":29},"schema":"https://github.com/citation-style-language/schema/raw/master/csl-citation.json"}</w:instrText>
      </w:r>
      <w:r>
        <w:fldChar w:fldCharType="separate"/>
      </w:r>
      <w:r w:rsidRPr="00643958">
        <w:rPr>
          <w:noProof/>
        </w:rPr>
        <w:t xml:space="preserve">Melissa A. Crouch, “Law and Religion in Indonesia: The Constitutional Court and the Blasphemy Law,” </w:t>
      </w:r>
      <w:r w:rsidRPr="00643958">
        <w:rPr>
          <w:i/>
          <w:noProof/>
        </w:rPr>
        <w:t>Asian Journal of Comparative Law</w:t>
      </w:r>
      <w:r w:rsidRPr="00643958">
        <w:rPr>
          <w:noProof/>
        </w:rPr>
        <w:t xml:space="preserve"> 7, no. 1 (2012): 1–45.</w:t>
      </w:r>
      <w:r>
        <w:fldChar w:fldCharType="end"/>
      </w:r>
    </w:p>
  </w:footnote>
  <w:footnote w:id="30">
    <w:p w:rsidR="00643958" w:rsidRDefault="00643958" w:rsidP="002E076C">
      <w:pPr>
        <w:pStyle w:val="FootnoteText"/>
        <w:ind w:firstLine="567"/>
        <w:jc w:val="both"/>
      </w:pPr>
      <w:r>
        <w:rPr>
          <w:rStyle w:val="FootnoteReference"/>
        </w:rPr>
        <w:footnoteRef/>
      </w:r>
      <w:r>
        <w:t xml:space="preserve"> </w:t>
      </w:r>
      <w:r>
        <w:fldChar w:fldCharType="begin" w:fldLock="1"/>
      </w:r>
      <w:r w:rsidR="00D23BD3">
        <w:instrText>ADDIN CSL_CITATION {"citationItems":[{"id":"ITEM-1","itemData":{"author":[{"dropping-particle":"","family":"Jalaluddin","given":"","non-dropping-particle":"","parse-names":false,"suffix":""}],"id":"ITEM-1","issued":{"date-parts":[["2000"]]},"number-of-pages":"87","publisher":"Siantar Press","publisher-place":"Jakarta","title":"Phiscology Agama","type":"book"},"uris":["http://www.mendeley.com/documents/?uuid=29ddccfc-f5a5-4686-858d-06eb6abfce24"]}],"mendeley":{"formattedCitation":"Jalaluddin, &lt;i&gt;Phiscology Agama&lt;/i&gt; (Jakarta: Siantar Press, 2000).","plainTextFormattedCitation":"Jalaluddin, Phiscology Agama (Jakarta: Siantar Press, 2000).","previouslyFormattedCitation":"Jalaluddin, &lt;i&gt;Phiscology Agama&lt;/i&gt; (Jakarta: Siantar Press, 2000)."},"properties":{"noteIndex":30},"schema":"https://github.com/citation-style-language/schema/raw/master/csl-citation.json"}</w:instrText>
      </w:r>
      <w:r>
        <w:fldChar w:fldCharType="separate"/>
      </w:r>
      <w:r w:rsidRPr="00643958">
        <w:rPr>
          <w:noProof/>
        </w:rPr>
        <w:t xml:space="preserve">Jalaluddin, </w:t>
      </w:r>
      <w:r w:rsidRPr="00643958">
        <w:rPr>
          <w:i/>
          <w:noProof/>
        </w:rPr>
        <w:t>Phiscology Agama</w:t>
      </w:r>
      <w:r w:rsidRPr="00643958">
        <w:rPr>
          <w:noProof/>
        </w:rPr>
        <w:t xml:space="preserve"> (Jakarta: Siantar Press, 2000).</w:t>
      </w:r>
      <w:r>
        <w:fldChar w:fldCharType="end"/>
      </w:r>
    </w:p>
  </w:footnote>
  <w:footnote w:id="31">
    <w:p w:rsidR="00643958" w:rsidRDefault="00643958" w:rsidP="002E076C">
      <w:pPr>
        <w:pStyle w:val="FootnoteText"/>
        <w:ind w:firstLine="567"/>
        <w:jc w:val="both"/>
      </w:pPr>
      <w:r>
        <w:rPr>
          <w:rStyle w:val="FootnoteReference"/>
        </w:rPr>
        <w:footnoteRef/>
      </w:r>
      <w:r>
        <w:t xml:space="preserve"> </w:t>
      </w:r>
      <w:r>
        <w:fldChar w:fldCharType="begin" w:fldLock="1"/>
      </w:r>
      <w:r w:rsidR="00D23BD3">
        <w:instrText>ADDIN CSL_CITATION {"citationItems":[{"id":"ITEM-1","itemData":{"author":[{"dropping-particle":"","family":"Arief","given":"Barda Nawawi","non-dropping-particle":"","parse-names":false,"suffix":""}],"id":"ITEM-1","issued":{"date-parts":[["2007"]]},"number-of-pages":"64","publisher":"Penerbit UNDIP","publisher-place":"Semarang","title":"Delik Agama dan Penghinaan Tuhan (Blasphemy) di Indonesia dan Perbandingan Berbagai Negara","type":"book"},"uris":["http://www.mendeley.com/documents/?uuid=b8732e59-ed5c-4d88-91da-8cf0028eb0a2"]}],"mendeley":{"formattedCitation":"Arief, &lt;i&gt;Delik Agama Dan Penghinaan Tuhan (Blasphemy) Di Indonesia Dan Perbandingan Berbagai Negara&lt;/i&gt;.","plainTextFormattedCitation":"Arief, Delik Agama Dan Penghinaan Tuhan (Blasphemy) Di Indonesia Dan Perbandingan Berbagai Negara.","previouslyFormattedCitation":"Arief, &lt;i&gt;Delik Agama Dan Penghinaan Tuhan (Blasphemy) Di Indonesia Dan Perbandingan Berbagai Negara&lt;/i&gt;."},"properties":{"noteIndex":31},"schema":"https://github.com/citation-style-language/schema/raw/master/csl-citation.json"}</w:instrText>
      </w:r>
      <w:r>
        <w:fldChar w:fldCharType="separate"/>
      </w:r>
      <w:r w:rsidRPr="00643958">
        <w:rPr>
          <w:noProof/>
        </w:rPr>
        <w:t xml:space="preserve">Arief, </w:t>
      </w:r>
      <w:r w:rsidRPr="00643958">
        <w:rPr>
          <w:i/>
          <w:noProof/>
        </w:rPr>
        <w:t>Delik Agama Dan Penghinaan Tuhan (Blasphemy) Di Indonesia Dan Perbandingan Berbagai Negara</w:t>
      </w:r>
      <w:r w:rsidRPr="00643958">
        <w:rPr>
          <w:noProof/>
        </w:rPr>
        <w:t>.</w:t>
      </w:r>
      <w:r>
        <w:fldChar w:fldCharType="end"/>
      </w:r>
    </w:p>
  </w:footnote>
  <w:footnote w:id="32">
    <w:p w:rsidR="00643958" w:rsidRDefault="00643958" w:rsidP="002E076C">
      <w:pPr>
        <w:pStyle w:val="FootnoteText"/>
        <w:ind w:firstLine="567"/>
        <w:jc w:val="both"/>
      </w:pPr>
      <w:r>
        <w:rPr>
          <w:rStyle w:val="FootnoteReference"/>
        </w:rPr>
        <w:footnoteRef/>
      </w:r>
      <w:r>
        <w:t xml:space="preserve"> </w:t>
      </w:r>
      <w:r>
        <w:fldChar w:fldCharType="begin" w:fldLock="1"/>
      </w:r>
      <w:r w:rsidR="00D23BD3">
        <w:instrText>ADDIN CSL_CITATION {"citationItems":[{"id":"ITEM-1","itemData":{"author":[{"dropping-particle":"","family":"Syarifuddin","given":"Amir","non-dropping-particle":"","parse-names":false,"suffix":""}],"edition":"2","id":"ITEM-1","issued":{"date-parts":[["2008"]]},"number-of-pages":"125","publisher":"Kencana Prenada Media Group","publisher-place":"Jakarta","title":"Ushul Fiqh","type":"book"},"uris":["http://www.mendeley.com/documents/?uuid=8ef26e28-fc30-40f9-96e8-e60ef4d92ee5"]}],"mendeley":{"formattedCitation":"Amir Syarifuddin, &lt;i&gt;Ushul Fiqh&lt;/i&gt;, 2nd ed. (Jakarta: Kencana Prenada Media Group, 2008).","plainTextFormattedCitation":"Amir Syarifuddin, Ushul Fiqh, 2nd ed. (Jakarta: Kencana Prenada Media Group, 2008).","previouslyFormattedCitation":"Amir Syarifuddin, &lt;i&gt;Ushul Fiqh&lt;/i&gt;, 2nd ed. (Jakarta: Kencana Prenada Media Group, 2008)."},"properties":{"noteIndex":32},"schema":"https://github.com/citation-style-language/schema/raw/master/csl-citation.json"}</w:instrText>
      </w:r>
      <w:r>
        <w:fldChar w:fldCharType="separate"/>
      </w:r>
      <w:r w:rsidRPr="00643958">
        <w:rPr>
          <w:noProof/>
        </w:rPr>
        <w:t xml:space="preserve">Amir Syarifuddin, </w:t>
      </w:r>
      <w:r w:rsidRPr="00643958">
        <w:rPr>
          <w:i/>
          <w:noProof/>
        </w:rPr>
        <w:t>Ushul Fiqh</w:t>
      </w:r>
      <w:r w:rsidRPr="00643958">
        <w:rPr>
          <w:noProof/>
        </w:rPr>
        <w:t>, 2nd ed. (Jakarta: Kencana Prenada Media Group, 2008).</w:t>
      </w:r>
      <w:r>
        <w:fldChar w:fldCharType="end"/>
      </w:r>
    </w:p>
  </w:footnote>
  <w:footnote w:id="33">
    <w:p w:rsidR="00643958" w:rsidRDefault="00643958" w:rsidP="002E076C">
      <w:pPr>
        <w:pStyle w:val="FootnoteText"/>
        <w:ind w:firstLine="567"/>
        <w:jc w:val="both"/>
      </w:pPr>
      <w:r>
        <w:rPr>
          <w:rStyle w:val="FootnoteReference"/>
        </w:rPr>
        <w:footnoteRef/>
      </w:r>
      <w:r>
        <w:t xml:space="preserve"> </w:t>
      </w:r>
      <w:r>
        <w:fldChar w:fldCharType="begin" w:fldLock="1"/>
      </w:r>
      <w:r w:rsidR="00D23BD3">
        <w:instrText>ADDIN CSL_CITATION {"citationItems":[{"id":"ITEM-1","itemData":{"author":[{"dropping-particle":"","family":"Tim","given":"","non-dropping-particle":"","parse-names":false,"suffix":""}],"id":"ITEM-1","issued":{"date-parts":[["2011"]]},"number-of-pages":"1-3","publisher":"Kementerian Hukum Dan Hak Asasi Manusia Badan Pembinaan Hukum Nasional","publisher-place":"Jakarta","title":"Pengkajian Hukum Tentang Perlindungan Hukum Bagi Upaya Menjamin Kerukunan Umat Beragama","type":"book"},"uris":["http://www.mendeley.com/documents/?uuid=1a9c3db9-963b-4489-b3f2-f2f58e497093"]}],"mendeley":{"formattedCitation":"Tim, &lt;i&gt;Pengkajian Hukum Tentang Perlindungan Hukum Bagi Upaya Menjamin Kerukunan Umat Beragama&lt;/i&gt; (Jakarta: Kementerian Hukum Dan Hak Asasi Manusia Badan Pembinaan Hukum Nasional, 2011).","plainTextFormattedCitation":"Tim, Pengkajian Hukum Tentang Perlindungan Hukum Bagi Upaya Menjamin Kerukunan Umat Beragama (Jakarta: Kementerian Hukum Dan Hak Asasi Manusia Badan Pembinaan Hukum Nasional, 2011).","previouslyFormattedCitation":"Tim, &lt;i&gt;Pengkajian Hukum Tentang Perlindungan Hukum Bagi Upaya Menjamin Kerukunan Umat Beragama&lt;/i&gt; (Jakarta: Kementerian Hukum Dan Hak Asasi Manusia Badan Pembinaan Hukum Nasional, 2011)."},"properties":{"noteIndex":33},"schema":"https://github.com/citation-style-language/schema/raw/master/csl-citation.json"}</w:instrText>
      </w:r>
      <w:r>
        <w:fldChar w:fldCharType="separate"/>
      </w:r>
      <w:r w:rsidRPr="00643958">
        <w:rPr>
          <w:noProof/>
        </w:rPr>
        <w:t xml:space="preserve">Tim, </w:t>
      </w:r>
      <w:r w:rsidRPr="00643958">
        <w:rPr>
          <w:i/>
          <w:noProof/>
        </w:rPr>
        <w:t>Pengkajian Hukum Tentang Perlindungan Hukum Bagi Upaya Menjamin Kerukunan Umat Beragama</w:t>
      </w:r>
      <w:r w:rsidRPr="00643958">
        <w:rPr>
          <w:noProof/>
        </w:rPr>
        <w:t xml:space="preserve"> (Jakarta: Kementerian Hukum Dan Hak Asasi Manusia Badan Pembinaan Hukum Nasional, 2011).</w:t>
      </w:r>
      <w:r>
        <w:fldChar w:fldCharType="end"/>
      </w:r>
    </w:p>
  </w:footnote>
  <w:footnote w:id="34">
    <w:p w:rsidR="00643958" w:rsidRDefault="00643958" w:rsidP="002E076C">
      <w:pPr>
        <w:pStyle w:val="FootnoteText"/>
        <w:ind w:firstLine="567"/>
        <w:jc w:val="both"/>
      </w:pPr>
      <w:r>
        <w:rPr>
          <w:rStyle w:val="FootnoteReference"/>
        </w:rPr>
        <w:footnoteRef/>
      </w:r>
      <w:r>
        <w:t xml:space="preserve"> </w:t>
      </w:r>
      <w:r>
        <w:fldChar w:fldCharType="begin" w:fldLock="1"/>
      </w:r>
      <w:r w:rsidR="00D23BD3">
        <w:instrText>ADDIN CSL_CITATION {"citationItems":[{"id":"ITEM-1","itemData":{"author":[{"dropping-particle":"","family":"Redaksi","given":"","non-dropping-particle":"","parse-names":false,"suffix":""}],"container-title":"www.cnnindonesia.com","id":"ITEM-1","issued":{"date-parts":[["2019"]]},"page":"1","title":"Ustaz Abdul Somad Dilaporkan ke Polda NTT","type":"webpage"},"uris":["http://www.mendeley.com/documents/?uuid=cf2c0c7e-67e8-4dc3-8add-d879ff2371aa"]}],"mendeley":{"formattedCitation":"Redaksi, “Ustaz Abdul Somad Dilaporkan Ke Polda NTT,” www.cnnindonesia.com, 2019.","plainTextFormattedCitation":"Redaksi, “Ustaz Abdul Somad Dilaporkan Ke Polda NTT,” www.cnnindonesia.com, 2019.","previouslyFormattedCitation":"Redaksi, “Ustaz Abdul Somad Dilaporkan Ke Polda NTT,” www.cnnindonesia.com, 2019."},"properties":{"noteIndex":34},"schema":"https://github.com/citation-style-language/schema/raw/master/csl-citation.json"}</w:instrText>
      </w:r>
      <w:r>
        <w:fldChar w:fldCharType="separate"/>
      </w:r>
      <w:r w:rsidRPr="00643958">
        <w:rPr>
          <w:noProof/>
        </w:rPr>
        <w:t>Redaksi, “Ustaz Abdul Somad Dilaporkan Ke Polda NTT,” www.cnnindonesia.com, 2019.</w:t>
      </w:r>
      <w:r>
        <w:fldChar w:fldCharType="end"/>
      </w:r>
    </w:p>
  </w:footnote>
  <w:footnote w:id="35">
    <w:p w:rsidR="00643958" w:rsidRDefault="00643958" w:rsidP="002E076C">
      <w:pPr>
        <w:pStyle w:val="FootnoteText"/>
        <w:ind w:firstLine="567"/>
        <w:jc w:val="both"/>
      </w:pPr>
      <w:r>
        <w:rPr>
          <w:rStyle w:val="FootnoteReference"/>
        </w:rPr>
        <w:footnoteRef/>
      </w:r>
      <w:r>
        <w:t xml:space="preserve"> </w:t>
      </w:r>
      <w:r>
        <w:fldChar w:fldCharType="begin" w:fldLock="1"/>
      </w:r>
      <w:r w:rsidR="00D23BD3">
        <w:instrText>ADDIN CSL_CITATION {"citationItems":[{"id":"ITEM-1","itemData":{"author":[{"dropping-particle":"","family":"Artharini","given":"Isyana","non-dropping-particle":"","parse-names":false,"suffix":""}],"container-title":"www.bbc.com","id":"ITEM-1","issued":{"date-parts":[["2016"]]},"page":"1","title":"Pelaporan Ahok Atas Tuduhan Menghina Agama Dan Pemilih","type":"webpage"},"uris":["http://www.mendeley.com/documents/?uuid=f1c28316-2d03-428a-bcc0-9eb7f9f57311"]}],"mendeley":{"formattedCitation":"Isyana Artharini, “Pelaporan Ahok Atas Tuduhan Menghina Agama Dan Pemilih,” www.bbc.com, 2016.","plainTextFormattedCitation":"Isyana Artharini, “Pelaporan Ahok Atas Tuduhan Menghina Agama Dan Pemilih,” www.bbc.com, 2016.","previouslyFormattedCitation":"Isyana Artharini, “Pelaporan Ahok Atas Tuduhan Menghina Agama Dan Pemilih,” www.bbc.com, 2016."},"properties":{"noteIndex":35},"schema":"https://github.com/citation-style-language/schema/raw/master/csl-citation.json"}</w:instrText>
      </w:r>
      <w:r>
        <w:fldChar w:fldCharType="separate"/>
      </w:r>
      <w:r w:rsidRPr="00643958">
        <w:rPr>
          <w:noProof/>
        </w:rPr>
        <w:t>Isyana Artharini, “Pelaporan Ahok Atas Tuduhan Menghina Agama Dan Pemilih,” www.bbc.com, 2016.</w:t>
      </w:r>
      <w:r>
        <w:fldChar w:fldCharType="end"/>
      </w:r>
    </w:p>
  </w:footnote>
  <w:footnote w:id="36">
    <w:p w:rsidR="00643958" w:rsidRDefault="00643958" w:rsidP="002E076C">
      <w:pPr>
        <w:pStyle w:val="FootnoteText"/>
        <w:ind w:firstLine="567"/>
        <w:jc w:val="both"/>
      </w:pPr>
      <w:r>
        <w:rPr>
          <w:rStyle w:val="FootnoteReference"/>
        </w:rPr>
        <w:footnoteRef/>
      </w:r>
      <w:r>
        <w:t xml:space="preserve"> </w:t>
      </w:r>
      <w:r>
        <w:fldChar w:fldCharType="begin" w:fldLock="1"/>
      </w:r>
      <w:r w:rsidR="00D23BD3">
        <w:instrText>ADDIN CSL_CITATION {"citationItems":[{"id":"ITEM-1","itemData":{"author":[{"dropping-particle":"","family":"Septiani","given":"Rina","non-dropping-particle":"","parse-names":false,"suffix":""}],"container-title":"Syariah: Jurnal Ilmu Hukum dan Pemikiran","id":"ITEM-1","issue":"1","issued":{"date-parts":[["2017"]]},"page":"28","title":"Tindak Pidana Penistaan Agama Perspektif Hukum Islam Dan Hukum Positif Indonesia","type":"article-journal","volume":"17"},"uris":["http://www.mendeley.com/documents/?uuid=c3d83732-7b46-4aac-9b51-36421a203063"]}],"mendeley":{"formattedCitation":"Rina Septiani, “Tindak Pidana Penistaan Agama Perspektif Hukum Islam Dan Hukum Positif Indonesia,” &lt;i&gt;Syariah: Jurnal Ilmu Hukum Dan Pemikiran&lt;/i&gt; 17, no. 1 (2017): 28.","plainTextFormattedCitation":"Rina Septiani, “Tindak Pidana Penistaan Agama Perspektif Hukum Islam Dan Hukum Positif Indonesia,” Syariah: Jurnal Ilmu Hukum Dan Pemikiran 17, no. 1 (2017): 28.","previouslyFormattedCitation":"Rina Septiani, “Tindak Pidana Penistaan Agama Perspektif Hukum Islam Dan Hukum Positif Indonesia,” &lt;i&gt;Syariah: Jurnal Ilmu Hukum Dan Pemikiran&lt;/i&gt; 17, no. 1 (2017): 28."},"properties":{"noteIndex":36},"schema":"https://github.com/citation-style-language/schema/raw/master/csl-citation.json"}</w:instrText>
      </w:r>
      <w:r>
        <w:fldChar w:fldCharType="separate"/>
      </w:r>
      <w:r w:rsidRPr="00643958">
        <w:rPr>
          <w:noProof/>
        </w:rPr>
        <w:t xml:space="preserve">Rina Septiani, “Tindak Pidana Penistaan Agama Perspektif Hukum Islam Dan Hukum Positif Indonesia,” </w:t>
      </w:r>
      <w:r w:rsidRPr="00643958">
        <w:rPr>
          <w:i/>
          <w:noProof/>
        </w:rPr>
        <w:t>Syariah: Jurnal Ilmu Hukum Dan Pemikiran</w:t>
      </w:r>
      <w:r w:rsidRPr="00643958">
        <w:rPr>
          <w:noProof/>
        </w:rPr>
        <w:t xml:space="preserve"> 17, no. 1 (2017): 28.</w:t>
      </w:r>
      <w:r>
        <w:fldChar w:fldCharType="end"/>
      </w:r>
    </w:p>
  </w:footnote>
  <w:footnote w:id="37">
    <w:p w:rsidR="00643958" w:rsidRDefault="00643958" w:rsidP="002E076C">
      <w:pPr>
        <w:pStyle w:val="FootnoteText"/>
        <w:ind w:firstLine="567"/>
        <w:jc w:val="both"/>
      </w:pPr>
      <w:r>
        <w:rPr>
          <w:rStyle w:val="FootnoteReference"/>
        </w:rPr>
        <w:footnoteRef/>
      </w:r>
      <w:r>
        <w:t xml:space="preserve"> </w:t>
      </w:r>
      <w:r>
        <w:fldChar w:fldCharType="begin" w:fldLock="1"/>
      </w:r>
      <w:r w:rsidR="00D23BD3">
        <w:instrText>ADDIN CSL_CITATION {"citationItems":[{"id":"ITEM-1","itemData":{"author":[{"dropping-particle":"","family":"Idami","given":"Zahratul","non-dropping-particle":"","parse-names":false,"suffix":""}],"container-title":"Kanun: Jurnal Ilmu Hukum","id":"ITEM-1","issue":"1","issued":{"date-parts":[["2016"]]},"page":"69-92","title":"Law Protection By A State For Religion Believers In Indonesia And Its Comparison With Islamic Laws","type":"article-journal","volume":"18"},"uris":["http://www.mendeley.com/documents/?uuid=3f99b07e-74d0-4601-9b48-8f884d286979"]}],"mendeley":{"formattedCitation":"Zahratul Idami, “Law Protection By A State For Religion Believers In Indonesia And Its Comparison With Islamic Laws,” &lt;i&gt;Kanun: Jurnal Ilmu Hukum&lt;/i&gt; 18, no. 1 (2016): 69–92.","plainTextFormattedCitation":"Zahratul Idami, “Law Protection By A State For Religion Believers In Indonesia And Its Comparison With Islamic Laws,” Kanun: Jurnal Ilmu Hukum 18, no. 1 (2016): 69–92.","previouslyFormattedCitation":"Zahratul Idami, “Law Protection By A State For Religion Believers In Indonesia And Its Comparison With Islamic Laws,” &lt;i&gt;Kanun: Jurnal Ilmu Hukum&lt;/i&gt; 18, no. 1 (2016): 69–92."},"properties":{"noteIndex":37},"schema":"https://github.com/citation-style-language/schema/raw/master/csl-citation.json"}</w:instrText>
      </w:r>
      <w:r>
        <w:fldChar w:fldCharType="separate"/>
      </w:r>
      <w:r w:rsidRPr="00643958">
        <w:rPr>
          <w:noProof/>
        </w:rPr>
        <w:t xml:space="preserve">Zahratul Idami, “Law Protection By A State For Religion Believers In Indonesia And Its Comparison With Islamic Laws,” </w:t>
      </w:r>
      <w:r w:rsidRPr="00643958">
        <w:rPr>
          <w:i/>
          <w:noProof/>
        </w:rPr>
        <w:t>Kanun: Jurnal Ilmu Hukum</w:t>
      </w:r>
      <w:r w:rsidRPr="00643958">
        <w:rPr>
          <w:noProof/>
        </w:rPr>
        <w:t xml:space="preserve"> 18, no. 1 (2016): 69–92.</w:t>
      </w:r>
      <w:r>
        <w:fldChar w:fldCharType="end"/>
      </w:r>
    </w:p>
  </w:footnote>
  <w:footnote w:id="38">
    <w:p w:rsidR="00643958" w:rsidRDefault="00643958" w:rsidP="002E076C">
      <w:pPr>
        <w:pStyle w:val="FootnoteText"/>
        <w:ind w:firstLine="567"/>
        <w:jc w:val="both"/>
      </w:pPr>
      <w:r>
        <w:rPr>
          <w:rStyle w:val="FootnoteReference"/>
        </w:rPr>
        <w:footnoteRef/>
      </w:r>
      <w:r>
        <w:t xml:space="preserve"> </w:t>
      </w:r>
      <w:r>
        <w:fldChar w:fldCharType="begin" w:fldLock="1"/>
      </w:r>
      <w:r w:rsidR="00D23BD3">
        <w:instrText>ADDIN CSL_CITATION {"citationItems":[{"id":"ITEM-1","itemData":{"author":[{"dropping-particle":"","family":"Ismuhadi","given":"","non-dropping-particle":"","parse-names":false,"suffix":""}],"id":"ITEM-1","issued":{"date-parts":[["2019"]]},"number-of-pages":"1-13","publisher":"www.repository.usu.ac.id/bitstream/123456789/12134/1/09E02103.pdf","publisher-place":"Medan","title":"Analisa Pidana Hukum dan Kriminologi Terhadap Tindak Pidana di Indonesia","type":"book"},"uris":["http://www.mendeley.com/documents/?uuid=b8a611ff-503a-4054-8f39-66be21c36a35"]}],"mendeley":{"formattedCitation":"Ismuhadi, &lt;i&gt;Analisa Pidana Hukum Dan Kriminologi Terhadap Tindak Pidana Di Indonesia&lt;/i&gt; (Medan: www.repository.usu.ac.id/bitstream/123456789/12134/1/09E02103.pdf, 2019).","plainTextFormattedCitation":"Ismuhadi, Analisa Pidana Hukum Dan Kriminologi Terhadap Tindak Pidana Di Indonesia (Medan: www.repository.usu.ac.id/bitstream/123456789/12134/1/09E02103.pdf, 2019).","previouslyFormattedCitation":"Ismuhadi, &lt;i&gt;Analisa Pidana Hukum Dan Kriminologi Terhadap Tindak Pidana Di Indonesia&lt;/i&gt; (Medan: www.repository.usu.ac.id/bitstream/123456789/12134/1/09E02103.pdf, 2019)."},"properties":{"noteIndex":38},"schema":"https://github.com/citation-style-language/schema/raw/master/csl-citation.json"}</w:instrText>
      </w:r>
      <w:r>
        <w:fldChar w:fldCharType="separate"/>
      </w:r>
      <w:r w:rsidRPr="00643958">
        <w:rPr>
          <w:noProof/>
        </w:rPr>
        <w:t xml:space="preserve">Ismuhadi, </w:t>
      </w:r>
      <w:r w:rsidRPr="00643958">
        <w:rPr>
          <w:i/>
          <w:noProof/>
        </w:rPr>
        <w:t>Analisa Pidana Hukum Dan Kriminologi Terhadap Tindak Pidana Di Indonesia</w:t>
      </w:r>
      <w:r w:rsidRPr="00643958">
        <w:rPr>
          <w:noProof/>
        </w:rPr>
        <w:t xml:space="preserve"> (Medan: www.repository.usu.ac.id/bitstream/123456789/12134/1/09E02103.pdf, 2019).</w:t>
      </w:r>
      <w:r>
        <w:fldChar w:fldCharType="end"/>
      </w:r>
    </w:p>
  </w:footnote>
  <w:footnote w:id="39">
    <w:p w:rsidR="00643958" w:rsidRDefault="00643958" w:rsidP="002E076C">
      <w:pPr>
        <w:pStyle w:val="FootnoteText"/>
        <w:ind w:firstLine="567"/>
        <w:jc w:val="both"/>
      </w:pPr>
      <w:r>
        <w:rPr>
          <w:rStyle w:val="FootnoteReference"/>
        </w:rPr>
        <w:footnoteRef/>
      </w:r>
      <w:r>
        <w:t xml:space="preserve"> </w:t>
      </w:r>
      <w:r>
        <w:fldChar w:fldCharType="begin" w:fldLock="1"/>
      </w:r>
      <w:r w:rsidR="00D23BD3">
        <w:instrText>ADDIN CSL_CITATION {"citationItems":[{"id":"ITEM-1","itemData":{"author":[{"dropping-particle":"","family":"Al-Razi","given":"Fakhr","non-dropping-particle":"","parse-names":false,"suffix":""}],"edition":"7","editor":[{"dropping-particle":"","family":"Al-Fikr","given":"Dar","non-dropping-particle":"","parse-names":false,"suffix":""}],"id":"ITEM-1","issued":{"date-parts":[["1994"]]},"number-of-pages":"13","publisher-place":"Beirut","title":"Mafatih al-Ghaib","type":"book"},"uris":["http://www.mendeley.com/documents/?uuid=a13f1be7-1206-40ad-abaa-c60a4cc4442c"]}],"mendeley":{"formattedCitation":"Fakhr Al-Razi, &lt;i&gt;Mafatih Al-Ghaib&lt;/i&gt;, ed. Dar Al-Fikr, 7th ed. (Beirut, 1994).","plainTextFormattedCitation":"Fakhr Al-Razi, Mafatih Al-Ghaib, ed. Dar Al-Fikr, 7th ed. (Beirut, 1994).","previouslyFormattedCitation":"Fakhr Al-Razi, &lt;i&gt;Mafatih Al-Ghaib&lt;/i&gt;, ed. Dar Al-Fikr, 7th ed. (Beirut, 1994)."},"properties":{"noteIndex":39},"schema":"https://github.com/citation-style-language/schema/raw/master/csl-citation.json"}</w:instrText>
      </w:r>
      <w:r>
        <w:fldChar w:fldCharType="separate"/>
      </w:r>
      <w:r w:rsidRPr="00643958">
        <w:rPr>
          <w:noProof/>
        </w:rPr>
        <w:t xml:space="preserve">Fakhr Al-Razi, </w:t>
      </w:r>
      <w:r w:rsidRPr="00643958">
        <w:rPr>
          <w:i/>
          <w:noProof/>
        </w:rPr>
        <w:t>Mafatih Al-Ghaib</w:t>
      </w:r>
      <w:r w:rsidRPr="00643958">
        <w:rPr>
          <w:noProof/>
        </w:rPr>
        <w:t>, ed. Dar Al-Fikr, 7th ed. (Beirut, 1994).</w:t>
      </w:r>
      <w:r>
        <w:fldChar w:fldCharType="end"/>
      </w:r>
    </w:p>
  </w:footnote>
  <w:footnote w:id="40">
    <w:p w:rsidR="00643958" w:rsidRDefault="00643958" w:rsidP="002E076C">
      <w:pPr>
        <w:pStyle w:val="FootnoteText"/>
        <w:ind w:firstLine="567"/>
        <w:jc w:val="both"/>
      </w:pPr>
      <w:r>
        <w:rPr>
          <w:rStyle w:val="FootnoteReference"/>
        </w:rPr>
        <w:footnoteRef/>
      </w:r>
      <w:r>
        <w:t xml:space="preserve"> </w:t>
      </w:r>
      <w:r>
        <w:fldChar w:fldCharType="begin" w:fldLock="1"/>
      </w:r>
      <w:r w:rsidR="00D23BD3">
        <w:instrText>ADDIN CSL_CITATION {"citationItems":[{"id":"ITEM-1","itemData":{"author":[{"dropping-particle":"","family":"Zuhaili","given":"Wahbah","non-dropping-particle":"","parse-names":false,"suffix":""}],"edition":"7","id":"ITEM-1","issued":{"date-parts":[["1418"]]},"number-of-pages":"342","publisher":"Dar al-Fikr al-Mu’asir","publisher-place":"Damaskus","title":"Al-Tafsir al-Munir li al-Zuhaili","type":"book"},"uris":["http://www.mendeley.com/documents/?uuid=7b9f8a03-18b0-4f9b-922d-d4ea79adb750"]}],"mendeley":{"formattedCitation":"Wahbah Zuhaili, &lt;i&gt;Al-Tafsir Al-Munir Li Al-Zuhaili&lt;/i&gt;, 7th ed. (Damaskus: Dar al-Fikr al-Mu’asir, 1418).","plainTextFormattedCitation":"Wahbah Zuhaili, Al-Tafsir Al-Munir Li Al-Zuhaili, 7th ed. (Damaskus: Dar al-Fikr al-Mu’asir, 1418).","previouslyFormattedCitation":"Wahbah Zuhaili, &lt;i&gt;Al-Tafsir Al-Munir Li Al-Zuhaili&lt;/i&gt;, 7th ed. (Damaskus: Dar al-Fikr al-Mu’asir, 1418)."},"properties":{"noteIndex":40},"schema":"https://github.com/citation-style-language/schema/raw/master/csl-citation.json"}</w:instrText>
      </w:r>
      <w:r>
        <w:fldChar w:fldCharType="separate"/>
      </w:r>
      <w:r w:rsidRPr="00643958">
        <w:rPr>
          <w:noProof/>
        </w:rPr>
        <w:t xml:space="preserve">Wahbah Zuhaili, </w:t>
      </w:r>
      <w:r w:rsidRPr="00643958">
        <w:rPr>
          <w:i/>
          <w:noProof/>
        </w:rPr>
        <w:t>Al-Tafsir Al-Munir Li Al-Zuhaili</w:t>
      </w:r>
      <w:r w:rsidRPr="00643958">
        <w:rPr>
          <w:noProof/>
        </w:rPr>
        <w:t>, 7th ed. (Damaskus: Dar al-Fikr al-Mu’asir, 1418).</w:t>
      </w:r>
      <w:r>
        <w:fldChar w:fldCharType="end"/>
      </w:r>
    </w:p>
  </w:footnote>
  <w:footnote w:id="41">
    <w:p w:rsidR="00916307" w:rsidRDefault="00916307" w:rsidP="00916307">
      <w:pPr>
        <w:pStyle w:val="FootnoteText"/>
        <w:ind w:firstLine="567"/>
        <w:jc w:val="both"/>
      </w:pPr>
      <w:r>
        <w:rPr>
          <w:rStyle w:val="FootnoteReference"/>
        </w:rPr>
        <w:footnoteRef/>
      </w:r>
      <w:r>
        <w:t xml:space="preserve"> </w:t>
      </w:r>
      <w:r>
        <w:fldChar w:fldCharType="begin" w:fldLock="1"/>
      </w:r>
      <w:r>
        <w:instrText>ADDIN CSL_CITATION {"citationItems":[{"id":"ITEM-1","itemData":{"author":[{"dropping-particle":"","family":"Shakir","given":"Naeem","non-dropping-particle":"","parse-names":false,"suffix":""}],"container-title":"Journal Of Islamic Law","id":"ITEM-1","issue":"1","issued":{"date-parts":[["2015"]]},"page":"307-317","title":"Islamic Shariah and Blasphemy Laws in Pakistan","type":"article-journal","volume":"4"},"uris":["http://www.mendeley.com/documents/?uuid=d4ae2ca5-ba3d-4a7f-b3cb-d03a3980f031"]}],"mendeley":{"formattedCitation":"Naeem Shakir, “Islamic Shariah and Blasphemy Laws in Pakistan,” &lt;i&gt;Journal Of Islamic Law&lt;/i&gt; 4, no. 1 (2015): 307–17.","plainTextFormattedCitation":"Naeem Shakir, “Islamic Shariah and Blasphemy Laws in Pakistan,” Journal Of Islamic Law 4, no. 1 (2015): 307–17.","previouslyFormattedCitation":"Naeem Shakir, “Islamic Shariah and Blasphemy Laws in Pakistan,” &lt;i&gt;Journal Of Islamic Law&lt;/i&gt; 4, no. 1 (2015): 307–17."},"properties":{"noteIndex":41},"schema":"https://github.com/citation-style-language/schema/raw/master/csl-citation.json"}</w:instrText>
      </w:r>
      <w:r>
        <w:fldChar w:fldCharType="separate"/>
      </w:r>
      <w:r w:rsidRPr="00643958">
        <w:rPr>
          <w:noProof/>
        </w:rPr>
        <w:t xml:space="preserve">Naeem Shakir, “Islamic Shariah and Blasphemy Laws in Pakistan,” </w:t>
      </w:r>
      <w:r w:rsidRPr="00643958">
        <w:rPr>
          <w:i/>
          <w:noProof/>
        </w:rPr>
        <w:t>Journal Of Islamic Law</w:t>
      </w:r>
      <w:r w:rsidRPr="00643958">
        <w:rPr>
          <w:noProof/>
        </w:rPr>
        <w:t xml:space="preserve"> 4, no. 1 (2015): 307–17.</w:t>
      </w:r>
      <w:r>
        <w:fldChar w:fldCharType="end"/>
      </w:r>
    </w:p>
  </w:footnote>
  <w:footnote w:id="42">
    <w:p w:rsidR="00643958" w:rsidRDefault="00643958" w:rsidP="002E076C">
      <w:pPr>
        <w:pStyle w:val="FootnoteText"/>
        <w:ind w:firstLine="567"/>
        <w:jc w:val="both"/>
      </w:pPr>
      <w:r>
        <w:rPr>
          <w:rStyle w:val="FootnoteReference"/>
        </w:rPr>
        <w:footnoteRef/>
      </w:r>
      <w:r>
        <w:t xml:space="preserve"> </w:t>
      </w:r>
      <w:r>
        <w:fldChar w:fldCharType="begin" w:fldLock="1"/>
      </w:r>
      <w:r w:rsidR="00D23BD3">
        <w:instrText>ADDIN CSL_CITATION {"citationItems":[{"id":"ITEM-1","itemData":{"author":[{"dropping-particle":"","family":"Hatta","given":"Muhammad","non-dropping-particle":"","parse-names":false,"suffix":""}],"container-title":"Al’ Adl : Jurnal Hukum","id":"ITEM-1","issue":"2","issued":{"date-parts":[["2021"]]},"page":"342-368","title":"Kejahatan Penistaan Agama Dan Konsekuensi Hukumnya","type":"article-journal","volume":"13"},"uris":["http://www.mendeley.com/documents/?uuid=6c869bf2-0119-4a2e-9193-89a0cba4a286"]}],"mendeley":{"formattedCitation":"Hatta, “Kejahatan Penistaan Agama Dan Konsekuensi Hukumnya.”","plainTextFormattedCitation":"Hatta, “Kejahatan Penistaan Agama Dan Konsekuensi Hukumnya.”","previouslyFormattedCitation":"Hatta, “Kejahatan Penistaan Agama Dan Konsekuensi Hukumnya.”"},"properties":{"noteIndex":43},"schema":"https://github.com/citation-style-language/schema/raw/master/csl-citation.json"}</w:instrText>
      </w:r>
      <w:r>
        <w:fldChar w:fldCharType="separate"/>
      </w:r>
      <w:r w:rsidRPr="00643958">
        <w:rPr>
          <w:noProof/>
        </w:rPr>
        <w:t>Hatta, “Kejahatan Penistaan Agama Dan Konsekuensi Hukumnya.”</w:t>
      </w:r>
      <w:r>
        <w:fldChar w:fldCharType="end"/>
      </w:r>
    </w:p>
  </w:footnote>
  <w:footnote w:id="43">
    <w:p w:rsidR="00643958" w:rsidRDefault="00643958" w:rsidP="002E076C">
      <w:pPr>
        <w:pStyle w:val="FootnoteText"/>
        <w:ind w:firstLine="567"/>
        <w:jc w:val="both"/>
      </w:pPr>
      <w:r>
        <w:rPr>
          <w:rStyle w:val="FootnoteReference"/>
        </w:rPr>
        <w:footnoteRef/>
      </w:r>
      <w:r>
        <w:t xml:space="preserve"> </w:t>
      </w:r>
      <w:r>
        <w:fldChar w:fldCharType="begin" w:fldLock="1"/>
      </w:r>
      <w:r w:rsidR="00D23BD3">
        <w:instrText>ADDIN CSL_CITATION {"citationItems":[{"id":"ITEM-1","itemData":{"author":[{"dropping-particle":"","family":"Bohlander","given":"Michael","non-dropping-particle":"","parse-names":false,"suffix":""}],"container-title":"J. Islamic St. Prac. Int'enational Law","id":"ITEM-1","issued":{"date-parts":[["2012"]]},"page":"36-40","title":"There Is No Compulsion in Religion: Freedom of Religion, Responsibility to Protect (R2P) and Crimes Against Humanity at the Example of the Islamic Blasphemy Laws of Pakistan","type":"article-journal","volume":"8"},"uris":["http://www.mendeley.com/documents/?uuid=542cfa92-5b02-4eee-bea9-7bc5bae066ec"]}],"mendeley":{"formattedCitation":"Michael Bohlander, “There Is No Compulsion in Religion: Freedom of Religion, Responsibility to Protect (R2P) and Crimes Against Humanity at the Example of the Islamic Blasphemy Laws of Pakistan,” &lt;i&gt;J. Islamic St. Prac. Int’enational Law&lt;/i&gt; 8 (2012): 36–40.","plainTextFormattedCitation":"Michael Bohlander, “There Is No Compulsion in Religion: Freedom of Religion, Responsibility to Protect (R2P) and Crimes Against Humanity at the Example of the Islamic Blasphemy Laws of Pakistan,” J. Islamic St. Prac. Int’enational Law 8 (2012): 36–40.","previouslyFormattedCitation":"Michael Bohlander, “There Is No Compulsion in Religion: Freedom of Religion, Responsibility to Protect (R2P) and Crimes Against Humanity at the Example of the Islamic Blasphemy Laws of Pakistan,” &lt;i&gt;J. Islamic St. Prac. Int’enational Law&lt;/i&gt; 8 (2012): 36–40."},"properties":{"noteIndex":44},"schema":"https://github.com/citation-style-language/schema/raw/master/csl-citation.json"}</w:instrText>
      </w:r>
      <w:r>
        <w:fldChar w:fldCharType="separate"/>
      </w:r>
      <w:r w:rsidRPr="00643958">
        <w:rPr>
          <w:noProof/>
        </w:rPr>
        <w:t xml:space="preserve">Michael Bohlander, “There Is No Compulsion in Religion: Freedom of Religion, Responsibility to Protect (R2P) and Crimes Against Humanity at the Example of the Islamic Blasphemy Laws of Pakistan,” </w:t>
      </w:r>
      <w:r w:rsidRPr="00643958">
        <w:rPr>
          <w:i/>
          <w:noProof/>
        </w:rPr>
        <w:t>J. Islamic St. Prac. Int’enational Law</w:t>
      </w:r>
      <w:r w:rsidRPr="00643958">
        <w:rPr>
          <w:noProof/>
        </w:rPr>
        <w:t xml:space="preserve"> 8 (2012): 36–40.</w:t>
      </w:r>
      <w:r>
        <w:fldChar w:fldCharType="end"/>
      </w:r>
    </w:p>
  </w:footnote>
  <w:footnote w:id="44">
    <w:p w:rsidR="00643958" w:rsidRDefault="00643958" w:rsidP="002E076C">
      <w:pPr>
        <w:pStyle w:val="FootnoteText"/>
        <w:ind w:firstLine="567"/>
        <w:jc w:val="both"/>
      </w:pPr>
      <w:r>
        <w:rPr>
          <w:rStyle w:val="FootnoteReference"/>
        </w:rPr>
        <w:footnoteRef/>
      </w:r>
      <w:r>
        <w:t xml:space="preserve"> </w:t>
      </w:r>
      <w:r>
        <w:fldChar w:fldCharType="begin" w:fldLock="1"/>
      </w:r>
      <w:r w:rsidR="00D23BD3">
        <w:instrText>ADDIN CSL_CITATION {"citationItems":[{"id":"ITEM-1","itemData":{"author":[{"dropping-particle":"","family":"Qureshy","given":"Muhammad Ismail","non-dropping-particle":"","parse-names":false,"suffix":""}],"id":"ITEM-1","issued":{"date-parts":[["2008"]]},"number-of-pages":"173","publisher":"Nuqoosh","publisher-place":"Lahore","title":"Muhammad-The Messenger of God and the Law of Blasphemy in Islam and the West","type":"book"},"uris":["http://www.mendeley.com/documents/?uuid=d3e47e20-874b-49fd-a906-1c7a5c6a0f97"]}],"mendeley":{"formattedCitation":"Muhammad Ismail Qureshy, &lt;i&gt;Muhammad-The Messenger of God and the Law of Blasphemy in Islam and the West&lt;/i&gt; (Lahore: Nuqoosh, 2008).","plainTextFormattedCitation":"Muhammad Ismail Qureshy, Muhammad-The Messenger of God and the Law of Blasphemy in Islam and the West (Lahore: Nuqoosh, 2008).","previouslyFormattedCitation":"Muhammad Ismail Qureshy, &lt;i&gt;Muhammad-The Messenger of God and the Law of Blasphemy in Islam and the West&lt;/i&gt; (Lahore: Nuqoosh, 2008)."},"properties":{"noteIndex":45},"schema":"https://github.com/citation-style-language/schema/raw/master/csl-citation.json"}</w:instrText>
      </w:r>
      <w:r>
        <w:fldChar w:fldCharType="separate"/>
      </w:r>
      <w:r w:rsidRPr="00643958">
        <w:rPr>
          <w:noProof/>
        </w:rPr>
        <w:t xml:space="preserve">Muhammad Ismail Qureshy, </w:t>
      </w:r>
      <w:r w:rsidRPr="00643958">
        <w:rPr>
          <w:i/>
          <w:noProof/>
        </w:rPr>
        <w:t>Muhammad-The Messenger of God and the Law of Blasphemy in Islam and the West</w:t>
      </w:r>
      <w:r w:rsidRPr="00643958">
        <w:rPr>
          <w:noProof/>
        </w:rPr>
        <w:t xml:space="preserve"> (Lahore: Nuqoosh, 2008).</w:t>
      </w:r>
      <w:r>
        <w:fldChar w:fldCharType="end"/>
      </w:r>
    </w:p>
  </w:footnote>
  <w:footnote w:id="45">
    <w:p w:rsidR="00643958" w:rsidRDefault="00643958" w:rsidP="002E076C">
      <w:pPr>
        <w:pStyle w:val="FootnoteText"/>
        <w:ind w:firstLine="567"/>
        <w:jc w:val="both"/>
      </w:pPr>
      <w:r>
        <w:rPr>
          <w:rStyle w:val="FootnoteReference"/>
        </w:rPr>
        <w:footnoteRef/>
      </w:r>
      <w:r>
        <w:t xml:space="preserve"> </w:t>
      </w:r>
      <w:r>
        <w:fldChar w:fldCharType="begin" w:fldLock="1"/>
      </w:r>
      <w:r w:rsidR="00D23BD3">
        <w:instrText>ADDIN CSL_CITATION {"citationItems":[{"id":"ITEM-1","itemData":{"author":[{"dropping-particle":"","family":"Usman","given":"Abir","non-dropping-particle":"","parse-names":false,"suffix":""}],"container-title":"Journal of Islamic Law","id":"ITEM-1","issue":"68","issued":{"date-parts":[["2022"]]},"page":"72-73","title":"Pakistan’s Blasphemy Laws as a Totem","type":"article-journal","volume":"5"},"uris":["http://www.mendeley.com/documents/?uuid=2b3e62cf-6127-4ea3-8a2f-8a6b87da9680"]}],"mendeley":{"formattedCitation":"Abir Usman, “Pakistan’s Blasphemy Laws as a Totem,” &lt;i&gt;Journal of Islamic Law&lt;/i&gt; 5, no. 68 (2022): 72–73.","plainTextFormattedCitation":"Abir Usman, “Pakistan’s Blasphemy Laws as a Totem,” Journal of Islamic Law 5, no. 68 (2022): 72–73.","previouslyFormattedCitation":"Abir Usman, “Pakistan’s Blasphemy Laws as a Totem,” &lt;i&gt;Journal of Islamic Law&lt;/i&gt; 5, no. 68 (2022): 72–73."},"properties":{"noteIndex":46},"schema":"https://github.com/citation-style-language/schema/raw/master/csl-citation.json"}</w:instrText>
      </w:r>
      <w:r>
        <w:fldChar w:fldCharType="separate"/>
      </w:r>
      <w:r w:rsidRPr="00643958">
        <w:rPr>
          <w:noProof/>
        </w:rPr>
        <w:t xml:space="preserve">Abir Usman, “Pakistan’s Blasphemy Laws as a Totem,” </w:t>
      </w:r>
      <w:r w:rsidRPr="00643958">
        <w:rPr>
          <w:i/>
          <w:noProof/>
        </w:rPr>
        <w:t>Journal of Islamic Law</w:t>
      </w:r>
      <w:r w:rsidRPr="00643958">
        <w:rPr>
          <w:noProof/>
        </w:rPr>
        <w:t xml:space="preserve"> 5, no. 68 (2022): 72–73.</w:t>
      </w:r>
      <w:r>
        <w:fldChar w:fldCharType="end"/>
      </w:r>
    </w:p>
  </w:footnote>
  <w:footnote w:id="46">
    <w:p w:rsidR="00643958" w:rsidRDefault="00643958" w:rsidP="002E076C">
      <w:pPr>
        <w:pStyle w:val="FootnoteText"/>
        <w:ind w:firstLine="567"/>
        <w:jc w:val="both"/>
      </w:pPr>
      <w:r>
        <w:rPr>
          <w:rStyle w:val="FootnoteReference"/>
        </w:rPr>
        <w:footnoteRef/>
      </w:r>
      <w:r>
        <w:t xml:space="preserve"> </w:t>
      </w:r>
      <w:r>
        <w:fldChar w:fldCharType="begin" w:fldLock="1"/>
      </w:r>
      <w:r w:rsidR="00D23BD3">
        <w:instrText>ADDIN CSL_CITATION {"citationItems":[{"id":"ITEM-1","itemData":{"author":[{"dropping-particle":"","family":"Katir","given":"Isma’il bin ‘Umar","non-dropping-particle":"","parse-names":false,"suffix":""}],"edition":"4","id":"ITEM-1","issued":{"date-parts":[["1999"]]},"number-of-pages":"116","publisher":"Dar at-Taybah","publisher-place":"Madinah","title":"Tafsir Qur’an al-‘Azim","type":"book"},"uris":["http://www.mendeley.com/documents/?uuid=607a7626-b9c8-4d5a-8d4c-61b26210dda1"]}],"mendeley":{"formattedCitation":"Isma’il bin ‘Umar Katir, &lt;i&gt;Tafsir Qur’an Al-‘Azim&lt;/i&gt;, 4th ed. (Madinah: Dar at-Taybah, 1999).","plainTextFormattedCitation":"Isma’il bin ‘Umar Katir, Tafsir Qur’an Al-‘Azim, 4th ed. (Madinah: Dar at-Taybah, 1999).","previouslyFormattedCitation":"Isma’il bin ‘Umar Katir, &lt;i&gt;Tafsir Qur’an Al-‘Azim&lt;/i&gt;, 4th ed. (Madinah: Dar at-Taybah, 1999)."},"properties":{"noteIndex":47},"schema":"https://github.com/citation-style-language/schema/raw/master/csl-citation.json"}</w:instrText>
      </w:r>
      <w:r>
        <w:fldChar w:fldCharType="separate"/>
      </w:r>
      <w:r w:rsidRPr="00643958">
        <w:rPr>
          <w:noProof/>
        </w:rPr>
        <w:t xml:space="preserve">Isma’il bin ‘Umar Katir, </w:t>
      </w:r>
      <w:r w:rsidRPr="00643958">
        <w:rPr>
          <w:i/>
          <w:noProof/>
        </w:rPr>
        <w:t>Tafsir Qur’an Al-‘Azim</w:t>
      </w:r>
      <w:r w:rsidRPr="00643958">
        <w:rPr>
          <w:noProof/>
        </w:rPr>
        <w:t>, 4th ed. (Madinah: Dar at-Taybah, 1999).</w:t>
      </w:r>
      <w:r>
        <w:fldChar w:fldCharType="end"/>
      </w:r>
    </w:p>
  </w:footnote>
  <w:footnote w:id="47">
    <w:p w:rsidR="00643958" w:rsidRDefault="00643958" w:rsidP="002E076C">
      <w:pPr>
        <w:pStyle w:val="FootnoteText"/>
        <w:ind w:firstLine="567"/>
        <w:jc w:val="both"/>
      </w:pPr>
      <w:r>
        <w:rPr>
          <w:rStyle w:val="FootnoteReference"/>
        </w:rPr>
        <w:footnoteRef/>
      </w:r>
      <w:r>
        <w:t xml:space="preserve"> </w:t>
      </w:r>
      <w:r>
        <w:fldChar w:fldCharType="begin" w:fldLock="1"/>
      </w:r>
      <w:r w:rsidR="00D23BD3">
        <w:instrText>ADDIN CSL_CITATION {"citationItems":[{"id":"ITEM-1","itemData":{"author":[{"dropping-particle":"","family":"Al-Qurthubi","given":"Abu Abdullah bin Ahmad","non-dropping-particle":"","parse-names":false,"suffix":""}],"id":"ITEM-1","issued":{"date-parts":[["2004"]]},"number-of-pages":"54","publisher":"International Islamic University","publisher-place":"Islamabad","title":"Imam al-Jam’i li Ahkam al-Qur’an","type":"book"},"uris":["http://www.mendeley.com/documents/?uuid=c29e093c-dc39-4365-92ec-163059697a6a"]}],"mendeley":{"formattedCitation":"Abu Abdullah bin Ahmad Al-Qurthubi, &lt;i&gt;Imam Al-Jam’i Li Ahkam Al-Qur’an&lt;/i&gt; (Islamabad: International Islamic University, 2004).","plainTextFormattedCitation":"Abu Abdullah bin Ahmad Al-Qurthubi, Imam Al-Jam’i Li Ahkam Al-Qur’an (Islamabad: International Islamic University, 2004).","previouslyFormattedCitation":"Abu Abdullah bin Ahmad Al-Qurthubi, &lt;i&gt;Imam Al-Jam’i Li Ahkam Al-Qur’an&lt;/i&gt; (Islamabad: International Islamic University, 2004)."},"properties":{"noteIndex":48},"schema":"https://github.com/citation-style-language/schema/raw/master/csl-citation.json"}</w:instrText>
      </w:r>
      <w:r>
        <w:fldChar w:fldCharType="separate"/>
      </w:r>
      <w:r w:rsidRPr="00643958">
        <w:rPr>
          <w:noProof/>
        </w:rPr>
        <w:t xml:space="preserve">Abu Abdullah bin Ahmad Al-Qurthubi, </w:t>
      </w:r>
      <w:r w:rsidRPr="00643958">
        <w:rPr>
          <w:i/>
          <w:noProof/>
        </w:rPr>
        <w:t>Imam Al-Jam’i Li Ahkam Al-Qur’an</w:t>
      </w:r>
      <w:r w:rsidRPr="00643958">
        <w:rPr>
          <w:noProof/>
        </w:rPr>
        <w:t xml:space="preserve"> (Islamabad: International Islamic University, 2004).</w:t>
      </w:r>
      <w:r>
        <w:fldChar w:fldCharType="end"/>
      </w:r>
    </w:p>
  </w:footnote>
  <w:footnote w:id="48">
    <w:p w:rsidR="00643958" w:rsidRDefault="00643958" w:rsidP="002E076C">
      <w:pPr>
        <w:pStyle w:val="FootnoteText"/>
        <w:ind w:firstLine="567"/>
        <w:jc w:val="both"/>
      </w:pPr>
      <w:r>
        <w:rPr>
          <w:rStyle w:val="FootnoteReference"/>
        </w:rPr>
        <w:footnoteRef/>
      </w:r>
      <w:r>
        <w:t xml:space="preserve"> </w:t>
      </w:r>
      <w:r>
        <w:fldChar w:fldCharType="begin" w:fldLock="1"/>
      </w:r>
      <w:r w:rsidR="00D23BD3">
        <w:instrText>ADDIN CSL_CITATION {"citationItems":[{"id":"ITEM-1","itemData":{"author":[{"dropping-particle":"","family":"Al-Baghawi","given":"Imam Abu Muhammad al-Husain ibn Mas’ud","non-dropping-particle":"","parse-names":false,"suffix":""}],"edition":"4","id":"ITEM-1","issued":{"date-parts":[["0"]]},"number-of-pages":"474","publisher":"Idarah Talifat Ashrafiyyah","publisher-place":"Multan","title":"Tafsir Ma’alim at-Tanzil","type":"book"},"uris":["http://www.mendeley.com/documents/?uuid=8058d1e1-5d7b-4b4d-83ca-fa0dd42eaf2d"]}],"mendeley":{"formattedCitation":"Imam Abu Muhammad al-Husain ibn Mas’ud Al-Baghawi, &lt;i&gt;Tafsir Ma’alim at-Tanzil&lt;/i&gt;, 4th ed. (Multan: Idarah Talifat Ashrafiyyah, n.d.).","plainTextFormattedCitation":"Imam Abu Muhammad al-Husain ibn Mas’ud Al-Baghawi, Tafsir Ma’alim at-Tanzil, 4th ed. (Multan: Idarah Talifat Ashrafiyyah, n.d.).","previouslyFormattedCitation":"Imam Abu Muhammad al-Husain ibn Mas’ud Al-Baghawi, &lt;i&gt;Tafsir Ma’alim at-Tanzil&lt;/i&gt;, 4th ed. (Multan: Idarah Talifat Ashrafiyyah, n.d.)."},"properties":{"noteIndex":49},"schema":"https://github.com/citation-style-language/schema/raw/master/csl-citation.json"}</w:instrText>
      </w:r>
      <w:r>
        <w:fldChar w:fldCharType="separate"/>
      </w:r>
      <w:r w:rsidRPr="00643958">
        <w:rPr>
          <w:noProof/>
        </w:rPr>
        <w:t xml:space="preserve">Imam Abu Muhammad al-Husain ibn Mas’ud Al-Baghawi, </w:t>
      </w:r>
      <w:r w:rsidRPr="00643958">
        <w:rPr>
          <w:i/>
          <w:noProof/>
        </w:rPr>
        <w:t>Tafsir Ma’alim at-Tanzil</w:t>
      </w:r>
      <w:r w:rsidRPr="00643958">
        <w:rPr>
          <w:noProof/>
        </w:rPr>
        <w:t>, 4th ed. (Multan: Idarah Talifat Ashrafiyyah, n.d.).</w:t>
      </w:r>
      <w:r>
        <w:fldChar w:fldCharType="end"/>
      </w:r>
    </w:p>
  </w:footnote>
  <w:footnote w:id="49">
    <w:p w:rsidR="00643958" w:rsidRDefault="00643958" w:rsidP="002E076C">
      <w:pPr>
        <w:pStyle w:val="FootnoteText"/>
        <w:ind w:firstLine="567"/>
        <w:jc w:val="both"/>
      </w:pPr>
      <w:r>
        <w:rPr>
          <w:rStyle w:val="FootnoteReference"/>
        </w:rPr>
        <w:footnoteRef/>
      </w:r>
      <w:r>
        <w:t xml:space="preserve"> </w:t>
      </w:r>
      <w:r>
        <w:fldChar w:fldCharType="begin" w:fldLock="1"/>
      </w:r>
      <w:r w:rsidR="00D23BD3">
        <w:instrText>ADDIN CSL_CITATION {"citationItems":[{"id":"ITEM-1","itemData":{"author":[{"dropping-particle":"","family":"Taimiyyah","given":"Imam Taqi al-Din Ahmad Ibn","non-dropping-particle":"","parse-names":false,"suffix":""}],"id":"ITEM-1","issued":{"date-parts":[["2010"]]},"number-of-pages":"33","publisher":"Nuriyah Rizwiyah Publications","publisher-place":"Lahore","title":"Al-Sarim al-Maslul ‘ala Syatim al-Rasul","type":"book"},"uris":["http://www.mendeley.com/documents/?uuid=321841f7-7aef-44d6-9543-acfb954fea11"]}],"mendeley":{"formattedCitation":"Imam Taqi al-Din Ahmad Ibn Taimiyyah, &lt;i&gt;Al-Sarim Al-Maslul ‘ala Syatim Al-Rasul&lt;/i&gt; (Lahore: Nuriyah Rizwiyah Publications, 2010).","plainTextFormattedCitation":"Imam Taqi al-Din Ahmad Ibn Taimiyyah, Al-Sarim Al-Maslul ‘ala Syatim Al-Rasul (Lahore: Nuriyah Rizwiyah Publications, 2010).","previouslyFormattedCitation":"Imam Taqi al-Din Ahmad Ibn Taimiyyah, &lt;i&gt;Al-Sarim Al-Maslul ‘ala Syatim Al-Rasul&lt;/i&gt; (Lahore: Nuriyah Rizwiyah Publications, 2010)."},"properties":{"noteIndex":50},"schema":"https://github.com/citation-style-language/schema/raw/master/csl-citation.json"}</w:instrText>
      </w:r>
      <w:r>
        <w:fldChar w:fldCharType="separate"/>
      </w:r>
      <w:r w:rsidRPr="00643958">
        <w:rPr>
          <w:noProof/>
        </w:rPr>
        <w:t xml:space="preserve">Imam Taqi al-Din Ahmad Ibn Taimiyyah, </w:t>
      </w:r>
      <w:r w:rsidRPr="00643958">
        <w:rPr>
          <w:i/>
          <w:noProof/>
        </w:rPr>
        <w:t>Al-Sarim Al-Maslul ‘ala Syatim Al-Rasul</w:t>
      </w:r>
      <w:r w:rsidRPr="00643958">
        <w:rPr>
          <w:noProof/>
        </w:rPr>
        <w:t xml:space="preserve"> (Lahore: Nuriyah Rizwiyah Publications, 2010).</w:t>
      </w:r>
      <w:r>
        <w:fldChar w:fldCharType="end"/>
      </w:r>
    </w:p>
  </w:footnote>
  <w:footnote w:id="50">
    <w:p w:rsidR="00643958" w:rsidRDefault="00643958" w:rsidP="002E076C">
      <w:pPr>
        <w:pStyle w:val="FootnoteText"/>
        <w:ind w:firstLine="567"/>
        <w:jc w:val="both"/>
      </w:pPr>
      <w:r>
        <w:rPr>
          <w:rStyle w:val="FootnoteReference"/>
        </w:rPr>
        <w:footnoteRef/>
      </w:r>
      <w:r>
        <w:t xml:space="preserve"> </w:t>
      </w:r>
      <w:r>
        <w:fldChar w:fldCharType="begin" w:fldLock="1"/>
      </w:r>
      <w:r w:rsidR="00D23BD3">
        <w:instrText>ADDIN CSL_CITATION {"citationItems":[{"id":"ITEM-1","itemData":{"author":[{"dropping-particle":"","family":"Taimiyah","given":"Ibn","non-dropping-particle":"","parse-names":false,"suffix":""}],"edition":"Juz I","id":"ITEM-1","issued":{"date-parts":[["2016"]]},"number-of-pages":"9","publisher":"Daar Ibn al-Jawaziy","publisher-place":"Kaherah","title":"as-Sharim al-Maslul ‘ala Syatimi ar-Rasul","type":"book"},"uris":["http://www.mendeley.com/documents/?uuid=870d1fba-3d28-4963-af60-a3e164b265df"]}],"mendeley":{"formattedCitation":"Ibn Taimiyah, &lt;i&gt;As-Sharim Al-Maslul ‘ala Syatimi Ar-Rasul&lt;/i&gt;, Juz I (Kaherah: Daar Ibn al-Jawaziy, 2016).","plainTextFormattedCitation":"Ibn Taimiyah, As-Sharim Al-Maslul ‘ala Syatimi Ar-Rasul, Juz I (Kaherah: Daar Ibn al-Jawaziy, 2016).","previouslyFormattedCitation":"Ibn Taimiyah, &lt;i&gt;As-Sharim Al-Maslul ‘ala Syatimi Ar-Rasul&lt;/i&gt;, Juz I (Kaherah: Daar Ibn al-Jawaziy, 2016)."},"properties":{"noteIndex":51},"schema":"https://github.com/citation-style-language/schema/raw/master/csl-citation.json"}</w:instrText>
      </w:r>
      <w:r>
        <w:fldChar w:fldCharType="separate"/>
      </w:r>
      <w:r w:rsidRPr="00643958">
        <w:rPr>
          <w:noProof/>
        </w:rPr>
        <w:t xml:space="preserve">Ibn Taimiyah, </w:t>
      </w:r>
      <w:r w:rsidRPr="00643958">
        <w:rPr>
          <w:i/>
          <w:noProof/>
        </w:rPr>
        <w:t>As-Sharim Al-Maslul ‘ala Syatimi Ar-Rasul</w:t>
      </w:r>
      <w:r w:rsidRPr="00643958">
        <w:rPr>
          <w:noProof/>
        </w:rPr>
        <w:t>, Juz I (Kaherah: Daar Ibn al-Jawaziy, 2016).</w:t>
      </w:r>
      <w:r>
        <w:fldChar w:fldCharType="end"/>
      </w:r>
    </w:p>
  </w:footnote>
  <w:footnote w:id="51">
    <w:p w:rsidR="00643958" w:rsidRDefault="00643958" w:rsidP="002E076C">
      <w:pPr>
        <w:pStyle w:val="FootnoteText"/>
        <w:ind w:firstLine="567"/>
        <w:jc w:val="both"/>
      </w:pPr>
      <w:r>
        <w:rPr>
          <w:rStyle w:val="FootnoteReference"/>
        </w:rPr>
        <w:footnoteRef/>
      </w:r>
      <w:r>
        <w:t xml:space="preserve"> </w:t>
      </w:r>
      <w:r>
        <w:fldChar w:fldCharType="begin" w:fldLock="1"/>
      </w:r>
      <w:r w:rsidR="00D23BD3">
        <w:instrText>ADDIN CSL_CITATION {"citationItems":[{"id":"ITEM-1","itemData":{"author":[{"dropping-particle":"","family":"Al-Bugha","given":"Mustafa Dib","non-dropping-particle":"","parse-names":false,"suffix":""}],"id":"ITEM-1","issued":{"date-parts":[["2006"]]},"number-of-pages":"473","publisher":"Media Dzikir","publisher-place":"Jakarta","title":"Fikih Islam Lengkap","type":"book"},"uris":["http://www.mendeley.com/documents/?uuid=81b4940c-b313-4368-9466-5f1420e2c29e"]}],"mendeley":{"formattedCitation":"Mustafa Dib Al-Bugha, &lt;i&gt;Fikih Islam Lengkap&lt;/i&gt; (Jakarta: Media Dzikir, 2006).","plainTextFormattedCitation":"Mustafa Dib Al-Bugha, Fikih Islam Lengkap (Jakarta: Media Dzikir, 2006).","previouslyFormattedCitation":"Mustafa Dib Al-Bugha, &lt;i&gt;Fikih Islam Lengkap&lt;/i&gt; (Jakarta: Media Dzikir, 2006)."},"properties":{"noteIndex":52},"schema":"https://github.com/citation-style-language/schema/raw/master/csl-citation.json"}</w:instrText>
      </w:r>
      <w:r>
        <w:fldChar w:fldCharType="separate"/>
      </w:r>
      <w:r w:rsidRPr="00643958">
        <w:rPr>
          <w:noProof/>
        </w:rPr>
        <w:t xml:space="preserve">Mustafa Dib Al-Bugha, </w:t>
      </w:r>
      <w:r w:rsidRPr="00643958">
        <w:rPr>
          <w:i/>
          <w:noProof/>
        </w:rPr>
        <w:t>Fikih Islam Lengkap</w:t>
      </w:r>
      <w:r w:rsidRPr="00643958">
        <w:rPr>
          <w:noProof/>
        </w:rPr>
        <w:t xml:space="preserve"> (Jakarta: Media Dzikir, 2006).</w:t>
      </w:r>
      <w:r>
        <w:fldChar w:fldCharType="end"/>
      </w:r>
    </w:p>
  </w:footnote>
  <w:footnote w:id="52">
    <w:p w:rsidR="00643958" w:rsidRDefault="00643958" w:rsidP="002E076C">
      <w:pPr>
        <w:pStyle w:val="FootnoteText"/>
        <w:ind w:firstLine="567"/>
        <w:jc w:val="both"/>
      </w:pPr>
      <w:r>
        <w:rPr>
          <w:rStyle w:val="FootnoteReference"/>
        </w:rPr>
        <w:footnoteRef/>
      </w:r>
      <w:r>
        <w:fldChar w:fldCharType="begin" w:fldLock="1"/>
      </w:r>
      <w:r w:rsidR="00D23BD3">
        <w:instrText>ADDIN CSL_CITATION {"citationItems":[{"id":"ITEM-1","itemData":{"author":[{"dropping-particle":"","family":"Dahri","given":"Muhammad","non-dropping-particle":"","parse-names":false,"suffix":""}],"container-title":"At-Tafahum: Journal of Islamic Law","id":"ITEM-1","issue":"2","issued":{"date-parts":[["2017"]]},"page":"57-71","title":"Tindak Pidana Penodaan Agama Di Indonesia: Tinjauan Pengaturan Perundang-Undangan dan Konsep Hukum Islam","type":"article-journal","volume":"1"},"uris":["http://www.mendeley.com/documents/?uuid=643102e1-6a00-402d-85cd-9a7acca87f16"]}],"mendeley":{"formattedCitation":"Muhammad Dahri, “Tindak Pidana Penodaan Agama Di Indonesia: Tinjauan Pengaturan Perundang-Undangan Dan Konsep Hukum Islam,” &lt;i&gt;At-Tafahum: Journal of Islamic Law&lt;/i&gt; 1, no. 2 (2017): 57–71.","plainTextFormattedCitation":"Muhammad Dahri, “Tindak Pidana Penodaan Agama Di Indonesia: Tinjauan Pengaturan Perundang-Undangan Dan Konsep Hukum Islam,” At-Tafahum: Journal of Islamic Law 1, no. 2 (2017): 57–71.","previouslyFormattedCitation":"Muhammad Dahri, “Tindak Pidana Penodaan Agama Di Indonesia: Tinjauan Pengaturan Perundang-Undangan Dan Konsep Hukum Islam,” &lt;i&gt;At-Tafahum: Journal of Islamic Law&lt;/i&gt; 1, no. 2 (2017): 57–71."},"properties":{"noteIndex":53},"schema":"https://github.com/citation-style-language/schema/raw/master/csl-citation.json"}</w:instrText>
      </w:r>
      <w:r>
        <w:fldChar w:fldCharType="separate"/>
      </w:r>
      <w:r w:rsidRPr="00643958">
        <w:rPr>
          <w:noProof/>
        </w:rPr>
        <w:t xml:space="preserve">Muhammad Dahri, “Tindak Pidana Penodaan Agama Di Indonesia: Tinjauan Pengaturan Perundang-Undangan Dan Konsep Hukum Islam,” </w:t>
      </w:r>
      <w:r w:rsidRPr="00643958">
        <w:rPr>
          <w:i/>
          <w:noProof/>
        </w:rPr>
        <w:t>At-Tafahum: Journal of Islamic Law</w:t>
      </w:r>
      <w:r w:rsidRPr="00643958">
        <w:rPr>
          <w:noProof/>
        </w:rPr>
        <w:t xml:space="preserve"> 1, no. 2 (2017): 57–71.</w:t>
      </w:r>
      <w:r>
        <w:fldChar w:fldCharType="end"/>
      </w:r>
    </w:p>
  </w:footnote>
  <w:footnote w:id="53">
    <w:p w:rsidR="00643958" w:rsidRDefault="00643958" w:rsidP="002E076C">
      <w:pPr>
        <w:pStyle w:val="FootnoteText"/>
        <w:ind w:firstLine="567"/>
        <w:jc w:val="both"/>
      </w:pPr>
      <w:r>
        <w:rPr>
          <w:rStyle w:val="FootnoteReference"/>
        </w:rPr>
        <w:footnoteRef/>
      </w:r>
      <w:r>
        <w:fldChar w:fldCharType="begin" w:fldLock="1"/>
      </w:r>
      <w:r w:rsidR="00D23BD3">
        <w:instrText>ADDIN CSL_CITATION {"citationItems":[{"id":"ITEM-1","itemData":{"author":[{"dropping-particle":"","family":"Akbar","given":"Irwan","non-dropping-particle":"","parse-names":false,"suffix":""}],"container-title":"QOF: Jurnal Studi Al-Qur`an dan Tafsir","id":"ITEM-1","issue":"1","issued":{"date-parts":[["2019"]]},"page":"89–105","title":"Dinamika Kasus Penistaan Agama di Indonesia (Polemik Pemaknaan Ayat-Ayat Penistaan dan Undang-UNdang Penodaan Agama), ,","type":"article-journal","volume":"3"},"uris":["http://www.mendeley.com/documents/?uuid=ea455168-a3cb-4e6b-811e-3dda7e20900e"]}],"mendeley":{"formattedCitation":"Akbar, “Dinamika Kasus Penistaan Agama Di Indonesia (Polemik Pemaknaan Ayat-Ayat Penistaan Dan Undang-UNdang Penodaan Agama), ,.”","plainTextFormattedCitation":"Akbar, “Dinamika Kasus Penistaan Agama Di Indonesia (Polemik Pemaknaan Ayat-Ayat Penistaan Dan Undang-UNdang Penodaan Agama), ,.”","previouslyFormattedCitation":"Akbar, “Dinamika Kasus Penistaan Agama Di Indonesia (Polemik Pemaknaan Ayat-Ayat Penistaan Dan Undang-UNdang Penodaan Agama), ,.”"},"properties":{"noteIndex":54},"schema":"https://github.com/citation-style-language/schema/raw/master/csl-citation.json"}</w:instrText>
      </w:r>
      <w:r>
        <w:fldChar w:fldCharType="separate"/>
      </w:r>
      <w:r w:rsidRPr="00643958">
        <w:rPr>
          <w:noProof/>
        </w:rPr>
        <w:t>Akbar, “Dinamika Kasus Penistaan Agama Di Indonesia (Polemik Pemaknaan Ayat-Ayat Penistaan Dan Undang-UNdang Penodaan Agama), ,.”</w:t>
      </w:r>
      <w:r>
        <w:fldChar w:fldCharType="end"/>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okmarkStart w:id="3" w:name="_Hlk490921290"/>
  <w:bookmarkStart w:id="4" w:name="_Hlk490921291"/>
  <w:bookmarkStart w:id="5" w:name="_Hlk490921292"/>
  <w:p w:rsidR="00302F4C" w:rsidRPr="000D479C" w:rsidRDefault="00302F4C" w:rsidP="000D479C">
    <w:pPr>
      <w:pStyle w:val="Header"/>
      <w:jc w:val="right"/>
      <w:rPr>
        <w:rFonts w:ascii="Century Gothic" w:hAnsi="Century Gothic" w:cs="Devanagari MT"/>
        <w:color w:val="B00000"/>
        <w:sz w:val="76"/>
      </w:rPr>
    </w:pPr>
    <w:r w:rsidRPr="00384A23">
      <w:rPr>
        <w:rFonts w:ascii="Century Gothic" w:hAnsi="Century Gothic" w:cs="Devanagari MT"/>
        <w:b/>
        <w:noProof/>
        <w:sz w:val="40"/>
        <w:szCs w:val="60"/>
        <w:lang w:bidi="ar-SA"/>
      </w:rPr>
      <mc:AlternateContent>
        <mc:Choice Requires="wps">
          <w:drawing>
            <wp:anchor distT="0" distB="0" distL="114300" distR="114300" simplePos="0" relativeHeight="251666432" behindDoc="0" locked="0" layoutInCell="1" allowOverlap="1" wp14:anchorId="0BF8FBCA" wp14:editId="51A8AA62">
              <wp:simplePos x="0" y="0"/>
              <wp:positionH relativeFrom="column">
                <wp:posOffset>-396240</wp:posOffset>
              </wp:positionH>
              <wp:positionV relativeFrom="paragraph">
                <wp:posOffset>-47625</wp:posOffset>
              </wp:positionV>
              <wp:extent cx="3581400" cy="281940"/>
              <wp:effectExtent l="0" t="0" r="0" b="3810"/>
              <wp:wrapNone/>
              <wp:docPr id="16" name="Rectangle 16"/>
              <wp:cNvGraphicFramePr/>
              <a:graphic xmlns:a="http://schemas.openxmlformats.org/drawingml/2006/main">
                <a:graphicData uri="http://schemas.microsoft.com/office/word/2010/wordprocessingShape">
                  <wps:wsp>
                    <wps:cNvSpPr/>
                    <wps:spPr>
                      <a:xfrm>
                        <a:off x="0" y="0"/>
                        <a:ext cx="3581400" cy="28194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302F4C" w:rsidRPr="0026676C" w:rsidRDefault="00302F4C" w:rsidP="009A2E58">
                          <w:pPr>
                            <w:pStyle w:val="Header"/>
                            <w:ind w:left="426"/>
                            <w:rPr>
                              <w:rFonts w:ascii="Book Antiqua" w:hAnsi="Book Antiqua" w:cstheme="majorHAnsi"/>
                              <w:color w:val="2F5496" w:themeColor="accent1" w:themeShade="BF"/>
                              <w:sz w:val="18"/>
                              <w:szCs w:val="12"/>
                            </w:rPr>
                          </w:pPr>
                          <w:r>
                            <w:rPr>
                              <w:rFonts w:ascii="Book Antiqua" w:hAnsi="Book Antiqua" w:cs="Helvetica"/>
                              <w:color w:val="000000"/>
                              <w:sz w:val="16"/>
                              <w:shd w:val="clear" w:color="auto" w:fill="FFFFFF"/>
                            </w:rPr>
                            <w:t xml:space="preserve">National Accredited in </w:t>
                          </w:r>
                          <w:proofErr w:type="spellStart"/>
                          <w:r>
                            <w:rPr>
                              <w:rFonts w:ascii="Book Antiqua" w:hAnsi="Book Antiqua" w:cs="Helvetica"/>
                              <w:color w:val="000000"/>
                              <w:sz w:val="16"/>
                              <w:shd w:val="clear" w:color="auto" w:fill="FFFFFF"/>
                            </w:rPr>
                            <w:t>Sinta</w:t>
                          </w:r>
                          <w:proofErr w:type="spellEnd"/>
                          <w:r>
                            <w:rPr>
                              <w:rFonts w:ascii="Book Antiqua" w:hAnsi="Book Antiqua" w:cs="Helvetica"/>
                              <w:color w:val="000000"/>
                              <w:sz w:val="16"/>
                              <w:shd w:val="clear" w:color="auto" w:fill="FFFFFF"/>
                            </w:rPr>
                            <w:t xml:space="preserve"> 2 Decree</w:t>
                          </w:r>
                          <w:r w:rsidRPr="0026676C">
                            <w:rPr>
                              <w:rFonts w:ascii="Book Antiqua" w:hAnsi="Book Antiqua" w:cs="Helvetica"/>
                              <w:color w:val="000000"/>
                              <w:sz w:val="16"/>
                              <w:shd w:val="clear" w:color="auto" w:fill="FFFFFF"/>
                            </w:rPr>
                            <w:t xml:space="preserve"> No. </w:t>
                          </w:r>
                          <w:r w:rsidRPr="0026676C">
                            <w:rPr>
                              <w:rFonts w:ascii="Book Antiqua" w:hAnsi="Book Antiqua" w:cs="Helvetica"/>
                              <w:sz w:val="16"/>
                              <w:bdr w:val="none" w:sz="0" w:space="0" w:color="auto" w:frame="1"/>
                              <w:shd w:val="clear" w:color="auto" w:fill="FFFFFF"/>
                            </w:rPr>
                            <w:t>158/E/KPT/2021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6" o:spid="_x0000_s1028" style="position:absolute;left:0;text-align:left;margin-left:-31.2pt;margin-top:-3.75pt;width:282pt;height:22.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" filled="f" stroked="f" strokeweight="1pt">
              <v:textbox>
                <w:txbxContent>
                  <w:p w:rsidR="00302F4C" w:rsidRPr="0026676C" w:rsidRDefault="00302F4C" w:rsidP="009A2E58">
                    <w:pPr>
                      <w:pStyle w:val="Header"/>
                      <w:ind w:left="426"/>
                      <w:rPr>
                        <w:rFonts w:ascii="Book Antiqua" w:hAnsi="Book Antiqua" w:cstheme="majorHAnsi"/>
                        <w:color w:val="2F5496" w:themeColor="accent1" w:themeShade="BF"/>
                        <w:sz w:val="18"/>
                        <w:szCs w:val="12"/>
                      </w:rPr>
                    </w:pPr>
                    <w:r>
                      <w:rPr>
                        <w:rFonts w:ascii="Book Antiqua" w:hAnsi="Book Antiqua" w:cs="Helvetica"/>
                        <w:color w:val="000000"/>
                        <w:sz w:val="16"/>
                        <w:shd w:val="clear" w:color="auto" w:fill="FFFFFF"/>
                      </w:rPr>
                      <w:t xml:space="preserve">National Accredited in </w:t>
                    </w:r>
                    <w:proofErr w:type="spellStart"/>
                    <w:r>
                      <w:rPr>
                        <w:rFonts w:ascii="Book Antiqua" w:hAnsi="Book Antiqua" w:cs="Helvetica"/>
                        <w:color w:val="000000"/>
                        <w:sz w:val="16"/>
                        <w:shd w:val="clear" w:color="auto" w:fill="FFFFFF"/>
                      </w:rPr>
                      <w:t>Sinta</w:t>
                    </w:r>
                    <w:proofErr w:type="spellEnd"/>
                    <w:r>
                      <w:rPr>
                        <w:rFonts w:ascii="Book Antiqua" w:hAnsi="Book Antiqua" w:cs="Helvetica"/>
                        <w:color w:val="000000"/>
                        <w:sz w:val="16"/>
                        <w:shd w:val="clear" w:color="auto" w:fill="FFFFFF"/>
                      </w:rPr>
                      <w:t xml:space="preserve"> 2 Decree</w:t>
                    </w:r>
                    <w:r w:rsidRPr="0026676C">
                      <w:rPr>
                        <w:rFonts w:ascii="Book Antiqua" w:hAnsi="Book Antiqua" w:cs="Helvetica"/>
                        <w:color w:val="000000"/>
                        <w:sz w:val="16"/>
                        <w:shd w:val="clear" w:color="auto" w:fill="FFFFFF"/>
                      </w:rPr>
                      <w:t xml:space="preserve"> No. </w:t>
                    </w:r>
                    <w:r w:rsidRPr="0026676C">
                      <w:rPr>
                        <w:rFonts w:ascii="Book Antiqua" w:hAnsi="Book Antiqua" w:cs="Helvetica"/>
                        <w:sz w:val="16"/>
                        <w:bdr w:val="none" w:sz="0" w:space="0" w:color="auto" w:frame="1"/>
                        <w:shd w:val="clear" w:color="auto" w:fill="FFFFFF"/>
                      </w:rPr>
                      <w:t>158/E/KPT/2021</w:t>
                    </w:r>
                  </w:p>
                </w:txbxContent>
              </v:textbox>
            </v:rect>
          </w:pict>
        </mc:Fallback>
      </mc:AlternateContent>
    </w:r>
    <w:r w:rsidRPr="00384A23">
      <w:rPr>
        <w:noProof/>
        <w:sz w:val="28"/>
        <w:lang w:bidi="ar-SA"/>
      </w:rPr>
      <w:drawing>
        <wp:anchor distT="0" distB="0" distL="114300" distR="114300" simplePos="0" relativeHeight="251668480" behindDoc="0" locked="0" layoutInCell="1" allowOverlap="1" wp14:anchorId="097DA479" wp14:editId="341B6BC2">
          <wp:simplePos x="0" y="0"/>
          <wp:positionH relativeFrom="column">
            <wp:posOffset>-43815</wp:posOffset>
          </wp:positionH>
          <wp:positionV relativeFrom="paragraph">
            <wp:posOffset>-276225</wp:posOffset>
          </wp:positionV>
          <wp:extent cx="877570" cy="308610"/>
          <wp:effectExtent l="0" t="0" r="0" b="0"/>
          <wp:wrapNone/>
          <wp:docPr id="5" name="Picture 5" descr="E:\FileKu\JURNAL FH UNPATTI\Sinta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FileKu\JURNAL FH UNPATTI\Sinta 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7570" cy="3086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84A23">
      <w:rPr>
        <w:rFonts w:ascii="Century Gothic" w:hAnsi="Century Gothic" w:cs="Devanagari MT"/>
        <w:b/>
        <w:noProof/>
        <w:sz w:val="40"/>
        <w:szCs w:val="60"/>
        <w:lang w:bidi="ar-SA"/>
      </w:rPr>
      <mc:AlternateContent>
        <mc:Choice Requires="wps">
          <w:drawing>
            <wp:anchor distT="0" distB="0" distL="114300" distR="114300" simplePos="0" relativeHeight="251665408" behindDoc="1" locked="0" layoutInCell="1" allowOverlap="1" wp14:anchorId="44E2F749" wp14:editId="03BAB493">
              <wp:simplePos x="0" y="0"/>
              <wp:positionH relativeFrom="column">
                <wp:posOffset>-1396365</wp:posOffset>
              </wp:positionH>
              <wp:positionV relativeFrom="paragraph">
                <wp:posOffset>152400</wp:posOffset>
              </wp:positionV>
              <wp:extent cx="8267700" cy="247650"/>
              <wp:effectExtent l="0" t="0" r="0" b="0"/>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267700" cy="247650"/>
                      </a:xfrm>
                      <a:prstGeom prst="rect">
                        <a:avLst/>
                      </a:prstGeom>
                      <a:solidFill>
                        <a:schemeClr val="bg1">
                          <a:lumMod val="85000"/>
                        </a:schemeClr>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066E9F8" id="Rectangle 5" o:spid="_x0000_s1026" style="position:absolute;margin-left:-109.95pt;margin-top:12pt;width:651pt;height:19.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" fillcolor="#d8d8d8 [2732]" stroked="f">
              <v:path arrowok="t"/>
            </v:rect>
          </w:pict>
        </mc:Fallback>
      </mc:AlternateContent>
    </w:r>
    <w:r w:rsidRPr="00384A23">
      <w:rPr>
        <w:rFonts w:ascii="Algerian" w:hAnsi="Algerian"/>
        <w:b/>
        <w:color w:val="2F5496" w:themeColor="accent1" w:themeShade="BF"/>
        <w:sz w:val="56"/>
        <w:szCs w:val="80"/>
      </w:rPr>
      <w:t>SASI</w:t>
    </w:r>
    <w:r w:rsidRPr="000D479C">
      <w:rPr>
        <w:rFonts w:ascii="Century Gothic" w:hAnsi="Century Gothic" w:cs="Devanagari MT"/>
        <w:sz w:val="48"/>
        <w:szCs w:val="60"/>
      </w:rPr>
      <w:t xml:space="preserve"> </w:t>
    </w:r>
  </w:p>
  <w:p w:rsidR="00302F4C" w:rsidRPr="00EB46BA" w:rsidRDefault="00302F4C" w:rsidP="00AF20D0">
    <w:pPr>
      <w:pStyle w:val="Header"/>
      <w:tabs>
        <w:tab w:val="clear" w:pos="9360"/>
      </w:tabs>
      <w:jc w:val="right"/>
      <w:rPr>
        <w:rFonts w:ascii="Book Antiqua" w:hAnsi="Book Antiqua" w:cstheme="majorHAnsi"/>
        <w:color w:val="000000" w:themeColor="text1"/>
        <w:sz w:val="20"/>
        <w:szCs w:val="20"/>
      </w:rPr>
    </w:pPr>
    <w:r w:rsidRPr="00EB46BA">
      <w:rPr>
        <w:rFonts w:ascii="Book Antiqua" w:hAnsi="Book Antiqua" w:cstheme="majorHAnsi"/>
        <w:color w:val="000000" w:themeColor="text1"/>
        <w:sz w:val="20"/>
        <w:szCs w:val="20"/>
      </w:rPr>
      <w:t>Volume … Issue …, XXXX</w:t>
    </w:r>
  </w:p>
  <w:p w:rsidR="00302F4C" w:rsidRPr="00D571BD" w:rsidRDefault="00226A1A" w:rsidP="00AF20D0">
    <w:pPr>
      <w:pStyle w:val="Header"/>
      <w:tabs>
        <w:tab w:val="clear" w:pos="9360"/>
      </w:tabs>
      <w:jc w:val="right"/>
      <w:rPr>
        <w:rFonts w:asciiTheme="majorHAnsi" w:hAnsiTheme="majorHAnsi" w:cstheme="majorHAnsi"/>
        <w:color w:val="000000" w:themeColor="text1"/>
        <w:sz w:val="20"/>
        <w:szCs w:val="20"/>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2049" type="#_x0000_t75" style="position:absolute;left:0;text-align:left;margin-left:350.55pt;margin-top:11.35pt;width:14.25pt;height:14.25pt;z-index:251672576;visibility:visible;mso-wrap-style:square;mso-position-horizontal-relative:text;mso-position-vertical-relative:text;mso-width-relative:page;mso-height-relative:page">
          <v:imagedata r:id="rId2" o:title="1200px-DOI_logo"/>
        </v:shape>
      </w:pict>
    </w:r>
    <w:r w:rsidR="00302F4C" w:rsidRPr="00EB46BA">
      <w:rPr>
        <w:rFonts w:ascii="Book Antiqua" w:hAnsi="Book Antiqua" w:cstheme="majorHAnsi"/>
        <w:color w:val="000000" w:themeColor="text1"/>
        <w:sz w:val="20"/>
        <w:szCs w:val="20"/>
      </w:rPr>
      <w:t>P-ISSN: 1693-0061, E-ISSN: 2614-2961</w:t>
    </w:r>
  </w:p>
  <w:p w:rsidR="00302F4C" w:rsidRDefault="00302F4C" w:rsidP="00AF20D0">
    <w:pPr>
      <w:spacing w:after="20"/>
      <w:jc w:val="right"/>
      <w:rPr>
        <w:rStyle w:val="Hyperlink"/>
        <w:rFonts w:ascii="Book Antiqua" w:hAnsi="Book Antiqua"/>
        <w:color w:val="2F5496" w:themeColor="accent1" w:themeShade="BF"/>
        <w:sz w:val="18"/>
        <w:u w:val="none"/>
      </w:rPr>
    </w:pPr>
    <w:r w:rsidRPr="00EB46BA">
      <w:rPr>
        <w:rFonts w:ascii="Book Antiqua" w:hAnsi="Book Antiqua" w:cstheme="majorHAnsi"/>
        <w:color w:val="2F5496" w:themeColor="accent1" w:themeShade="BF"/>
        <w:sz w:val="18"/>
        <w:szCs w:val="12"/>
      </w:rPr>
      <w:t xml:space="preserve">: </w:t>
    </w:r>
    <w:hyperlink r:id="rId3" w:history="1">
      <w:r w:rsidRPr="00EB46BA">
        <w:rPr>
          <w:rStyle w:val="Hyperlink"/>
          <w:rFonts w:ascii="Book Antiqua" w:hAnsi="Book Antiqua" w:cstheme="majorHAnsi"/>
          <w:color w:val="2F5496" w:themeColor="accent1" w:themeShade="BF"/>
          <w:sz w:val="18"/>
          <w:szCs w:val="12"/>
          <w:u w:val="none"/>
        </w:rPr>
        <w:t>10.47268/</w:t>
      </w:r>
      <w:proofErr w:type="spellStart"/>
      <w:r w:rsidRPr="00EB46BA">
        <w:rPr>
          <w:rStyle w:val="Hyperlink"/>
          <w:rFonts w:ascii="Book Antiqua" w:hAnsi="Book Antiqua" w:cstheme="majorHAnsi"/>
          <w:color w:val="2F5496" w:themeColor="accent1" w:themeShade="BF"/>
          <w:sz w:val="18"/>
          <w:szCs w:val="12"/>
          <w:u w:val="none"/>
        </w:rPr>
        <w:t>sasi.</w:t>
      </w:r>
    </w:hyperlink>
    <w:r w:rsidRPr="00EB46BA">
      <w:rPr>
        <w:rStyle w:val="Hyperlink"/>
        <w:rFonts w:ascii="Book Antiqua" w:hAnsi="Book Antiqua" w:cstheme="majorHAnsi"/>
        <w:color w:val="2F5496" w:themeColor="accent1" w:themeShade="BF"/>
        <w:sz w:val="18"/>
        <w:szCs w:val="12"/>
        <w:u w:val="none"/>
      </w:rPr>
      <w:t>vXXXX.</w:t>
    </w:r>
    <w:r>
      <w:rPr>
        <w:rStyle w:val="Hyperlink"/>
        <w:rFonts w:ascii="Book Antiqua" w:hAnsi="Book Antiqua" w:cstheme="majorHAnsi"/>
        <w:color w:val="2F5496" w:themeColor="accent1" w:themeShade="BF"/>
        <w:sz w:val="18"/>
        <w:szCs w:val="12"/>
        <w:u w:val="none"/>
      </w:rPr>
      <w:t>XXXX</w:t>
    </w:r>
    <w:proofErr w:type="spellEnd"/>
    <w:r w:rsidRPr="00EB46BA">
      <w:rPr>
        <w:rFonts w:ascii="Book Antiqua" w:hAnsi="Book Antiqua" w:cstheme="majorHAnsi"/>
        <w:color w:val="2F5496" w:themeColor="accent1" w:themeShade="BF"/>
        <w:sz w:val="18"/>
        <w:szCs w:val="12"/>
      </w:rPr>
      <w:t xml:space="preserve"> </w:t>
    </w:r>
    <w:r w:rsidRPr="008953F1">
      <w:rPr>
        <w:noProof/>
        <w:color w:val="000000" w:themeColor="text1"/>
        <w:lang w:bidi="ar-SA"/>
      </w:rPr>
      <w:drawing>
        <wp:anchor distT="0" distB="0" distL="114300" distR="114300" simplePos="0" relativeHeight="251670528" behindDoc="0" locked="0" layoutInCell="1" allowOverlap="1" wp14:anchorId="224A3CAA" wp14:editId="1505FF75">
          <wp:simplePos x="0" y="0"/>
          <wp:positionH relativeFrom="column">
            <wp:posOffset>5686425</wp:posOffset>
          </wp:positionH>
          <wp:positionV relativeFrom="paragraph">
            <wp:posOffset>159385</wp:posOffset>
          </wp:positionV>
          <wp:extent cx="424180" cy="211455"/>
          <wp:effectExtent l="0" t="0" r="0" b="0"/>
          <wp:wrapNone/>
          <wp:docPr id="6" name="Picture 6" descr="E:\FileKu\Jurnal SASI\Logo Lisensi SAS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FileKu\Jurnal SASI\Logo Lisensi SASI.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24180" cy="21145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02F4C" w:rsidRPr="00B4626A" w:rsidRDefault="00226A1A" w:rsidP="00B4626A">
    <w:pPr>
      <w:spacing w:after="20"/>
      <w:ind w:right="707"/>
      <w:jc w:val="right"/>
      <w:rPr>
        <w:rFonts w:ascii="Book Antiqua" w:hAnsi="Book Antiqua"/>
        <w:color w:val="2F5496" w:themeColor="accent1" w:themeShade="BF"/>
        <w:sz w:val="18"/>
      </w:rPr>
    </w:pPr>
    <w:hyperlink r:id="rId5" w:history="1">
      <w:proofErr w:type="spellStart"/>
      <w:r w:rsidR="00302F4C" w:rsidRPr="004B1F20">
        <w:rPr>
          <w:rStyle w:val="Hyperlink"/>
          <w:rFonts w:ascii="Book Antiqua" w:hAnsi="Book Antiqua"/>
          <w:color w:val="2F5496" w:themeColor="accent1" w:themeShade="BF"/>
          <w:sz w:val="18"/>
          <w:u w:val="none"/>
        </w:rPr>
        <w:t>Lisensi</w:t>
      </w:r>
      <w:proofErr w:type="spellEnd"/>
      <w:r w:rsidR="00302F4C" w:rsidRPr="004B1F20">
        <w:rPr>
          <w:rStyle w:val="Hyperlink"/>
          <w:rFonts w:ascii="Book Antiqua" w:hAnsi="Book Antiqua"/>
          <w:color w:val="2F5496" w:themeColor="accent1" w:themeShade="BF"/>
          <w:sz w:val="18"/>
          <w:u w:val="none"/>
        </w:rPr>
        <w:t xml:space="preserve"> Creative Commons </w:t>
      </w:r>
      <w:proofErr w:type="spellStart"/>
      <w:r w:rsidR="00302F4C" w:rsidRPr="004B1F20">
        <w:rPr>
          <w:rStyle w:val="Hyperlink"/>
          <w:rFonts w:ascii="Book Antiqua" w:hAnsi="Book Antiqua"/>
          <w:color w:val="2F5496" w:themeColor="accent1" w:themeShade="BF"/>
          <w:sz w:val="18"/>
          <w:u w:val="none"/>
        </w:rPr>
        <w:t>Atribusi-NonCommercial</w:t>
      </w:r>
      <w:proofErr w:type="spellEnd"/>
      <w:r w:rsidR="00302F4C" w:rsidRPr="004B1F20">
        <w:rPr>
          <w:rStyle w:val="Hyperlink"/>
          <w:rFonts w:ascii="Book Antiqua" w:hAnsi="Book Antiqua"/>
          <w:color w:val="2F5496" w:themeColor="accent1" w:themeShade="BF"/>
          <w:sz w:val="18"/>
          <w:u w:val="none"/>
        </w:rPr>
        <w:t xml:space="preserve"> 4.0 </w:t>
      </w:r>
      <w:proofErr w:type="spellStart"/>
      <w:r w:rsidR="00302F4C" w:rsidRPr="004B1F20">
        <w:rPr>
          <w:rStyle w:val="Hyperlink"/>
          <w:rFonts w:ascii="Book Antiqua" w:hAnsi="Book Antiqua"/>
          <w:color w:val="2F5496" w:themeColor="accent1" w:themeShade="BF"/>
          <w:sz w:val="18"/>
          <w:u w:val="none"/>
        </w:rPr>
        <w:t>Internasional</w:t>
      </w:r>
      <w:proofErr w:type="spellEnd"/>
    </w:hyperlink>
    <w:bookmarkEnd w:id="3"/>
    <w:bookmarkEnd w:id="4"/>
    <w:bookmarkEnd w:id="5"/>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9" type="#_x0000_t75" style="width:16.55pt;height:14.05pt;visibility:visible;mso-wrap-style:square" o:bullet="t">
        <v:imagedata r:id="rId1" o:title="1200px-DOI_logo"/>
      </v:shape>
    </w:pict>
  </w:numPicBullet>
  <w:abstractNum w:abstractNumId="0">
    <w:nsid w:val="FFFFFF1D"/>
    <w:multiLevelType w:val="multilevel"/>
    <w:tmpl w:val="85BAC08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81"/>
    <w:multiLevelType w:val="singleLevel"/>
    <w:tmpl w:val="89D087EE"/>
    <w:lvl w:ilvl="0">
      <w:start w:val="1"/>
      <w:numFmt w:val="bullet"/>
      <w:lvlText w:val=""/>
      <w:lvlJc w:val="left"/>
      <w:pPr>
        <w:tabs>
          <w:tab w:val="num" w:pos="1209"/>
        </w:tabs>
        <w:ind w:left="1209" w:hanging="360"/>
      </w:pPr>
      <w:rPr>
        <w:rFonts w:ascii="Symbol" w:hAnsi="Symbol" w:hint="default"/>
      </w:rPr>
    </w:lvl>
  </w:abstractNum>
  <w:abstractNum w:abstractNumId="2">
    <w:nsid w:val="FFFFFF82"/>
    <w:multiLevelType w:val="singleLevel"/>
    <w:tmpl w:val="24228CEA"/>
    <w:lvl w:ilvl="0">
      <w:start w:val="1"/>
      <w:numFmt w:val="bullet"/>
      <w:lvlText w:val=""/>
      <w:lvlJc w:val="left"/>
      <w:pPr>
        <w:tabs>
          <w:tab w:val="num" w:pos="926"/>
        </w:tabs>
        <w:ind w:left="926" w:hanging="360"/>
      </w:pPr>
      <w:rPr>
        <w:rFonts w:ascii="Symbol" w:hAnsi="Symbol" w:hint="default"/>
      </w:rPr>
    </w:lvl>
  </w:abstractNum>
  <w:abstractNum w:abstractNumId="3">
    <w:nsid w:val="FFFFFF83"/>
    <w:multiLevelType w:val="singleLevel"/>
    <w:tmpl w:val="3000CD8C"/>
    <w:lvl w:ilvl="0">
      <w:start w:val="1"/>
      <w:numFmt w:val="bullet"/>
      <w:lvlText w:val=""/>
      <w:lvlJc w:val="left"/>
      <w:pPr>
        <w:tabs>
          <w:tab w:val="num" w:pos="643"/>
        </w:tabs>
        <w:ind w:left="643" w:hanging="360"/>
      </w:pPr>
      <w:rPr>
        <w:rFonts w:ascii="Symbol" w:hAnsi="Symbol" w:hint="default"/>
      </w:rPr>
    </w:lvl>
  </w:abstractNum>
  <w:abstractNum w:abstractNumId="4">
    <w:nsid w:val="FFFFFF89"/>
    <w:multiLevelType w:val="singleLevel"/>
    <w:tmpl w:val="1BE4696E"/>
    <w:lvl w:ilvl="0">
      <w:start w:val="1"/>
      <w:numFmt w:val="bullet"/>
      <w:lvlText w:val=""/>
      <w:lvlJc w:val="left"/>
      <w:pPr>
        <w:tabs>
          <w:tab w:val="num" w:pos="360"/>
        </w:tabs>
        <w:ind w:left="360" w:hanging="360"/>
      </w:pPr>
      <w:rPr>
        <w:rFonts w:ascii="Symbol" w:hAnsi="Symbol" w:hint="default"/>
      </w:rPr>
    </w:lvl>
  </w:abstractNum>
  <w:abstractNum w:abstractNumId="5">
    <w:nsid w:val="012920D2"/>
    <w:multiLevelType w:val="hybridMultilevel"/>
    <w:tmpl w:val="2CDEC096"/>
    <w:lvl w:ilvl="0" w:tplc="E93E8A18">
      <w:start w:val="1"/>
      <w:numFmt w:val="decimal"/>
      <w:lvlText w:val="%1."/>
      <w:lvlJc w:val="left"/>
      <w:pPr>
        <w:ind w:left="720" w:hanging="360"/>
      </w:pPr>
      <w:rPr>
        <w:rFonts w:eastAsia="Arial Unicode M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12938B6"/>
    <w:multiLevelType w:val="hybridMultilevel"/>
    <w:tmpl w:val="CD92F8F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7893EDE"/>
    <w:multiLevelType w:val="multilevel"/>
    <w:tmpl w:val="283A8E52"/>
    <w:lvl w:ilvl="0">
      <w:start w:val="1"/>
      <w:numFmt w:val="decimal"/>
      <w:lvlText w:val="%1."/>
      <w:lvlJc w:val="left"/>
      <w:pPr>
        <w:tabs>
          <w:tab w:val="num" w:pos="420"/>
        </w:tabs>
        <w:ind w:left="420" w:hanging="42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1">
      <w:start w:val="1"/>
      <w:numFmt w:val="decimal"/>
      <w:lvlText w:val="%1.%2."/>
      <w:lvlJc w:val="left"/>
      <w:pPr>
        <w:tabs>
          <w:tab w:val="num" w:pos="420"/>
        </w:tabs>
        <w:ind w:left="420" w:hanging="42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2">
      <w:start w:val="1"/>
      <w:numFmt w:val="decimal"/>
      <w:lvlText w:val="%1.%2.%3."/>
      <w:lvlJc w:val="left"/>
      <w:pPr>
        <w:tabs>
          <w:tab w:val="num" w:pos="840"/>
        </w:tabs>
        <w:ind w:left="840" w:hanging="84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3">
      <w:start w:val="1"/>
      <w:numFmt w:val="decimal"/>
      <w:lvlText w:val="%1.%2.%3.%4."/>
      <w:lvlJc w:val="left"/>
      <w:pPr>
        <w:tabs>
          <w:tab w:val="num" w:pos="840"/>
        </w:tabs>
        <w:ind w:left="840" w:hanging="84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4">
      <w:start w:val="1"/>
      <w:numFmt w:val="decimal"/>
      <w:lvlText w:val="%1.%2.%3.%4.%5."/>
      <w:lvlJc w:val="left"/>
      <w:pPr>
        <w:tabs>
          <w:tab w:val="num" w:pos="1260"/>
        </w:tabs>
        <w:ind w:left="1260" w:hanging="126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5">
      <w:start w:val="1"/>
      <w:numFmt w:val="decimal"/>
      <w:lvlText w:val="%1.%2.%3.%4.%5.%6."/>
      <w:lvlJc w:val="left"/>
      <w:pPr>
        <w:tabs>
          <w:tab w:val="num" w:pos="1260"/>
        </w:tabs>
        <w:ind w:left="1260" w:hanging="126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6">
      <w:start w:val="1"/>
      <w:numFmt w:val="decimal"/>
      <w:lvlText w:val="%1.%2.%3.%4.%5.%6.%7."/>
      <w:lvlJc w:val="left"/>
      <w:pPr>
        <w:tabs>
          <w:tab w:val="num" w:pos="1680"/>
        </w:tabs>
        <w:ind w:left="1680" w:hanging="168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7">
      <w:start w:val="1"/>
      <w:numFmt w:val="decimal"/>
      <w:lvlText w:val="%1.%2.%3.%4.%5.%6.%7.%8."/>
      <w:lvlJc w:val="left"/>
      <w:pPr>
        <w:tabs>
          <w:tab w:val="num" w:pos="1680"/>
        </w:tabs>
        <w:ind w:left="1680" w:hanging="168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8">
      <w:start w:val="1"/>
      <w:numFmt w:val="decimal"/>
      <w:lvlText w:val="%1.%2.%3.%4.%5.%6.%7.%8.%9."/>
      <w:lvlJc w:val="left"/>
      <w:pPr>
        <w:tabs>
          <w:tab w:val="num" w:pos="2100"/>
        </w:tabs>
        <w:ind w:left="2100" w:hanging="210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abstractNum>
  <w:abstractNum w:abstractNumId="8">
    <w:nsid w:val="0909498D"/>
    <w:multiLevelType w:val="multilevel"/>
    <w:tmpl w:val="AA089706"/>
    <w:lvl w:ilvl="0">
      <w:start w:val="1"/>
      <w:numFmt w:val="decimal"/>
      <w:lvlText w:val="%1."/>
      <w:lvlJc w:val="left"/>
      <w:pPr>
        <w:ind w:left="720" w:hanging="360"/>
      </w:pPr>
      <w:rPr>
        <w:color w:val="2F5496" w:themeColor="accent1" w:themeShade="BF"/>
        <w:sz w:val="24"/>
      </w:rPr>
    </w:lvl>
    <w:lvl w:ilvl="1">
      <w:start w:val="1"/>
      <w:numFmt w:val="decimal"/>
      <w:isLgl/>
      <w:lvlText w:val="%1.%2"/>
      <w:lvlJc w:val="left"/>
      <w:pPr>
        <w:ind w:left="720" w:hanging="360"/>
      </w:pPr>
      <w:rPr>
        <w:rFonts w:eastAsia="Batang" w:cs="Times New Roman" w:hint="default"/>
        <w:b/>
        <w:color w:val="000000" w:themeColor="text1"/>
        <w:sz w:val="24"/>
      </w:rPr>
    </w:lvl>
    <w:lvl w:ilvl="2">
      <w:start w:val="1"/>
      <w:numFmt w:val="decimal"/>
      <w:isLgl/>
      <w:lvlText w:val="%1.%2.%3"/>
      <w:lvlJc w:val="left"/>
      <w:pPr>
        <w:ind w:left="1080" w:hanging="720"/>
      </w:pPr>
      <w:rPr>
        <w:rFonts w:eastAsia="Batang" w:cs="Times New Roman" w:hint="default"/>
        <w:b/>
      </w:rPr>
    </w:lvl>
    <w:lvl w:ilvl="3">
      <w:start w:val="1"/>
      <w:numFmt w:val="decimal"/>
      <w:isLgl/>
      <w:lvlText w:val="%1.%2.%3.%4"/>
      <w:lvlJc w:val="left"/>
      <w:pPr>
        <w:ind w:left="1440" w:hanging="1080"/>
      </w:pPr>
      <w:rPr>
        <w:rFonts w:eastAsia="Batang" w:cs="Times New Roman" w:hint="default"/>
        <w:b w:val="0"/>
      </w:rPr>
    </w:lvl>
    <w:lvl w:ilvl="4">
      <w:start w:val="1"/>
      <w:numFmt w:val="decimal"/>
      <w:isLgl/>
      <w:lvlText w:val="%1.%2.%3.%4.%5"/>
      <w:lvlJc w:val="left"/>
      <w:pPr>
        <w:ind w:left="1440" w:hanging="1080"/>
      </w:pPr>
      <w:rPr>
        <w:rFonts w:eastAsia="Batang" w:cs="Times New Roman" w:hint="default"/>
        <w:b w:val="0"/>
      </w:rPr>
    </w:lvl>
    <w:lvl w:ilvl="5">
      <w:start w:val="1"/>
      <w:numFmt w:val="decimal"/>
      <w:isLgl/>
      <w:lvlText w:val="%1.%2.%3.%4.%5.%6"/>
      <w:lvlJc w:val="left"/>
      <w:pPr>
        <w:ind w:left="1800" w:hanging="1440"/>
      </w:pPr>
      <w:rPr>
        <w:rFonts w:eastAsia="Batang" w:cs="Times New Roman" w:hint="default"/>
        <w:b w:val="0"/>
      </w:rPr>
    </w:lvl>
    <w:lvl w:ilvl="6">
      <w:start w:val="1"/>
      <w:numFmt w:val="decimal"/>
      <w:isLgl/>
      <w:lvlText w:val="%1.%2.%3.%4.%5.%6.%7"/>
      <w:lvlJc w:val="left"/>
      <w:pPr>
        <w:ind w:left="1800" w:hanging="1440"/>
      </w:pPr>
      <w:rPr>
        <w:rFonts w:eastAsia="Batang" w:cs="Times New Roman" w:hint="default"/>
        <w:b w:val="0"/>
      </w:rPr>
    </w:lvl>
    <w:lvl w:ilvl="7">
      <w:start w:val="1"/>
      <w:numFmt w:val="decimal"/>
      <w:isLgl/>
      <w:lvlText w:val="%1.%2.%3.%4.%5.%6.%7.%8"/>
      <w:lvlJc w:val="left"/>
      <w:pPr>
        <w:ind w:left="2160" w:hanging="1800"/>
      </w:pPr>
      <w:rPr>
        <w:rFonts w:eastAsia="Batang" w:cs="Times New Roman" w:hint="default"/>
        <w:b w:val="0"/>
      </w:rPr>
    </w:lvl>
    <w:lvl w:ilvl="8">
      <w:start w:val="1"/>
      <w:numFmt w:val="decimal"/>
      <w:isLgl/>
      <w:lvlText w:val="%1.%2.%3.%4.%5.%6.%7.%8.%9"/>
      <w:lvlJc w:val="left"/>
      <w:pPr>
        <w:ind w:left="2160" w:hanging="1800"/>
      </w:pPr>
      <w:rPr>
        <w:rFonts w:eastAsia="Batang" w:cs="Times New Roman" w:hint="default"/>
        <w:b w:val="0"/>
      </w:rPr>
    </w:lvl>
  </w:abstractNum>
  <w:abstractNum w:abstractNumId="9">
    <w:nsid w:val="0D3C5C8D"/>
    <w:multiLevelType w:val="hybridMultilevel"/>
    <w:tmpl w:val="C02AA13C"/>
    <w:lvl w:ilvl="0" w:tplc="5E9C11BE">
      <w:start w:val="1"/>
      <w:numFmt w:val="lowerLetter"/>
      <w:lvlText w:val="%1."/>
      <w:lvlJc w:val="left"/>
      <w:pPr>
        <w:ind w:left="720" w:hanging="360"/>
      </w:pPr>
      <w:rPr>
        <w:rFonts w:ascii="Georgia" w:eastAsia="Times New Roman" w:hAnsi="Georgia"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DE4032E"/>
    <w:multiLevelType w:val="hybridMultilevel"/>
    <w:tmpl w:val="5810AF3C"/>
    <w:lvl w:ilvl="0" w:tplc="AB5C90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09A72A3"/>
    <w:multiLevelType w:val="hybridMultilevel"/>
    <w:tmpl w:val="64F68D3E"/>
    <w:lvl w:ilvl="0" w:tplc="5E9C11BE">
      <w:start w:val="1"/>
      <w:numFmt w:val="lowerLetter"/>
      <w:lvlText w:val="%1."/>
      <w:lvlJc w:val="left"/>
      <w:pPr>
        <w:ind w:left="720" w:hanging="360"/>
      </w:pPr>
      <w:rPr>
        <w:rFonts w:ascii="Georgia" w:eastAsia="Times New Roman" w:hAnsi="Georgia"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3D71EC3"/>
    <w:multiLevelType w:val="hybridMultilevel"/>
    <w:tmpl w:val="FE8AA7DC"/>
    <w:lvl w:ilvl="0" w:tplc="71B0F0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5403EB6"/>
    <w:multiLevelType w:val="hybridMultilevel"/>
    <w:tmpl w:val="8E084A2A"/>
    <w:lvl w:ilvl="0" w:tplc="A330DC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6EB3A9B"/>
    <w:multiLevelType w:val="hybridMultilevel"/>
    <w:tmpl w:val="090C73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9443D64"/>
    <w:multiLevelType w:val="hybridMultilevel"/>
    <w:tmpl w:val="CE6A634C"/>
    <w:lvl w:ilvl="0" w:tplc="C58ADCF6">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2BD82A0B"/>
    <w:multiLevelType w:val="hybridMultilevel"/>
    <w:tmpl w:val="F6D87C62"/>
    <w:lvl w:ilvl="0" w:tplc="5E9C11BE">
      <w:start w:val="1"/>
      <w:numFmt w:val="lowerLetter"/>
      <w:lvlText w:val="%1."/>
      <w:lvlJc w:val="left"/>
      <w:pPr>
        <w:ind w:left="720" w:hanging="360"/>
      </w:pPr>
      <w:rPr>
        <w:rFonts w:ascii="Georgia" w:eastAsia="Times New Roman" w:hAnsi="Georgia" w:cs="Times New Roman" w:hint="default"/>
      </w:rPr>
    </w:lvl>
    <w:lvl w:ilvl="1" w:tplc="195EA752">
      <w:start w:val="1"/>
      <w:numFmt w:val="decimal"/>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CEC04BD"/>
    <w:multiLevelType w:val="multilevel"/>
    <w:tmpl w:val="D1D430E8"/>
    <w:lvl w:ilvl="0">
      <w:start w:val="1"/>
      <w:numFmt w:val="decimal"/>
      <w:lvlText w:val="%1."/>
      <w:lvlJc w:val="left"/>
      <w:pPr>
        <w:tabs>
          <w:tab w:val="num" w:pos="420"/>
        </w:tabs>
        <w:ind w:left="420" w:hanging="42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1">
      <w:start w:val="1"/>
      <w:numFmt w:val="decimal"/>
      <w:lvlText w:val="%1.%2."/>
      <w:lvlJc w:val="left"/>
      <w:pPr>
        <w:tabs>
          <w:tab w:val="num" w:pos="420"/>
        </w:tabs>
        <w:ind w:left="420" w:hanging="42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2">
      <w:start w:val="1"/>
      <w:numFmt w:val="decimal"/>
      <w:lvlText w:val="%1.%2.%3."/>
      <w:lvlJc w:val="left"/>
      <w:pPr>
        <w:tabs>
          <w:tab w:val="num" w:pos="840"/>
        </w:tabs>
        <w:ind w:left="840" w:hanging="84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3">
      <w:start w:val="1"/>
      <w:numFmt w:val="decimal"/>
      <w:lvlText w:val="%1.%2.%3.%4."/>
      <w:lvlJc w:val="left"/>
      <w:pPr>
        <w:tabs>
          <w:tab w:val="num" w:pos="840"/>
        </w:tabs>
        <w:ind w:left="840" w:hanging="84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4">
      <w:start w:val="1"/>
      <w:numFmt w:val="decimal"/>
      <w:lvlText w:val="%1.%2.%3.%4.%5."/>
      <w:lvlJc w:val="left"/>
      <w:pPr>
        <w:tabs>
          <w:tab w:val="num" w:pos="1260"/>
        </w:tabs>
        <w:ind w:left="1260" w:hanging="126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5">
      <w:start w:val="1"/>
      <w:numFmt w:val="decimal"/>
      <w:lvlText w:val="%1.%2.%3.%4.%5.%6."/>
      <w:lvlJc w:val="left"/>
      <w:pPr>
        <w:tabs>
          <w:tab w:val="num" w:pos="1260"/>
        </w:tabs>
        <w:ind w:left="1260" w:hanging="126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6">
      <w:start w:val="1"/>
      <w:numFmt w:val="decimal"/>
      <w:lvlText w:val="%1.%2.%3.%4.%5.%6.%7."/>
      <w:lvlJc w:val="left"/>
      <w:pPr>
        <w:tabs>
          <w:tab w:val="num" w:pos="1680"/>
        </w:tabs>
        <w:ind w:left="1680" w:hanging="168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7">
      <w:start w:val="1"/>
      <w:numFmt w:val="decimal"/>
      <w:lvlText w:val="%1.%2.%3.%4.%5.%6.%7.%8."/>
      <w:lvlJc w:val="left"/>
      <w:pPr>
        <w:tabs>
          <w:tab w:val="num" w:pos="1680"/>
        </w:tabs>
        <w:ind w:left="1680" w:hanging="168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8">
      <w:start w:val="1"/>
      <w:numFmt w:val="decimal"/>
      <w:lvlText w:val="%1.%2.%3.%4.%5.%6.%7.%8.%9."/>
      <w:lvlJc w:val="left"/>
      <w:pPr>
        <w:tabs>
          <w:tab w:val="num" w:pos="2100"/>
        </w:tabs>
        <w:ind w:left="2100" w:hanging="210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abstractNum>
  <w:abstractNum w:abstractNumId="18">
    <w:nsid w:val="2D9905CC"/>
    <w:multiLevelType w:val="hybridMultilevel"/>
    <w:tmpl w:val="02E42A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366A3E9C"/>
    <w:multiLevelType w:val="hybridMultilevel"/>
    <w:tmpl w:val="2FC4CF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BB07EC4"/>
    <w:multiLevelType w:val="hybridMultilevel"/>
    <w:tmpl w:val="E6303F40"/>
    <w:lvl w:ilvl="0" w:tplc="A9FEF2E6">
      <w:start w:val="1"/>
      <w:numFmt w:val="decimal"/>
      <w:lvlText w:val="%1."/>
      <w:lvlJc w:val="left"/>
      <w:pPr>
        <w:ind w:left="720" w:hanging="360"/>
      </w:pPr>
      <w:rPr>
        <w:rFonts w:hint="default"/>
      </w:rPr>
    </w:lvl>
    <w:lvl w:ilvl="1" w:tplc="550C1748">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C194D8C"/>
    <w:multiLevelType w:val="multilevel"/>
    <w:tmpl w:val="548CE224"/>
    <w:lvl w:ilvl="0">
      <w:start w:val="3"/>
      <w:numFmt w:val="decimal"/>
      <w:lvlText w:val="%1"/>
      <w:lvlJc w:val="left"/>
      <w:pPr>
        <w:ind w:left="360" w:hanging="360"/>
      </w:pPr>
      <w:rPr>
        <w:rFonts w:cstheme="majorHAnsi" w:hint="default"/>
        <w:b/>
        <w:sz w:val="24"/>
      </w:rPr>
    </w:lvl>
    <w:lvl w:ilvl="1">
      <w:start w:val="3"/>
      <w:numFmt w:val="decimal"/>
      <w:lvlText w:val="%1.%2"/>
      <w:lvlJc w:val="left"/>
      <w:pPr>
        <w:ind w:left="360" w:hanging="360"/>
      </w:pPr>
      <w:rPr>
        <w:rFonts w:cstheme="majorHAnsi" w:hint="default"/>
        <w:b/>
        <w:sz w:val="24"/>
      </w:rPr>
    </w:lvl>
    <w:lvl w:ilvl="2">
      <w:start w:val="1"/>
      <w:numFmt w:val="decimal"/>
      <w:lvlText w:val="%1.%2.%3"/>
      <w:lvlJc w:val="left"/>
      <w:pPr>
        <w:ind w:left="720" w:hanging="720"/>
      </w:pPr>
      <w:rPr>
        <w:rFonts w:cstheme="majorHAnsi" w:hint="default"/>
        <w:b/>
        <w:sz w:val="24"/>
      </w:rPr>
    </w:lvl>
    <w:lvl w:ilvl="3">
      <w:start w:val="1"/>
      <w:numFmt w:val="decimal"/>
      <w:lvlText w:val="%1.%2.%3.%4"/>
      <w:lvlJc w:val="left"/>
      <w:pPr>
        <w:ind w:left="720" w:hanging="720"/>
      </w:pPr>
      <w:rPr>
        <w:rFonts w:cstheme="majorHAnsi" w:hint="default"/>
        <w:b/>
        <w:sz w:val="24"/>
      </w:rPr>
    </w:lvl>
    <w:lvl w:ilvl="4">
      <w:start w:val="1"/>
      <w:numFmt w:val="decimal"/>
      <w:lvlText w:val="%1.%2.%3.%4.%5"/>
      <w:lvlJc w:val="left"/>
      <w:pPr>
        <w:ind w:left="1080" w:hanging="1080"/>
      </w:pPr>
      <w:rPr>
        <w:rFonts w:cstheme="majorHAnsi" w:hint="default"/>
        <w:b/>
        <w:sz w:val="24"/>
      </w:rPr>
    </w:lvl>
    <w:lvl w:ilvl="5">
      <w:start w:val="1"/>
      <w:numFmt w:val="decimal"/>
      <w:lvlText w:val="%1.%2.%3.%4.%5.%6"/>
      <w:lvlJc w:val="left"/>
      <w:pPr>
        <w:ind w:left="1080" w:hanging="1080"/>
      </w:pPr>
      <w:rPr>
        <w:rFonts w:cstheme="majorHAnsi" w:hint="default"/>
        <w:b/>
        <w:sz w:val="24"/>
      </w:rPr>
    </w:lvl>
    <w:lvl w:ilvl="6">
      <w:start w:val="1"/>
      <w:numFmt w:val="decimal"/>
      <w:lvlText w:val="%1.%2.%3.%4.%5.%6.%7"/>
      <w:lvlJc w:val="left"/>
      <w:pPr>
        <w:ind w:left="1440" w:hanging="1440"/>
      </w:pPr>
      <w:rPr>
        <w:rFonts w:cstheme="majorHAnsi" w:hint="default"/>
        <w:b/>
        <w:sz w:val="24"/>
      </w:rPr>
    </w:lvl>
    <w:lvl w:ilvl="7">
      <w:start w:val="1"/>
      <w:numFmt w:val="decimal"/>
      <w:lvlText w:val="%1.%2.%3.%4.%5.%6.%7.%8"/>
      <w:lvlJc w:val="left"/>
      <w:pPr>
        <w:ind w:left="1800" w:hanging="1800"/>
      </w:pPr>
      <w:rPr>
        <w:rFonts w:cstheme="majorHAnsi" w:hint="default"/>
        <w:b/>
        <w:sz w:val="24"/>
      </w:rPr>
    </w:lvl>
    <w:lvl w:ilvl="8">
      <w:start w:val="1"/>
      <w:numFmt w:val="decimal"/>
      <w:lvlText w:val="%1.%2.%3.%4.%5.%6.%7.%8.%9"/>
      <w:lvlJc w:val="left"/>
      <w:pPr>
        <w:ind w:left="1800" w:hanging="1800"/>
      </w:pPr>
      <w:rPr>
        <w:rFonts w:cstheme="majorHAnsi" w:hint="default"/>
        <w:b/>
        <w:sz w:val="24"/>
      </w:rPr>
    </w:lvl>
  </w:abstractNum>
  <w:abstractNum w:abstractNumId="22">
    <w:nsid w:val="47606501"/>
    <w:multiLevelType w:val="hybridMultilevel"/>
    <w:tmpl w:val="134A4E80"/>
    <w:lvl w:ilvl="0" w:tplc="4DDC51A8">
      <w:start w:val="1"/>
      <w:numFmt w:val="decimal"/>
      <w:lvlText w:val="%1."/>
      <w:lvlJc w:val="left"/>
      <w:pPr>
        <w:ind w:left="720" w:hanging="360"/>
      </w:pPr>
      <w:rPr>
        <w:rFonts w:asciiTheme="minorHAnsi" w:hAnsiTheme="minorHAnsi" w:cstheme="minorBid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9BF5ED5"/>
    <w:multiLevelType w:val="hybridMultilevel"/>
    <w:tmpl w:val="90548236"/>
    <w:lvl w:ilvl="0" w:tplc="C58ADCF6">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4BCC28A7"/>
    <w:multiLevelType w:val="multilevel"/>
    <w:tmpl w:val="E752BD2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nsid w:val="4CC159EB"/>
    <w:multiLevelType w:val="hybridMultilevel"/>
    <w:tmpl w:val="C324E3FE"/>
    <w:lvl w:ilvl="0" w:tplc="0409000F">
      <w:start w:val="1"/>
      <w:numFmt w:val="decimal"/>
      <w:lvlText w:val="%1."/>
      <w:lvlJc w:val="left"/>
      <w:pPr>
        <w:ind w:left="720" w:hanging="360"/>
      </w:pPr>
      <w:rPr>
        <w:rFonts w:hint="default"/>
      </w:rPr>
    </w:lvl>
    <w:lvl w:ilvl="1" w:tplc="38349FF2">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E281686"/>
    <w:multiLevelType w:val="multilevel"/>
    <w:tmpl w:val="89EA454E"/>
    <w:lvl w:ilvl="0">
      <w:start w:val="1"/>
      <w:numFmt w:val="decimal"/>
      <w:lvlText w:val="%1."/>
      <w:lvlJc w:val="left"/>
      <w:pPr>
        <w:tabs>
          <w:tab w:val="num" w:pos="420"/>
        </w:tabs>
        <w:ind w:left="420" w:hanging="42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1">
      <w:start w:val="1"/>
      <w:numFmt w:val="decimal"/>
      <w:lvlText w:val="%1.%2."/>
      <w:lvlJc w:val="left"/>
      <w:pPr>
        <w:tabs>
          <w:tab w:val="num" w:pos="420"/>
        </w:tabs>
        <w:ind w:left="420" w:hanging="42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2">
      <w:start w:val="1"/>
      <w:numFmt w:val="decimal"/>
      <w:lvlText w:val="%1.%2.%3."/>
      <w:lvlJc w:val="left"/>
      <w:pPr>
        <w:tabs>
          <w:tab w:val="num" w:pos="840"/>
        </w:tabs>
        <w:ind w:left="840" w:hanging="84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3">
      <w:start w:val="1"/>
      <w:numFmt w:val="decimal"/>
      <w:lvlText w:val="%1.%2.%3.%4."/>
      <w:lvlJc w:val="left"/>
      <w:pPr>
        <w:tabs>
          <w:tab w:val="num" w:pos="840"/>
        </w:tabs>
        <w:ind w:left="840" w:hanging="84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4">
      <w:start w:val="1"/>
      <w:numFmt w:val="decimal"/>
      <w:lvlText w:val="%1.%2.%3.%4.%5."/>
      <w:lvlJc w:val="left"/>
      <w:pPr>
        <w:tabs>
          <w:tab w:val="num" w:pos="1260"/>
        </w:tabs>
        <w:ind w:left="1260" w:hanging="126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5">
      <w:start w:val="1"/>
      <w:numFmt w:val="decimal"/>
      <w:lvlText w:val="%1.%2.%3.%4.%5.%6."/>
      <w:lvlJc w:val="left"/>
      <w:pPr>
        <w:tabs>
          <w:tab w:val="num" w:pos="1260"/>
        </w:tabs>
        <w:ind w:left="1260" w:hanging="126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6">
      <w:start w:val="1"/>
      <w:numFmt w:val="decimal"/>
      <w:lvlText w:val="%1.%2.%3.%4.%5.%6.%7."/>
      <w:lvlJc w:val="left"/>
      <w:pPr>
        <w:tabs>
          <w:tab w:val="num" w:pos="1680"/>
        </w:tabs>
        <w:ind w:left="1680" w:hanging="168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7">
      <w:start w:val="1"/>
      <w:numFmt w:val="decimal"/>
      <w:lvlText w:val="%1.%2.%3.%4.%5.%6.%7.%8."/>
      <w:lvlJc w:val="left"/>
      <w:pPr>
        <w:tabs>
          <w:tab w:val="num" w:pos="1680"/>
        </w:tabs>
        <w:ind w:left="1680" w:hanging="168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8">
      <w:start w:val="1"/>
      <w:numFmt w:val="decimal"/>
      <w:lvlText w:val="%1.%2.%3.%4.%5.%6.%7.%8.%9."/>
      <w:lvlJc w:val="left"/>
      <w:pPr>
        <w:tabs>
          <w:tab w:val="num" w:pos="2100"/>
        </w:tabs>
        <w:ind w:left="2100" w:hanging="210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abstractNum>
  <w:abstractNum w:abstractNumId="27">
    <w:nsid w:val="51185A72"/>
    <w:multiLevelType w:val="hybridMultilevel"/>
    <w:tmpl w:val="38520D4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nsid w:val="5B2A229C"/>
    <w:multiLevelType w:val="multilevel"/>
    <w:tmpl w:val="DF2AE0EC"/>
    <w:styleLink w:val="List0"/>
    <w:lvl w:ilvl="0">
      <w:start w:val="1"/>
      <w:numFmt w:val="decimal"/>
      <w:lvlText w:val="%1."/>
      <w:lvlJc w:val="left"/>
      <w:rPr>
        <w:position w:val="0"/>
        <w:rtl w:val="0"/>
        <w:lang w:val="en-US"/>
      </w:rPr>
    </w:lvl>
    <w:lvl w:ilvl="1">
      <w:start w:val="1"/>
      <w:numFmt w:val="decimal"/>
      <w:lvlText w:val="%1.%2."/>
      <w:lvlJc w:val="left"/>
      <w:rPr>
        <w:position w:val="0"/>
        <w:rtl w:val="0"/>
        <w:lang w:val="en-US"/>
      </w:rPr>
    </w:lvl>
    <w:lvl w:ilvl="2">
      <w:start w:val="1"/>
      <w:numFmt w:val="decimal"/>
      <w:lvlText w:val="%1.%2.%3."/>
      <w:lvlJc w:val="left"/>
      <w:rPr>
        <w:position w:val="0"/>
        <w:rtl w:val="0"/>
        <w:lang w:val="en-US"/>
      </w:rPr>
    </w:lvl>
    <w:lvl w:ilvl="3">
      <w:start w:val="1"/>
      <w:numFmt w:val="decimal"/>
      <w:lvlText w:val="%1.%2.%3.%4."/>
      <w:lvlJc w:val="left"/>
      <w:rPr>
        <w:position w:val="0"/>
        <w:rtl w:val="0"/>
        <w:lang w:val="en-US"/>
      </w:rPr>
    </w:lvl>
    <w:lvl w:ilvl="4">
      <w:start w:val="1"/>
      <w:numFmt w:val="decimal"/>
      <w:lvlText w:val="%1.%2.%3.%4.%5."/>
      <w:lvlJc w:val="left"/>
      <w:rPr>
        <w:position w:val="0"/>
        <w:rtl w:val="0"/>
        <w:lang w:val="en-US"/>
      </w:rPr>
    </w:lvl>
    <w:lvl w:ilvl="5">
      <w:start w:val="1"/>
      <w:numFmt w:val="decimal"/>
      <w:lvlText w:val="%1.%2.%3.%4.%5.%6."/>
      <w:lvlJc w:val="left"/>
      <w:rPr>
        <w:position w:val="0"/>
        <w:rtl w:val="0"/>
        <w:lang w:val="en-US"/>
      </w:rPr>
    </w:lvl>
    <w:lvl w:ilvl="6">
      <w:start w:val="1"/>
      <w:numFmt w:val="decimal"/>
      <w:lvlText w:val="%1.%2.%3.%4.%5.%6.%7."/>
      <w:lvlJc w:val="left"/>
      <w:rPr>
        <w:position w:val="0"/>
        <w:rtl w:val="0"/>
        <w:lang w:val="en-US"/>
      </w:rPr>
    </w:lvl>
    <w:lvl w:ilvl="7">
      <w:start w:val="1"/>
      <w:numFmt w:val="decimal"/>
      <w:lvlText w:val="%1.%2.%3.%4.%5.%6.%7.%8."/>
      <w:lvlJc w:val="left"/>
      <w:rPr>
        <w:position w:val="0"/>
        <w:rtl w:val="0"/>
        <w:lang w:val="en-US"/>
      </w:rPr>
    </w:lvl>
    <w:lvl w:ilvl="8">
      <w:start w:val="1"/>
      <w:numFmt w:val="decimal"/>
      <w:lvlText w:val="%1.%2.%3.%4.%5.%6.%7.%8.%9."/>
      <w:lvlJc w:val="left"/>
      <w:rPr>
        <w:position w:val="0"/>
        <w:rtl w:val="0"/>
        <w:lang w:val="en-US"/>
      </w:rPr>
    </w:lvl>
  </w:abstractNum>
  <w:abstractNum w:abstractNumId="29">
    <w:nsid w:val="5DA66C83"/>
    <w:multiLevelType w:val="hybridMultilevel"/>
    <w:tmpl w:val="BB9CF6EE"/>
    <w:lvl w:ilvl="0" w:tplc="DAC0A5D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0">
    <w:nsid w:val="5F697CA5"/>
    <w:multiLevelType w:val="hybridMultilevel"/>
    <w:tmpl w:val="A55AED0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FB14558"/>
    <w:multiLevelType w:val="hybridMultilevel"/>
    <w:tmpl w:val="1A2C8956"/>
    <w:lvl w:ilvl="0" w:tplc="AEB8359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5FC313B8"/>
    <w:multiLevelType w:val="hybridMultilevel"/>
    <w:tmpl w:val="DCCE626A"/>
    <w:lvl w:ilvl="0" w:tplc="C5CCB4E2">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1804771"/>
    <w:multiLevelType w:val="hybridMultilevel"/>
    <w:tmpl w:val="23B89FBA"/>
    <w:lvl w:ilvl="0" w:tplc="5BAAFCB4">
      <w:start w:val="1"/>
      <w:numFmt w:val="decimal"/>
      <w:lvlText w:val="%1."/>
      <w:lvlJc w:val="left"/>
      <w:pPr>
        <w:ind w:left="786" w:hanging="360"/>
      </w:pPr>
      <w:rPr>
        <w:rFonts w:hint="default"/>
      </w:rPr>
    </w:lvl>
    <w:lvl w:ilvl="1" w:tplc="04090019">
      <w:start w:val="1"/>
      <w:numFmt w:val="lowerLetter"/>
      <w:lvlText w:val="%2."/>
      <w:lvlJc w:val="left"/>
      <w:pPr>
        <w:ind w:left="1506" w:hanging="360"/>
      </w:pPr>
    </w:lvl>
    <w:lvl w:ilvl="2" w:tplc="0409001B">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4">
    <w:nsid w:val="620C408E"/>
    <w:multiLevelType w:val="hybridMultilevel"/>
    <w:tmpl w:val="DE8A0ACA"/>
    <w:lvl w:ilvl="0" w:tplc="30187D70">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269231F"/>
    <w:multiLevelType w:val="multilevel"/>
    <w:tmpl w:val="AA089706"/>
    <w:lvl w:ilvl="0">
      <w:start w:val="1"/>
      <w:numFmt w:val="decimal"/>
      <w:lvlText w:val="%1."/>
      <w:lvlJc w:val="left"/>
      <w:pPr>
        <w:ind w:left="720" w:hanging="360"/>
      </w:pPr>
      <w:rPr>
        <w:color w:val="2F5496" w:themeColor="accent1" w:themeShade="BF"/>
        <w:sz w:val="24"/>
      </w:rPr>
    </w:lvl>
    <w:lvl w:ilvl="1">
      <w:start w:val="1"/>
      <w:numFmt w:val="decimal"/>
      <w:isLgl/>
      <w:lvlText w:val="%1.%2"/>
      <w:lvlJc w:val="left"/>
      <w:pPr>
        <w:ind w:left="720" w:hanging="360"/>
      </w:pPr>
      <w:rPr>
        <w:rFonts w:eastAsia="Batang" w:cs="Times New Roman" w:hint="default"/>
        <w:b/>
        <w:color w:val="000000" w:themeColor="text1"/>
        <w:sz w:val="24"/>
      </w:rPr>
    </w:lvl>
    <w:lvl w:ilvl="2">
      <w:start w:val="1"/>
      <w:numFmt w:val="decimal"/>
      <w:isLgl/>
      <w:lvlText w:val="%1.%2.%3"/>
      <w:lvlJc w:val="left"/>
      <w:pPr>
        <w:ind w:left="1080" w:hanging="720"/>
      </w:pPr>
      <w:rPr>
        <w:rFonts w:eastAsia="Batang" w:cs="Times New Roman" w:hint="default"/>
        <w:b/>
      </w:rPr>
    </w:lvl>
    <w:lvl w:ilvl="3">
      <w:start w:val="1"/>
      <w:numFmt w:val="decimal"/>
      <w:isLgl/>
      <w:lvlText w:val="%1.%2.%3.%4"/>
      <w:lvlJc w:val="left"/>
      <w:pPr>
        <w:ind w:left="1440" w:hanging="1080"/>
      </w:pPr>
      <w:rPr>
        <w:rFonts w:eastAsia="Batang" w:cs="Times New Roman" w:hint="default"/>
        <w:b w:val="0"/>
      </w:rPr>
    </w:lvl>
    <w:lvl w:ilvl="4">
      <w:start w:val="1"/>
      <w:numFmt w:val="decimal"/>
      <w:isLgl/>
      <w:lvlText w:val="%1.%2.%3.%4.%5"/>
      <w:lvlJc w:val="left"/>
      <w:pPr>
        <w:ind w:left="1440" w:hanging="1080"/>
      </w:pPr>
      <w:rPr>
        <w:rFonts w:eastAsia="Batang" w:cs="Times New Roman" w:hint="default"/>
        <w:b w:val="0"/>
      </w:rPr>
    </w:lvl>
    <w:lvl w:ilvl="5">
      <w:start w:val="1"/>
      <w:numFmt w:val="decimal"/>
      <w:isLgl/>
      <w:lvlText w:val="%1.%2.%3.%4.%5.%6"/>
      <w:lvlJc w:val="left"/>
      <w:pPr>
        <w:ind w:left="1800" w:hanging="1440"/>
      </w:pPr>
      <w:rPr>
        <w:rFonts w:eastAsia="Batang" w:cs="Times New Roman" w:hint="default"/>
        <w:b w:val="0"/>
      </w:rPr>
    </w:lvl>
    <w:lvl w:ilvl="6">
      <w:start w:val="1"/>
      <w:numFmt w:val="decimal"/>
      <w:isLgl/>
      <w:lvlText w:val="%1.%2.%3.%4.%5.%6.%7"/>
      <w:lvlJc w:val="left"/>
      <w:pPr>
        <w:ind w:left="1800" w:hanging="1440"/>
      </w:pPr>
      <w:rPr>
        <w:rFonts w:eastAsia="Batang" w:cs="Times New Roman" w:hint="default"/>
        <w:b w:val="0"/>
      </w:rPr>
    </w:lvl>
    <w:lvl w:ilvl="7">
      <w:start w:val="1"/>
      <w:numFmt w:val="decimal"/>
      <w:isLgl/>
      <w:lvlText w:val="%1.%2.%3.%4.%5.%6.%7.%8"/>
      <w:lvlJc w:val="left"/>
      <w:pPr>
        <w:ind w:left="2160" w:hanging="1800"/>
      </w:pPr>
      <w:rPr>
        <w:rFonts w:eastAsia="Batang" w:cs="Times New Roman" w:hint="default"/>
        <w:b w:val="0"/>
      </w:rPr>
    </w:lvl>
    <w:lvl w:ilvl="8">
      <w:start w:val="1"/>
      <w:numFmt w:val="decimal"/>
      <w:isLgl/>
      <w:lvlText w:val="%1.%2.%3.%4.%5.%6.%7.%8.%9"/>
      <w:lvlJc w:val="left"/>
      <w:pPr>
        <w:ind w:left="2160" w:hanging="1800"/>
      </w:pPr>
      <w:rPr>
        <w:rFonts w:eastAsia="Batang" w:cs="Times New Roman" w:hint="default"/>
        <w:b w:val="0"/>
      </w:rPr>
    </w:lvl>
  </w:abstractNum>
  <w:abstractNum w:abstractNumId="36">
    <w:nsid w:val="63F44D71"/>
    <w:multiLevelType w:val="hybridMultilevel"/>
    <w:tmpl w:val="0A3C0364"/>
    <w:lvl w:ilvl="0" w:tplc="5E9C11BE">
      <w:start w:val="1"/>
      <w:numFmt w:val="lowerLetter"/>
      <w:lvlText w:val="%1."/>
      <w:lvlJc w:val="left"/>
      <w:pPr>
        <w:ind w:left="720" w:hanging="360"/>
      </w:pPr>
      <w:rPr>
        <w:rFonts w:ascii="Georgia" w:eastAsia="Times New Roman" w:hAnsi="Georgia"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8B05BBC"/>
    <w:multiLevelType w:val="hybridMultilevel"/>
    <w:tmpl w:val="19AEB0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4"/>
  </w:num>
  <w:num w:numId="2">
    <w:abstractNumId w:val="26"/>
  </w:num>
  <w:num w:numId="3">
    <w:abstractNumId w:val="7"/>
  </w:num>
  <w:num w:numId="4">
    <w:abstractNumId w:val="17"/>
  </w:num>
  <w:num w:numId="5">
    <w:abstractNumId w:val="28"/>
  </w:num>
  <w:num w:numId="6">
    <w:abstractNumId w:val="0"/>
  </w:num>
  <w:num w:numId="7">
    <w:abstractNumId w:val="4"/>
  </w:num>
  <w:num w:numId="8">
    <w:abstractNumId w:val="3"/>
  </w:num>
  <w:num w:numId="9">
    <w:abstractNumId w:val="2"/>
  </w:num>
  <w:num w:numId="10">
    <w:abstractNumId w:val="1"/>
  </w:num>
  <w:num w:numId="11">
    <w:abstractNumId w:val="6"/>
  </w:num>
  <w:num w:numId="12">
    <w:abstractNumId w:val="18"/>
  </w:num>
  <w:num w:numId="13">
    <w:abstractNumId w:val="31"/>
  </w:num>
  <w:num w:numId="14">
    <w:abstractNumId w:val="29"/>
  </w:num>
  <w:num w:numId="15">
    <w:abstractNumId w:val="15"/>
  </w:num>
  <w:num w:numId="16">
    <w:abstractNumId w:val="23"/>
  </w:num>
  <w:num w:numId="17">
    <w:abstractNumId w:val="5"/>
  </w:num>
  <w:num w:numId="18">
    <w:abstractNumId w:val="8"/>
  </w:num>
  <w:num w:numId="19">
    <w:abstractNumId w:val="32"/>
  </w:num>
  <w:num w:numId="20">
    <w:abstractNumId w:val="9"/>
  </w:num>
  <w:num w:numId="21">
    <w:abstractNumId w:val="10"/>
  </w:num>
  <w:num w:numId="22">
    <w:abstractNumId w:val="35"/>
  </w:num>
  <w:num w:numId="23">
    <w:abstractNumId w:val="20"/>
  </w:num>
  <w:num w:numId="24">
    <w:abstractNumId w:val="36"/>
  </w:num>
  <w:num w:numId="25">
    <w:abstractNumId w:val="12"/>
  </w:num>
  <w:num w:numId="26">
    <w:abstractNumId w:val="11"/>
  </w:num>
  <w:num w:numId="27">
    <w:abstractNumId w:val="16"/>
  </w:num>
  <w:num w:numId="28">
    <w:abstractNumId w:val="13"/>
  </w:num>
  <w:num w:numId="29">
    <w:abstractNumId w:val="30"/>
  </w:num>
  <w:num w:numId="30">
    <w:abstractNumId w:val="14"/>
  </w:num>
  <w:num w:numId="31">
    <w:abstractNumId w:val="25"/>
  </w:num>
  <w:num w:numId="32">
    <w:abstractNumId w:val="37"/>
  </w:num>
  <w:num w:numId="33">
    <w:abstractNumId w:val="19"/>
  </w:num>
  <w:num w:numId="34">
    <w:abstractNumId w:val="27"/>
  </w:num>
  <w:num w:numId="35">
    <w:abstractNumId w:val="22"/>
  </w:num>
  <w:num w:numId="36">
    <w:abstractNumId w:val="33"/>
  </w:num>
  <w:num w:numId="37">
    <w:abstractNumId w:val="34"/>
  </w:num>
  <w:num w:numId="3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attachedTemplate r:id="rId1"/>
  <w:defaultTabStop w:val="720"/>
  <w:evenAndOddHeaders/>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7773"/>
    <w:rsid w:val="00003122"/>
    <w:rsid w:val="00003C43"/>
    <w:rsid w:val="00005A2E"/>
    <w:rsid w:val="0001120B"/>
    <w:rsid w:val="00014A2C"/>
    <w:rsid w:val="00023880"/>
    <w:rsid w:val="00023DA6"/>
    <w:rsid w:val="000240C0"/>
    <w:rsid w:val="0004404A"/>
    <w:rsid w:val="00046A90"/>
    <w:rsid w:val="00046AF5"/>
    <w:rsid w:val="00050546"/>
    <w:rsid w:val="0005128B"/>
    <w:rsid w:val="00052E06"/>
    <w:rsid w:val="000554A5"/>
    <w:rsid w:val="0006198D"/>
    <w:rsid w:val="000627C2"/>
    <w:rsid w:val="00063C82"/>
    <w:rsid w:val="00070E07"/>
    <w:rsid w:val="000715EA"/>
    <w:rsid w:val="000775E8"/>
    <w:rsid w:val="000822BD"/>
    <w:rsid w:val="00087494"/>
    <w:rsid w:val="00095A76"/>
    <w:rsid w:val="0009788A"/>
    <w:rsid w:val="000A05AE"/>
    <w:rsid w:val="000A091C"/>
    <w:rsid w:val="000A5878"/>
    <w:rsid w:val="000B09AB"/>
    <w:rsid w:val="000B14BF"/>
    <w:rsid w:val="000B1CE8"/>
    <w:rsid w:val="000B3752"/>
    <w:rsid w:val="000B5F04"/>
    <w:rsid w:val="000C5F58"/>
    <w:rsid w:val="000C62F7"/>
    <w:rsid w:val="000D29BA"/>
    <w:rsid w:val="000D41BE"/>
    <w:rsid w:val="000D479C"/>
    <w:rsid w:val="000D6448"/>
    <w:rsid w:val="000E018D"/>
    <w:rsid w:val="000E6D81"/>
    <w:rsid w:val="000F3B4F"/>
    <w:rsid w:val="000F4488"/>
    <w:rsid w:val="000F7008"/>
    <w:rsid w:val="0010788E"/>
    <w:rsid w:val="001161B0"/>
    <w:rsid w:val="00116CDD"/>
    <w:rsid w:val="00123CDB"/>
    <w:rsid w:val="001242D9"/>
    <w:rsid w:val="001246F5"/>
    <w:rsid w:val="00124D8C"/>
    <w:rsid w:val="00132B16"/>
    <w:rsid w:val="00134104"/>
    <w:rsid w:val="00136A1D"/>
    <w:rsid w:val="001403A1"/>
    <w:rsid w:val="00141AEB"/>
    <w:rsid w:val="00141B61"/>
    <w:rsid w:val="00144C93"/>
    <w:rsid w:val="0014772F"/>
    <w:rsid w:val="001520B9"/>
    <w:rsid w:val="001539AC"/>
    <w:rsid w:val="00167CC3"/>
    <w:rsid w:val="001720AE"/>
    <w:rsid w:val="00177044"/>
    <w:rsid w:val="00184949"/>
    <w:rsid w:val="00185CD9"/>
    <w:rsid w:val="001A42EB"/>
    <w:rsid w:val="001A55CA"/>
    <w:rsid w:val="001A6FE1"/>
    <w:rsid w:val="001B027D"/>
    <w:rsid w:val="001B4FFE"/>
    <w:rsid w:val="001B7BE7"/>
    <w:rsid w:val="001C13EC"/>
    <w:rsid w:val="001C72A4"/>
    <w:rsid w:val="001D204F"/>
    <w:rsid w:val="001D3CDD"/>
    <w:rsid w:val="001E0B40"/>
    <w:rsid w:val="001E34A3"/>
    <w:rsid w:val="001F0853"/>
    <w:rsid w:val="001F2BA3"/>
    <w:rsid w:val="001F5362"/>
    <w:rsid w:val="001F73E9"/>
    <w:rsid w:val="00200DA7"/>
    <w:rsid w:val="00201A60"/>
    <w:rsid w:val="00203F76"/>
    <w:rsid w:val="00204D8C"/>
    <w:rsid w:val="0020773C"/>
    <w:rsid w:val="002119FE"/>
    <w:rsid w:val="00213935"/>
    <w:rsid w:val="00215AA9"/>
    <w:rsid w:val="00222ABB"/>
    <w:rsid w:val="0022358B"/>
    <w:rsid w:val="00223602"/>
    <w:rsid w:val="00226568"/>
    <w:rsid w:val="00226A1A"/>
    <w:rsid w:val="0023165A"/>
    <w:rsid w:val="00244694"/>
    <w:rsid w:val="00247B6A"/>
    <w:rsid w:val="0025070C"/>
    <w:rsid w:val="00251F9C"/>
    <w:rsid w:val="00256527"/>
    <w:rsid w:val="0025739B"/>
    <w:rsid w:val="0026676C"/>
    <w:rsid w:val="00284DA6"/>
    <w:rsid w:val="002903F0"/>
    <w:rsid w:val="00292DF3"/>
    <w:rsid w:val="002942E9"/>
    <w:rsid w:val="0029509B"/>
    <w:rsid w:val="00297E00"/>
    <w:rsid w:val="002A5820"/>
    <w:rsid w:val="002B0C1A"/>
    <w:rsid w:val="002B6553"/>
    <w:rsid w:val="002C01AB"/>
    <w:rsid w:val="002C02F0"/>
    <w:rsid w:val="002C65DB"/>
    <w:rsid w:val="002D252C"/>
    <w:rsid w:val="002E076C"/>
    <w:rsid w:val="002E336A"/>
    <w:rsid w:val="002E4144"/>
    <w:rsid w:val="002F15D6"/>
    <w:rsid w:val="002F2A28"/>
    <w:rsid w:val="002F4EAC"/>
    <w:rsid w:val="002F7873"/>
    <w:rsid w:val="003028A1"/>
    <w:rsid w:val="00302AAA"/>
    <w:rsid w:val="00302F4C"/>
    <w:rsid w:val="00303BA8"/>
    <w:rsid w:val="003045E4"/>
    <w:rsid w:val="00304CB9"/>
    <w:rsid w:val="00307758"/>
    <w:rsid w:val="00311B81"/>
    <w:rsid w:val="0031227B"/>
    <w:rsid w:val="00322CC7"/>
    <w:rsid w:val="00323A6E"/>
    <w:rsid w:val="0032739E"/>
    <w:rsid w:val="003317B7"/>
    <w:rsid w:val="00332D4B"/>
    <w:rsid w:val="00334F9D"/>
    <w:rsid w:val="00337CB5"/>
    <w:rsid w:val="00342C78"/>
    <w:rsid w:val="00351324"/>
    <w:rsid w:val="0035446F"/>
    <w:rsid w:val="0035562C"/>
    <w:rsid w:val="00363A61"/>
    <w:rsid w:val="0036504F"/>
    <w:rsid w:val="0036715B"/>
    <w:rsid w:val="00374F43"/>
    <w:rsid w:val="00375FE4"/>
    <w:rsid w:val="00381694"/>
    <w:rsid w:val="00381D74"/>
    <w:rsid w:val="0038264A"/>
    <w:rsid w:val="003844F8"/>
    <w:rsid w:val="00384A23"/>
    <w:rsid w:val="00385250"/>
    <w:rsid w:val="00385623"/>
    <w:rsid w:val="00385B3D"/>
    <w:rsid w:val="00394924"/>
    <w:rsid w:val="003962B0"/>
    <w:rsid w:val="003A0113"/>
    <w:rsid w:val="003A0FB5"/>
    <w:rsid w:val="003B6B36"/>
    <w:rsid w:val="003B7F17"/>
    <w:rsid w:val="003C34DF"/>
    <w:rsid w:val="003C6CE2"/>
    <w:rsid w:val="003D3F19"/>
    <w:rsid w:val="003D70E2"/>
    <w:rsid w:val="003E0162"/>
    <w:rsid w:val="003E1887"/>
    <w:rsid w:val="003E5D47"/>
    <w:rsid w:val="003E62C7"/>
    <w:rsid w:val="003F35CB"/>
    <w:rsid w:val="003F3EE6"/>
    <w:rsid w:val="0040054B"/>
    <w:rsid w:val="004021A6"/>
    <w:rsid w:val="00405315"/>
    <w:rsid w:val="00405FC2"/>
    <w:rsid w:val="00410C32"/>
    <w:rsid w:val="00411302"/>
    <w:rsid w:val="0041449D"/>
    <w:rsid w:val="00414A05"/>
    <w:rsid w:val="00420F09"/>
    <w:rsid w:val="004218C6"/>
    <w:rsid w:val="00424F59"/>
    <w:rsid w:val="0042782F"/>
    <w:rsid w:val="004344BE"/>
    <w:rsid w:val="004369F4"/>
    <w:rsid w:val="00440F28"/>
    <w:rsid w:val="00446AFC"/>
    <w:rsid w:val="00450DBC"/>
    <w:rsid w:val="0045607A"/>
    <w:rsid w:val="0046034D"/>
    <w:rsid w:val="00461F3D"/>
    <w:rsid w:val="00465420"/>
    <w:rsid w:val="00465841"/>
    <w:rsid w:val="00473181"/>
    <w:rsid w:val="0047374A"/>
    <w:rsid w:val="0047619A"/>
    <w:rsid w:val="0048351B"/>
    <w:rsid w:val="00484C66"/>
    <w:rsid w:val="00487496"/>
    <w:rsid w:val="004902FB"/>
    <w:rsid w:val="004A66B4"/>
    <w:rsid w:val="004B0527"/>
    <w:rsid w:val="004B0D01"/>
    <w:rsid w:val="004B1F20"/>
    <w:rsid w:val="004C1DE7"/>
    <w:rsid w:val="004C26B9"/>
    <w:rsid w:val="004D3400"/>
    <w:rsid w:val="004D6FAE"/>
    <w:rsid w:val="00501798"/>
    <w:rsid w:val="0050336D"/>
    <w:rsid w:val="00503FAE"/>
    <w:rsid w:val="0051028D"/>
    <w:rsid w:val="005105AC"/>
    <w:rsid w:val="00521EA6"/>
    <w:rsid w:val="005242C5"/>
    <w:rsid w:val="00526541"/>
    <w:rsid w:val="005270E6"/>
    <w:rsid w:val="0053356F"/>
    <w:rsid w:val="005425A6"/>
    <w:rsid w:val="00544531"/>
    <w:rsid w:val="005458E3"/>
    <w:rsid w:val="00566C4D"/>
    <w:rsid w:val="00570E3D"/>
    <w:rsid w:val="005767DA"/>
    <w:rsid w:val="0058474D"/>
    <w:rsid w:val="00585EE9"/>
    <w:rsid w:val="005878E8"/>
    <w:rsid w:val="00591AE2"/>
    <w:rsid w:val="00594198"/>
    <w:rsid w:val="00597B07"/>
    <w:rsid w:val="005A08C9"/>
    <w:rsid w:val="005A2C13"/>
    <w:rsid w:val="005A6549"/>
    <w:rsid w:val="005B7C97"/>
    <w:rsid w:val="005C5C9C"/>
    <w:rsid w:val="005D205A"/>
    <w:rsid w:val="005D316F"/>
    <w:rsid w:val="005D4797"/>
    <w:rsid w:val="005D6A36"/>
    <w:rsid w:val="005D7F75"/>
    <w:rsid w:val="005E4573"/>
    <w:rsid w:val="005E53BC"/>
    <w:rsid w:val="005F2A78"/>
    <w:rsid w:val="005F5543"/>
    <w:rsid w:val="00601209"/>
    <w:rsid w:val="0060246F"/>
    <w:rsid w:val="00606089"/>
    <w:rsid w:val="00613923"/>
    <w:rsid w:val="00613B80"/>
    <w:rsid w:val="00620ABC"/>
    <w:rsid w:val="00622843"/>
    <w:rsid w:val="00622AEE"/>
    <w:rsid w:val="00624D16"/>
    <w:rsid w:val="0063023C"/>
    <w:rsid w:val="00630AD4"/>
    <w:rsid w:val="00643958"/>
    <w:rsid w:val="00643BF3"/>
    <w:rsid w:val="00645A53"/>
    <w:rsid w:val="00651623"/>
    <w:rsid w:val="006520AB"/>
    <w:rsid w:val="00654158"/>
    <w:rsid w:val="006629B3"/>
    <w:rsid w:val="00663DC7"/>
    <w:rsid w:val="00667E24"/>
    <w:rsid w:val="00680AA0"/>
    <w:rsid w:val="00685074"/>
    <w:rsid w:val="00693A54"/>
    <w:rsid w:val="006940A8"/>
    <w:rsid w:val="00694633"/>
    <w:rsid w:val="006A5313"/>
    <w:rsid w:val="006A7CFB"/>
    <w:rsid w:val="006B11D6"/>
    <w:rsid w:val="006B7DF4"/>
    <w:rsid w:val="006C41A2"/>
    <w:rsid w:val="006C4CB2"/>
    <w:rsid w:val="006C56C8"/>
    <w:rsid w:val="006D0D57"/>
    <w:rsid w:val="006D2787"/>
    <w:rsid w:val="006D5BE7"/>
    <w:rsid w:val="006E0F53"/>
    <w:rsid w:val="006E4CA1"/>
    <w:rsid w:val="006E6514"/>
    <w:rsid w:val="006E718A"/>
    <w:rsid w:val="006F24E2"/>
    <w:rsid w:val="00702E17"/>
    <w:rsid w:val="00705CA5"/>
    <w:rsid w:val="00713165"/>
    <w:rsid w:val="0071604D"/>
    <w:rsid w:val="00717018"/>
    <w:rsid w:val="00717391"/>
    <w:rsid w:val="00723814"/>
    <w:rsid w:val="00730927"/>
    <w:rsid w:val="007326F3"/>
    <w:rsid w:val="00740136"/>
    <w:rsid w:val="00742781"/>
    <w:rsid w:val="00752701"/>
    <w:rsid w:val="0075523B"/>
    <w:rsid w:val="00764503"/>
    <w:rsid w:val="00770909"/>
    <w:rsid w:val="007811FE"/>
    <w:rsid w:val="00783571"/>
    <w:rsid w:val="007855DD"/>
    <w:rsid w:val="007872A9"/>
    <w:rsid w:val="00787978"/>
    <w:rsid w:val="00787E5C"/>
    <w:rsid w:val="0079118D"/>
    <w:rsid w:val="007916B7"/>
    <w:rsid w:val="00792095"/>
    <w:rsid w:val="007922F9"/>
    <w:rsid w:val="00793043"/>
    <w:rsid w:val="00796396"/>
    <w:rsid w:val="007A1886"/>
    <w:rsid w:val="007A5CA5"/>
    <w:rsid w:val="007B0722"/>
    <w:rsid w:val="007B2B10"/>
    <w:rsid w:val="007B38C2"/>
    <w:rsid w:val="007B44C8"/>
    <w:rsid w:val="007B6169"/>
    <w:rsid w:val="007C216D"/>
    <w:rsid w:val="007C24AB"/>
    <w:rsid w:val="007C3937"/>
    <w:rsid w:val="007C6644"/>
    <w:rsid w:val="007C70F8"/>
    <w:rsid w:val="007D045A"/>
    <w:rsid w:val="007D17F8"/>
    <w:rsid w:val="007D23AE"/>
    <w:rsid w:val="007D5770"/>
    <w:rsid w:val="007E163D"/>
    <w:rsid w:val="007E78AA"/>
    <w:rsid w:val="007F1550"/>
    <w:rsid w:val="007F5BFF"/>
    <w:rsid w:val="008134DE"/>
    <w:rsid w:val="00820DAF"/>
    <w:rsid w:val="008231E2"/>
    <w:rsid w:val="008315D7"/>
    <w:rsid w:val="00832D3F"/>
    <w:rsid w:val="00840805"/>
    <w:rsid w:val="0084140D"/>
    <w:rsid w:val="00846CB2"/>
    <w:rsid w:val="00853D94"/>
    <w:rsid w:val="0085433C"/>
    <w:rsid w:val="0085517E"/>
    <w:rsid w:val="0085741A"/>
    <w:rsid w:val="00862B71"/>
    <w:rsid w:val="00864789"/>
    <w:rsid w:val="00867951"/>
    <w:rsid w:val="00873B54"/>
    <w:rsid w:val="008803B1"/>
    <w:rsid w:val="00881666"/>
    <w:rsid w:val="00882B6C"/>
    <w:rsid w:val="00884C1F"/>
    <w:rsid w:val="00886166"/>
    <w:rsid w:val="008936AE"/>
    <w:rsid w:val="00893C20"/>
    <w:rsid w:val="0089533E"/>
    <w:rsid w:val="008A0E02"/>
    <w:rsid w:val="008A35A3"/>
    <w:rsid w:val="008B5150"/>
    <w:rsid w:val="008B55B8"/>
    <w:rsid w:val="008B6079"/>
    <w:rsid w:val="008C42E8"/>
    <w:rsid w:val="008D2F11"/>
    <w:rsid w:val="008D798C"/>
    <w:rsid w:val="008E6270"/>
    <w:rsid w:val="008E7385"/>
    <w:rsid w:val="008E7C43"/>
    <w:rsid w:val="008F1860"/>
    <w:rsid w:val="008F2DE5"/>
    <w:rsid w:val="008F6AD8"/>
    <w:rsid w:val="009001C8"/>
    <w:rsid w:val="00900C57"/>
    <w:rsid w:val="00911ABD"/>
    <w:rsid w:val="00913544"/>
    <w:rsid w:val="00916307"/>
    <w:rsid w:val="00916825"/>
    <w:rsid w:val="00923DF9"/>
    <w:rsid w:val="00925D4D"/>
    <w:rsid w:val="00927804"/>
    <w:rsid w:val="00932498"/>
    <w:rsid w:val="0093286C"/>
    <w:rsid w:val="00934130"/>
    <w:rsid w:val="00934385"/>
    <w:rsid w:val="00935655"/>
    <w:rsid w:val="00946D79"/>
    <w:rsid w:val="009538EB"/>
    <w:rsid w:val="00954C5B"/>
    <w:rsid w:val="00954CC1"/>
    <w:rsid w:val="00956651"/>
    <w:rsid w:val="009649F5"/>
    <w:rsid w:val="00965143"/>
    <w:rsid w:val="00971E13"/>
    <w:rsid w:val="00972AB1"/>
    <w:rsid w:val="00972E25"/>
    <w:rsid w:val="00983212"/>
    <w:rsid w:val="009840F8"/>
    <w:rsid w:val="009853CE"/>
    <w:rsid w:val="009900A2"/>
    <w:rsid w:val="00991217"/>
    <w:rsid w:val="00994A9F"/>
    <w:rsid w:val="00996760"/>
    <w:rsid w:val="009A2E58"/>
    <w:rsid w:val="009B07E0"/>
    <w:rsid w:val="009B0E19"/>
    <w:rsid w:val="009B586D"/>
    <w:rsid w:val="009C00D6"/>
    <w:rsid w:val="009C756F"/>
    <w:rsid w:val="009D187D"/>
    <w:rsid w:val="009D5489"/>
    <w:rsid w:val="009E1086"/>
    <w:rsid w:val="009E6FFA"/>
    <w:rsid w:val="009F25DA"/>
    <w:rsid w:val="009F4E05"/>
    <w:rsid w:val="00A00C6D"/>
    <w:rsid w:val="00A018D9"/>
    <w:rsid w:val="00A07F33"/>
    <w:rsid w:val="00A12DDC"/>
    <w:rsid w:val="00A15029"/>
    <w:rsid w:val="00A26219"/>
    <w:rsid w:val="00A30694"/>
    <w:rsid w:val="00A341DC"/>
    <w:rsid w:val="00A34FD4"/>
    <w:rsid w:val="00A350E6"/>
    <w:rsid w:val="00A355A1"/>
    <w:rsid w:val="00A4291B"/>
    <w:rsid w:val="00A54ADA"/>
    <w:rsid w:val="00A57BBC"/>
    <w:rsid w:val="00A601F0"/>
    <w:rsid w:val="00A64982"/>
    <w:rsid w:val="00A81BFA"/>
    <w:rsid w:val="00A84BDE"/>
    <w:rsid w:val="00A85FBA"/>
    <w:rsid w:val="00A93A6E"/>
    <w:rsid w:val="00A94285"/>
    <w:rsid w:val="00A947DF"/>
    <w:rsid w:val="00A97E87"/>
    <w:rsid w:val="00AA17B4"/>
    <w:rsid w:val="00AA1A42"/>
    <w:rsid w:val="00AA71C4"/>
    <w:rsid w:val="00AB395C"/>
    <w:rsid w:val="00AB3E19"/>
    <w:rsid w:val="00AB6E89"/>
    <w:rsid w:val="00AC017F"/>
    <w:rsid w:val="00AC6E2E"/>
    <w:rsid w:val="00AE0369"/>
    <w:rsid w:val="00AE0A5E"/>
    <w:rsid w:val="00AE44B2"/>
    <w:rsid w:val="00AF1307"/>
    <w:rsid w:val="00AF20D0"/>
    <w:rsid w:val="00AF2E6D"/>
    <w:rsid w:val="00AF45B3"/>
    <w:rsid w:val="00AF4C7B"/>
    <w:rsid w:val="00B00767"/>
    <w:rsid w:val="00B01B42"/>
    <w:rsid w:val="00B021A7"/>
    <w:rsid w:val="00B03490"/>
    <w:rsid w:val="00B15D99"/>
    <w:rsid w:val="00B17821"/>
    <w:rsid w:val="00B20AE2"/>
    <w:rsid w:val="00B211FB"/>
    <w:rsid w:val="00B27A6A"/>
    <w:rsid w:val="00B310CC"/>
    <w:rsid w:val="00B31F1B"/>
    <w:rsid w:val="00B322EB"/>
    <w:rsid w:val="00B33F01"/>
    <w:rsid w:val="00B41D4F"/>
    <w:rsid w:val="00B4626A"/>
    <w:rsid w:val="00B468F5"/>
    <w:rsid w:val="00B51127"/>
    <w:rsid w:val="00B544EB"/>
    <w:rsid w:val="00B54585"/>
    <w:rsid w:val="00B55168"/>
    <w:rsid w:val="00B561E6"/>
    <w:rsid w:val="00B63600"/>
    <w:rsid w:val="00B66E85"/>
    <w:rsid w:val="00B70955"/>
    <w:rsid w:val="00B72BBC"/>
    <w:rsid w:val="00B73B77"/>
    <w:rsid w:val="00B7604B"/>
    <w:rsid w:val="00B76F87"/>
    <w:rsid w:val="00B81674"/>
    <w:rsid w:val="00B85F52"/>
    <w:rsid w:val="00B940BC"/>
    <w:rsid w:val="00B96F32"/>
    <w:rsid w:val="00BA3C07"/>
    <w:rsid w:val="00BA66CC"/>
    <w:rsid w:val="00BA7FA9"/>
    <w:rsid w:val="00BC1226"/>
    <w:rsid w:val="00BC3AF0"/>
    <w:rsid w:val="00BC46E1"/>
    <w:rsid w:val="00BC74CA"/>
    <w:rsid w:val="00BD2049"/>
    <w:rsid w:val="00BE7BF1"/>
    <w:rsid w:val="00BF366D"/>
    <w:rsid w:val="00BF4739"/>
    <w:rsid w:val="00C0082A"/>
    <w:rsid w:val="00C048F8"/>
    <w:rsid w:val="00C0529B"/>
    <w:rsid w:val="00C05EEA"/>
    <w:rsid w:val="00C0667C"/>
    <w:rsid w:val="00C1367B"/>
    <w:rsid w:val="00C223DA"/>
    <w:rsid w:val="00C26A6F"/>
    <w:rsid w:val="00C30873"/>
    <w:rsid w:val="00C34485"/>
    <w:rsid w:val="00C37A21"/>
    <w:rsid w:val="00C37AC1"/>
    <w:rsid w:val="00C43AB2"/>
    <w:rsid w:val="00C50E91"/>
    <w:rsid w:val="00C6023D"/>
    <w:rsid w:val="00C626DB"/>
    <w:rsid w:val="00C63A86"/>
    <w:rsid w:val="00C71B1D"/>
    <w:rsid w:val="00C72977"/>
    <w:rsid w:val="00C76AB6"/>
    <w:rsid w:val="00C85CDA"/>
    <w:rsid w:val="00C879E7"/>
    <w:rsid w:val="00C90F41"/>
    <w:rsid w:val="00C91685"/>
    <w:rsid w:val="00C92ADD"/>
    <w:rsid w:val="00C96BD0"/>
    <w:rsid w:val="00CA3468"/>
    <w:rsid w:val="00CA47C1"/>
    <w:rsid w:val="00CA64E6"/>
    <w:rsid w:val="00CA6F9F"/>
    <w:rsid w:val="00CB19BE"/>
    <w:rsid w:val="00CB3F24"/>
    <w:rsid w:val="00CC2C92"/>
    <w:rsid w:val="00CD3556"/>
    <w:rsid w:val="00CE1163"/>
    <w:rsid w:val="00CE3571"/>
    <w:rsid w:val="00CF1AB1"/>
    <w:rsid w:val="00CF454A"/>
    <w:rsid w:val="00D021FB"/>
    <w:rsid w:val="00D067DD"/>
    <w:rsid w:val="00D1634A"/>
    <w:rsid w:val="00D211D1"/>
    <w:rsid w:val="00D23BD3"/>
    <w:rsid w:val="00D26AC0"/>
    <w:rsid w:val="00D34927"/>
    <w:rsid w:val="00D35BE1"/>
    <w:rsid w:val="00D35CCA"/>
    <w:rsid w:val="00D35EA2"/>
    <w:rsid w:val="00D372C4"/>
    <w:rsid w:val="00D41AF6"/>
    <w:rsid w:val="00D42E92"/>
    <w:rsid w:val="00D44E17"/>
    <w:rsid w:val="00D50F76"/>
    <w:rsid w:val="00D5381E"/>
    <w:rsid w:val="00D551C9"/>
    <w:rsid w:val="00D571BD"/>
    <w:rsid w:val="00D7217F"/>
    <w:rsid w:val="00D77BBE"/>
    <w:rsid w:val="00D815C4"/>
    <w:rsid w:val="00D87DA2"/>
    <w:rsid w:val="00D950D2"/>
    <w:rsid w:val="00D96084"/>
    <w:rsid w:val="00D962C2"/>
    <w:rsid w:val="00D97188"/>
    <w:rsid w:val="00D976FC"/>
    <w:rsid w:val="00DA4B6A"/>
    <w:rsid w:val="00DB2A2F"/>
    <w:rsid w:val="00DC293C"/>
    <w:rsid w:val="00DC2EA0"/>
    <w:rsid w:val="00DC61EA"/>
    <w:rsid w:val="00DD3A7F"/>
    <w:rsid w:val="00DD6BC9"/>
    <w:rsid w:val="00DE233D"/>
    <w:rsid w:val="00DE3CDB"/>
    <w:rsid w:val="00DF0E65"/>
    <w:rsid w:val="00DF126A"/>
    <w:rsid w:val="00DF7785"/>
    <w:rsid w:val="00E035D1"/>
    <w:rsid w:val="00E05A73"/>
    <w:rsid w:val="00E067BD"/>
    <w:rsid w:val="00E07E37"/>
    <w:rsid w:val="00E17D65"/>
    <w:rsid w:val="00E248BB"/>
    <w:rsid w:val="00E2583E"/>
    <w:rsid w:val="00E34FAC"/>
    <w:rsid w:val="00E37C5D"/>
    <w:rsid w:val="00E42395"/>
    <w:rsid w:val="00E54694"/>
    <w:rsid w:val="00E54E28"/>
    <w:rsid w:val="00E55074"/>
    <w:rsid w:val="00E55E71"/>
    <w:rsid w:val="00E56FA1"/>
    <w:rsid w:val="00E71049"/>
    <w:rsid w:val="00E754EB"/>
    <w:rsid w:val="00E76685"/>
    <w:rsid w:val="00E77F00"/>
    <w:rsid w:val="00E822E0"/>
    <w:rsid w:val="00E9032F"/>
    <w:rsid w:val="00EA63B5"/>
    <w:rsid w:val="00EA684F"/>
    <w:rsid w:val="00EA7773"/>
    <w:rsid w:val="00EB0E10"/>
    <w:rsid w:val="00EB14D6"/>
    <w:rsid w:val="00EB20FC"/>
    <w:rsid w:val="00EB46BA"/>
    <w:rsid w:val="00EB6864"/>
    <w:rsid w:val="00EC610A"/>
    <w:rsid w:val="00ED00F7"/>
    <w:rsid w:val="00ED3A3F"/>
    <w:rsid w:val="00ED5C56"/>
    <w:rsid w:val="00ED74BD"/>
    <w:rsid w:val="00EE0A92"/>
    <w:rsid w:val="00EE3327"/>
    <w:rsid w:val="00EF0E1A"/>
    <w:rsid w:val="00EF26FE"/>
    <w:rsid w:val="00EF297A"/>
    <w:rsid w:val="00EF357F"/>
    <w:rsid w:val="00EF6CAC"/>
    <w:rsid w:val="00F005E2"/>
    <w:rsid w:val="00F02D26"/>
    <w:rsid w:val="00F03107"/>
    <w:rsid w:val="00F049D3"/>
    <w:rsid w:val="00F061E1"/>
    <w:rsid w:val="00F14211"/>
    <w:rsid w:val="00F14EDE"/>
    <w:rsid w:val="00F246FE"/>
    <w:rsid w:val="00F25CC6"/>
    <w:rsid w:val="00F33FDB"/>
    <w:rsid w:val="00F34468"/>
    <w:rsid w:val="00F35C49"/>
    <w:rsid w:val="00F47F06"/>
    <w:rsid w:val="00F505F5"/>
    <w:rsid w:val="00F5480D"/>
    <w:rsid w:val="00F553F0"/>
    <w:rsid w:val="00F5692C"/>
    <w:rsid w:val="00F70D71"/>
    <w:rsid w:val="00F7535E"/>
    <w:rsid w:val="00F75E5E"/>
    <w:rsid w:val="00F774C4"/>
    <w:rsid w:val="00F808B8"/>
    <w:rsid w:val="00F84226"/>
    <w:rsid w:val="00F91B9D"/>
    <w:rsid w:val="00FA0B62"/>
    <w:rsid w:val="00FA1981"/>
    <w:rsid w:val="00FA77AA"/>
    <w:rsid w:val="00FB3E87"/>
    <w:rsid w:val="00FC3C56"/>
    <w:rsid w:val="00FC5DCE"/>
    <w:rsid w:val="00FC68CF"/>
    <w:rsid w:val="00FC7368"/>
    <w:rsid w:val="00FC7AE1"/>
    <w:rsid w:val="00FD0140"/>
    <w:rsid w:val="00FD0BC6"/>
    <w:rsid w:val="00FE5251"/>
    <w:rsid w:val="00FE6814"/>
    <w:rsid w:val="00FF6EA4"/>
  </w:rsids>
  <m:mathPr>
    <m:mathFont m:val="Cambria Math"/>
    <m:brkBin m:val="before"/>
    <m:brkBinSub m:val="--"/>
    <m:smallFrac/>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ID"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6C4D"/>
    <w:pPr>
      <w:spacing w:after="200" w:line="276" w:lineRule="auto"/>
    </w:pPr>
    <w:rPr>
      <w:sz w:val="22"/>
      <w:szCs w:val="28"/>
      <w:lang w:val="en-US" w:bidi="bn-IN"/>
    </w:rPr>
  </w:style>
  <w:style w:type="paragraph" w:styleId="Heading1">
    <w:name w:val="heading 1"/>
    <w:next w:val="Normal"/>
    <w:link w:val="Heading1Char"/>
    <w:qFormat/>
    <w:rsid w:val="00ED3A3F"/>
    <w:pPr>
      <w:keepNext/>
      <w:keepLines/>
      <w:pBdr>
        <w:top w:val="nil"/>
        <w:left w:val="nil"/>
        <w:bottom w:val="nil"/>
        <w:right w:val="nil"/>
        <w:between w:val="nil"/>
        <w:bar w:val="nil"/>
      </w:pBdr>
      <w:spacing w:before="240" w:after="120" w:line="360" w:lineRule="auto"/>
      <w:outlineLvl w:val="0"/>
    </w:pPr>
    <w:rPr>
      <w:rFonts w:ascii="Times New Roman Bold" w:eastAsia="Times New Roman Bold" w:hAnsi="Times New Roman Bold" w:cs="Times New Roman Bold"/>
      <w:color w:val="000000"/>
      <w:sz w:val="28"/>
      <w:szCs w:val="28"/>
      <w:u w:color="000000"/>
      <w:bdr w:val="nil"/>
      <w:lang w:val="en-US" w:eastAsia="fi-FI"/>
    </w:rPr>
  </w:style>
  <w:style w:type="paragraph" w:styleId="Heading2">
    <w:name w:val="heading 2"/>
    <w:next w:val="Normal"/>
    <w:link w:val="Heading2Char"/>
    <w:qFormat/>
    <w:rsid w:val="00ED3A3F"/>
    <w:pPr>
      <w:keepNext/>
      <w:keepLines/>
      <w:pBdr>
        <w:top w:val="nil"/>
        <w:left w:val="nil"/>
        <w:bottom w:val="nil"/>
        <w:right w:val="nil"/>
        <w:between w:val="nil"/>
        <w:bar w:val="nil"/>
      </w:pBdr>
      <w:spacing w:before="40" w:after="120" w:line="360" w:lineRule="auto"/>
      <w:outlineLvl w:val="1"/>
    </w:pPr>
    <w:rPr>
      <w:rFonts w:ascii="Times New Roman Bold" w:eastAsia="Times New Roman Bold" w:hAnsi="Times New Roman Bold" w:cs="Times New Roman Bold"/>
      <w:color w:val="000000"/>
      <w:sz w:val="24"/>
      <w:szCs w:val="24"/>
      <w:u w:color="000000"/>
      <w:bdr w:val="nil"/>
      <w:lang w:val="en-US" w:eastAsia="fi-FI"/>
    </w:rPr>
  </w:style>
  <w:style w:type="paragraph" w:styleId="Heading3">
    <w:name w:val="heading 3"/>
    <w:next w:val="Normal"/>
    <w:link w:val="Heading3Char"/>
    <w:qFormat/>
    <w:rsid w:val="00ED3A3F"/>
    <w:pPr>
      <w:keepNext/>
      <w:keepLines/>
      <w:pBdr>
        <w:top w:val="nil"/>
        <w:left w:val="nil"/>
        <w:bottom w:val="nil"/>
        <w:right w:val="nil"/>
        <w:between w:val="nil"/>
        <w:bar w:val="nil"/>
      </w:pBdr>
      <w:spacing w:before="40" w:after="120" w:line="360" w:lineRule="auto"/>
      <w:outlineLvl w:val="2"/>
    </w:pPr>
    <w:rPr>
      <w:rFonts w:ascii="Times New Roman" w:eastAsia="Times New Roman" w:hAnsi="Times New Roman"/>
      <w:color w:val="000000"/>
      <w:sz w:val="24"/>
      <w:szCs w:val="24"/>
      <w:u w:color="000000"/>
      <w:bdr w:val="nil"/>
      <w:lang w:val="en-US" w:eastAsia="fi-FI"/>
    </w:rPr>
  </w:style>
  <w:style w:type="paragraph" w:styleId="Heading4">
    <w:name w:val="heading 4"/>
    <w:basedOn w:val="Normal"/>
    <w:next w:val="Normal"/>
    <w:link w:val="Heading4Char"/>
    <w:uiPriority w:val="9"/>
    <w:unhideWhenUsed/>
    <w:qFormat/>
    <w:rsid w:val="00ED3A3F"/>
    <w:pPr>
      <w:keepNext/>
      <w:keepLines/>
      <w:pBdr>
        <w:top w:val="nil"/>
        <w:left w:val="nil"/>
        <w:bottom w:val="nil"/>
        <w:right w:val="nil"/>
        <w:between w:val="nil"/>
        <w:bar w:val="nil"/>
      </w:pBdr>
      <w:spacing w:before="200" w:after="0" w:line="360" w:lineRule="auto"/>
      <w:outlineLvl w:val="3"/>
    </w:pPr>
    <w:rPr>
      <w:rFonts w:ascii="Times New Roman" w:eastAsia="Times New Roman" w:hAnsi="Times New Roman"/>
      <w:bCs/>
      <w:iCs/>
      <w:sz w:val="24"/>
      <w:szCs w:val="24"/>
      <w:u w:color="000000"/>
      <w:bdr w:val="nil"/>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Char,Footnote Text Char1 Char,Footnote Text Char Char1 Char,Footnote Text Char1 Char Char Char,Footnote Text Char Char1 Char Char Char,Footnote Text Char Char2 Char,Footnote Text Char1 Char1,Char Char Char Char,Char Char Char Char Char"/>
    <w:basedOn w:val="Normal"/>
    <w:link w:val="FootnoteTextChar"/>
    <w:uiPriority w:val="99"/>
    <w:qFormat/>
    <w:rsid w:val="00934130"/>
    <w:pPr>
      <w:spacing w:after="0" w:line="240" w:lineRule="auto"/>
    </w:pPr>
    <w:rPr>
      <w:rFonts w:ascii="Times New Roman" w:eastAsia="SimSun" w:hAnsi="Times New Roman"/>
      <w:sz w:val="20"/>
      <w:szCs w:val="20"/>
      <w:lang w:eastAsia="zh-CN" w:bidi="ar-SA"/>
    </w:rPr>
  </w:style>
  <w:style w:type="character" w:customStyle="1" w:styleId="FootnoteTextChar">
    <w:name w:val="Footnote Text Char"/>
    <w:aliases w:val="Char Char,Footnote Text Char1 Char Char,Footnote Text Char Char1 Char Char,Footnote Text Char1 Char Char Char Char,Footnote Text Char Char1 Char Char Char Char,Footnote Text Char Char2 Char Char,Footnote Text Char1 Char1 Char"/>
    <w:link w:val="FootnoteText"/>
    <w:uiPriority w:val="99"/>
    <w:qFormat/>
    <w:rsid w:val="00934130"/>
    <w:rPr>
      <w:rFonts w:ascii="Times New Roman" w:eastAsia="SimSun" w:hAnsi="Times New Roman" w:cs="Times New Roman"/>
      <w:sz w:val="20"/>
      <w:szCs w:val="20"/>
      <w:lang w:eastAsia="zh-CN" w:bidi="ar-SA"/>
    </w:rPr>
  </w:style>
  <w:style w:type="character" w:styleId="FootnoteReference">
    <w:name w:val="footnote reference"/>
    <w:aliases w:val="fr"/>
    <w:qFormat/>
    <w:rsid w:val="00934130"/>
    <w:rPr>
      <w:vertAlign w:val="superscript"/>
    </w:rPr>
  </w:style>
  <w:style w:type="paragraph" w:styleId="ListParagraph">
    <w:name w:val="List Paragraph"/>
    <w:basedOn w:val="Normal"/>
    <w:uiPriority w:val="34"/>
    <w:qFormat/>
    <w:rsid w:val="00C37A21"/>
    <w:pPr>
      <w:ind w:left="720"/>
      <w:contextualSpacing/>
    </w:pPr>
  </w:style>
  <w:style w:type="paragraph" w:styleId="BalloonText">
    <w:name w:val="Balloon Text"/>
    <w:basedOn w:val="Normal"/>
    <w:link w:val="BalloonTextChar"/>
    <w:uiPriority w:val="99"/>
    <w:semiHidden/>
    <w:unhideWhenUsed/>
    <w:rsid w:val="00643BF3"/>
    <w:pPr>
      <w:spacing w:after="0" w:line="240" w:lineRule="auto"/>
    </w:pPr>
    <w:rPr>
      <w:rFonts w:ascii="Tahoma" w:hAnsi="Tahoma" w:cs="Tahoma"/>
      <w:sz w:val="16"/>
      <w:szCs w:val="20"/>
    </w:rPr>
  </w:style>
  <w:style w:type="character" w:customStyle="1" w:styleId="BalloonTextChar">
    <w:name w:val="Balloon Text Char"/>
    <w:link w:val="BalloonText"/>
    <w:uiPriority w:val="99"/>
    <w:semiHidden/>
    <w:rsid w:val="00643BF3"/>
    <w:rPr>
      <w:rFonts w:ascii="Tahoma" w:hAnsi="Tahoma" w:cs="Tahoma"/>
      <w:sz w:val="16"/>
      <w:szCs w:val="20"/>
    </w:rPr>
  </w:style>
  <w:style w:type="paragraph" w:styleId="Bibliography">
    <w:name w:val="Bibliography"/>
    <w:basedOn w:val="Normal"/>
    <w:next w:val="Normal"/>
    <w:uiPriority w:val="37"/>
    <w:unhideWhenUsed/>
    <w:rsid w:val="00D44E17"/>
  </w:style>
  <w:style w:type="paragraph" w:styleId="NoSpacing">
    <w:name w:val="No Spacing"/>
    <w:uiPriority w:val="1"/>
    <w:qFormat/>
    <w:rsid w:val="001A55CA"/>
    <w:pPr>
      <w:jc w:val="both"/>
    </w:pPr>
    <w:rPr>
      <w:sz w:val="22"/>
      <w:szCs w:val="22"/>
      <w:lang w:val="en-US"/>
    </w:rPr>
  </w:style>
  <w:style w:type="paragraph" w:styleId="Header">
    <w:name w:val="header"/>
    <w:basedOn w:val="Normal"/>
    <w:link w:val="HeaderChar"/>
    <w:uiPriority w:val="99"/>
    <w:unhideWhenUsed/>
    <w:rsid w:val="00A00C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0C6D"/>
  </w:style>
  <w:style w:type="paragraph" w:styleId="Footer">
    <w:name w:val="footer"/>
    <w:basedOn w:val="Normal"/>
    <w:link w:val="FooterChar"/>
    <w:uiPriority w:val="99"/>
    <w:unhideWhenUsed/>
    <w:rsid w:val="00A00C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0C6D"/>
  </w:style>
  <w:style w:type="paragraph" w:styleId="EndnoteText">
    <w:name w:val="endnote text"/>
    <w:basedOn w:val="Normal"/>
    <w:link w:val="EndnoteTextChar"/>
    <w:uiPriority w:val="99"/>
    <w:semiHidden/>
    <w:unhideWhenUsed/>
    <w:rsid w:val="007811FE"/>
    <w:pPr>
      <w:spacing w:after="0" w:line="240" w:lineRule="auto"/>
    </w:pPr>
    <w:rPr>
      <w:sz w:val="20"/>
      <w:szCs w:val="25"/>
    </w:rPr>
  </w:style>
  <w:style w:type="character" w:customStyle="1" w:styleId="EndnoteTextChar">
    <w:name w:val="Endnote Text Char"/>
    <w:link w:val="EndnoteText"/>
    <w:uiPriority w:val="99"/>
    <w:semiHidden/>
    <w:rsid w:val="007811FE"/>
    <w:rPr>
      <w:sz w:val="20"/>
      <w:szCs w:val="25"/>
    </w:rPr>
  </w:style>
  <w:style w:type="character" w:styleId="EndnoteReference">
    <w:name w:val="endnote reference"/>
    <w:uiPriority w:val="99"/>
    <w:semiHidden/>
    <w:unhideWhenUsed/>
    <w:rsid w:val="007811FE"/>
    <w:rPr>
      <w:vertAlign w:val="superscript"/>
    </w:rPr>
  </w:style>
  <w:style w:type="character" w:styleId="Hyperlink">
    <w:name w:val="Hyperlink"/>
    <w:uiPriority w:val="99"/>
    <w:unhideWhenUsed/>
    <w:rsid w:val="00A07F33"/>
    <w:rPr>
      <w:color w:val="0000FF"/>
      <w:u w:val="single"/>
    </w:rPr>
  </w:style>
  <w:style w:type="paragraph" w:customStyle="1" w:styleId="Default">
    <w:name w:val="Default"/>
    <w:rsid w:val="00A07F33"/>
    <w:pPr>
      <w:autoSpaceDE w:val="0"/>
      <w:autoSpaceDN w:val="0"/>
      <w:adjustRightInd w:val="0"/>
    </w:pPr>
    <w:rPr>
      <w:rFonts w:ascii="Times New Roman" w:hAnsi="Times New Roman"/>
      <w:color w:val="000000"/>
      <w:sz w:val="24"/>
      <w:szCs w:val="24"/>
      <w:lang w:val="en-US" w:bidi="bn-IN"/>
    </w:rPr>
  </w:style>
  <w:style w:type="paragraph" w:customStyle="1" w:styleId="Style1">
    <w:name w:val="Style1"/>
    <w:basedOn w:val="NoSpacing"/>
    <w:link w:val="Style1Char"/>
    <w:qFormat/>
    <w:rsid w:val="00C76AB6"/>
    <w:pPr>
      <w:jc w:val="left"/>
    </w:pPr>
    <w:rPr>
      <w:rFonts w:cs="Vrinda"/>
    </w:rPr>
  </w:style>
  <w:style w:type="character" w:customStyle="1" w:styleId="Style1Char">
    <w:name w:val="Style1 Char"/>
    <w:link w:val="Style1"/>
    <w:rsid w:val="00C76AB6"/>
    <w:rPr>
      <w:rFonts w:ascii="Calibri" w:eastAsia="Calibri" w:hAnsi="Calibri" w:cs="Vrinda"/>
      <w:szCs w:val="22"/>
      <w:lang w:bidi="ar-SA"/>
    </w:rPr>
  </w:style>
  <w:style w:type="paragraph" w:styleId="BodyText2">
    <w:name w:val="Body Text 2"/>
    <w:basedOn w:val="Normal"/>
    <w:link w:val="BodyText2Char"/>
    <w:semiHidden/>
    <w:rsid w:val="00FC7AE1"/>
    <w:pPr>
      <w:tabs>
        <w:tab w:val="left" w:pos="748"/>
      </w:tabs>
      <w:spacing w:after="0" w:line="360" w:lineRule="auto"/>
    </w:pPr>
    <w:rPr>
      <w:rFonts w:ascii="Times New Roman" w:eastAsia="Times New Roman" w:hAnsi="Times New Roman"/>
      <w:sz w:val="26"/>
      <w:szCs w:val="20"/>
      <w:lang w:bidi="ar-SA"/>
    </w:rPr>
  </w:style>
  <w:style w:type="character" w:customStyle="1" w:styleId="BodyText2Char">
    <w:name w:val="Body Text 2 Char"/>
    <w:link w:val="BodyText2"/>
    <w:semiHidden/>
    <w:rsid w:val="00FC7AE1"/>
    <w:rPr>
      <w:rFonts w:ascii="Times New Roman" w:eastAsia="Times New Roman" w:hAnsi="Times New Roman" w:cs="Times New Roman"/>
      <w:sz w:val="26"/>
      <w:szCs w:val="20"/>
      <w:lang w:bidi="ar-SA"/>
    </w:rPr>
  </w:style>
  <w:style w:type="character" w:styleId="CommentReference">
    <w:name w:val="annotation reference"/>
    <w:uiPriority w:val="99"/>
    <w:semiHidden/>
    <w:unhideWhenUsed/>
    <w:rsid w:val="000F3B4F"/>
    <w:rPr>
      <w:sz w:val="16"/>
      <w:szCs w:val="16"/>
    </w:rPr>
  </w:style>
  <w:style w:type="paragraph" w:styleId="CommentText">
    <w:name w:val="annotation text"/>
    <w:basedOn w:val="Normal"/>
    <w:link w:val="CommentTextChar"/>
    <w:uiPriority w:val="99"/>
    <w:unhideWhenUsed/>
    <w:rsid w:val="000F3B4F"/>
    <w:pPr>
      <w:spacing w:line="240" w:lineRule="auto"/>
    </w:pPr>
    <w:rPr>
      <w:sz w:val="20"/>
      <w:szCs w:val="25"/>
    </w:rPr>
  </w:style>
  <w:style w:type="character" w:customStyle="1" w:styleId="CommentTextChar">
    <w:name w:val="Comment Text Char"/>
    <w:link w:val="CommentText"/>
    <w:uiPriority w:val="99"/>
    <w:rsid w:val="000F3B4F"/>
    <w:rPr>
      <w:sz w:val="20"/>
      <w:szCs w:val="25"/>
    </w:rPr>
  </w:style>
  <w:style w:type="paragraph" w:styleId="CommentSubject">
    <w:name w:val="annotation subject"/>
    <w:basedOn w:val="CommentText"/>
    <w:next w:val="CommentText"/>
    <w:link w:val="CommentSubjectChar"/>
    <w:uiPriority w:val="99"/>
    <w:semiHidden/>
    <w:unhideWhenUsed/>
    <w:rsid w:val="000F3B4F"/>
    <w:rPr>
      <w:b/>
      <w:bCs/>
    </w:rPr>
  </w:style>
  <w:style w:type="character" w:customStyle="1" w:styleId="CommentSubjectChar">
    <w:name w:val="Comment Subject Char"/>
    <w:link w:val="CommentSubject"/>
    <w:uiPriority w:val="99"/>
    <w:semiHidden/>
    <w:rsid w:val="000F3B4F"/>
    <w:rPr>
      <w:b/>
      <w:bCs/>
      <w:sz w:val="20"/>
      <w:szCs w:val="25"/>
    </w:rPr>
  </w:style>
  <w:style w:type="character" w:customStyle="1" w:styleId="apple-converted-space">
    <w:name w:val="apple-converted-space"/>
    <w:basedOn w:val="DefaultParagraphFont"/>
    <w:rsid w:val="00323A6E"/>
  </w:style>
  <w:style w:type="character" w:customStyle="1" w:styleId="Mention">
    <w:name w:val="Mention"/>
    <w:uiPriority w:val="99"/>
    <w:semiHidden/>
    <w:unhideWhenUsed/>
    <w:rsid w:val="0035562C"/>
    <w:rPr>
      <w:color w:val="2B579A"/>
      <w:shd w:val="clear" w:color="auto" w:fill="E6E6E6"/>
    </w:rPr>
  </w:style>
  <w:style w:type="character" w:customStyle="1" w:styleId="UnresolvedMention">
    <w:name w:val="Unresolved Mention"/>
    <w:uiPriority w:val="99"/>
    <w:semiHidden/>
    <w:unhideWhenUsed/>
    <w:rsid w:val="00AC017F"/>
    <w:rPr>
      <w:color w:val="808080"/>
      <w:shd w:val="clear" w:color="auto" w:fill="E6E6E6"/>
    </w:rPr>
  </w:style>
  <w:style w:type="character" w:customStyle="1" w:styleId="Heading1Char">
    <w:name w:val="Heading 1 Char"/>
    <w:link w:val="Heading1"/>
    <w:rsid w:val="00ED3A3F"/>
    <w:rPr>
      <w:rFonts w:ascii="Times New Roman Bold" w:eastAsia="Times New Roman Bold" w:hAnsi="Times New Roman Bold" w:cs="Times New Roman Bold"/>
      <w:color w:val="000000"/>
      <w:sz w:val="28"/>
      <w:u w:color="000000"/>
      <w:bdr w:val="nil"/>
      <w:lang w:eastAsia="fi-FI" w:bidi="ar-SA"/>
    </w:rPr>
  </w:style>
  <w:style w:type="character" w:customStyle="1" w:styleId="Heading2Char">
    <w:name w:val="Heading 2 Char"/>
    <w:link w:val="Heading2"/>
    <w:rsid w:val="00ED3A3F"/>
    <w:rPr>
      <w:rFonts w:ascii="Times New Roman Bold" w:eastAsia="Times New Roman Bold" w:hAnsi="Times New Roman Bold" w:cs="Times New Roman Bold"/>
      <w:color w:val="000000"/>
      <w:sz w:val="24"/>
      <w:szCs w:val="24"/>
      <w:u w:color="000000"/>
      <w:bdr w:val="nil"/>
      <w:lang w:eastAsia="fi-FI" w:bidi="ar-SA"/>
    </w:rPr>
  </w:style>
  <w:style w:type="character" w:customStyle="1" w:styleId="Heading3Char">
    <w:name w:val="Heading 3 Char"/>
    <w:link w:val="Heading3"/>
    <w:rsid w:val="00ED3A3F"/>
    <w:rPr>
      <w:rFonts w:ascii="Times New Roman" w:eastAsia="Times New Roman" w:hAnsi="Times New Roman" w:cs="Times New Roman"/>
      <w:color w:val="000000"/>
      <w:sz w:val="24"/>
      <w:szCs w:val="24"/>
      <w:u w:color="000000"/>
      <w:bdr w:val="nil"/>
      <w:lang w:eastAsia="fi-FI" w:bidi="ar-SA"/>
    </w:rPr>
  </w:style>
  <w:style w:type="character" w:customStyle="1" w:styleId="Heading4Char">
    <w:name w:val="Heading 4 Char"/>
    <w:link w:val="Heading4"/>
    <w:uiPriority w:val="9"/>
    <w:rsid w:val="00ED3A3F"/>
    <w:rPr>
      <w:rFonts w:ascii="Times New Roman" w:eastAsia="Times New Roman" w:hAnsi="Times New Roman" w:cs="Times New Roman"/>
      <w:bCs/>
      <w:iCs/>
      <w:sz w:val="24"/>
      <w:szCs w:val="24"/>
      <w:u w:color="000000"/>
      <w:bdr w:val="nil"/>
      <w:lang w:bidi="ar-SA"/>
    </w:rPr>
  </w:style>
  <w:style w:type="table" w:customStyle="1" w:styleId="TableNormal1">
    <w:name w:val="Table Normal1"/>
    <w:rsid w:val="00ED3A3F"/>
    <w:pPr>
      <w:pBdr>
        <w:top w:val="nil"/>
        <w:left w:val="nil"/>
        <w:bottom w:val="nil"/>
        <w:right w:val="nil"/>
        <w:between w:val="nil"/>
        <w:bar w:val="nil"/>
      </w:pBdr>
    </w:pPr>
    <w:rPr>
      <w:rFonts w:ascii="Times New Roman" w:eastAsia="Arial Unicode MS" w:hAnsi="Times New Roman"/>
      <w:sz w:val="24"/>
      <w:szCs w:val="24"/>
      <w:bdr w:val="nil"/>
      <w:lang w:val="fi-FI" w:eastAsia="fi-FI"/>
    </w:rPr>
    <w:tblPr>
      <w:tblInd w:w="0" w:type="dxa"/>
      <w:tblCellMar>
        <w:top w:w="0" w:type="dxa"/>
        <w:left w:w="0" w:type="dxa"/>
        <w:bottom w:w="0" w:type="dxa"/>
        <w:right w:w="0" w:type="dxa"/>
      </w:tblCellMar>
    </w:tblPr>
  </w:style>
  <w:style w:type="paragraph" w:customStyle="1" w:styleId="Yl-jaalaotsake">
    <w:name w:val="Ylä- ja alaotsake"/>
    <w:rsid w:val="00ED3A3F"/>
    <w:pPr>
      <w:pBdr>
        <w:top w:val="nil"/>
        <w:left w:val="nil"/>
        <w:bottom w:val="nil"/>
        <w:right w:val="nil"/>
        <w:between w:val="nil"/>
        <w:bar w:val="nil"/>
      </w:pBdr>
      <w:tabs>
        <w:tab w:val="right" w:pos="9020"/>
      </w:tabs>
    </w:pPr>
    <w:rPr>
      <w:rFonts w:ascii="Helvetica" w:eastAsia="Arial Unicode MS" w:hAnsi="Arial Unicode MS" w:cs="Arial Unicode MS"/>
      <w:color w:val="000000"/>
      <w:sz w:val="24"/>
      <w:szCs w:val="24"/>
      <w:bdr w:val="nil"/>
      <w:lang w:val="fi-FI" w:eastAsia="fi-FI"/>
    </w:rPr>
  </w:style>
  <w:style w:type="paragraph" w:styleId="TOCHeading">
    <w:name w:val="TOC Heading"/>
    <w:next w:val="Normal"/>
    <w:uiPriority w:val="39"/>
    <w:qFormat/>
    <w:rsid w:val="00ED3A3F"/>
    <w:pPr>
      <w:keepNext/>
      <w:keepLines/>
      <w:pBdr>
        <w:top w:val="nil"/>
        <w:left w:val="nil"/>
        <w:bottom w:val="nil"/>
        <w:right w:val="nil"/>
        <w:between w:val="nil"/>
        <w:bar w:val="nil"/>
      </w:pBdr>
      <w:spacing w:before="240" w:after="120" w:line="259" w:lineRule="auto"/>
    </w:pPr>
    <w:rPr>
      <w:rFonts w:ascii="Calibri Light" w:eastAsia="Calibri Light" w:hAnsi="Calibri Light" w:cs="Calibri Light"/>
      <w:color w:val="2E74B5"/>
      <w:sz w:val="32"/>
      <w:szCs w:val="32"/>
      <w:u w:color="2E74B5"/>
      <w:bdr w:val="nil"/>
      <w:lang w:val="en-US" w:eastAsia="fi-FI"/>
    </w:rPr>
  </w:style>
  <w:style w:type="paragraph" w:customStyle="1" w:styleId="TOC11">
    <w:name w:val="TOC 11"/>
    <w:rsid w:val="00ED3A3F"/>
    <w:pPr>
      <w:pBdr>
        <w:top w:val="nil"/>
        <w:left w:val="nil"/>
        <w:bottom w:val="nil"/>
        <w:right w:val="nil"/>
        <w:between w:val="nil"/>
        <w:bar w:val="nil"/>
      </w:pBdr>
      <w:tabs>
        <w:tab w:val="right" w:pos="9044"/>
      </w:tabs>
      <w:spacing w:after="100" w:line="360" w:lineRule="auto"/>
    </w:pPr>
    <w:rPr>
      <w:rFonts w:ascii="Times New Roman Bold" w:eastAsia="Times New Roman Bold" w:hAnsi="Times New Roman Bold" w:cs="Times New Roman Bold"/>
      <w:color w:val="000000"/>
      <w:sz w:val="28"/>
      <w:szCs w:val="28"/>
      <w:u w:color="000000"/>
      <w:bdr w:val="nil"/>
      <w:lang w:val="en-US" w:eastAsia="fi-FI"/>
    </w:rPr>
  </w:style>
  <w:style w:type="paragraph" w:customStyle="1" w:styleId="TOC21">
    <w:name w:val="TOC 21"/>
    <w:rsid w:val="00ED3A3F"/>
    <w:pPr>
      <w:pBdr>
        <w:top w:val="nil"/>
        <w:left w:val="nil"/>
        <w:bottom w:val="nil"/>
        <w:right w:val="nil"/>
        <w:between w:val="nil"/>
        <w:bar w:val="nil"/>
      </w:pBdr>
      <w:tabs>
        <w:tab w:val="right" w:pos="9044"/>
      </w:tabs>
      <w:spacing w:after="100" w:line="360" w:lineRule="auto"/>
    </w:pPr>
    <w:rPr>
      <w:rFonts w:ascii="Times New Roman Bold" w:eastAsia="Times New Roman Bold" w:hAnsi="Times New Roman Bold" w:cs="Times New Roman Bold"/>
      <w:color w:val="000000"/>
      <w:sz w:val="28"/>
      <w:szCs w:val="28"/>
      <w:u w:color="000000"/>
      <w:bdr w:val="nil"/>
      <w:lang w:val="fi-FI" w:eastAsia="fi-FI"/>
    </w:rPr>
  </w:style>
  <w:style w:type="paragraph" w:customStyle="1" w:styleId="TOC31">
    <w:name w:val="TOC 31"/>
    <w:rsid w:val="00ED3A3F"/>
    <w:pPr>
      <w:pBdr>
        <w:top w:val="nil"/>
        <w:left w:val="nil"/>
        <w:bottom w:val="nil"/>
        <w:right w:val="nil"/>
        <w:between w:val="nil"/>
        <w:bar w:val="nil"/>
      </w:pBdr>
      <w:tabs>
        <w:tab w:val="right" w:pos="9044"/>
      </w:tabs>
      <w:spacing w:after="100" w:line="360" w:lineRule="auto"/>
      <w:ind w:left="480"/>
    </w:pPr>
    <w:rPr>
      <w:rFonts w:ascii="Times New Roman" w:eastAsia="Times New Roman" w:hAnsi="Times New Roman"/>
      <w:color w:val="000000"/>
      <w:sz w:val="24"/>
      <w:szCs w:val="24"/>
      <w:u w:color="000000"/>
      <w:bdr w:val="nil"/>
      <w:lang w:val="en-US" w:eastAsia="fi-FI"/>
    </w:rPr>
  </w:style>
  <w:style w:type="numbering" w:customStyle="1" w:styleId="List0">
    <w:name w:val="List 0"/>
    <w:basedOn w:val="Tuotutyyli1"/>
    <w:rsid w:val="00ED3A3F"/>
    <w:pPr>
      <w:numPr>
        <w:numId w:val="5"/>
      </w:numPr>
    </w:pPr>
  </w:style>
  <w:style w:type="numbering" w:customStyle="1" w:styleId="Tuotutyyli1">
    <w:name w:val="Tuotu tyyli: 1"/>
    <w:rsid w:val="00ED3A3F"/>
  </w:style>
  <w:style w:type="character" w:customStyle="1" w:styleId="Linkki">
    <w:name w:val="Linkki"/>
    <w:rsid w:val="00ED3A3F"/>
    <w:rPr>
      <w:color w:val="0563C1"/>
      <w:u w:val="single" w:color="0563C1"/>
    </w:rPr>
  </w:style>
  <w:style w:type="character" w:customStyle="1" w:styleId="Hyperlink0">
    <w:name w:val="Hyperlink.0"/>
    <w:rsid w:val="00ED3A3F"/>
    <w:rPr>
      <w:color w:val="0563C1"/>
      <w:sz w:val="22"/>
      <w:szCs w:val="22"/>
      <w:u w:val="single" w:color="0563C1"/>
      <w:lang w:val="en-US"/>
    </w:rPr>
  </w:style>
  <w:style w:type="character" w:customStyle="1" w:styleId="Hyperlink1">
    <w:name w:val="Hyperlink.1"/>
    <w:rsid w:val="00ED3A3F"/>
    <w:rPr>
      <w:color w:val="0563C1"/>
      <w:sz w:val="22"/>
      <w:szCs w:val="22"/>
      <w:u w:val="single" w:color="0563C1"/>
    </w:rPr>
  </w:style>
  <w:style w:type="character" w:customStyle="1" w:styleId="Hyperlink2">
    <w:name w:val="Hyperlink.2"/>
    <w:rsid w:val="00ED3A3F"/>
    <w:rPr>
      <w:color w:val="0563C1"/>
      <w:u w:val="single" w:color="0563C1"/>
      <w:lang w:val="en-US"/>
    </w:rPr>
  </w:style>
  <w:style w:type="paragraph" w:styleId="TOC1">
    <w:name w:val="toc 1"/>
    <w:basedOn w:val="Normal"/>
    <w:next w:val="Normal"/>
    <w:autoRedefine/>
    <w:uiPriority w:val="39"/>
    <w:unhideWhenUsed/>
    <w:rsid w:val="00ED3A3F"/>
    <w:pPr>
      <w:pBdr>
        <w:top w:val="nil"/>
        <w:left w:val="nil"/>
        <w:bottom w:val="nil"/>
        <w:right w:val="nil"/>
        <w:between w:val="nil"/>
        <w:bar w:val="nil"/>
      </w:pBdr>
      <w:spacing w:before="120" w:after="0" w:line="360" w:lineRule="auto"/>
    </w:pPr>
    <w:rPr>
      <w:rFonts w:eastAsia="Arial Unicode MS" w:cs="Arial Unicode MS"/>
      <w:b/>
      <w:caps/>
      <w:color w:val="000000"/>
      <w:szCs w:val="22"/>
      <w:u w:color="000000"/>
      <w:bdr w:val="nil"/>
      <w:lang w:bidi="ar-SA"/>
    </w:rPr>
  </w:style>
  <w:style w:type="paragraph" w:styleId="TOC2">
    <w:name w:val="toc 2"/>
    <w:basedOn w:val="Normal"/>
    <w:next w:val="Normal"/>
    <w:autoRedefine/>
    <w:uiPriority w:val="39"/>
    <w:unhideWhenUsed/>
    <w:rsid w:val="00ED3A3F"/>
    <w:pPr>
      <w:pBdr>
        <w:top w:val="nil"/>
        <w:left w:val="nil"/>
        <w:bottom w:val="nil"/>
        <w:right w:val="nil"/>
        <w:between w:val="nil"/>
        <w:bar w:val="nil"/>
      </w:pBdr>
      <w:tabs>
        <w:tab w:val="right" w:leader="dot" w:pos="9054"/>
      </w:tabs>
      <w:spacing w:after="0" w:line="360" w:lineRule="auto"/>
      <w:ind w:left="240"/>
    </w:pPr>
    <w:rPr>
      <w:rFonts w:eastAsia="Arial Unicode MS" w:cs="Arial Unicode MS"/>
      <w:smallCaps/>
      <w:noProof/>
      <w:color w:val="000000"/>
      <w:szCs w:val="22"/>
      <w:u w:color="000000"/>
      <w:bdr w:val="nil"/>
      <w:lang w:bidi="ar-SA"/>
    </w:rPr>
  </w:style>
  <w:style w:type="paragraph" w:styleId="TOC3">
    <w:name w:val="toc 3"/>
    <w:basedOn w:val="Normal"/>
    <w:next w:val="Normal"/>
    <w:autoRedefine/>
    <w:uiPriority w:val="39"/>
    <w:unhideWhenUsed/>
    <w:rsid w:val="00ED3A3F"/>
    <w:pPr>
      <w:pBdr>
        <w:top w:val="nil"/>
        <w:left w:val="nil"/>
        <w:bottom w:val="nil"/>
        <w:right w:val="nil"/>
        <w:between w:val="nil"/>
        <w:bar w:val="nil"/>
      </w:pBdr>
      <w:spacing w:after="0" w:line="360" w:lineRule="auto"/>
      <w:ind w:left="480"/>
    </w:pPr>
    <w:rPr>
      <w:rFonts w:eastAsia="Arial Unicode MS" w:cs="Arial Unicode MS"/>
      <w:i/>
      <w:color w:val="000000"/>
      <w:szCs w:val="22"/>
      <w:u w:color="000000"/>
      <w:bdr w:val="nil"/>
      <w:lang w:bidi="ar-SA"/>
    </w:rPr>
  </w:style>
  <w:style w:type="paragraph" w:styleId="TOC4">
    <w:name w:val="toc 4"/>
    <w:basedOn w:val="Normal"/>
    <w:next w:val="Normal"/>
    <w:autoRedefine/>
    <w:uiPriority w:val="39"/>
    <w:semiHidden/>
    <w:unhideWhenUsed/>
    <w:rsid w:val="00ED3A3F"/>
    <w:pPr>
      <w:pBdr>
        <w:top w:val="nil"/>
        <w:left w:val="nil"/>
        <w:bottom w:val="nil"/>
        <w:right w:val="nil"/>
        <w:between w:val="nil"/>
        <w:bar w:val="nil"/>
      </w:pBdr>
      <w:spacing w:after="0" w:line="360" w:lineRule="auto"/>
      <w:ind w:left="720"/>
    </w:pPr>
    <w:rPr>
      <w:rFonts w:eastAsia="Arial Unicode MS" w:cs="Arial Unicode MS"/>
      <w:color w:val="000000"/>
      <w:sz w:val="18"/>
      <w:szCs w:val="18"/>
      <w:u w:color="000000"/>
      <w:bdr w:val="nil"/>
      <w:lang w:bidi="ar-SA"/>
    </w:rPr>
  </w:style>
  <w:style w:type="paragraph" w:styleId="TOC5">
    <w:name w:val="toc 5"/>
    <w:basedOn w:val="Normal"/>
    <w:next w:val="Normal"/>
    <w:autoRedefine/>
    <w:uiPriority w:val="39"/>
    <w:semiHidden/>
    <w:unhideWhenUsed/>
    <w:rsid w:val="00ED3A3F"/>
    <w:pPr>
      <w:pBdr>
        <w:top w:val="nil"/>
        <w:left w:val="nil"/>
        <w:bottom w:val="nil"/>
        <w:right w:val="nil"/>
        <w:between w:val="nil"/>
        <w:bar w:val="nil"/>
      </w:pBdr>
      <w:spacing w:after="0" w:line="360" w:lineRule="auto"/>
      <w:ind w:left="960"/>
    </w:pPr>
    <w:rPr>
      <w:rFonts w:eastAsia="Arial Unicode MS" w:cs="Arial Unicode MS"/>
      <w:color w:val="000000"/>
      <w:sz w:val="18"/>
      <w:szCs w:val="18"/>
      <w:u w:color="000000"/>
      <w:bdr w:val="nil"/>
      <w:lang w:bidi="ar-SA"/>
    </w:rPr>
  </w:style>
  <w:style w:type="paragraph" w:styleId="TOC6">
    <w:name w:val="toc 6"/>
    <w:basedOn w:val="Normal"/>
    <w:next w:val="Normal"/>
    <w:autoRedefine/>
    <w:uiPriority w:val="39"/>
    <w:semiHidden/>
    <w:unhideWhenUsed/>
    <w:rsid w:val="00ED3A3F"/>
    <w:pPr>
      <w:pBdr>
        <w:top w:val="nil"/>
        <w:left w:val="nil"/>
        <w:bottom w:val="nil"/>
        <w:right w:val="nil"/>
        <w:between w:val="nil"/>
        <w:bar w:val="nil"/>
      </w:pBdr>
      <w:spacing w:after="0" w:line="360" w:lineRule="auto"/>
      <w:ind w:left="1200"/>
    </w:pPr>
    <w:rPr>
      <w:rFonts w:eastAsia="Arial Unicode MS" w:cs="Arial Unicode MS"/>
      <w:color w:val="000000"/>
      <w:sz w:val="18"/>
      <w:szCs w:val="18"/>
      <w:u w:color="000000"/>
      <w:bdr w:val="nil"/>
      <w:lang w:bidi="ar-SA"/>
    </w:rPr>
  </w:style>
  <w:style w:type="paragraph" w:styleId="TOC7">
    <w:name w:val="toc 7"/>
    <w:basedOn w:val="Normal"/>
    <w:next w:val="Normal"/>
    <w:autoRedefine/>
    <w:uiPriority w:val="39"/>
    <w:semiHidden/>
    <w:unhideWhenUsed/>
    <w:rsid w:val="00ED3A3F"/>
    <w:pPr>
      <w:pBdr>
        <w:top w:val="nil"/>
        <w:left w:val="nil"/>
        <w:bottom w:val="nil"/>
        <w:right w:val="nil"/>
        <w:between w:val="nil"/>
        <w:bar w:val="nil"/>
      </w:pBdr>
      <w:spacing w:after="0" w:line="360" w:lineRule="auto"/>
      <w:ind w:left="1440"/>
    </w:pPr>
    <w:rPr>
      <w:rFonts w:eastAsia="Arial Unicode MS" w:cs="Arial Unicode MS"/>
      <w:color w:val="000000"/>
      <w:sz w:val="18"/>
      <w:szCs w:val="18"/>
      <w:u w:color="000000"/>
      <w:bdr w:val="nil"/>
      <w:lang w:bidi="ar-SA"/>
    </w:rPr>
  </w:style>
  <w:style w:type="paragraph" w:styleId="TOC8">
    <w:name w:val="toc 8"/>
    <w:basedOn w:val="Normal"/>
    <w:next w:val="Normal"/>
    <w:autoRedefine/>
    <w:uiPriority w:val="39"/>
    <w:semiHidden/>
    <w:unhideWhenUsed/>
    <w:rsid w:val="00ED3A3F"/>
    <w:pPr>
      <w:pBdr>
        <w:top w:val="nil"/>
        <w:left w:val="nil"/>
        <w:bottom w:val="nil"/>
        <w:right w:val="nil"/>
        <w:between w:val="nil"/>
        <w:bar w:val="nil"/>
      </w:pBdr>
      <w:spacing w:after="0" w:line="360" w:lineRule="auto"/>
      <w:ind w:left="1680"/>
    </w:pPr>
    <w:rPr>
      <w:rFonts w:eastAsia="Arial Unicode MS" w:cs="Arial Unicode MS"/>
      <w:color w:val="000000"/>
      <w:sz w:val="18"/>
      <w:szCs w:val="18"/>
      <w:u w:color="000000"/>
      <w:bdr w:val="nil"/>
      <w:lang w:bidi="ar-SA"/>
    </w:rPr>
  </w:style>
  <w:style w:type="paragraph" w:styleId="TOC9">
    <w:name w:val="toc 9"/>
    <w:basedOn w:val="Normal"/>
    <w:next w:val="Normal"/>
    <w:autoRedefine/>
    <w:uiPriority w:val="39"/>
    <w:semiHidden/>
    <w:unhideWhenUsed/>
    <w:rsid w:val="00ED3A3F"/>
    <w:pPr>
      <w:pBdr>
        <w:top w:val="nil"/>
        <w:left w:val="nil"/>
        <w:bottom w:val="nil"/>
        <w:right w:val="nil"/>
        <w:between w:val="nil"/>
        <w:bar w:val="nil"/>
      </w:pBdr>
      <w:spacing w:after="0" w:line="360" w:lineRule="auto"/>
      <w:ind w:left="1920"/>
    </w:pPr>
    <w:rPr>
      <w:rFonts w:eastAsia="Arial Unicode MS" w:cs="Arial Unicode MS"/>
      <w:color w:val="000000"/>
      <w:sz w:val="18"/>
      <w:szCs w:val="18"/>
      <w:u w:color="000000"/>
      <w:bdr w:val="nil"/>
      <w:lang w:bidi="ar-SA"/>
    </w:rPr>
  </w:style>
  <w:style w:type="paragraph" w:customStyle="1" w:styleId="Alaviite">
    <w:name w:val="Alaviite"/>
    <w:rsid w:val="00ED3A3F"/>
    <w:pPr>
      <w:pBdr>
        <w:top w:val="nil"/>
        <w:left w:val="nil"/>
        <w:bottom w:val="nil"/>
        <w:right w:val="nil"/>
        <w:between w:val="nil"/>
        <w:bar w:val="nil"/>
      </w:pBdr>
    </w:pPr>
    <w:rPr>
      <w:rFonts w:ascii="Helvetica" w:eastAsia="Helvetica" w:hAnsi="Helvetica" w:cs="Helvetica"/>
      <w:color w:val="000000"/>
      <w:sz w:val="22"/>
      <w:szCs w:val="22"/>
      <w:u w:color="000000"/>
      <w:bdr w:val="nil"/>
      <w:lang w:val="fi-FI" w:eastAsia="fi-FI"/>
    </w:rPr>
  </w:style>
  <w:style w:type="paragraph" w:styleId="Title">
    <w:name w:val="Title"/>
    <w:basedOn w:val="Normal"/>
    <w:next w:val="Normal"/>
    <w:link w:val="TitleChar"/>
    <w:uiPriority w:val="10"/>
    <w:qFormat/>
    <w:rsid w:val="00ED3A3F"/>
    <w:pPr>
      <w:pBdr>
        <w:top w:val="nil"/>
        <w:left w:val="nil"/>
        <w:bottom w:val="single" w:sz="8" w:space="4" w:color="4F81BD"/>
        <w:right w:val="nil"/>
        <w:between w:val="nil"/>
        <w:bar w:val="nil"/>
      </w:pBdr>
      <w:spacing w:after="300" w:line="240" w:lineRule="auto"/>
      <w:contextualSpacing/>
    </w:pPr>
    <w:rPr>
      <w:rFonts w:ascii="Cambria" w:eastAsia="Times New Roman" w:hAnsi="Cambria"/>
      <w:color w:val="17365D"/>
      <w:spacing w:val="5"/>
      <w:kern w:val="28"/>
      <w:sz w:val="52"/>
      <w:szCs w:val="52"/>
      <w:u w:color="000000"/>
      <w:bdr w:val="nil"/>
      <w:lang w:bidi="ar-SA"/>
    </w:rPr>
  </w:style>
  <w:style w:type="character" w:customStyle="1" w:styleId="TitleChar">
    <w:name w:val="Title Char"/>
    <w:link w:val="Title"/>
    <w:uiPriority w:val="10"/>
    <w:rsid w:val="00ED3A3F"/>
    <w:rPr>
      <w:rFonts w:ascii="Cambria" w:eastAsia="Times New Roman" w:hAnsi="Cambria" w:cs="Times New Roman"/>
      <w:color w:val="17365D"/>
      <w:spacing w:val="5"/>
      <w:kern w:val="28"/>
      <w:sz w:val="52"/>
      <w:szCs w:val="52"/>
      <w:u w:color="000000"/>
      <w:bdr w:val="nil"/>
      <w:lang w:bidi="ar-SA"/>
    </w:rPr>
  </w:style>
  <w:style w:type="paragraph" w:customStyle="1" w:styleId="Tyyli1">
    <w:name w:val="Tyyli1"/>
    <w:basedOn w:val="Heading2"/>
    <w:rsid w:val="00ED3A3F"/>
    <w:rPr>
      <w:b/>
    </w:rPr>
  </w:style>
  <w:style w:type="paragraph" w:customStyle="1" w:styleId="Heading21">
    <w:name w:val="Heading 21"/>
    <w:basedOn w:val="Heading2"/>
    <w:qFormat/>
    <w:rsid w:val="00ED3A3F"/>
    <w:rPr>
      <w:b/>
    </w:rPr>
  </w:style>
  <w:style w:type="paragraph" w:customStyle="1" w:styleId="LeiptekstiA">
    <w:name w:val="Leipäteksti A"/>
    <w:rsid w:val="00ED3A3F"/>
    <w:pPr>
      <w:pBdr>
        <w:top w:val="nil"/>
        <w:left w:val="nil"/>
        <w:bottom w:val="nil"/>
        <w:right w:val="nil"/>
        <w:between w:val="nil"/>
        <w:bar w:val="nil"/>
      </w:pBdr>
    </w:pPr>
    <w:rPr>
      <w:rFonts w:ascii="Times New Roman" w:eastAsia="Arial Unicode MS" w:hAnsi="Arial Unicode MS" w:cs="Arial Unicode MS"/>
      <w:color w:val="000000"/>
      <w:sz w:val="24"/>
      <w:szCs w:val="24"/>
      <w:u w:color="000000"/>
      <w:bdr w:val="nil"/>
      <w:lang w:val="en-US" w:eastAsia="fi-FI"/>
    </w:rPr>
  </w:style>
  <w:style w:type="character" w:styleId="FollowedHyperlink">
    <w:name w:val="FollowedHyperlink"/>
    <w:uiPriority w:val="99"/>
    <w:semiHidden/>
    <w:unhideWhenUsed/>
    <w:rsid w:val="00ED3A3F"/>
    <w:rPr>
      <w:color w:val="800080"/>
      <w:u w:val="single"/>
    </w:rPr>
  </w:style>
  <w:style w:type="paragraph" w:styleId="Revision">
    <w:name w:val="Revision"/>
    <w:hidden/>
    <w:uiPriority w:val="99"/>
    <w:semiHidden/>
    <w:rsid w:val="00ED3A3F"/>
    <w:rPr>
      <w:rFonts w:ascii="Times New Roman" w:eastAsia="Arial Unicode MS" w:hAnsi="Arial Unicode MS" w:cs="Arial Unicode MS"/>
      <w:color w:val="000000"/>
      <w:sz w:val="24"/>
      <w:szCs w:val="24"/>
      <w:u w:color="000000"/>
      <w:bdr w:val="nil"/>
      <w:lang w:val="en-US"/>
    </w:rPr>
  </w:style>
  <w:style w:type="character" w:customStyle="1" w:styleId="allowtextselection">
    <w:name w:val="allowtextselection"/>
    <w:basedOn w:val="DefaultParagraphFont"/>
    <w:rsid w:val="00ED3A3F"/>
  </w:style>
  <w:style w:type="table" w:styleId="TableGrid">
    <w:name w:val="Table Grid"/>
    <w:basedOn w:val="TableNormal"/>
    <w:uiPriority w:val="59"/>
    <w:rsid w:val="00363A6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uiPriority w:val="99"/>
    <w:semiHidden/>
    <w:rsid w:val="00363A61"/>
    <w:rPr>
      <w:color w:val="808080"/>
    </w:rPr>
  </w:style>
  <w:style w:type="character" w:styleId="Emphasis">
    <w:name w:val="Emphasis"/>
    <w:uiPriority w:val="20"/>
    <w:qFormat/>
    <w:rsid w:val="003045E4"/>
    <w:rPr>
      <w:i/>
      <w:iCs/>
    </w:rPr>
  </w:style>
  <w:style w:type="character" w:customStyle="1" w:styleId="hps">
    <w:name w:val="hps"/>
    <w:rsid w:val="007B6169"/>
  </w:style>
  <w:style w:type="paragraph" w:styleId="IntenseQuote">
    <w:name w:val="Intense Quote"/>
    <w:basedOn w:val="Normal"/>
    <w:next w:val="Normal"/>
    <w:link w:val="IntenseQuoteChar"/>
    <w:uiPriority w:val="30"/>
    <w:qFormat/>
    <w:rsid w:val="00AC6E2E"/>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AC6E2E"/>
    <w:rPr>
      <w:i/>
      <w:iCs/>
      <w:color w:val="4472C4" w:themeColor="accent1"/>
      <w:sz w:val="22"/>
      <w:szCs w:val="28"/>
      <w:lang w:val="en-US" w:bidi="bn-IN"/>
    </w:rPr>
  </w:style>
  <w:style w:type="paragraph" w:styleId="NormalWeb">
    <w:name w:val="Normal (Web)"/>
    <w:basedOn w:val="Normal"/>
    <w:uiPriority w:val="99"/>
    <w:semiHidden/>
    <w:unhideWhenUsed/>
    <w:rsid w:val="00124D8C"/>
    <w:pPr>
      <w:spacing w:before="100" w:beforeAutospacing="1" w:after="100" w:afterAutospacing="1" w:line="240" w:lineRule="auto"/>
    </w:pPr>
    <w:rPr>
      <w:rFonts w:ascii="Times New Roman" w:eastAsia="Times New Roman" w:hAnsi="Times New Roman"/>
      <w:sz w:val="24"/>
      <w:szCs w:val="24"/>
      <w:lang w:val="en-ID"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ID"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6C4D"/>
    <w:pPr>
      <w:spacing w:after="200" w:line="276" w:lineRule="auto"/>
    </w:pPr>
    <w:rPr>
      <w:sz w:val="22"/>
      <w:szCs w:val="28"/>
      <w:lang w:val="en-US" w:bidi="bn-IN"/>
    </w:rPr>
  </w:style>
  <w:style w:type="paragraph" w:styleId="Heading1">
    <w:name w:val="heading 1"/>
    <w:next w:val="Normal"/>
    <w:link w:val="Heading1Char"/>
    <w:qFormat/>
    <w:rsid w:val="00ED3A3F"/>
    <w:pPr>
      <w:keepNext/>
      <w:keepLines/>
      <w:pBdr>
        <w:top w:val="nil"/>
        <w:left w:val="nil"/>
        <w:bottom w:val="nil"/>
        <w:right w:val="nil"/>
        <w:between w:val="nil"/>
        <w:bar w:val="nil"/>
      </w:pBdr>
      <w:spacing w:before="240" w:after="120" w:line="360" w:lineRule="auto"/>
      <w:outlineLvl w:val="0"/>
    </w:pPr>
    <w:rPr>
      <w:rFonts w:ascii="Times New Roman Bold" w:eastAsia="Times New Roman Bold" w:hAnsi="Times New Roman Bold" w:cs="Times New Roman Bold"/>
      <w:color w:val="000000"/>
      <w:sz w:val="28"/>
      <w:szCs w:val="28"/>
      <w:u w:color="000000"/>
      <w:bdr w:val="nil"/>
      <w:lang w:val="en-US" w:eastAsia="fi-FI"/>
    </w:rPr>
  </w:style>
  <w:style w:type="paragraph" w:styleId="Heading2">
    <w:name w:val="heading 2"/>
    <w:next w:val="Normal"/>
    <w:link w:val="Heading2Char"/>
    <w:qFormat/>
    <w:rsid w:val="00ED3A3F"/>
    <w:pPr>
      <w:keepNext/>
      <w:keepLines/>
      <w:pBdr>
        <w:top w:val="nil"/>
        <w:left w:val="nil"/>
        <w:bottom w:val="nil"/>
        <w:right w:val="nil"/>
        <w:between w:val="nil"/>
        <w:bar w:val="nil"/>
      </w:pBdr>
      <w:spacing w:before="40" w:after="120" w:line="360" w:lineRule="auto"/>
      <w:outlineLvl w:val="1"/>
    </w:pPr>
    <w:rPr>
      <w:rFonts w:ascii="Times New Roman Bold" w:eastAsia="Times New Roman Bold" w:hAnsi="Times New Roman Bold" w:cs="Times New Roman Bold"/>
      <w:color w:val="000000"/>
      <w:sz w:val="24"/>
      <w:szCs w:val="24"/>
      <w:u w:color="000000"/>
      <w:bdr w:val="nil"/>
      <w:lang w:val="en-US" w:eastAsia="fi-FI"/>
    </w:rPr>
  </w:style>
  <w:style w:type="paragraph" w:styleId="Heading3">
    <w:name w:val="heading 3"/>
    <w:next w:val="Normal"/>
    <w:link w:val="Heading3Char"/>
    <w:qFormat/>
    <w:rsid w:val="00ED3A3F"/>
    <w:pPr>
      <w:keepNext/>
      <w:keepLines/>
      <w:pBdr>
        <w:top w:val="nil"/>
        <w:left w:val="nil"/>
        <w:bottom w:val="nil"/>
        <w:right w:val="nil"/>
        <w:between w:val="nil"/>
        <w:bar w:val="nil"/>
      </w:pBdr>
      <w:spacing w:before="40" w:after="120" w:line="360" w:lineRule="auto"/>
      <w:outlineLvl w:val="2"/>
    </w:pPr>
    <w:rPr>
      <w:rFonts w:ascii="Times New Roman" w:eastAsia="Times New Roman" w:hAnsi="Times New Roman"/>
      <w:color w:val="000000"/>
      <w:sz w:val="24"/>
      <w:szCs w:val="24"/>
      <w:u w:color="000000"/>
      <w:bdr w:val="nil"/>
      <w:lang w:val="en-US" w:eastAsia="fi-FI"/>
    </w:rPr>
  </w:style>
  <w:style w:type="paragraph" w:styleId="Heading4">
    <w:name w:val="heading 4"/>
    <w:basedOn w:val="Normal"/>
    <w:next w:val="Normal"/>
    <w:link w:val="Heading4Char"/>
    <w:uiPriority w:val="9"/>
    <w:unhideWhenUsed/>
    <w:qFormat/>
    <w:rsid w:val="00ED3A3F"/>
    <w:pPr>
      <w:keepNext/>
      <w:keepLines/>
      <w:pBdr>
        <w:top w:val="nil"/>
        <w:left w:val="nil"/>
        <w:bottom w:val="nil"/>
        <w:right w:val="nil"/>
        <w:between w:val="nil"/>
        <w:bar w:val="nil"/>
      </w:pBdr>
      <w:spacing w:before="200" w:after="0" w:line="360" w:lineRule="auto"/>
      <w:outlineLvl w:val="3"/>
    </w:pPr>
    <w:rPr>
      <w:rFonts w:ascii="Times New Roman" w:eastAsia="Times New Roman" w:hAnsi="Times New Roman"/>
      <w:bCs/>
      <w:iCs/>
      <w:sz w:val="24"/>
      <w:szCs w:val="24"/>
      <w:u w:color="000000"/>
      <w:bdr w:val="nil"/>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Char,Footnote Text Char1 Char,Footnote Text Char Char1 Char,Footnote Text Char1 Char Char Char,Footnote Text Char Char1 Char Char Char,Footnote Text Char Char2 Char,Footnote Text Char1 Char1,Char Char Char Char,Char Char Char Char Char"/>
    <w:basedOn w:val="Normal"/>
    <w:link w:val="FootnoteTextChar"/>
    <w:uiPriority w:val="99"/>
    <w:qFormat/>
    <w:rsid w:val="00934130"/>
    <w:pPr>
      <w:spacing w:after="0" w:line="240" w:lineRule="auto"/>
    </w:pPr>
    <w:rPr>
      <w:rFonts w:ascii="Times New Roman" w:eastAsia="SimSun" w:hAnsi="Times New Roman"/>
      <w:sz w:val="20"/>
      <w:szCs w:val="20"/>
      <w:lang w:eastAsia="zh-CN" w:bidi="ar-SA"/>
    </w:rPr>
  </w:style>
  <w:style w:type="character" w:customStyle="1" w:styleId="FootnoteTextChar">
    <w:name w:val="Footnote Text Char"/>
    <w:aliases w:val="Char Char,Footnote Text Char1 Char Char,Footnote Text Char Char1 Char Char,Footnote Text Char1 Char Char Char Char,Footnote Text Char Char1 Char Char Char Char,Footnote Text Char Char2 Char Char,Footnote Text Char1 Char1 Char"/>
    <w:link w:val="FootnoteText"/>
    <w:uiPriority w:val="99"/>
    <w:qFormat/>
    <w:rsid w:val="00934130"/>
    <w:rPr>
      <w:rFonts w:ascii="Times New Roman" w:eastAsia="SimSun" w:hAnsi="Times New Roman" w:cs="Times New Roman"/>
      <w:sz w:val="20"/>
      <w:szCs w:val="20"/>
      <w:lang w:eastAsia="zh-CN" w:bidi="ar-SA"/>
    </w:rPr>
  </w:style>
  <w:style w:type="character" w:styleId="FootnoteReference">
    <w:name w:val="footnote reference"/>
    <w:aliases w:val="fr"/>
    <w:qFormat/>
    <w:rsid w:val="00934130"/>
    <w:rPr>
      <w:vertAlign w:val="superscript"/>
    </w:rPr>
  </w:style>
  <w:style w:type="paragraph" w:styleId="ListParagraph">
    <w:name w:val="List Paragraph"/>
    <w:basedOn w:val="Normal"/>
    <w:uiPriority w:val="34"/>
    <w:qFormat/>
    <w:rsid w:val="00C37A21"/>
    <w:pPr>
      <w:ind w:left="720"/>
      <w:contextualSpacing/>
    </w:pPr>
  </w:style>
  <w:style w:type="paragraph" w:styleId="BalloonText">
    <w:name w:val="Balloon Text"/>
    <w:basedOn w:val="Normal"/>
    <w:link w:val="BalloonTextChar"/>
    <w:uiPriority w:val="99"/>
    <w:semiHidden/>
    <w:unhideWhenUsed/>
    <w:rsid w:val="00643BF3"/>
    <w:pPr>
      <w:spacing w:after="0" w:line="240" w:lineRule="auto"/>
    </w:pPr>
    <w:rPr>
      <w:rFonts w:ascii="Tahoma" w:hAnsi="Tahoma" w:cs="Tahoma"/>
      <w:sz w:val="16"/>
      <w:szCs w:val="20"/>
    </w:rPr>
  </w:style>
  <w:style w:type="character" w:customStyle="1" w:styleId="BalloonTextChar">
    <w:name w:val="Balloon Text Char"/>
    <w:link w:val="BalloonText"/>
    <w:uiPriority w:val="99"/>
    <w:semiHidden/>
    <w:rsid w:val="00643BF3"/>
    <w:rPr>
      <w:rFonts w:ascii="Tahoma" w:hAnsi="Tahoma" w:cs="Tahoma"/>
      <w:sz w:val="16"/>
      <w:szCs w:val="20"/>
    </w:rPr>
  </w:style>
  <w:style w:type="paragraph" w:styleId="Bibliography">
    <w:name w:val="Bibliography"/>
    <w:basedOn w:val="Normal"/>
    <w:next w:val="Normal"/>
    <w:uiPriority w:val="37"/>
    <w:unhideWhenUsed/>
    <w:rsid w:val="00D44E17"/>
  </w:style>
  <w:style w:type="paragraph" w:styleId="NoSpacing">
    <w:name w:val="No Spacing"/>
    <w:uiPriority w:val="1"/>
    <w:qFormat/>
    <w:rsid w:val="001A55CA"/>
    <w:pPr>
      <w:jc w:val="both"/>
    </w:pPr>
    <w:rPr>
      <w:sz w:val="22"/>
      <w:szCs w:val="22"/>
      <w:lang w:val="en-US"/>
    </w:rPr>
  </w:style>
  <w:style w:type="paragraph" w:styleId="Header">
    <w:name w:val="header"/>
    <w:basedOn w:val="Normal"/>
    <w:link w:val="HeaderChar"/>
    <w:uiPriority w:val="99"/>
    <w:unhideWhenUsed/>
    <w:rsid w:val="00A00C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0C6D"/>
  </w:style>
  <w:style w:type="paragraph" w:styleId="Footer">
    <w:name w:val="footer"/>
    <w:basedOn w:val="Normal"/>
    <w:link w:val="FooterChar"/>
    <w:uiPriority w:val="99"/>
    <w:unhideWhenUsed/>
    <w:rsid w:val="00A00C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0C6D"/>
  </w:style>
  <w:style w:type="paragraph" w:styleId="EndnoteText">
    <w:name w:val="endnote text"/>
    <w:basedOn w:val="Normal"/>
    <w:link w:val="EndnoteTextChar"/>
    <w:uiPriority w:val="99"/>
    <w:semiHidden/>
    <w:unhideWhenUsed/>
    <w:rsid w:val="007811FE"/>
    <w:pPr>
      <w:spacing w:after="0" w:line="240" w:lineRule="auto"/>
    </w:pPr>
    <w:rPr>
      <w:sz w:val="20"/>
      <w:szCs w:val="25"/>
    </w:rPr>
  </w:style>
  <w:style w:type="character" w:customStyle="1" w:styleId="EndnoteTextChar">
    <w:name w:val="Endnote Text Char"/>
    <w:link w:val="EndnoteText"/>
    <w:uiPriority w:val="99"/>
    <w:semiHidden/>
    <w:rsid w:val="007811FE"/>
    <w:rPr>
      <w:sz w:val="20"/>
      <w:szCs w:val="25"/>
    </w:rPr>
  </w:style>
  <w:style w:type="character" w:styleId="EndnoteReference">
    <w:name w:val="endnote reference"/>
    <w:uiPriority w:val="99"/>
    <w:semiHidden/>
    <w:unhideWhenUsed/>
    <w:rsid w:val="007811FE"/>
    <w:rPr>
      <w:vertAlign w:val="superscript"/>
    </w:rPr>
  </w:style>
  <w:style w:type="character" w:styleId="Hyperlink">
    <w:name w:val="Hyperlink"/>
    <w:uiPriority w:val="99"/>
    <w:unhideWhenUsed/>
    <w:rsid w:val="00A07F33"/>
    <w:rPr>
      <w:color w:val="0000FF"/>
      <w:u w:val="single"/>
    </w:rPr>
  </w:style>
  <w:style w:type="paragraph" w:customStyle="1" w:styleId="Default">
    <w:name w:val="Default"/>
    <w:rsid w:val="00A07F33"/>
    <w:pPr>
      <w:autoSpaceDE w:val="0"/>
      <w:autoSpaceDN w:val="0"/>
      <w:adjustRightInd w:val="0"/>
    </w:pPr>
    <w:rPr>
      <w:rFonts w:ascii="Times New Roman" w:hAnsi="Times New Roman"/>
      <w:color w:val="000000"/>
      <w:sz w:val="24"/>
      <w:szCs w:val="24"/>
      <w:lang w:val="en-US" w:bidi="bn-IN"/>
    </w:rPr>
  </w:style>
  <w:style w:type="paragraph" w:customStyle="1" w:styleId="Style1">
    <w:name w:val="Style1"/>
    <w:basedOn w:val="NoSpacing"/>
    <w:link w:val="Style1Char"/>
    <w:qFormat/>
    <w:rsid w:val="00C76AB6"/>
    <w:pPr>
      <w:jc w:val="left"/>
    </w:pPr>
    <w:rPr>
      <w:rFonts w:cs="Vrinda"/>
    </w:rPr>
  </w:style>
  <w:style w:type="character" w:customStyle="1" w:styleId="Style1Char">
    <w:name w:val="Style1 Char"/>
    <w:link w:val="Style1"/>
    <w:rsid w:val="00C76AB6"/>
    <w:rPr>
      <w:rFonts w:ascii="Calibri" w:eastAsia="Calibri" w:hAnsi="Calibri" w:cs="Vrinda"/>
      <w:szCs w:val="22"/>
      <w:lang w:bidi="ar-SA"/>
    </w:rPr>
  </w:style>
  <w:style w:type="paragraph" w:styleId="BodyText2">
    <w:name w:val="Body Text 2"/>
    <w:basedOn w:val="Normal"/>
    <w:link w:val="BodyText2Char"/>
    <w:semiHidden/>
    <w:rsid w:val="00FC7AE1"/>
    <w:pPr>
      <w:tabs>
        <w:tab w:val="left" w:pos="748"/>
      </w:tabs>
      <w:spacing w:after="0" w:line="360" w:lineRule="auto"/>
    </w:pPr>
    <w:rPr>
      <w:rFonts w:ascii="Times New Roman" w:eastAsia="Times New Roman" w:hAnsi="Times New Roman"/>
      <w:sz w:val="26"/>
      <w:szCs w:val="20"/>
      <w:lang w:bidi="ar-SA"/>
    </w:rPr>
  </w:style>
  <w:style w:type="character" w:customStyle="1" w:styleId="BodyText2Char">
    <w:name w:val="Body Text 2 Char"/>
    <w:link w:val="BodyText2"/>
    <w:semiHidden/>
    <w:rsid w:val="00FC7AE1"/>
    <w:rPr>
      <w:rFonts w:ascii="Times New Roman" w:eastAsia="Times New Roman" w:hAnsi="Times New Roman" w:cs="Times New Roman"/>
      <w:sz w:val="26"/>
      <w:szCs w:val="20"/>
      <w:lang w:bidi="ar-SA"/>
    </w:rPr>
  </w:style>
  <w:style w:type="character" w:styleId="CommentReference">
    <w:name w:val="annotation reference"/>
    <w:uiPriority w:val="99"/>
    <w:semiHidden/>
    <w:unhideWhenUsed/>
    <w:rsid w:val="000F3B4F"/>
    <w:rPr>
      <w:sz w:val="16"/>
      <w:szCs w:val="16"/>
    </w:rPr>
  </w:style>
  <w:style w:type="paragraph" w:styleId="CommentText">
    <w:name w:val="annotation text"/>
    <w:basedOn w:val="Normal"/>
    <w:link w:val="CommentTextChar"/>
    <w:uiPriority w:val="99"/>
    <w:unhideWhenUsed/>
    <w:rsid w:val="000F3B4F"/>
    <w:pPr>
      <w:spacing w:line="240" w:lineRule="auto"/>
    </w:pPr>
    <w:rPr>
      <w:sz w:val="20"/>
      <w:szCs w:val="25"/>
    </w:rPr>
  </w:style>
  <w:style w:type="character" w:customStyle="1" w:styleId="CommentTextChar">
    <w:name w:val="Comment Text Char"/>
    <w:link w:val="CommentText"/>
    <w:uiPriority w:val="99"/>
    <w:rsid w:val="000F3B4F"/>
    <w:rPr>
      <w:sz w:val="20"/>
      <w:szCs w:val="25"/>
    </w:rPr>
  </w:style>
  <w:style w:type="paragraph" w:styleId="CommentSubject">
    <w:name w:val="annotation subject"/>
    <w:basedOn w:val="CommentText"/>
    <w:next w:val="CommentText"/>
    <w:link w:val="CommentSubjectChar"/>
    <w:uiPriority w:val="99"/>
    <w:semiHidden/>
    <w:unhideWhenUsed/>
    <w:rsid w:val="000F3B4F"/>
    <w:rPr>
      <w:b/>
      <w:bCs/>
    </w:rPr>
  </w:style>
  <w:style w:type="character" w:customStyle="1" w:styleId="CommentSubjectChar">
    <w:name w:val="Comment Subject Char"/>
    <w:link w:val="CommentSubject"/>
    <w:uiPriority w:val="99"/>
    <w:semiHidden/>
    <w:rsid w:val="000F3B4F"/>
    <w:rPr>
      <w:b/>
      <w:bCs/>
      <w:sz w:val="20"/>
      <w:szCs w:val="25"/>
    </w:rPr>
  </w:style>
  <w:style w:type="character" w:customStyle="1" w:styleId="apple-converted-space">
    <w:name w:val="apple-converted-space"/>
    <w:basedOn w:val="DefaultParagraphFont"/>
    <w:rsid w:val="00323A6E"/>
  </w:style>
  <w:style w:type="character" w:customStyle="1" w:styleId="Mention">
    <w:name w:val="Mention"/>
    <w:uiPriority w:val="99"/>
    <w:semiHidden/>
    <w:unhideWhenUsed/>
    <w:rsid w:val="0035562C"/>
    <w:rPr>
      <w:color w:val="2B579A"/>
      <w:shd w:val="clear" w:color="auto" w:fill="E6E6E6"/>
    </w:rPr>
  </w:style>
  <w:style w:type="character" w:customStyle="1" w:styleId="UnresolvedMention">
    <w:name w:val="Unresolved Mention"/>
    <w:uiPriority w:val="99"/>
    <w:semiHidden/>
    <w:unhideWhenUsed/>
    <w:rsid w:val="00AC017F"/>
    <w:rPr>
      <w:color w:val="808080"/>
      <w:shd w:val="clear" w:color="auto" w:fill="E6E6E6"/>
    </w:rPr>
  </w:style>
  <w:style w:type="character" w:customStyle="1" w:styleId="Heading1Char">
    <w:name w:val="Heading 1 Char"/>
    <w:link w:val="Heading1"/>
    <w:rsid w:val="00ED3A3F"/>
    <w:rPr>
      <w:rFonts w:ascii="Times New Roman Bold" w:eastAsia="Times New Roman Bold" w:hAnsi="Times New Roman Bold" w:cs="Times New Roman Bold"/>
      <w:color w:val="000000"/>
      <w:sz w:val="28"/>
      <w:u w:color="000000"/>
      <w:bdr w:val="nil"/>
      <w:lang w:eastAsia="fi-FI" w:bidi="ar-SA"/>
    </w:rPr>
  </w:style>
  <w:style w:type="character" w:customStyle="1" w:styleId="Heading2Char">
    <w:name w:val="Heading 2 Char"/>
    <w:link w:val="Heading2"/>
    <w:rsid w:val="00ED3A3F"/>
    <w:rPr>
      <w:rFonts w:ascii="Times New Roman Bold" w:eastAsia="Times New Roman Bold" w:hAnsi="Times New Roman Bold" w:cs="Times New Roman Bold"/>
      <w:color w:val="000000"/>
      <w:sz w:val="24"/>
      <w:szCs w:val="24"/>
      <w:u w:color="000000"/>
      <w:bdr w:val="nil"/>
      <w:lang w:eastAsia="fi-FI" w:bidi="ar-SA"/>
    </w:rPr>
  </w:style>
  <w:style w:type="character" w:customStyle="1" w:styleId="Heading3Char">
    <w:name w:val="Heading 3 Char"/>
    <w:link w:val="Heading3"/>
    <w:rsid w:val="00ED3A3F"/>
    <w:rPr>
      <w:rFonts w:ascii="Times New Roman" w:eastAsia="Times New Roman" w:hAnsi="Times New Roman" w:cs="Times New Roman"/>
      <w:color w:val="000000"/>
      <w:sz w:val="24"/>
      <w:szCs w:val="24"/>
      <w:u w:color="000000"/>
      <w:bdr w:val="nil"/>
      <w:lang w:eastAsia="fi-FI" w:bidi="ar-SA"/>
    </w:rPr>
  </w:style>
  <w:style w:type="character" w:customStyle="1" w:styleId="Heading4Char">
    <w:name w:val="Heading 4 Char"/>
    <w:link w:val="Heading4"/>
    <w:uiPriority w:val="9"/>
    <w:rsid w:val="00ED3A3F"/>
    <w:rPr>
      <w:rFonts w:ascii="Times New Roman" w:eastAsia="Times New Roman" w:hAnsi="Times New Roman" w:cs="Times New Roman"/>
      <w:bCs/>
      <w:iCs/>
      <w:sz w:val="24"/>
      <w:szCs w:val="24"/>
      <w:u w:color="000000"/>
      <w:bdr w:val="nil"/>
      <w:lang w:bidi="ar-SA"/>
    </w:rPr>
  </w:style>
  <w:style w:type="table" w:customStyle="1" w:styleId="TableNormal1">
    <w:name w:val="Table Normal1"/>
    <w:rsid w:val="00ED3A3F"/>
    <w:pPr>
      <w:pBdr>
        <w:top w:val="nil"/>
        <w:left w:val="nil"/>
        <w:bottom w:val="nil"/>
        <w:right w:val="nil"/>
        <w:between w:val="nil"/>
        <w:bar w:val="nil"/>
      </w:pBdr>
    </w:pPr>
    <w:rPr>
      <w:rFonts w:ascii="Times New Roman" w:eastAsia="Arial Unicode MS" w:hAnsi="Times New Roman"/>
      <w:sz w:val="24"/>
      <w:szCs w:val="24"/>
      <w:bdr w:val="nil"/>
      <w:lang w:val="fi-FI" w:eastAsia="fi-FI"/>
    </w:rPr>
    <w:tblPr>
      <w:tblInd w:w="0" w:type="dxa"/>
      <w:tblCellMar>
        <w:top w:w="0" w:type="dxa"/>
        <w:left w:w="0" w:type="dxa"/>
        <w:bottom w:w="0" w:type="dxa"/>
        <w:right w:w="0" w:type="dxa"/>
      </w:tblCellMar>
    </w:tblPr>
  </w:style>
  <w:style w:type="paragraph" w:customStyle="1" w:styleId="Yl-jaalaotsake">
    <w:name w:val="Ylä- ja alaotsake"/>
    <w:rsid w:val="00ED3A3F"/>
    <w:pPr>
      <w:pBdr>
        <w:top w:val="nil"/>
        <w:left w:val="nil"/>
        <w:bottom w:val="nil"/>
        <w:right w:val="nil"/>
        <w:between w:val="nil"/>
        <w:bar w:val="nil"/>
      </w:pBdr>
      <w:tabs>
        <w:tab w:val="right" w:pos="9020"/>
      </w:tabs>
    </w:pPr>
    <w:rPr>
      <w:rFonts w:ascii="Helvetica" w:eastAsia="Arial Unicode MS" w:hAnsi="Arial Unicode MS" w:cs="Arial Unicode MS"/>
      <w:color w:val="000000"/>
      <w:sz w:val="24"/>
      <w:szCs w:val="24"/>
      <w:bdr w:val="nil"/>
      <w:lang w:val="fi-FI" w:eastAsia="fi-FI"/>
    </w:rPr>
  </w:style>
  <w:style w:type="paragraph" w:styleId="TOCHeading">
    <w:name w:val="TOC Heading"/>
    <w:next w:val="Normal"/>
    <w:uiPriority w:val="39"/>
    <w:qFormat/>
    <w:rsid w:val="00ED3A3F"/>
    <w:pPr>
      <w:keepNext/>
      <w:keepLines/>
      <w:pBdr>
        <w:top w:val="nil"/>
        <w:left w:val="nil"/>
        <w:bottom w:val="nil"/>
        <w:right w:val="nil"/>
        <w:between w:val="nil"/>
        <w:bar w:val="nil"/>
      </w:pBdr>
      <w:spacing w:before="240" w:after="120" w:line="259" w:lineRule="auto"/>
    </w:pPr>
    <w:rPr>
      <w:rFonts w:ascii="Calibri Light" w:eastAsia="Calibri Light" w:hAnsi="Calibri Light" w:cs="Calibri Light"/>
      <w:color w:val="2E74B5"/>
      <w:sz w:val="32"/>
      <w:szCs w:val="32"/>
      <w:u w:color="2E74B5"/>
      <w:bdr w:val="nil"/>
      <w:lang w:val="en-US" w:eastAsia="fi-FI"/>
    </w:rPr>
  </w:style>
  <w:style w:type="paragraph" w:customStyle="1" w:styleId="TOC11">
    <w:name w:val="TOC 11"/>
    <w:rsid w:val="00ED3A3F"/>
    <w:pPr>
      <w:pBdr>
        <w:top w:val="nil"/>
        <w:left w:val="nil"/>
        <w:bottom w:val="nil"/>
        <w:right w:val="nil"/>
        <w:between w:val="nil"/>
        <w:bar w:val="nil"/>
      </w:pBdr>
      <w:tabs>
        <w:tab w:val="right" w:pos="9044"/>
      </w:tabs>
      <w:spacing w:after="100" w:line="360" w:lineRule="auto"/>
    </w:pPr>
    <w:rPr>
      <w:rFonts w:ascii="Times New Roman Bold" w:eastAsia="Times New Roman Bold" w:hAnsi="Times New Roman Bold" w:cs="Times New Roman Bold"/>
      <w:color w:val="000000"/>
      <w:sz w:val="28"/>
      <w:szCs w:val="28"/>
      <w:u w:color="000000"/>
      <w:bdr w:val="nil"/>
      <w:lang w:val="en-US" w:eastAsia="fi-FI"/>
    </w:rPr>
  </w:style>
  <w:style w:type="paragraph" w:customStyle="1" w:styleId="TOC21">
    <w:name w:val="TOC 21"/>
    <w:rsid w:val="00ED3A3F"/>
    <w:pPr>
      <w:pBdr>
        <w:top w:val="nil"/>
        <w:left w:val="nil"/>
        <w:bottom w:val="nil"/>
        <w:right w:val="nil"/>
        <w:between w:val="nil"/>
        <w:bar w:val="nil"/>
      </w:pBdr>
      <w:tabs>
        <w:tab w:val="right" w:pos="9044"/>
      </w:tabs>
      <w:spacing w:after="100" w:line="360" w:lineRule="auto"/>
    </w:pPr>
    <w:rPr>
      <w:rFonts w:ascii="Times New Roman Bold" w:eastAsia="Times New Roman Bold" w:hAnsi="Times New Roman Bold" w:cs="Times New Roman Bold"/>
      <w:color w:val="000000"/>
      <w:sz w:val="28"/>
      <w:szCs w:val="28"/>
      <w:u w:color="000000"/>
      <w:bdr w:val="nil"/>
      <w:lang w:val="fi-FI" w:eastAsia="fi-FI"/>
    </w:rPr>
  </w:style>
  <w:style w:type="paragraph" w:customStyle="1" w:styleId="TOC31">
    <w:name w:val="TOC 31"/>
    <w:rsid w:val="00ED3A3F"/>
    <w:pPr>
      <w:pBdr>
        <w:top w:val="nil"/>
        <w:left w:val="nil"/>
        <w:bottom w:val="nil"/>
        <w:right w:val="nil"/>
        <w:between w:val="nil"/>
        <w:bar w:val="nil"/>
      </w:pBdr>
      <w:tabs>
        <w:tab w:val="right" w:pos="9044"/>
      </w:tabs>
      <w:spacing w:after="100" w:line="360" w:lineRule="auto"/>
      <w:ind w:left="480"/>
    </w:pPr>
    <w:rPr>
      <w:rFonts w:ascii="Times New Roman" w:eastAsia="Times New Roman" w:hAnsi="Times New Roman"/>
      <w:color w:val="000000"/>
      <w:sz w:val="24"/>
      <w:szCs w:val="24"/>
      <w:u w:color="000000"/>
      <w:bdr w:val="nil"/>
      <w:lang w:val="en-US" w:eastAsia="fi-FI"/>
    </w:rPr>
  </w:style>
  <w:style w:type="numbering" w:customStyle="1" w:styleId="List0">
    <w:name w:val="List 0"/>
    <w:basedOn w:val="Tuotutyyli1"/>
    <w:rsid w:val="00ED3A3F"/>
    <w:pPr>
      <w:numPr>
        <w:numId w:val="5"/>
      </w:numPr>
    </w:pPr>
  </w:style>
  <w:style w:type="numbering" w:customStyle="1" w:styleId="Tuotutyyli1">
    <w:name w:val="Tuotu tyyli: 1"/>
    <w:rsid w:val="00ED3A3F"/>
  </w:style>
  <w:style w:type="character" w:customStyle="1" w:styleId="Linkki">
    <w:name w:val="Linkki"/>
    <w:rsid w:val="00ED3A3F"/>
    <w:rPr>
      <w:color w:val="0563C1"/>
      <w:u w:val="single" w:color="0563C1"/>
    </w:rPr>
  </w:style>
  <w:style w:type="character" w:customStyle="1" w:styleId="Hyperlink0">
    <w:name w:val="Hyperlink.0"/>
    <w:rsid w:val="00ED3A3F"/>
    <w:rPr>
      <w:color w:val="0563C1"/>
      <w:sz w:val="22"/>
      <w:szCs w:val="22"/>
      <w:u w:val="single" w:color="0563C1"/>
      <w:lang w:val="en-US"/>
    </w:rPr>
  </w:style>
  <w:style w:type="character" w:customStyle="1" w:styleId="Hyperlink1">
    <w:name w:val="Hyperlink.1"/>
    <w:rsid w:val="00ED3A3F"/>
    <w:rPr>
      <w:color w:val="0563C1"/>
      <w:sz w:val="22"/>
      <w:szCs w:val="22"/>
      <w:u w:val="single" w:color="0563C1"/>
    </w:rPr>
  </w:style>
  <w:style w:type="character" w:customStyle="1" w:styleId="Hyperlink2">
    <w:name w:val="Hyperlink.2"/>
    <w:rsid w:val="00ED3A3F"/>
    <w:rPr>
      <w:color w:val="0563C1"/>
      <w:u w:val="single" w:color="0563C1"/>
      <w:lang w:val="en-US"/>
    </w:rPr>
  </w:style>
  <w:style w:type="paragraph" w:styleId="TOC1">
    <w:name w:val="toc 1"/>
    <w:basedOn w:val="Normal"/>
    <w:next w:val="Normal"/>
    <w:autoRedefine/>
    <w:uiPriority w:val="39"/>
    <w:unhideWhenUsed/>
    <w:rsid w:val="00ED3A3F"/>
    <w:pPr>
      <w:pBdr>
        <w:top w:val="nil"/>
        <w:left w:val="nil"/>
        <w:bottom w:val="nil"/>
        <w:right w:val="nil"/>
        <w:between w:val="nil"/>
        <w:bar w:val="nil"/>
      </w:pBdr>
      <w:spacing w:before="120" w:after="0" w:line="360" w:lineRule="auto"/>
    </w:pPr>
    <w:rPr>
      <w:rFonts w:eastAsia="Arial Unicode MS" w:cs="Arial Unicode MS"/>
      <w:b/>
      <w:caps/>
      <w:color w:val="000000"/>
      <w:szCs w:val="22"/>
      <w:u w:color="000000"/>
      <w:bdr w:val="nil"/>
      <w:lang w:bidi="ar-SA"/>
    </w:rPr>
  </w:style>
  <w:style w:type="paragraph" w:styleId="TOC2">
    <w:name w:val="toc 2"/>
    <w:basedOn w:val="Normal"/>
    <w:next w:val="Normal"/>
    <w:autoRedefine/>
    <w:uiPriority w:val="39"/>
    <w:unhideWhenUsed/>
    <w:rsid w:val="00ED3A3F"/>
    <w:pPr>
      <w:pBdr>
        <w:top w:val="nil"/>
        <w:left w:val="nil"/>
        <w:bottom w:val="nil"/>
        <w:right w:val="nil"/>
        <w:between w:val="nil"/>
        <w:bar w:val="nil"/>
      </w:pBdr>
      <w:tabs>
        <w:tab w:val="right" w:leader="dot" w:pos="9054"/>
      </w:tabs>
      <w:spacing w:after="0" w:line="360" w:lineRule="auto"/>
      <w:ind w:left="240"/>
    </w:pPr>
    <w:rPr>
      <w:rFonts w:eastAsia="Arial Unicode MS" w:cs="Arial Unicode MS"/>
      <w:smallCaps/>
      <w:noProof/>
      <w:color w:val="000000"/>
      <w:szCs w:val="22"/>
      <w:u w:color="000000"/>
      <w:bdr w:val="nil"/>
      <w:lang w:bidi="ar-SA"/>
    </w:rPr>
  </w:style>
  <w:style w:type="paragraph" w:styleId="TOC3">
    <w:name w:val="toc 3"/>
    <w:basedOn w:val="Normal"/>
    <w:next w:val="Normal"/>
    <w:autoRedefine/>
    <w:uiPriority w:val="39"/>
    <w:unhideWhenUsed/>
    <w:rsid w:val="00ED3A3F"/>
    <w:pPr>
      <w:pBdr>
        <w:top w:val="nil"/>
        <w:left w:val="nil"/>
        <w:bottom w:val="nil"/>
        <w:right w:val="nil"/>
        <w:between w:val="nil"/>
        <w:bar w:val="nil"/>
      </w:pBdr>
      <w:spacing w:after="0" w:line="360" w:lineRule="auto"/>
      <w:ind w:left="480"/>
    </w:pPr>
    <w:rPr>
      <w:rFonts w:eastAsia="Arial Unicode MS" w:cs="Arial Unicode MS"/>
      <w:i/>
      <w:color w:val="000000"/>
      <w:szCs w:val="22"/>
      <w:u w:color="000000"/>
      <w:bdr w:val="nil"/>
      <w:lang w:bidi="ar-SA"/>
    </w:rPr>
  </w:style>
  <w:style w:type="paragraph" w:styleId="TOC4">
    <w:name w:val="toc 4"/>
    <w:basedOn w:val="Normal"/>
    <w:next w:val="Normal"/>
    <w:autoRedefine/>
    <w:uiPriority w:val="39"/>
    <w:semiHidden/>
    <w:unhideWhenUsed/>
    <w:rsid w:val="00ED3A3F"/>
    <w:pPr>
      <w:pBdr>
        <w:top w:val="nil"/>
        <w:left w:val="nil"/>
        <w:bottom w:val="nil"/>
        <w:right w:val="nil"/>
        <w:between w:val="nil"/>
        <w:bar w:val="nil"/>
      </w:pBdr>
      <w:spacing w:after="0" w:line="360" w:lineRule="auto"/>
      <w:ind w:left="720"/>
    </w:pPr>
    <w:rPr>
      <w:rFonts w:eastAsia="Arial Unicode MS" w:cs="Arial Unicode MS"/>
      <w:color w:val="000000"/>
      <w:sz w:val="18"/>
      <w:szCs w:val="18"/>
      <w:u w:color="000000"/>
      <w:bdr w:val="nil"/>
      <w:lang w:bidi="ar-SA"/>
    </w:rPr>
  </w:style>
  <w:style w:type="paragraph" w:styleId="TOC5">
    <w:name w:val="toc 5"/>
    <w:basedOn w:val="Normal"/>
    <w:next w:val="Normal"/>
    <w:autoRedefine/>
    <w:uiPriority w:val="39"/>
    <w:semiHidden/>
    <w:unhideWhenUsed/>
    <w:rsid w:val="00ED3A3F"/>
    <w:pPr>
      <w:pBdr>
        <w:top w:val="nil"/>
        <w:left w:val="nil"/>
        <w:bottom w:val="nil"/>
        <w:right w:val="nil"/>
        <w:between w:val="nil"/>
        <w:bar w:val="nil"/>
      </w:pBdr>
      <w:spacing w:after="0" w:line="360" w:lineRule="auto"/>
      <w:ind w:left="960"/>
    </w:pPr>
    <w:rPr>
      <w:rFonts w:eastAsia="Arial Unicode MS" w:cs="Arial Unicode MS"/>
      <w:color w:val="000000"/>
      <w:sz w:val="18"/>
      <w:szCs w:val="18"/>
      <w:u w:color="000000"/>
      <w:bdr w:val="nil"/>
      <w:lang w:bidi="ar-SA"/>
    </w:rPr>
  </w:style>
  <w:style w:type="paragraph" w:styleId="TOC6">
    <w:name w:val="toc 6"/>
    <w:basedOn w:val="Normal"/>
    <w:next w:val="Normal"/>
    <w:autoRedefine/>
    <w:uiPriority w:val="39"/>
    <w:semiHidden/>
    <w:unhideWhenUsed/>
    <w:rsid w:val="00ED3A3F"/>
    <w:pPr>
      <w:pBdr>
        <w:top w:val="nil"/>
        <w:left w:val="nil"/>
        <w:bottom w:val="nil"/>
        <w:right w:val="nil"/>
        <w:between w:val="nil"/>
        <w:bar w:val="nil"/>
      </w:pBdr>
      <w:spacing w:after="0" w:line="360" w:lineRule="auto"/>
      <w:ind w:left="1200"/>
    </w:pPr>
    <w:rPr>
      <w:rFonts w:eastAsia="Arial Unicode MS" w:cs="Arial Unicode MS"/>
      <w:color w:val="000000"/>
      <w:sz w:val="18"/>
      <w:szCs w:val="18"/>
      <w:u w:color="000000"/>
      <w:bdr w:val="nil"/>
      <w:lang w:bidi="ar-SA"/>
    </w:rPr>
  </w:style>
  <w:style w:type="paragraph" w:styleId="TOC7">
    <w:name w:val="toc 7"/>
    <w:basedOn w:val="Normal"/>
    <w:next w:val="Normal"/>
    <w:autoRedefine/>
    <w:uiPriority w:val="39"/>
    <w:semiHidden/>
    <w:unhideWhenUsed/>
    <w:rsid w:val="00ED3A3F"/>
    <w:pPr>
      <w:pBdr>
        <w:top w:val="nil"/>
        <w:left w:val="nil"/>
        <w:bottom w:val="nil"/>
        <w:right w:val="nil"/>
        <w:between w:val="nil"/>
        <w:bar w:val="nil"/>
      </w:pBdr>
      <w:spacing w:after="0" w:line="360" w:lineRule="auto"/>
      <w:ind w:left="1440"/>
    </w:pPr>
    <w:rPr>
      <w:rFonts w:eastAsia="Arial Unicode MS" w:cs="Arial Unicode MS"/>
      <w:color w:val="000000"/>
      <w:sz w:val="18"/>
      <w:szCs w:val="18"/>
      <w:u w:color="000000"/>
      <w:bdr w:val="nil"/>
      <w:lang w:bidi="ar-SA"/>
    </w:rPr>
  </w:style>
  <w:style w:type="paragraph" w:styleId="TOC8">
    <w:name w:val="toc 8"/>
    <w:basedOn w:val="Normal"/>
    <w:next w:val="Normal"/>
    <w:autoRedefine/>
    <w:uiPriority w:val="39"/>
    <w:semiHidden/>
    <w:unhideWhenUsed/>
    <w:rsid w:val="00ED3A3F"/>
    <w:pPr>
      <w:pBdr>
        <w:top w:val="nil"/>
        <w:left w:val="nil"/>
        <w:bottom w:val="nil"/>
        <w:right w:val="nil"/>
        <w:between w:val="nil"/>
        <w:bar w:val="nil"/>
      </w:pBdr>
      <w:spacing w:after="0" w:line="360" w:lineRule="auto"/>
      <w:ind w:left="1680"/>
    </w:pPr>
    <w:rPr>
      <w:rFonts w:eastAsia="Arial Unicode MS" w:cs="Arial Unicode MS"/>
      <w:color w:val="000000"/>
      <w:sz w:val="18"/>
      <w:szCs w:val="18"/>
      <w:u w:color="000000"/>
      <w:bdr w:val="nil"/>
      <w:lang w:bidi="ar-SA"/>
    </w:rPr>
  </w:style>
  <w:style w:type="paragraph" w:styleId="TOC9">
    <w:name w:val="toc 9"/>
    <w:basedOn w:val="Normal"/>
    <w:next w:val="Normal"/>
    <w:autoRedefine/>
    <w:uiPriority w:val="39"/>
    <w:semiHidden/>
    <w:unhideWhenUsed/>
    <w:rsid w:val="00ED3A3F"/>
    <w:pPr>
      <w:pBdr>
        <w:top w:val="nil"/>
        <w:left w:val="nil"/>
        <w:bottom w:val="nil"/>
        <w:right w:val="nil"/>
        <w:between w:val="nil"/>
        <w:bar w:val="nil"/>
      </w:pBdr>
      <w:spacing w:after="0" w:line="360" w:lineRule="auto"/>
      <w:ind w:left="1920"/>
    </w:pPr>
    <w:rPr>
      <w:rFonts w:eastAsia="Arial Unicode MS" w:cs="Arial Unicode MS"/>
      <w:color w:val="000000"/>
      <w:sz w:val="18"/>
      <w:szCs w:val="18"/>
      <w:u w:color="000000"/>
      <w:bdr w:val="nil"/>
      <w:lang w:bidi="ar-SA"/>
    </w:rPr>
  </w:style>
  <w:style w:type="paragraph" w:customStyle="1" w:styleId="Alaviite">
    <w:name w:val="Alaviite"/>
    <w:rsid w:val="00ED3A3F"/>
    <w:pPr>
      <w:pBdr>
        <w:top w:val="nil"/>
        <w:left w:val="nil"/>
        <w:bottom w:val="nil"/>
        <w:right w:val="nil"/>
        <w:between w:val="nil"/>
        <w:bar w:val="nil"/>
      </w:pBdr>
    </w:pPr>
    <w:rPr>
      <w:rFonts w:ascii="Helvetica" w:eastAsia="Helvetica" w:hAnsi="Helvetica" w:cs="Helvetica"/>
      <w:color w:val="000000"/>
      <w:sz w:val="22"/>
      <w:szCs w:val="22"/>
      <w:u w:color="000000"/>
      <w:bdr w:val="nil"/>
      <w:lang w:val="fi-FI" w:eastAsia="fi-FI"/>
    </w:rPr>
  </w:style>
  <w:style w:type="paragraph" w:styleId="Title">
    <w:name w:val="Title"/>
    <w:basedOn w:val="Normal"/>
    <w:next w:val="Normal"/>
    <w:link w:val="TitleChar"/>
    <w:uiPriority w:val="10"/>
    <w:qFormat/>
    <w:rsid w:val="00ED3A3F"/>
    <w:pPr>
      <w:pBdr>
        <w:top w:val="nil"/>
        <w:left w:val="nil"/>
        <w:bottom w:val="single" w:sz="8" w:space="4" w:color="4F81BD"/>
        <w:right w:val="nil"/>
        <w:between w:val="nil"/>
        <w:bar w:val="nil"/>
      </w:pBdr>
      <w:spacing w:after="300" w:line="240" w:lineRule="auto"/>
      <w:contextualSpacing/>
    </w:pPr>
    <w:rPr>
      <w:rFonts w:ascii="Cambria" w:eastAsia="Times New Roman" w:hAnsi="Cambria"/>
      <w:color w:val="17365D"/>
      <w:spacing w:val="5"/>
      <w:kern w:val="28"/>
      <w:sz w:val="52"/>
      <w:szCs w:val="52"/>
      <w:u w:color="000000"/>
      <w:bdr w:val="nil"/>
      <w:lang w:bidi="ar-SA"/>
    </w:rPr>
  </w:style>
  <w:style w:type="character" w:customStyle="1" w:styleId="TitleChar">
    <w:name w:val="Title Char"/>
    <w:link w:val="Title"/>
    <w:uiPriority w:val="10"/>
    <w:rsid w:val="00ED3A3F"/>
    <w:rPr>
      <w:rFonts w:ascii="Cambria" w:eastAsia="Times New Roman" w:hAnsi="Cambria" w:cs="Times New Roman"/>
      <w:color w:val="17365D"/>
      <w:spacing w:val="5"/>
      <w:kern w:val="28"/>
      <w:sz w:val="52"/>
      <w:szCs w:val="52"/>
      <w:u w:color="000000"/>
      <w:bdr w:val="nil"/>
      <w:lang w:bidi="ar-SA"/>
    </w:rPr>
  </w:style>
  <w:style w:type="paragraph" w:customStyle="1" w:styleId="Tyyli1">
    <w:name w:val="Tyyli1"/>
    <w:basedOn w:val="Heading2"/>
    <w:rsid w:val="00ED3A3F"/>
    <w:rPr>
      <w:b/>
    </w:rPr>
  </w:style>
  <w:style w:type="paragraph" w:customStyle="1" w:styleId="Heading21">
    <w:name w:val="Heading 21"/>
    <w:basedOn w:val="Heading2"/>
    <w:qFormat/>
    <w:rsid w:val="00ED3A3F"/>
    <w:rPr>
      <w:b/>
    </w:rPr>
  </w:style>
  <w:style w:type="paragraph" w:customStyle="1" w:styleId="LeiptekstiA">
    <w:name w:val="Leipäteksti A"/>
    <w:rsid w:val="00ED3A3F"/>
    <w:pPr>
      <w:pBdr>
        <w:top w:val="nil"/>
        <w:left w:val="nil"/>
        <w:bottom w:val="nil"/>
        <w:right w:val="nil"/>
        <w:between w:val="nil"/>
        <w:bar w:val="nil"/>
      </w:pBdr>
    </w:pPr>
    <w:rPr>
      <w:rFonts w:ascii="Times New Roman" w:eastAsia="Arial Unicode MS" w:hAnsi="Arial Unicode MS" w:cs="Arial Unicode MS"/>
      <w:color w:val="000000"/>
      <w:sz w:val="24"/>
      <w:szCs w:val="24"/>
      <w:u w:color="000000"/>
      <w:bdr w:val="nil"/>
      <w:lang w:val="en-US" w:eastAsia="fi-FI"/>
    </w:rPr>
  </w:style>
  <w:style w:type="character" w:styleId="FollowedHyperlink">
    <w:name w:val="FollowedHyperlink"/>
    <w:uiPriority w:val="99"/>
    <w:semiHidden/>
    <w:unhideWhenUsed/>
    <w:rsid w:val="00ED3A3F"/>
    <w:rPr>
      <w:color w:val="800080"/>
      <w:u w:val="single"/>
    </w:rPr>
  </w:style>
  <w:style w:type="paragraph" w:styleId="Revision">
    <w:name w:val="Revision"/>
    <w:hidden/>
    <w:uiPriority w:val="99"/>
    <w:semiHidden/>
    <w:rsid w:val="00ED3A3F"/>
    <w:rPr>
      <w:rFonts w:ascii="Times New Roman" w:eastAsia="Arial Unicode MS" w:hAnsi="Arial Unicode MS" w:cs="Arial Unicode MS"/>
      <w:color w:val="000000"/>
      <w:sz w:val="24"/>
      <w:szCs w:val="24"/>
      <w:u w:color="000000"/>
      <w:bdr w:val="nil"/>
      <w:lang w:val="en-US"/>
    </w:rPr>
  </w:style>
  <w:style w:type="character" w:customStyle="1" w:styleId="allowtextselection">
    <w:name w:val="allowtextselection"/>
    <w:basedOn w:val="DefaultParagraphFont"/>
    <w:rsid w:val="00ED3A3F"/>
  </w:style>
  <w:style w:type="table" w:styleId="TableGrid">
    <w:name w:val="Table Grid"/>
    <w:basedOn w:val="TableNormal"/>
    <w:uiPriority w:val="59"/>
    <w:rsid w:val="00363A6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uiPriority w:val="99"/>
    <w:semiHidden/>
    <w:rsid w:val="00363A61"/>
    <w:rPr>
      <w:color w:val="808080"/>
    </w:rPr>
  </w:style>
  <w:style w:type="character" w:styleId="Emphasis">
    <w:name w:val="Emphasis"/>
    <w:uiPriority w:val="20"/>
    <w:qFormat/>
    <w:rsid w:val="003045E4"/>
    <w:rPr>
      <w:i/>
      <w:iCs/>
    </w:rPr>
  </w:style>
  <w:style w:type="character" w:customStyle="1" w:styleId="hps">
    <w:name w:val="hps"/>
    <w:rsid w:val="007B6169"/>
  </w:style>
  <w:style w:type="paragraph" w:styleId="IntenseQuote">
    <w:name w:val="Intense Quote"/>
    <w:basedOn w:val="Normal"/>
    <w:next w:val="Normal"/>
    <w:link w:val="IntenseQuoteChar"/>
    <w:uiPriority w:val="30"/>
    <w:qFormat/>
    <w:rsid w:val="00AC6E2E"/>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AC6E2E"/>
    <w:rPr>
      <w:i/>
      <w:iCs/>
      <w:color w:val="4472C4" w:themeColor="accent1"/>
      <w:sz w:val="22"/>
      <w:szCs w:val="28"/>
      <w:lang w:val="en-US" w:bidi="bn-IN"/>
    </w:rPr>
  </w:style>
  <w:style w:type="paragraph" w:styleId="NormalWeb">
    <w:name w:val="Normal (Web)"/>
    <w:basedOn w:val="Normal"/>
    <w:uiPriority w:val="99"/>
    <w:semiHidden/>
    <w:unhideWhenUsed/>
    <w:rsid w:val="00124D8C"/>
    <w:pPr>
      <w:spacing w:before="100" w:beforeAutospacing="1" w:after="100" w:afterAutospacing="1" w:line="240" w:lineRule="auto"/>
    </w:pPr>
    <w:rPr>
      <w:rFonts w:ascii="Times New Roman" w:eastAsia="Times New Roman" w:hAnsi="Times New Roman"/>
      <w:sz w:val="24"/>
      <w:szCs w:val="24"/>
      <w:lang w:val="en-ID"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876991">
      <w:bodyDiv w:val="1"/>
      <w:marLeft w:val="0"/>
      <w:marRight w:val="0"/>
      <w:marTop w:val="0"/>
      <w:marBottom w:val="0"/>
      <w:divBdr>
        <w:top w:val="none" w:sz="0" w:space="0" w:color="auto"/>
        <w:left w:val="none" w:sz="0" w:space="0" w:color="auto"/>
        <w:bottom w:val="none" w:sz="0" w:space="0" w:color="auto"/>
        <w:right w:val="none" w:sz="0" w:space="0" w:color="auto"/>
      </w:divBdr>
    </w:div>
    <w:div w:id="198587820">
      <w:bodyDiv w:val="1"/>
      <w:marLeft w:val="0"/>
      <w:marRight w:val="0"/>
      <w:marTop w:val="0"/>
      <w:marBottom w:val="0"/>
      <w:divBdr>
        <w:top w:val="none" w:sz="0" w:space="0" w:color="auto"/>
        <w:left w:val="none" w:sz="0" w:space="0" w:color="auto"/>
        <w:bottom w:val="none" w:sz="0" w:space="0" w:color="auto"/>
        <w:right w:val="none" w:sz="0" w:space="0" w:color="auto"/>
      </w:divBdr>
      <w:divsChild>
        <w:div w:id="1102381250">
          <w:marLeft w:val="0"/>
          <w:marRight w:val="0"/>
          <w:marTop w:val="0"/>
          <w:marBottom w:val="0"/>
          <w:divBdr>
            <w:top w:val="none" w:sz="0" w:space="0" w:color="auto"/>
            <w:left w:val="none" w:sz="0" w:space="0" w:color="auto"/>
            <w:bottom w:val="none" w:sz="0" w:space="0" w:color="auto"/>
            <w:right w:val="none" w:sz="0" w:space="0" w:color="auto"/>
          </w:divBdr>
        </w:div>
        <w:div w:id="376046325">
          <w:marLeft w:val="0"/>
          <w:marRight w:val="0"/>
          <w:marTop w:val="0"/>
          <w:marBottom w:val="0"/>
          <w:divBdr>
            <w:top w:val="none" w:sz="0" w:space="0" w:color="auto"/>
            <w:left w:val="none" w:sz="0" w:space="0" w:color="auto"/>
            <w:bottom w:val="none" w:sz="0" w:space="0" w:color="auto"/>
            <w:right w:val="none" w:sz="0" w:space="0" w:color="auto"/>
          </w:divBdr>
        </w:div>
      </w:divsChild>
    </w:div>
    <w:div w:id="365761186">
      <w:bodyDiv w:val="1"/>
      <w:marLeft w:val="0"/>
      <w:marRight w:val="0"/>
      <w:marTop w:val="0"/>
      <w:marBottom w:val="0"/>
      <w:divBdr>
        <w:top w:val="none" w:sz="0" w:space="0" w:color="auto"/>
        <w:left w:val="none" w:sz="0" w:space="0" w:color="auto"/>
        <w:bottom w:val="none" w:sz="0" w:space="0" w:color="auto"/>
        <w:right w:val="none" w:sz="0" w:space="0" w:color="auto"/>
      </w:divBdr>
      <w:divsChild>
        <w:div w:id="1292830714">
          <w:marLeft w:val="0"/>
          <w:marRight w:val="0"/>
          <w:marTop w:val="0"/>
          <w:marBottom w:val="0"/>
          <w:divBdr>
            <w:top w:val="none" w:sz="0" w:space="0" w:color="auto"/>
            <w:left w:val="none" w:sz="0" w:space="0" w:color="auto"/>
            <w:bottom w:val="none" w:sz="0" w:space="0" w:color="auto"/>
            <w:right w:val="none" w:sz="0" w:space="0" w:color="auto"/>
          </w:divBdr>
          <w:divsChild>
            <w:div w:id="1927955673">
              <w:marLeft w:val="0"/>
              <w:marRight w:val="0"/>
              <w:marTop w:val="0"/>
              <w:marBottom w:val="0"/>
              <w:divBdr>
                <w:top w:val="none" w:sz="0" w:space="0" w:color="auto"/>
                <w:left w:val="none" w:sz="0" w:space="0" w:color="auto"/>
                <w:bottom w:val="none" w:sz="0" w:space="0" w:color="auto"/>
                <w:right w:val="none" w:sz="0" w:space="0" w:color="auto"/>
              </w:divBdr>
              <w:divsChild>
                <w:div w:id="1777140042">
                  <w:marLeft w:val="0"/>
                  <w:marRight w:val="0"/>
                  <w:marTop w:val="0"/>
                  <w:marBottom w:val="0"/>
                  <w:divBdr>
                    <w:top w:val="none" w:sz="0" w:space="0" w:color="auto"/>
                    <w:left w:val="none" w:sz="0" w:space="0" w:color="auto"/>
                    <w:bottom w:val="none" w:sz="0" w:space="0" w:color="auto"/>
                    <w:right w:val="none" w:sz="0" w:space="0" w:color="auto"/>
                  </w:divBdr>
                  <w:divsChild>
                    <w:div w:id="1766415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5758975">
      <w:bodyDiv w:val="1"/>
      <w:marLeft w:val="0"/>
      <w:marRight w:val="0"/>
      <w:marTop w:val="0"/>
      <w:marBottom w:val="0"/>
      <w:divBdr>
        <w:top w:val="none" w:sz="0" w:space="0" w:color="auto"/>
        <w:left w:val="none" w:sz="0" w:space="0" w:color="auto"/>
        <w:bottom w:val="none" w:sz="0" w:space="0" w:color="auto"/>
        <w:right w:val="none" w:sz="0" w:space="0" w:color="auto"/>
      </w:divBdr>
    </w:div>
    <w:div w:id="481963962">
      <w:bodyDiv w:val="1"/>
      <w:marLeft w:val="0"/>
      <w:marRight w:val="0"/>
      <w:marTop w:val="0"/>
      <w:marBottom w:val="0"/>
      <w:divBdr>
        <w:top w:val="none" w:sz="0" w:space="0" w:color="auto"/>
        <w:left w:val="none" w:sz="0" w:space="0" w:color="auto"/>
        <w:bottom w:val="none" w:sz="0" w:space="0" w:color="auto"/>
        <w:right w:val="none" w:sz="0" w:space="0" w:color="auto"/>
      </w:divBdr>
    </w:div>
    <w:div w:id="597058855">
      <w:bodyDiv w:val="1"/>
      <w:marLeft w:val="0"/>
      <w:marRight w:val="0"/>
      <w:marTop w:val="0"/>
      <w:marBottom w:val="0"/>
      <w:divBdr>
        <w:top w:val="none" w:sz="0" w:space="0" w:color="auto"/>
        <w:left w:val="none" w:sz="0" w:space="0" w:color="auto"/>
        <w:bottom w:val="none" w:sz="0" w:space="0" w:color="auto"/>
        <w:right w:val="none" w:sz="0" w:space="0" w:color="auto"/>
      </w:divBdr>
      <w:divsChild>
        <w:div w:id="548961309">
          <w:marLeft w:val="0"/>
          <w:marRight w:val="0"/>
          <w:marTop w:val="0"/>
          <w:marBottom w:val="0"/>
          <w:divBdr>
            <w:top w:val="none" w:sz="0" w:space="0" w:color="auto"/>
            <w:left w:val="none" w:sz="0" w:space="0" w:color="auto"/>
            <w:bottom w:val="none" w:sz="0" w:space="0" w:color="auto"/>
            <w:right w:val="none" w:sz="0" w:space="0" w:color="auto"/>
          </w:divBdr>
          <w:divsChild>
            <w:div w:id="1445346472">
              <w:marLeft w:val="0"/>
              <w:marRight w:val="0"/>
              <w:marTop w:val="0"/>
              <w:marBottom w:val="0"/>
              <w:divBdr>
                <w:top w:val="none" w:sz="0" w:space="0" w:color="auto"/>
                <w:left w:val="none" w:sz="0" w:space="0" w:color="auto"/>
                <w:bottom w:val="none" w:sz="0" w:space="0" w:color="auto"/>
                <w:right w:val="none" w:sz="0" w:space="0" w:color="auto"/>
              </w:divBdr>
              <w:divsChild>
                <w:div w:id="1600062800">
                  <w:marLeft w:val="0"/>
                  <w:marRight w:val="0"/>
                  <w:marTop w:val="0"/>
                  <w:marBottom w:val="0"/>
                  <w:divBdr>
                    <w:top w:val="none" w:sz="0" w:space="0" w:color="auto"/>
                    <w:left w:val="none" w:sz="0" w:space="0" w:color="auto"/>
                    <w:bottom w:val="none" w:sz="0" w:space="0" w:color="auto"/>
                    <w:right w:val="none" w:sz="0" w:space="0" w:color="auto"/>
                  </w:divBdr>
                  <w:divsChild>
                    <w:div w:id="1623801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120270">
      <w:bodyDiv w:val="1"/>
      <w:marLeft w:val="0"/>
      <w:marRight w:val="0"/>
      <w:marTop w:val="0"/>
      <w:marBottom w:val="0"/>
      <w:divBdr>
        <w:top w:val="none" w:sz="0" w:space="0" w:color="auto"/>
        <w:left w:val="none" w:sz="0" w:space="0" w:color="auto"/>
        <w:bottom w:val="none" w:sz="0" w:space="0" w:color="auto"/>
        <w:right w:val="none" w:sz="0" w:space="0" w:color="auto"/>
      </w:divBdr>
      <w:divsChild>
        <w:div w:id="557130442">
          <w:marLeft w:val="0"/>
          <w:marRight w:val="0"/>
          <w:marTop w:val="0"/>
          <w:marBottom w:val="0"/>
          <w:divBdr>
            <w:top w:val="none" w:sz="0" w:space="0" w:color="auto"/>
            <w:left w:val="none" w:sz="0" w:space="0" w:color="auto"/>
            <w:bottom w:val="none" w:sz="0" w:space="0" w:color="auto"/>
            <w:right w:val="none" w:sz="0" w:space="0" w:color="auto"/>
          </w:divBdr>
        </w:div>
        <w:div w:id="826752009">
          <w:marLeft w:val="0"/>
          <w:marRight w:val="0"/>
          <w:marTop w:val="0"/>
          <w:marBottom w:val="0"/>
          <w:divBdr>
            <w:top w:val="none" w:sz="0" w:space="0" w:color="auto"/>
            <w:left w:val="none" w:sz="0" w:space="0" w:color="auto"/>
            <w:bottom w:val="none" w:sz="0" w:space="0" w:color="auto"/>
            <w:right w:val="none" w:sz="0" w:space="0" w:color="auto"/>
          </w:divBdr>
        </w:div>
        <w:div w:id="1032606314">
          <w:marLeft w:val="0"/>
          <w:marRight w:val="0"/>
          <w:marTop w:val="0"/>
          <w:marBottom w:val="0"/>
          <w:divBdr>
            <w:top w:val="none" w:sz="0" w:space="0" w:color="auto"/>
            <w:left w:val="none" w:sz="0" w:space="0" w:color="auto"/>
            <w:bottom w:val="none" w:sz="0" w:space="0" w:color="auto"/>
            <w:right w:val="none" w:sz="0" w:space="0" w:color="auto"/>
          </w:divBdr>
        </w:div>
        <w:div w:id="1002321872">
          <w:marLeft w:val="0"/>
          <w:marRight w:val="0"/>
          <w:marTop w:val="0"/>
          <w:marBottom w:val="0"/>
          <w:divBdr>
            <w:top w:val="none" w:sz="0" w:space="0" w:color="auto"/>
            <w:left w:val="none" w:sz="0" w:space="0" w:color="auto"/>
            <w:bottom w:val="none" w:sz="0" w:space="0" w:color="auto"/>
            <w:right w:val="none" w:sz="0" w:space="0" w:color="auto"/>
          </w:divBdr>
        </w:div>
      </w:divsChild>
    </w:div>
    <w:div w:id="886144116">
      <w:bodyDiv w:val="1"/>
      <w:marLeft w:val="0"/>
      <w:marRight w:val="0"/>
      <w:marTop w:val="0"/>
      <w:marBottom w:val="0"/>
      <w:divBdr>
        <w:top w:val="none" w:sz="0" w:space="0" w:color="auto"/>
        <w:left w:val="none" w:sz="0" w:space="0" w:color="auto"/>
        <w:bottom w:val="none" w:sz="0" w:space="0" w:color="auto"/>
        <w:right w:val="none" w:sz="0" w:space="0" w:color="auto"/>
      </w:divBdr>
    </w:div>
    <w:div w:id="972098139">
      <w:bodyDiv w:val="1"/>
      <w:marLeft w:val="0"/>
      <w:marRight w:val="0"/>
      <w:marTop w:val="0"/>
      <w:marBottom w:val="0"/>
      <w:divBdr>
        <w:top w:val="none" w:sz="0" w:space="0" w:color="auto"/>
        <w:left w:val="none" w:sz="0" w:space="0" w:color="auto"/>
        <w:bottom w:val="none" w:sz="0" w:space="0" w:color="auto"/>
        <w:right w:val="none" w:sz="0" w:space="0" w:color="auto"/>
      </w:divBdr>
    </w:div>
    <w:div w:id="1074163934">
      <w:bodyDiv w:val="1"/>
      <w:marLeft w:val="0"/>
      <w:marRight w:val="0"/>
      <w:marTop w:val="0"/>
      <w:marBottom w:val="0"/>
      <w:divBdr>
        <w:top w:val="none" w:sz="0" w:space="0" w:color="auto"/>
        <w:left w:val="none" w:sz="0" w:space="0" w:color="auto"/>
        <w:bottom w:val="none" w:sz="0" w:space="0" w:color="auto"/>
        <w:right w:val="none" w:sz="0" w:space="0" w:color="auto"/>
      </w:divBdr>
      <w:divsChild>
        <w:div w:id="1281492353">
          <w:marLeft w:val="0"/>
          <w:marRight w:val="0"/>
          <w:marTop w:val="0"/>
          <w:marBottom w:val="0"/>
          <w:divBdr>
            <w:top w:val="none" w:sz="0" w:space="0" w:color="auto"/>
            <w:left w:val="none" w:sz="0" w:space="0" w:color="auto"/>
            <w:bottom w:val="none" w:sz="0" w:space="0" w:color="auto"/>
            <w:right w:val="none" w:sz="0" w:space="0" w:color="auto"/>
          </w:divBdr>
          <w:divsChild>
            <w:div w:id="1560045193">
              <w:marLeft w:val="0"/>
              <w:marRight w:val="0"/>
              <w:marTop w:val="0"/>
              <w:marBottom w:val="0"/>
              <w:divBdr>
                <w:top w:val="none" w:sz="0" w:space="0" w:color="auto"/>
                <w:left w:val="none" w:sz="0" w:space="0" w:color="auto"/>
                <w:bottom w:val="none" w:sz="0" w:space="0" w:color="auto"/>
                <w:right w:val="none" w:sz="0" w:space="0" w:color="auto"/>
              </w:divBdr>
              <w:divsChild>
                <w:div w:id="152640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8287412">
      <w:bodyDiv w:val="1"/>
      <w:marLeft w:val="0"/>
      <w:marRight w:val="0"/>
      <w:marTop w:val="0"/>
      <w:marBottom w:val="0"/>
      <w:divBdr>
        <w:top w:val="none" w:sz="0" w:space="0" w:color="auto"/>
        <w:left w:val="none" w:sz="0" w:space="0" w:color="auto"/>
        <w:bottom w:val="none" w:sz="0" w:space="0" w:color="auto"/>
        <w:right w:val="none" w:sz="0" w:space="0" w:color="auto"/>
      </w:divBdr>
    </w:div>
    <w:div w:id="1130900475">
      <w:bodyDiv w:val="1"/>
      <w:marLeft w:val="0"/>
      <w:marRight w:val="0"/>
      <w:marTop w:val="0"/>
      <w:marBottom w:val="0"/>
      <w:divBdr>
        <w:top w:val="none" w:sz="0" w:space="0" w:color="auto"/>
        <w:left w:val="none" w:sz="0" w:space="0" w:color="auto"/>
        <w:bottom w:val="none" w:sz="0" w:space="0" w:color="auto"/>
        <w:right w:val="none" w:sz="0" w:space="0" w:color="auto"/>
      </w:divBdr>
    </w:div>
    <w:div w:id="1191917454">
      <w:bodyDiv w:val="1"/>
      <w:marLeft w:val="0"/>
      <w:marRight w:val="0"/>
      <w:marTop w:val="0"/>
      <w:marBottom w:val="0"/>
      <w:divBdr>
        <w:top w:val="none" w:sz="0" w:space="0" w:color="auto"/>
        <w:left w:val="none" w:sz="0" w:space="0" w:color="auto"/>
        <w:bottom w:val="none" w:sz="0" w:space="0" w:color="auto"/>
        <w:right w:val="none" w:sz="0" w:space="0" w:color="auto"/>
      </w:divBdr>
      <w:divsChild>
        <w:div w:id="141582107">
          <w:marLeft w:val="0"/>
          <w:marRight w:val="0"/>
          <w:marTop w:val="0"/>
          <w:marBottom w:val="0"/>
          <w:divBdr>
            <w:top w:val="none" w:sz="0" w:space="0" w:color="auto"/>
            <w:left w:val="none" w:sz="0" w:space="0" w:color="auto"/>
            <w:bottom w:val="none" w:sz="0" w:space="0" w:color="auto"/>
            <w:right w:val="none" w:sz="0" w:space="0" w:color="auto"/>
          </w:divBdr>
        </w:div>
        <w:div w:id="712971304">
          <w:marLeft w:val="0"/>
          <w:marRight w:val="0"/>
          <w:marTop w:val="0"/>
          <w:marBottom w:val="0"/>
          <w:divBdr>
            <w:top w:val="none" w:sz="0" w:space="0" w:color="auto"/>
            <w:left w:val="none" w:sz="0" w:space="0" w:color="auto"/>
            <w:bottom w:val="none" w:sz="0" w:space="0" w:color="auto"/>
            <w:right w:val="none" w:sz="0" w:space="0" w:color="auto"/>
          </w:divBdr>
        </w:div>
      </w:divsChild>
    </w:div>
    <w:div w:id="1534151970">
      <w:bodyDiv w:val="1"/>
      <w:marLeft w:val="0"/>
      <w:marRight w:val="0"/>
      <w:marTop w:val="0"/>
      <w:marBottom w:val="0"/>
      <w:divBdr>
        <w:top w:val="none" w:sz="0" w:space="0" w:color="auto"/>
        <w:left w:val="none" w:sz="0" w:space="0" w:color="auto"/>
        <w:bottom w:val="none" w:sz="0" w:space="0" w:color="auto"/>
        <w:right w:val="none" w:sz="0" w:space="0" w:color="auto"/>
      </w:divBdr>
      <w:divsChild>
        <w:div w:id="1064068756">
          <w:marLeft w:val="0"/>
          <w:marRight w:val="0"/>
          <w:marTop w:val="0"/>
          <w:marBottom w:val="0"/>
          <w:divBdr>
            <w:top w:val="none" w:sz="0" w:space="0" w:color="auto"/>
            <w:left w:val="none" w:sz="0" w:space="0" w:color="auto"/>
            <w:bottom w:val="none" w:sz="0" w:space="0" w:color="auto"/>
            <w:right w:val="none" w:sz="0" w:space="0" w:color="auto"/>
          </w:divBdr>
          <w:divsChild>
            <w:div w:id="204952046">
              <w:marLeft w:val="0"/>
              <w:marRight w:val="0"/>
              <w:marTop w:val="0"/>
              <w:marBottom w:val="0"/>
              <w:divBdr>
                <w:top w:val="none" w:sz="0" w:space="0" w:color="auto"/>
                <w:left w:val="none" w:sz="0" w:space="0" w:color="auto"/>
                <w:bottom w:val="none" w:sz="0" w:space="0" w:color="auto"/>
                <w:right w:val="none" w:sz="0" w:space="0" w:color="auto"/>
              </w:divBdr>
              <w:divsChild>
                <w:div w:id="1535461248">
                  <w:marLeft w:val="0"/>
                  <w:marRight w:val="0"/>
                  <w:marTop w:val="0"/>
                  <w:marBottom w:val="0"/>
                  <w:divBdr>
                    <w:top w:val="none" w:sz="0" w:space="0" w:color="auto"/>
                    <w:left w:val="none" w:sz="0" w:space="0" w:color="auto"/>
                    <w:bottom w:val="none" w:sz="0" w:space="0" w:color="auto"/>
                    <w:right w:val="none" w:sz="0" w:space="0" w:color="auto"/>
                  </w:divBdr>
                  <w:divsChild>
                    <w:div w:id="1875069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6927673">
      <w:bodyDiv w:val="1"/>
      <w:marLeft w:val="0"/>
      <w:marRight w:val="0"/>
      <w:marTop w:val="0"/>
      <w:marBottom w:val="0"/>
      <w:divBdr>
        <w:top w:val="none" w:sz="0" w:space="0" w:color="auto"/>
        <w:left w:val="none" w:sz="0" w:space="0" w:color="auto"/>
        <w:bottom w:val="none" w:sz="0" w:space="0" w:color="auto"/>
        <w:right w:val="none" w:sz="0" w:space="0" w:color="auto"/>
      </w:divBdr>
      <w:divsChild>
        <w:div w:id="1840197462">
          <w:marLeft w:val="0"/>
          <w:marRight w:val="0"/>
          <w:marTop w:val="0"/>
          <w:marBottom w:val="0"/>
          <w:divBdr>
            <w:top w:val="none" w:sz="0" w:space="0" w:color="auto"/>
            <w:left w:val="none" w:sz="0" w:space="0" w:color="auto"/>
            <w:bottom w:val="none" w:sz="0" w:space="0" w:color="auto"/>
            <w:right w:val="none" w:sz="0" w:space="0" w:color="auto"/>
          </w:divBdr>
        </w:div>
        <w:div w:id="4701006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hyperlink" Target="http://crossmark.crossref.org/dialog/?doi=10.47268/sasi.v26i3.247&amp;domain=pdf"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https://doi.org/10.47268/sasi.v27i4.679" TargetMode="External"/><Relationship Id="rId2" Type="http://schemas.openxmlformats.org/officeDocument/2006/relationships/image" Target="media/image1.png"/><Relationship Id="rId1" Type="http://schemas.openxmlformats.org/officeDocument/2006/relationships/image" Target="media/image4.jpeg"/><Relationship Id="rId5" Type="http://schemas.openxmlformats.org/officeDocument/2006/relationships/hyperlink" Target="http://creativecommons.org/licenses/by-nc/4.0/" TargetMode="External"/><Relationship Id="rId4" Type="http://schemas.openxmlformats.org/officeDocument/2006/relationships/image" Target="media/image5.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uchtar\Downloads\%5bHALREV%5d%20TEMPLATE%20202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Seventh Edition">
  <b:Source>
    <b:Tag>Ber00</b:Tag>
    <b:SourceType>BookSection</b:SourceType>
    <b:Guid>{074EDD78-A5C3-48B2-B236-383D59B89D92}</b:Guid>
    <b:Author>
      <b:Author>
        <b:NameList>
          <b:Person>
            <b:Last>Bernard</b:Last>
            <b:First>Miriam</b:First>
          </b:Person>
          <b:Person>
            <b:Last>Chambers</b:Last>
            <b:First>Pat</b:First>
          </b:Person>
          <b:Person>
            <b:Last>Granville</b:Last>
            <b:First>Gillian</b:First>
          </b:Person>
        </b:NameList>
      </b:Author>
      <b:BookAuthor>
        <b:NameList>
          <b:Person>
            <b:Last>Bernard</b:Last>
            <b:First>Miriam</b:First>
          </b:Person>
          <b:Person>
            <b:Last>Phillips</b:Last>
            <b:First>Judith</b:First>
          </b:Person>
          <b:Person>
            <b:Last>Machin</b:Last>
            <b:First>Linda</b:First>
          </b:Person>
          <b:Person>
            <b:Last>Davies</b:Last>
            <b:First>Harding</b:First>
            <b:Middle>Val</b:Middle>
          </b:Person>
        </b:NameList>
      </b:BookAuthor>
    </b:Author>
    <b:Title>Women ageing:changing identities, challenging myths</b:Title>
    <b:Year>2000</b:Year>
    <b:City>London</b:City>
    <b:Publisher>Routledge</b:Publisher>
    <b:Medium>English</b:Medium>
    <b:BookTitle>Women Ageing Changing identities, challenging myths</b:BookTitle>
    <b:Pages>10</b:Pages>
    <b:RefOrder>1</b:RefOrder>
  </b:Source>
  <b:Source>
    <b:Tag>Mac82</b:Tag>
    <b:SourceType>JournalArticle</b:SourceType>
    <b:Guid>{A04D5D95-6A36-4469-8A94-CFA5D98CC478}</b:Guid>
    <b:Author>
      <b:Author>
        <b:NameList>
          <b:Person>
            <b:Last>Mackinnon</b:Last>
            <b:First>Catherine</b:First>
            <b:Middle>A.</b:Middle>
          </b:Person>
        </b:NameList>
      </b:Author>
    </b:Author>
    <b:Title>Feminism, Marxism, Method, and the State: An Agenda for Theory</b:Title>
    <b:Year>(Spring, 1982),</b:Year>
    <b:Pages>515-544</b:Pages>
    <b:Medium>English</b:Medium>
    <b:JournalName>Signs, Vol. 7, No. 3, Feminist Theory,The University of Chicago Press</b:JournalName>
    <b:RefOrder>2</b:RefOrder>
  </b:Source>
  <b:Source>
    <b:Tag>Bab15</b:Tag>
    <b:SourceType>JournalArticle</b:SourceType>
    <b:Guid>{D7818DEC-1975-4049-96DB-EDC84D8E21B9}</b:Guid>
    <b:Author>
      <b:Author>
        <b:NameList>
          <b:Person>
            <b:Last>Babatunde</b:Last>
            <b:First>Ekundayo</b:First>
            <b:Middle>B.</b:Middle>
          </b:Person>
          <b:Person>
            <b:Last>Durowaiye</b:Last>
            <b:First>Babatunde</b:First>
            <b:Middle>E.</b:Middle>
          </b:Person>
        </b:NameList>
      </b:Author>
    </b:Author>
    <b:Title>The Conception of ‘Sex’ and ‘Gender’ as Background to Inequities Faced by Women</b:Title>
    <b:JournalName>The Journal of Pan African Studies, vol.7, no. 8,</b:JournalName>
    <b:Year>March 2015</b:Year>
    <b:Pages>64-79</b:Pages>
    <b:Medium>English</b:Medium>
    <b:RefOrder>3</b:RefOrder>
  </b:Source>
  <b:Source>
    <b:Tag>ARE93</b:Tag>
    <b:SourceType>Report</b:SourceType>
    <b:Guid>{7C6689E9-E502-4217-8732-EAD69E8A0E47}</b:Guid>
    <b:Author>
      <b:Author>
        <b:NameList>
          <b:Person>
            <b:Last>A/RES/48/104</b:Last>
          </b:Person>
        </b:NameList>
      </b:Author>
    </b:Author>
    <b:Title>Declaration on the Elimination of Violence against Women</b:Title>
    <b:Year>1993</b:Year>
    <b:Publisher>http://www.un.org/documents/ga/res/48/a48r104.htm, Accessed on 17/03.16</b:Publisher>
    <b:Medium>english</b:Medium>
    <b:RefOrder>4</b:RefOrder>
  </b:Source>
  <b:Source>
    <b:Tag>Coo05</b:Tag>
    <b:SourceType>JournalArticle</b:SourceType>
    <b:Guid>{C2D0B74F-DD05-45C0-8B9E-E4F33532057B}</b:Guid>
    <b:Author>
      <b:Author>
        <b:NameList>
          <b:Person>
            <b:Last>Coomarswamy</b:Last>
            <b:First>Radhika</b:First>
          </b:Person>
        </b:NameList>
      </b:Author>
    </b:Author>
    <b:Title>Human Security and Gender Violence</b:Title>
    <b:Year>Oct. 29 - Nov. 4, 2005</b:Year>
    <b:Medium>english</b:Medium>
    <b:JournalName>Economic and Political Weekly, Vol. 40, No. 44/45</b:JournalName>
    <b:Pages>4729-4736</b:Pages>
    <b:RefOrder>5</b:RefOrder>
  </b:Source>
  <b:Source>
    <b:Tag>Cen12</b:Tag>
    <b:SourceType>Report</b:SourceType>
    <b:Guid>{4CD79B8B-C2F5-4380-B2B6-3EC51EB0306F}</b:Guid>
    <b:Author>
      <b:Author>
        <b:Corporate>Center forPolicy Research (CPR) at the Maxwell School of Syracuse University</b:Corporate>
      </b:Author>
    </b:Author>
    <b:Title>Quality of Life for All Ages, By Design, A conversation with Patricia Moore</b:Title>
    <b:Year>No. 46/2012</b:Year>
    <b:Medium>English</b:Medium>
    <b:Publisher>S y r a c u s e U n i v e r s i t y, Maxwell School of Citizenship and Public Affairs | Center for Policy Researchhttps://www.maxwell.syr.edu/uploadedFiles/cpr/publications/cpr_policy_briefs/Moore2011_policy_brief-Final.pdf, Accessed, 24/03/2016</b:Publisher>
    <b:ThesisType>Policy Brief</b:ThesisType>
    <b:RefOrder>6</b:RefOrder>
  </b:Source>
  <b:Source>
    <b:Tag>Kha</b:Tag>
    <b:SourceType>Report</b:SourceType>
    <b:Guid>{BADC8CFE-C8B1-4927-BC76-835F654EF7AD}</b:Guid>
    <b:Title>Khatoon Nisa v. State of U.P. and Ors.</b:Title>
    <b:Author>
      <b:Author>
        <b:NameList>
          <b:Person>
            <b:Last>SCALE</b:Last>
          </b:Person>
        </b:NameList>
      </b:Author>
    </b:Author>
    <b:Year>2002 (6) SCALE 165</b:Year>
    <b:RefOrder>10</b:RefOrder>
  </b:Source>
  <b:Source>
    <b:Tag>Dan</b:Tag>
    <b:SourceType>Report</b:SourceType>
    <b:Guid>{E4753FB6-D49F-41B9-BC4B-0717DCDAD58E}</b:Guid>
    <b:Title>Danial Latifi and another v. Union of India</b:Title>
    <b:Author>
      <b:Author>
        <b:NameList>
          <b:Person>
            <b:Last>SCC</b:Last>
          </b:Person>
        </b:NameList>
      </b:Author>
    </b:Author>
    <b:Year>(2001) 7 SCC 740</b:Year>
    <b:RefOrder>9</b:RefOrder>
  </b:Source>
  <b:Source>
    <b:Tag>SCC556</b:Tag>
    <b:SourceType>Report</b:SourceType>
    <b:Guid>{7530B880-249C-49FA-BAA2-F0C3B4960D5F}</b:Guid>
    <b:Title>Mohd. Ahmed Khan vs Shah Bano Begum And Ors</b:Title>
    <b:Year>1985 SCC (2) 556</b:Year>
    <b:Author>
      <b:Author>
        <b:NameList>
          <b:Person>
            <b:Last>SCC</b:Last>
          </b:Person>
        </b:NameList>
      </b:Author>
    </b:Author>
    <b:RefOrder>8</b:RefOrder>
  </b:Source>
  <b:Source>
    <b:Tag>www12</b:Tag>
    <b:SourceType>Report</b:SourceType>
    <b:Guid>{6225C023-4DCF-40A7-A05F-089A2E150F35}</b:Guid>
    <b:Author>
      <b:Author>
        <b:NameList>
          <b:Person>
            <b:Last>www.judis.nic.in</b:Last>
          </b:Person>
        </b:NameList>
      </b:Author>
    </b:Author>
    <b:Title>Shamim Bano vs Asraf Khan</b:Title>
    <b:Year>CRIMINAL APPEAL NO.820 OF 2014 (Arising out of S.L.P. (Criminal) No. 4377 of 2012)</b:Year>
    <b:RefOrder>11</b:RefOrder>
  </b:Source>
  <b:Source>
    <b:Tag>Hof13</b:Tag>
    <b:SourceType>ArticleInAPeriodical</b:SourceType>
    <b:Guid>{6FC922C7-9816-40D4-8AD1-20279AB72A82}</b:Guid>
    <b:Author>
      <b:Author>
        <b:NameList>
          <b:Person>
            <b:Last>Hoffman</b:Last>
          </b:Person>
        </b:NameList>
      </b:Author>
    </b:Author>
    <b:Title>Wathful eye in nursing homes</b:Title>
    <b:Year>2013</b:Year>
    <b:Medium>English</b:Medium>
    <b:PeriodicalTitle>New York Times &amp; http://well.blogs.nytimes.com/2013/11/18/watchful-eye-in-nursing-homes/?_r=0, Accessed on 26th March, 2016</b:PeriodicalTitle>
    <b:Month>November</b:Month>
    <b:Day>18th at 4:31 PM</b:Day>
    <b:RefOrder>7</b:RefOrder>
  </b:Source>
</b:Sources>
</file>

<file path=customXml/itemProps1.xml><?xml version="1.0" encoding="utf-8"?>
<ds:datastoreItem xmlns:ds="http://schemas.openxmlformats.org/officeDocument/2006/customXml" ds:itemID="{C65FEAE3-F95A-4BE4-9237-7A519BF5EC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[HALREV] TEMPLATE 2021</Template>
  <TotalTime>69</TotalTime>
  <Pages>15</Pages>
  <Words>6268</Words>
  <Characters>35731</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41916</CharactersWithSpaces>
  <SharedDoc>false</SharedDoc>
  <HLinks>
    <vt:vector size="36" baseType="variant">
      <vt:variant>
        <vt:i4>2490476</vt:i4>
      </vt:variant>
      <vt:variant>
        <vt:i4>12</vt:i4>
      </vt:variant>
      <vt:variant>
        <vt:i4>0</vt:i4>
      </vt:variant>
      <vt:variant>
        <vt:i4>5</vt:i4>
      </vt:variant>
      <vt:variant>
        <vt:lpwstr>http://www.bbc.co.uk/indonesia/berita_indonesia/2012/12/121205_noken</vt:lpwstr>
      </vt:variant>
      <vt:variant>
        <vt:lpwstr/>
      </vt:variant>
      <vt:variant>
        <vt:i4>2424875</vt:i4>
      </vt:variant>
      <vt:variant>
        <vt:i4>9</vt:i4>
      </vt:variant>
      <vt:variant>
        <vt:i4>0</vt:i4>
      </vt:variant>
      <vt:variant>
        <vt:i4>5</vt:i4>
      </vt:variant>
      <vt:variant>
        <vt:lpwstr>http://dx.doi.org/10. 20956/halrev.v1n1.212</vt:lpwstr>
      </vt:variant>
      <vt:variant>
        <vt:lpwstr/>
      </vt:variant>
      <vt:variant>
        <vt:i4>7667718</vt:i4>
      </vt:variant>
      <vt:variant>
        <vt:i4>6</vt:i4>
      </vt:variant>
      <vt:variant>
        <vt:i4>0</vt:i4>
      </vt:variant>
      <vt:variant>
        <vt:i4>5</vt:i4>
      </vt:variant>
      <vt:variant>
        <vt:lpwstr>mailto:ahsanyunus@unhas.ac.id</vt:lpwstr>
      </vt:variant>
      <vt:variant>
        <vt:lpwstr/>
      </vt:variant>
      <vt:variant>
        <vt:i4>8126475</vt:i4>
      </vt:variant>
      <vt:variant>
        <vt:i4>3</vt:i4>
      </vt:variant>
      <vt:variant>
        <vt:i4>0</vt:i4>
      </vt:variant>
      <vt:variant>
        <vt:i4>5</vt:i4>
      </vt:variant>
      <vt:variant>
        <vt:lpwstr>mailto:aarne.puisto@gmail.com</vt:lpwstr>
      </vt:variant>
      <vt:variant>
        <vt:lpwstr/>
      </vt:variant>
      <vt:variant>
        <vt:i4>1048617</vt:i4>
      </vt:variant>
      <vt:variant>
        <vt:i4>0</vt:i4>
      </vt:variant>
      <vt:variant>
        <vt:i4>0</vt:i4>
      </vt:variant>
      <vt:variant>
        <vt:i4>5</vt:i4>
      </vt:variant>
      <vt:variant>
        <vt:lpwstr>mailto:irwansyahrawydharma@yahoo.com</vt:lpwstr>
      </vt:variant>
      <vt:variant>
        <vt:lpwstr/>
      </vt:variant>
      <vt:variant>
        <vt:i4>2424875</vt:i4>
      </vt:variant>
      <vt:variant>
        <vt:i4>0</vt:i4>
      </vt:variant>
      <vt:variant>
        <vt:i4>0</vt:i4>
      </vt:variant>
      <vt:variant>
        <vt:i4>5</vt:i4>
      </vt:variant>
      <vt:variant>
        <vt:lpwstr>http://dx.doi.org/10. 20956/halrev.v1n1.212</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Review</dc:creator>
  <cp:lastModifiedBy>ACER</cp:lastModifiedBy>
  <cp:revision>9</cp:revision>
  <cp:lastPrinted>2022-02-09T13:22:00Z</cp:lastPrinted>
  <dcterms:created xsi:type="dcterms:W3CDTF">2023-03-06T09:29:00Z</dcterms:created>
  <dcterms:modified xsi:type="dcterms:W3CDTF">2023-03-06T10:47:00Z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4105e53c-ae30-3935-b8ca-f89528e70341</vt:lpwstr>
  </property>
  <property fmtid="{D5CDD505-2E9C-101B-9397-08002B2CF9AE}" pid="4" name="Mendeley Recent Style Id 0_1">
    <vt:lpwstr>http://www.zotero.org/styles/apa</vt:lpwstr>
  </property>
  <property fmtid="{D5CDD505-2E9C-101B-9397-08002B2CF9AE}" pid="5" name="Mendeley Recent Style Name 0_1">
    <vt:lpwstr>American Psychological Association 7th edition</vt:lpwstr>
  </property>
  <property fmtid="{D5CDD505-2E9C-101B-9397-08002B2CF9AE}" pid="6" name="Mendeley Recent Style Id 1_1">
    <vt:lpwstr>http://www.zotero.org/styles/american-sociological-association</vt:lpwstr>
  </property>
  <property fmtid="{D5CDD505-2E9C-101B-9397-08002B2CF9AE}" pid="7" name="Mendeley Recent Style Name 1_1">
    <vt:lpwstr>American Sociological Association 6th edition</vt:lpwstr>
  </property>
  <property fmtid="{D5CDD505-2E9C-101B-9397-08002B2CF9AE}" pid="8" name="Mendeley Recent Style Id 2_1">
    <vt:lpwstr>http://www.zotero.org/styles/chicago-author-date</vt:lpwstr>
  </property>
  <property fmtid="{D5CDD505-2E9C-101B-9397-08002B2CF9AE}" pid="9" name="Mendeley Recent Style Name 2_1">
    <vt:lpwstr>Chicago Manual of Style 17th edition (author-date)</vt:lpwstr>
  </property>
  <property fmtid="{D5CDD505-2E9C-101B-9397-08002B2CF9AE}" pid="10" name="Mendeley Recent Style Id 3_1">
    <vt:lpwstr>http://www.zotero.org/styles/chicago-fullnote-bibliography</vt:lpwstr>
  </property>
  <property fmtid="{D5CDD505-2E9C-101B-9397-08002B2CF9AE}" pid="11" name="Mendeley Recent Style Name 3_1">
    <vt:lpwstr>Chicago Manual of Style 17th edition (full note)</vt:lpwstr>
  </property>
  <property fmtid="{D5CDD505-2E9C-101B-9397-08002B2CF9AE}" pid="12" name="Mendeley Recent Style Id 4_1">
    <vt:lpwstr>http://www.zotero.org/styles/harvard-cite-them-right</vt:lpwstr>
  </property>
  <property fmtid="{D5CDD505-2E9C-101B-9397-08002B2CF9AE}" pid="13" name="Mendeley Recent Style Name 4_1">
    <vt:lpwstr>Cite Them Right 11th edition - Harvard</vt:lpwstr>
  </property>
  <property fmtid="{D5CDD505-2E9C-101B-9397-08002B2CF9AE}" pid="14" name="Mendeley Recent Style Id 5_1">
    <vt:lpwstr>http://www.zotero.org/styles/harvard1</vt:lpwstr>
  </property>
  <property fmtid="{D5CDD505-2E9C-101B-9397-08002B2CF9AE}" pid="15" name="Mendeley Recent Style Name 5_1">
    <vt:lpwstr>Harvard reference format 1 (deprecated)</vt:lpwstr>
  </property>
  <property fmtid="{D5CDD505-2E9C-101B-9397-08002B2CF9AE}" pid="16" name="Mendeley Recent Style Id 6_1">
    <vt:lpwstr>http://www.zotero.org/styles/ieee</vt:lpwstr>
  </property>
  <property fmtid="{D5CDD505-2E9C-101B-9397-08002B2CF9AE}" pid="17" name="Mendeley Recent Style Name 6_1">
    <vt:lpwstr>IEEE</vt:lpwstr>
  </property>
  <property fmtid="{D5CDD505-2E9C-101B-9397-08002B2CF9AE}" pid="18" name="Mendeley Recent Style Id 7_1">
    <vt:lpwstr>http://www.zotero.org/styles/modern-humanities-research-association</vt:lpwstr>
  </property>
  <property fmtid="{D5CDD505-2E9C-101B-9397-08002B2CF9AE}" pid="19" name="Mendeley Recent Style Name 7_1">
    <vt:lpwstr>Modern Humanities Research Association 3rd edition (note with bibliography)</vt:lpwstr>
  </property>
  <property fmtid="{D5CDD505-2E9C-101B-9397-08002B2CF9AE}" pid="20" name="Mendeley Recent Style Id 8_1">
    <vt:lpwstr>http://www.zotero.org/styles/modern-language-association</vt:lpwstr>
  </property>
  <property fmtid="{D5CDD505-2E9C-101B-9397-08002B2CF9AE}" pid="21" name="Mendeley Recent Style Name 8_1">
    <vt:lpwstr>Modern Language Association 9th edition</vt:lpwstr>
  </property>
  <property fmtid="{D5CDD505-2E9C-101B-9397-08002B2CF9AE}" pid="22" name="Mendeley Recent Style Id 9_1">
    <vt:lpwstr>http://www.zotero.org/styles/nature</vt:lpwstr>
  </property>
  <property fmtid="{D5CDD505-2E9C-101B-9397-08002B2CF9AE}" pid="23" name="Mendeley Recent Style Name 9_1">
    <vt:lpwstr>Nature</vt:lpwstr>
  </property>
  <property fmtid="{D5CDD505-2E9C-101B-9397-08002B2CF9AE}" pid="24" name="Mendeley Citation Style_1">
    <vt:lpwstr>http://www.zotero.org/styles/chicago-fullnote-bibliography</vt:lpwstr>
  </property>
</Properties>
</file>