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BFCF3"/>
  <w:body>
    <w:p w:rsidR="004B1F20" w:rsidRDefault="004B1F20" w:rsidP="003A0113">
      <w:pPr>
        <w:pStyle w:val="Heading3"/>
        <w:spacing w:before="0" w:after="0" w:line="240" w:lineRule="auto"/>
        <w:jc w:val="both"/>
        <w:rPr>
          <w:rStyle w:val="Heading1Char"/>
          <w:rFonts w:asciiTheme="majorHAnsi" w:hAnsiTheme="majorHAnsi" w:cstheme="majorHAnsi"/>
          <w:b/>
          <w:sz w:val="36"/>
          <w:lang w:val="id-ID"/>
        </w:rPr>
      </w:pPr>
      <w:bookmarkStart w:id="0" w:name="_Toc292564709"/>
      <w:bookmarkStart w:id="1" w:name="_Toc1"/>
    </w:p>
    <w:p w:rsidR="00AF20D0" w:rsidRPr="00AF20D0" w:rsidRDefault="00CB3F97" w:rsidP="00CB3F97">
      <w:pPr>
        <w:pStyle w:val="ListParagraph"/>
        <w:spacing w:after="0" w:line="240" w:lineRule="auto"/>
        <w:ind w:left="0"/>
        <w:rPr>
          <w:rFonts w:ascii="Book Antiqua" w:hAnsi="Book Antiqua" w:cs="Calibri"/>
          <w:b/>
          <w:iCs/>
          <w:color w:val="000000" w:themeColor="text1"/>
          <w:sz w:val="28"/>
        </w:rPr>
      </w:pPr>
      <w:r w:rsidRPr="00CB3F97">
        <w:rPr>
          <w:rFonts w:ascii="Book Antiqua" w:hAnsi="Book Antiqua" w:cs="Calibri"/>
          <w:b/>
          <w:iCs/>
          <w:color w:val="000000" w:themeColor="text1"/>
          <w:sz w:val="32"/>
        </w:rPr>
        <w:t>The Application of the Burden of Proof Concept in Indonesia:</w:t>
      </w:r>
      <w:r>
        <w:rPr>
          <w:rFonts w:ascii="Book Antiqua" w:hAnsi="Book Antiqua" w:cs="Calibri"/>
          <w:b/>
          <w:iCs/>
          <w:color w:val="000000" w:themeColor="text1"/>
          <w:sz w:val="32"/>
        </w:rPr>
        <w:t xml:space="preserve">     </w:t>
      </w:r>
      <w:r w:rsidRPr="00CB3F97">
        <w:rPr>
          <w:rFonts w:ascii="Book Antiqua" w:hAnsi="Book Antiqua" w:cs="Calibri"/>
          <w:b/>
          <w:iCs/>
          <w:color w:val="000000" w:themeColor="text1"/>
          <w:sz w:val="32"/>
        </w:rPr>
        <w:t xml:space="preserve">A Comparative Study </w:t>
      </w:r>
    </w:p>
    <w:p w:rsidR="00AF20D0" w:rsidRDefault="00AF20D0" w:rsidP="004B1F20">
      <w:pPr>
        <w:pStyle w:val="ListParagraph"/>
        <w:spacing w:after="0" w:line="240" w:lineRule="auto"/>
        <w:ind w:left="0"/>
        <w:contextualSpacing w:val="0"/>
        <w:rPr>
          <w:rFonts w:ascii="Book Antiqua" w:hAnsi="Book Antiqua" w:cs="Calibri"/>
          <w:b/>
          <w:iCs/>
          <w:color w:val="000000" w:themeColor="text1"/>
          <w:sz w:val="28"/>
        </w:rPr>
      </w:pPr>
    </w:p>
    <w:p w:rsidR="004B1F20" w:rsidRPr="00E873C0" w:rsidRDefault="00CB3F97" w:rsidP="004B1F20">
      <w:pPr>
        <w:spacing w:after="0" w:line="240" w:lineRule="auto"/>
        <w:rPr>
          <w:rFonts w:ascii="Book Antiqua" w:hAnsi="Book Antiqua"/>
          <w:b/>
          <w:bCs/>
          <w:sz w:val="24"/>
          <w:szCs w:val="24"/>
          <w:vertAlign w:val="superscript"/>
        </w:rPr>
      </w:pPr>
      <w:r w:rsidRPr="00CB3F97">
        <w:rPr>
          <w:rFonts w:ascii="Book Antiqua" w:hAnsi="Book Antiqua"/>
          <w:b/>
          <w:bCs/>
          <w:sz w:val="24"/>
          <w:szCs w:val="24"/>
        </w:rPr>
        <w:t>Abdullah</w:t>
      </w:r>
      <w:r w:rsidR="004B1F20" w:rsidRPr="00AF20D0">
        <w:rPr>
          <w:rFonts w:ascii="Book Antiqua" w:hAnsi="Book Antiqua"/>
          <w:b/>
          <w:bCs/>
          <w:sz w:val="24"/>
          <w:szCs w:val="24"/>
          <w:vertAlign w:val="superscript"/>
        </w:rPr>
        <w:t xml:space="preserve"> </w:t>
      </w:r>
      <w:r w:rsidR="004B1F20" w:rsidRPr="009001C8">
        <w:rPr>
          <w:rFonts w:ascii="Book Antiqua" w:hAnsi="Book Antiqua"/>
          <w:bCs/>
          <w:sz w:val="24"/>
          <w:szCs w:val="24"/>
          <w:vertAlign w:val="superscript"/>
        </w:rPr>
        <w:t>1</w:t>
      </w:r>
      <w:r w:rsidR="004B1F20" w:rsidRPr="00AF20D0">
        <w:rPr>
          <w:rFonts w:ascii="Book Antiqua" w:hAnsi="Book Antiqua"/>
          <w:b/>
          <w:bCs/>
          <w:sz w:val="24"/>
          <w:szCs w:val="24"/>
        </w:rPr>
        <w:t xml:space="preserve">, </w:t>
      </w:r>
      <w:r w:rsidRPr="00CB3F97">
        <w:rPr>
          <w:rFonts w:ascii="Book Antiqua" w:hAnsi="Book Antiqua"/>
          <w:b/>
          <w:bCs/>
          <w:sz w:val="24"/>
          <w:szCs w:val="24"/>
        </w:rPr>
        <w:t>Muhammad Hatta</w:t>
      </w:r>
      <w:r w:rsidR="004B1F20" w:rsidRPr="00AF20D0">
        <w:rPr>
          <w:rFonts w:ascii="Book Antiqua" w:hAnsi="Book Antiqua"/>
          <w:b/>
          <w:bCs/>
          <w:sz w:val="24"/>
          <w:szCs w:val="24"/>
          <w:vertAlign w:val="superscript"/>
        </w:rPr>
        <w:t>2</w:t>
      </w:r>
      <w:r w:rsidR="009B07E0" w:rsidRPr="00AF20D0">
        <w:rPr>
          <w:rFonts w:ascii="Book Antiqua" w:hAnsi="Book Antiqua"/>
          <w:b/>
          <w:bCs/>
          <w:sz w:val="24"/>
          <w:szCs w:val="24"/>
          <w:vertAlign w:val="superscript"/>
        </w:rPr>
        <w:t>*</w:t>
      </w:r>
    </w:p>
    <w:p w:rsidR="004B1F20" w:rsidRPr="00BD6EB6" w:rsidRDefault="004B1F20" w:rsidP="004B1F20">
      <w:pPr>
        <w:spacing w:after="0" w:line="240" w:lineRule="auto"/>
        <w:rPr>
          <w:rFonts w:ascii="Book Antiqua" w:hAnsi="Book Antiqua"/>
          <w:b/>
          <w:bCs/>
          <w:szCs w:val="22"/>
          <w:lang w:val="es-CO"/>
        </w:rPr>
      </w:pPr>
    </w:p>
    <w:p w:rsidR="00CB3F97" w:rsidRDefault="00446AFC" w:rsidP="004B1F20">
      <w:pPr>
        <w:spacing w:after="0" w:line="240" w:lineRule="auto"/>
      </w:pPr>
      <w:r w:rsidRPr="001D6CFF">
        <w:rPr>
          <w:bCs/>
          <w:i/>
          <w:iCs/>
          <w:noProof/>
          <w:color w:val="000000" w:themeColor="text1"/>
          <w:lang w:bidi="ar-SA"/>
        </w:rPr>
        <w:drawing>
          <wp:anchor distT="0" distB="0" distL="114300" distR="114300" simplePos="0" relativeHeight="251660288" behindDoc="1" locked="0" layoutInCell="1" allowOverlap="1" wp14:anchorId="4C1E5762" wp14:editId="430B3453">
            <wp:simplePos x="0" y="0"/>
            <wp:positionH relativeFrom="margin">
              <wp:posOffset>5722620</wp:posOffset>
            </wp:positionH>
            <wp:positionV relativeFrom="paragraph">
              <wp:posOffset>67310</wp:posOffset>
            </wp:positionV>
            <wp:extent cx="426720" cy="445770"/>
            <wp:effectExtent l="0" t="0" r="0" b="0"/>
            <wp:wrapNone/>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720" cy="445770"/>
                    </a:xfrm>
                    <a:prstGeom prst="rect">
                      <a:avLst/>
                    </a:prstGeom>
                  </pic:spPr>
                </pic:pic>
              </a:graphicData>
            </a:graphic>
            <wp14:sizeRelH relativeFrom="page">
              <wp14:pctWidth>0</wp14:pctWidth>
            </wp14:sizeRelH>
            <wp14:sizeRelV relativeFrom="page">
              <wp14:pctHeight>0</wp14:pctHeight>
            </wp14:sizeRelV>
          </wp:anchor>
        </w:drawing>
      </w:r>
      <w:proofErr w:type="gramStart"/>
      <w:r w:rsidR="00CB3F97">
        <w:rPr>
          <w:rFonts w:ascii="Book Antiqua" w:hAnsi="Book Antiqua"/>
          <w:bCs/>
          <w:szCs w:val="24"/>
          <w:vertAlign w:val="superscript"/>
        </w:rPr>
        <w:t>1</w:t>
      </w:r>
      <w:r w:rsidR="004B1F20" w:rsidRPr="00F14211">
        <w:rPr>
          <w:rFonts w:ascii="Book Antiqua" w:hAnsi="Book Antiqua"/>
          <w:bCs/>
          <w:szCs w:val="24"/>
          <w:vertAlign w:val="superscript"/>
        </w:rPr>
        <w:t xml:space="preserve"> </w:t>
      </w:r>
      <w:r w:rsidR="00CB3F97" w:rsidRPr="00CB3F97">
        <w:rPr>
          <w:rFonts w:ascii="Book Antiqua" w:hAnsi="Book Antiqua"/>
          <w:bCs/>
          <w:szCs w:val="24"/>
        </w:rPr>
        <w:t xml:space="preserve">Faculty of Sharia, </w:t>
      </w:r>
      <w:proofErr w:type="spellStart"/>
      <w:r w:rsidR="00CB3F97" w:rsidRPr="00CB3F97">
        <w:rPr>
          <w:rFonts w:ascii="Book Antiqua" w:hAnsi="Book Antiqua"/>
          <w:bCs/>
          <w:szCs w:val="24"/>
        </w:rPr>
        <w:t>Institut</w:t>
      </w:r>
      <w:proofErr w:type="spellEnd"/>
      <w:r w:rsidR="00CB3F97" w:rsidRPr="00CB3F97">
        <w:rPr>
          <w:rFonts w:ascii="Book Antiqua" w:hAnsi="Book Antiqua"/>
          <w:bCs/>
          <w:szCs w:val="24"/>
        </w:rPr>
        <w:t xml:space="preserve"> Agama Islam </w:t>
      </w:r>
      <w:proofErr w:type="spellStart"/>
      <w:r w:rsidR="00CB3F97" w:rsidRPr="00CB3F97">
        <w:rPr>
          <w:rFonts w:ascii="Book Antiqua" w:hAnsi="Book Antiqua"/>
          <w:bCs/>
          <w:szCs w:val="24"/>
        </w:rPr>
        <w:t>Negeri</w:t>
      </w:r>
      <w:proofErr w:type="spellEnd"/>
      <w:r w:rsidR="00CB3F97" w:rsidRPr="00CB3F97">
        <w:rPr>
          <w:rFonts w:ascii="Book Antiqua" w:hAnsi="Book Antiqua"/>
          <w:bCs/>
          <w:szCs w:val="24"/>
        </w:rPr>
        <w:t xml:space="preserve"> (IAIN) </w:t>
      </w:r>
      <w:proofErr w:type="spellStart"/>
      <w:r w:rsidR="00CB3F97" w:rsidRPr="00CB3F97">
        <w:rPr>
          <w:rFonts w:ascii="Book Antiqua" w:hAnsi="Book Antiqua"/>
          <w:bCs/>
          <w:szCs w:val="24"/>
        </w:rPr>
        <w:t>Lhokseumawe</w:t>
      </w:r>
      <w:proofErr w:type="spellEnd"/>
      <w:r w:rsidR="00CB3F97" w:rsidRPr="00CB3F97">
        <w:rPr>
          <w:rFonts w:ascii="Book Antiqua" w:hAnsi="Book Antiqua"/>
          <w:bCs/>
          <w:szCs w:val="24"/>
        </w:rPr>
        <w:t>, Aceh Province</w:t>
      </w:r>
      <w:r w:rsidR="004B1F20" w:rsidRPr="00F14211">
        <w:rPr>
          <w:rFonts w:ascii="Book Antiqua" w:hAnsi="Book Antiqua"/>
          <w:bCs/>
          <w:szCs w:val="24"/>
        </w:rPr>
        <w:t>.</w:t>
      </w:r>
      <w:proofErr w:type="gramEnd"/>
      <w:r w:rsidR="00CB3F97" w:rsidRPr="00CB3F97">
        <w:t xml:space="preserve"> </w:t>
      </w:r>
    </w:p>
    <w:p w:rsidR="004B1F20" w:rsidRDefault="00CB3F97" w:rsidP="004B1F20">
      <w:pPr>
        <w:spacing w:after="0" w:line="240" w:lineRule="auto"/>
        <w:rPr>
          <w:rFonts w:ascii="Book Antiqua" w:hAnsi="Book Antiqua"/>
          <w:bCs/>
          <w:szCs w:val="24"/>
        </w:rPr>
      </w:pPr>
      <w:r>
        <w:rPr>
          <w:rFonts w:ascii="Book Antiqua" w:hAnsi="Book Antiqua"/>
          <w:bCs/>
          <w:szCs w:val="24"/>
          <w:vertAlign w:val="superscript"/>
        </w:rPr>
        <w:t xml:space="preserve">2 </w:t>
      </w:r>
      <w:r w:rsidRPr="00CB3F97">
        <w:rPr>
          <w:rFonts w:ascii="Book Antiqua" w:hAnsi="Book Antiqua"/>
          <w:bCs/>
          <w:szCs w:val="24"/>
        </w:rPr>
        <w:t xml:space="preserve">Faculty </w:t>
      </w:r>
      <w:proofErr w:type="gramStart"/>
      <w:r w:rsidRPr="00CB3F97">
        <w:rPr>
          <w:rFonts w:ascii="Book Antiqua" w:hAnsi="Book Antiqua"/>
          <w:bCs/>
          <w:szCs w:val="24"/>
        </w:rPr>
        <w:t>of  Law</w:t>
      </w:r>
      <w:proofErr w:type="gramEnd"/>
      <w:r w:rsidRPr="00CB3F97">
        <w:rPr>
          <w:rFonts w:ascii="Book Antiqua" w:hAnsi="Book Antiqua"/>
          <w:bCs/>
          <w:szCs w:val="24"/>
        </w:rPr>
        <w:t xml:space="preserve">, </w:t>
      </w:r>
      <w:proofErr w:type="spellStart"/>
      <w:r w:rsidRPr="00CB3F97">
        <w:rPr>
          <w:rFonts w:ascii="Book Antiqua" w:hAnsi="Book Antiqua"/>
          <w:bCs/>
          <w:szCs w:val="24"/>
        </w:rPr>
        <w:t>Universitas</w:t>
      </w:r>
      <w:proofErr w:type="spellEnd"/>
      <w:r w:rsidRPr="00CB3F97">
        <w:rPr>
          <w:rFonts w:ascii="Book Antiqua" w:hAnsi="Book Antiqua"/>
          <w:bCs/>
          <w:szCs w:val="24"/>
        </w:rPr>
        <w:t xml:space="preserve"> </w:t>
      </w:r>
      <w:proofErr w:type="spellStart"/>
      <w:r w:rsidRPr="00CB3F97">
        <w:rPr>
          <w:rFonts w:ascii="Book Antiqua" w:hAnsi="Book Antiqua"/>
          <w:bCs/>
          <w:szCs w:val="24"/>
        </w:rPr>
        <w:t>Malikussaleh</w:t>
      </w:r>
      <w:proofErr w:type="spellEnd"/>
      <w:r w:rsidRPr="00CB3F97">
        <w:rPr>
          <w:rFonts w:ascii="Book Antiqua" w:hAnsi="Book Antiqua"/>
          <w:bCs/>
          <w:szCs w:val="24"/>
        </w:rPr>
        <w:t xml:space="preserve">, </w:t>
      </w:r>
      <w:proofErr w:type="spellStart"/>
      <w:r w:rsidRPr="00CB3F97">
        <w:rPr>
          <w:rFonts w:ascii="Book Antiqua" w:hAnsi="Book Antiqua"/>
          <w:bCs/>
          <w:szCs w:val="24"/>
        </w:rPr>
        <w:t>Lhokseumawe</w:t>
      </w:r>
      <w:proofErr w:type="spellEnd"/>
      <w:r w:rsidRPr="00CB3F97">
        <w:rPr>
          <w:rFonts w:ascii="Book Antiqua" w:hAnsi="Book Antiqua"/>
          <w:bCs/>
          <w:szCs w:val="24"/>
        </w:rPr>
        <w:t>, Aceh Province</w:t>
      </w:r>
      <w:r w:rsidR="0091723D">
        <w:rPr>
          <w:rFonts w:ascii="Book Antiqua" w:hAnsi="Book Antiqua"/>
          <w:bCs/>
          <w:szCs w:val="24"/>
        </w:rPr>
        <w:t>.</w:t>
      </w:r>
    </w:p>
    <w:p w:rsidR="00CB3F97" w:rsidRPr="00912A35" w:rsidRDefault="00CB3F97" w:rsidP="004B1F20">
      <w:pPr>
        <w:spacing w:after="0" w:line="240" w:lineRule="auto"/>
        <w:rPr>
          <w:rFonts w:ascii="Book Antiqua" w:hAnsi="Book Antiqua"/>
          <w:bCs/>
          <w:sz w:val="18"/>
          <w:szCs w:val="24"/>
        </w:rPr>
      </w:pPr>
    </w:p>
    <w:p w:rsidR="009001C8" w:rsidRPr="00023DA6" w:rsidRDefault="004B1F20" w:rsidP="00023DA6">
      <w:pPr>
        <w:spacing w:after="0" w:line="240" w:lineRule="auto"/>
        <w:rPr>
          <w:rStyle w:val="Hyperlink"/>
          <w:rFonts w:ascii="Book Antiqua" w:hAnsi="Book Antiqua"/>
          <w:bCs/>
          <w:color w:val="000000" w:themeColor="text1"/>
          <w:szCs w:val="24"/>
          <w:u w:val="none"/>
        </w:rPr>
      </w:pPr>
      <w:r>
        <w:rPr>
          <w:rFonts w:ascii="Book Antiqua" w:hAnsi="Book Antiqua"/>
          <w:bCs/>
          <w:sz w:val="18"/>
          <w:szCs w:val="24"/>
        </w:rPr>
        <w:t xml:space="preserve"> </w:t>
      </w:r>
      <w:r w:rsidRPr="001F3E8E">
        <w:rPr>
          <w:rFonts w:ascii="Book Antiqua" w:hAnsi="Book Antiqua"/>
          <w:bCs/>
          <w:i/>
          <w:iCs/>
          <w:noProof/>
          <w:color w:val="000000" w:themeColor="text1"/>
          <w:lang w:bidi="ar-SA"/>
        </w:rPr>
        <w:drawing>
          <wp:anchor distT="0" distB="0" distL="114300" distR="114300" simplePos="0" relativeHeight="251661312" behindDoc="0" locked="0" layoutInCell="1" allowOverlap="1" wp14:anchorId="1FE3394F" wp14:editId="6B1A476A">
            <wp:simplePos x="0" y="0"/>
            <wp:positionH relativeFrom="column">
              <wp:posOffset>0</wp:posOffset>
            </wp:positionH>
            <wp:positionV relativeFrom="paragraph">
              <wp:posOffset>0</wp:posOffset>
            </wp:positionV>
            <wp:extent cx="208169" cy="144000"/>
            <wp:effectExtent l="0" t="0" r="1905" b="8890"/>
            <wp:wrapNone/>
            <wp:docPr id="10" name="Picture 10" descr="E:\FileKu\Jurnal BALOBE\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FileKu\Jurnal BALOBE\downloa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8169" cy="144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bCs/>
          <w:sz w:val="18"/>
          <w:szCs w:val="24"/>
        </w:rPr>
        <w:t xml:space="preserve">       </w:t>
      </w:r>
      <w:r w:rsidRPr="00F14211">
        <w:rPr>
          <w:rFonts w:ascii="Book Antiqua" w:hAnsi="Book Antiqua"/>
          <w:bCs/>
          <w:szCs w:val="24"/>
        </w:rPr>
        <w:t>:</w:t>
      </w:r>
      <w:r w:rsidRPr="00F14211">
        <w:rPr>
          <w:rFonts w:ascii="Book Antiqua" w:hAnsi="Book Antiqua"/>
          <w:bCs/>
          <w:szCs w:val="24"/>
          <w:vertAlign w:val="superscript"/>
        </w:rPr>
        <w:t xml:space="preserve"> </w:t>
      </w:r>
      <w:hyperlink r:id="rId12" w:history="1">
        <w:r w:rsidR="0091723D" w:rsidRPr="0091723D">
          <w:rPr>
            <w:rStyle w:val="Hyperlink"/>
            <w:rFonts w:ascii="Book Antiqua" w:hAnsi="Book Antiqua"/>
            <w:color w:val="auto"/>
            <w:sz w:val="20"/>
            <w:u w:val="none"/>
          </w:rPr>
          <w:t>abdullahimumali@gmail.com</w:t>
        </w:r>
      </w:hyperlink>
      <w:r w:rsidR="0091723D" w:rsidRPr="0091723D">
        <w:rPr>
          <w:rStyle w:val="Hyperlink"/>
          <w:rFonts w:ascii="Book Antiqua" w:hAnsi="Book Antiqua"/>
          <w:color w:val="auto"/>
          <w:sz w:val="20"/>
          <w:u w:val="none"/>
        </w:rPr>
        <w:t xml:space="preserve"> </w:t>
      </w:r>
      <w:r w:rsidR="0091723D">
        <w:rPr>
          <w:rStyle w:val="Hyperlink"/>
          <w:rFonts w:ascii="Book Antiqua" w:hAnsi="Book Antiqua"/>
          <w:color w:val="000000" w:themeColor="text1"/>
          <w:sz w:val="20"/>
          <w:u w:val="none"/>
        </w:rPr>
        <w:t>/ m</w:t>
      </w:r>
      <w:r w:rsidR="00CB3F97">
        <w:rPr>
          <w:rStyle w:val="Hyperlink"/>
          <w:rFonts w:ascii="Book Antiqua" w:hAnsi="Book Antiqua"/>
          <w:color w:val="000000" w:themeColor="text1"/>
          <w:sz w:val="20"/>
          <w:u w:val="none"/>
        </w:rPr>
        <w:t>uhammad.hatta</w:t>
      </w:r>
      <w:r w:rsidR="009B07E0" w:rsidRPr="009B07E0">
        <w:rPr>
          <w:rStyle w:val="Hyperlink"/>
          <w:rFonts w:ascii="Book Antiqua" w:hAnsi="Book Antiqua"/>
          <w:color w:val="000000" w:themeColor="text1"/>
          <w:sz w:val="20"/>
          <w:u w:val="none"/>
        </w:rPr>
        <w:t>@</w:t>
      </w:r>
      <w:r w:rsidR="00CB3F97">
        <w:rPr>
          <w:rStyle w:val="Hyperlink"/>
          <w:rFonts w:ascii="Book Antiqua" w:hAnsi="Book Antiqua"/>
          <w:color w:val="000000" w:themeColor="text1"/>
          <w:sz w:val="20"/>
          <w:u w:val="none"/>
        </w:rPr>
        <w:t>unimal.ac.id.</w:t>
      </w:r>
    </w:p>
    <w:p w:rsidR="00023DA6" w:rsidRPr="00023DA6" w:rsidRDefault="00023DA6" w:rsidP="00023DA6">
      <w:pPr>
        <w:spacing w:after="0" w:line="240" w:lineRule="auto"/>
        <w:ind w:left="426"/>
        <w:rPr>
          <w:rFonts w:ascii="Book Antiqua" w:hAnsi="Book Antiqua"/>
          <w:bCs/>
          <w:szCs w:val="24"/>
          <w:vertAlign w:val="superscript"/>
        </w:rPr>
      </w:pPr>
      <w:r w:rsidRPr="00023DA6">
        <w:rPr>
          <w:rFonts w:ascii="Book Antiqua" w:hAnsi="Book Antiqua"/>
          <w:bCs/>
          <w:sz w:val="20"/>
          <w:szCs w:val="24"/>
        </w:rPr>
        <w:t>Corresponding Author</w:t>
      </w:r>
      <w:r w:rsidRPr="00023DA6">
        <w:rPr>
          <w:rFonts w:ascii="Book Antiqua" w:hAnsi="Book Antiqua"/>
          <w:bCs/>
          <w:sz w:val="20"/>
          <w:szCs w:val="24"/>
          <w:vertAlign w:val="superscript"/>
        </w:rPr>
        <w:t>*</w:t>
      </w:r>
    </w:p>
    <w:tbl>
      <w:tblPr>
        <w:tblW w:w="9639" w:type="dxa"/>
        <w:tblLayout w:type="fixed"/>
        <w:tblLook w:val="04A0" w:firstRow="1" w:lastRow="0" w:firstColumn="1" w:lastColumn="0" w:noHBand="0" w:noVBand="1"/>
      </w:tblPr>
      <w:tblGrid>
        <w:gridCol w:w="2694"/>
        <w:gridCol w:w="96"/>
        <w:gridCol w:w="338"/>
        <w:gridCol w:w="2401"/>
        <w:gridCol w:w="4110"/>
      </w:tblGrid>
      <w:tr w:rsidR="004B1F20" w:rsidRPr="00123036" w:rsidTr="004B1F20">
        <w:tc>
          <w:tcPr>
            <w:tcW w:w="2694" w:type="dxa"/>
            <w:tcBorders>
              <w:bottom w:val="single" w:sz="4" w:space="0" w:color="auto"/>
            </w:tcBorders>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Subm</w:t>
            </w:r>
            <w:r w:rsidR="00DF0E65" w:rsidRPr="00DF0E65">
              <w:rPr>
                <w:rFonts w:ascii="Book Antiqua" w:hAnsi="Book Antiqua"/>
                <w:bCs/>
                <w:i/>
                <w:iCs/>
                <w:color w:val="000000"/>
                <w:sz w:val="20"/>
                <w:szCs w:val="24"/>
              </w:rPr>
              <w:t>itted</w:t>
            </w:r>
            <w:r w:rsidR="004B1F20" w:rsidRPr="00DF0E65">
              <w:rPr>
                <w:rFonts w:ascii="Book Antiqua" w:hAnsi="Book Antiqua"/>
                <w:bCs/>
                <w:i/>
                <w:iCs/>
                <w:color w:val="000000"/>
                <w:sz w:val="20"/>
                <w:szCs w:val="24"/>
              </w:rPr>
              <w:t>:</w:t>
            </w:r>
          </w:p>
        </w:tc>
        <w:tc>
          <w:tcPr>
            <w:tcW w:w="2835" w:type="dxa"/>
            <w:gridSpan w:val="3"/>
            <w:shd w:val="clear" w:color="auto" w:fill="D0CECE" w:themeFill="background2" w:themeFillShade="E6"/>
          </w:tcPr>
          <w:p w:rsidR="004B1F20" w:rsidRPr="00DF0E65" w:rsidRDefault="008A0E02" w:rsidP="004B1F20">
            <w:pPr>
              <w:spacing w:after="0" w:line="240" w:lineRule="auto"/>
              <w:jc w:val="center"/>
              <w:rPr>
                <w:rFonts w:ascii="Book Antiqua" w:hAnsi="Book Antiqua"/>
                <w:bCs/>
                <w:i/>
                <w:iCs/>
                <w:color w:val="000000"/>
                <w:sz w:val="20"/>
                <w:szCs w:val="24"/>
                <w:lang w:val="id-ID"/>
              </w:rPr>
            </w:pPr>
            <w:r w:rsidRPr="00DF0E65">
              <w:rPr>
                <w:rFonts w:ascii="Book Antiqua" w:hAnsi="Book Antiqua"/>
                <w:bCs/>
                <w:i/>
                <w:iCs/>
                <w:color w:val="000000"/>
                <w:sz w:val="20"/>
                <w:szCs w:val="24"/>
              </w:rPr>
              <w:t>Revised</w:t>
            </w:r>
            <w:r w:rsidR="004B1F20" w:rsidRPr="00DF0E65">
              <w:rPr>
                <w:rFonts w:ascii="Book Antiqua" w:hAnsi="Book Antiqua"/>
                <w:bCs/>
                <w:i/>
                <w:iCs/>
                <w:color w:val="000000"/>
                <w:sz w:val="20"/>
                <w:szCs w:val="24"/>
              </w:rPr>
              <w:t>:</w:t>
            </w:r>
          </w:p>
        </w:tc>
        <w:tc>
          <w:tcPr>
            <w:tcW w:w="4110" w:type="dxa"/>
            <w:tcBorders>
              <w:bottom w:val="single" w:sz="4" w:space="0" w:color="auto"/>
            </w:tcBorders>
            <w:shd w:val="clear" w:color="auto" w:fill="D0CECE" w:themeFill="background2" w:themeFillShade="E6"/>
          </w:tcPr>
          <w:p w:rsidR="004B1F20" w:rsidRPr="00DF0E65" w:rsidRDefault="00DF0E65" w:rsidP="004B1F20">
            <w:pPr>
              <w:spacing w:after="0" w:line="240" w:lineRule="auto"/>
              <w:jc w:val="center"/>
              <w:rPr>
                <w:rFonts w:ascii="Book Antiqua" w:hAnsi="Book Antiqua"/>
                <w:bCs/>
                <w:i/>
                <w:iCs/>
                <w:color w:val="000000"/>
                <w:sz w:val="20"/>
                <w:szCs w:val="24"/>
              </w:rPr>
            </w:pPr>
            <w:r w:rsidRPr="00DF0E65">
              <w:rPr>
                <w:rFonts w:ascii="Book Antiqua" w:hAnsi="Book Antiqua"/>
                <w:bCs/>
                <w:i/>
                <w:iCs/>
                <w:color w:val="000000"/>
                <w:sz w:val="20"/>
                <w:szCs w:val="24"/>
              </w:rPr>
              <w:t>Published</w:t>
            </w:r>
            <w:r w:rsidR="004B1F20" w:rsidRPr="00DF0E65">
              <w:rPr>
                <w:rFonts w:ascii="Book Antiqua" w:hAnsi="Book Antiqua"/>
                <w:bCs/>
                <w:i/>
                <w:iCs/>
                <w:color w:val="000000"/>
                <w:sz w:val="20"/>
                <w:szCs w:val="24"/>
              </w:rPr>
              <w:t>:</w:t>
            </w:r>
          </w:p>
        </w:tc>
      </w:tr>
      <w:tr w:rsidR="004B1F20" w:rsidRPr="00123036" w:rsidTr="00F505F5">
        <w:tc>
          <w:tcPr>
            <w:tcW w:w="2790"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Pr>
                <w:rFonts w:ascii="Book Antiqua" w:hAnsi="Book Antiqua"/>
                <w:b/>
                <w:bCs/>
                <w:i/>
                <w:iCs/>
                <w:color w:val="000000"/>
                <w:szCs w:val="24"/>
                <w:lang w:val="id-ID"/>
              </w:rPr>
              <w:t>Article</w:t>
            </w:r>
            <w:r w:rsidRPr="001D295E">
              <w:rPr>
                <w:rFonts w:ascii="Book Antiqua" w:hAnsi="Book Antiqua"/>
                <w:b/>
                <w:bCs/>
                <w:i/>
                <w:iCs/>
                <w:color w:val="000000"/>
                <w:szCs w:val="24"/>
                <w:lang w:val="id-ID"/>
              </w:rPr>
              <w:t xml:space="preserve"> Info</w:t>
            </w:r>
          </w:p>
        </w:tc>
        <w:tc>
          <w:tcPr>
            <w:tcW w:w="338" w:type="dxa"/>
          </w:tcPr>
          <w:p w:rsidR="004B1F20" w:rsidRPr="001D295E" w:rsidRDefault="004B1F20" w:rsidP="004B1F20">
            <w:pPr>
              <w:spacing w:after="0" w:line="240" w:lineRule="auto"/>
              <w:rPr>
                <w:rFonts w:ascii="Book Antiqua" w:hAnsi="Book Antiqua"/>
                <w:b/>
                <w:bCs/>
                <w:i/>
                <w:iCs/>
                <w:color w:val="000000"/>
                <w:szCs w:val="24"/>
                <w:lang w:val="id-ID"/>
              </w:rPr>
            </w:pPr>
          </w:p>
        </w:tc>
        <w:tc>
          <w:tcPr>
            <w:tcW w:w="6511" w:type="dxa"/>
            <w:gridSpan w:val="2"/>
            <w:tcBorders>
              <w:top w:val="single" w:sz="4" w:space="0" w:color="auto"/>
              <w:bottom w:val="single" w:sz="4" w:space="0" w:color="auto"/>
            </w:tcBorders>
            <w:shd w:val="clear" w:color="auto" w:fill="D9E2F3" w:themeFill="accent1" w:themeFillTint="33"/>
          </w:tcPr>
          <w:p w:rsidR="004B1F20" w:rsidRPr="001D295E" w:rsidRDefault="004B1F20" w:rsidP="004B1F20">
            <w:pPr>
              <w:spacing w:after="0" w:line="240" w:lineRule="auto"/>
              <w:rPr>
                <w:rFonts w:ascii="Book Antiqua" w:hAnsi="Book Antiqua"/>
                <w:b/>
                <w:bCs/>
                <w:i/>
                <w:iCs/>
                <w:color w:val="000000"/>
                <w:szCs w:val="24"/>
                <w:lang w:val="id-ID"/>
              </w:rPr>
            </w:pPr>
            <w:r w:rsidRPr="001D295E">
              <w:rPr>
                <w:rFonts w:ascii="Book Antiqua" w:hAnsi="Book Antiqua"/>
                <w:b/>
                <w:bCs/>
                <w:i/>
                <w:iCs/>
                <w:color w:val="000000"/>
                <w:szCs w:val="24"/>
                <w:lang w:val="id-ID"/>
              </w:rPr>
              <w:t>Abstract</w:t>
            </w:r>
          </w:p>
        </w:tc>
      </w:tr>
      <w:tr w:rsidR="00F505F5" w:rsidRPr="00DB3F2B" w:rsidTr="00F505F5">
        <w:trPr>
          <w:trHeight w:val="2551"/>
        </w:trPr>
        <w:tc>
          <w:tcPr>
            <w:tcW w:w="2790" w:type="dxa"/>
            <w:gridSpan w:val="2"/>
            <w:vMerge w:val="restart"/>
            <w:shd w:val="clear" w:color="auto" w:fill="B4C6E7" w:themeFill="accent1" w:themeFillTint="66"/>
          </w:tcPr>
          <w:p w:rsidR="00F505F5" w:rsidRPr="00DB3F2B" w:rsidRDefault="00F505F5" w:rsidP="004B1F20">
            <w:pPr>
              <w:tabs>
                <w:tab w:val="left" w:pos="330"/>
              </w:tabs>
              <w:spacing w:after="0" w:line="240" w:lineRule="auto"/>
              <w:rPr>
                <w:rFonts w:ascii="Book Antiqua" w:hAnsi="Book Antiqua"/>
                <w:b/>
                <w:bCs/>
                <w:i/>
                <w:iCs/>
                <w:color w:val="000000"/>
                <w:lang w:val="id-ID"/>
              </w:rPr>
            </w:pPr>
          </w:p>
          <w:p w:rsidR="00F505F5" w:rsidRPr="00276F68" w:rsidRDefault="00F505F5" w:rsidP="004B1F20">
            <w:pPr>
              <w:tabs>
                <w:tab w:val="left" w:pos="330"/>
              </w:tabs>
              <w:spacing w:after="0" w:line="240" w:lineRule="auto"/>
              <w:rPr>
                <w:rFonts w:ascii="Book Antiqua" w:hAnsi="Book Antiqua"/>
                <w:b/>
                <w:bCs/>
                <w:i/>
                <w:iCs/>
                <w:color w:val="000000" w:themeColor="text1"/>
                <w:lang w:val="id-ID"/>
              </w:rPr>
            </w:pPr>
            <w:r w:rsidRPr="00276F68">
              <w:rPr>
                <w:rFonts w:ascii="Book Antiqua" w:hAnsi="Book Antiqua"/>
                <w:b/>
                <w:bCs/>
                <w:i/>
                <w:iCs/>
                <w:color w:val="000000" w:themeColor="text1"/>
                <w:lang w:val="id-ID"/>
              </w:rPr>
              <w:t>Keywords:</w:t>
            </w:r>
          </w:p>
          <w:p w:rsidR="00F505F5" w:rsidRDefault="00375CC0" w:rsidP="004B1F20">
            <w:pPr>
              <w:tabs>
                <w:tab w:val="left" w:pos="330"/>
              </w:tabs>
              <w:spacing w:after="0" w:line="240" w:lineRule="auto"/>
              <w:rPr>
                <w:rFonts w:ascii="Book Antiqua" w:hAnsi="Book Antiqua"/>
                <w:i/>
              </w:rPr>
            </w:pPr>
            <w:r w:rsidRPr="00375CC0">
              <w:rPr>
                <w:rFonts w:ascii="Book Antiqua" w:hAnsi="Book Antiqua"/>
                <w:i/>
              </w:rPr>
              <w:t>Application; Draft; Burden; Proof; Reverse; Indonesia; Comparative Study</w:t>
            </w:r>
            <w:r>
              <w:rPr>
                <w:rFonts w:ascii="Book Antiqua" w:hAnsi="Book Antiqua"/>
                <w:i/>
              </w:rPr>
              <w:t>.</w:t>
            </w: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Default="00F505F5" w:rsidP="004B1F20">
            <w:pPr>
              <w:tabs>
                <w:tab w:val="left" w:pos="330"/>
              </w:tabs>
              <w:spacing w:after="0" w:line="240" w:lineRule="auto"/>
              <w:rPr>
                <w:rFonts w:ascii="Book Antiqua" w:hAnsi="Book Antiqua"/>
                <w:i/>
              </w:rPr>
            </w:pPr>
          </w:p>
          <w:p w:rsidR="00F505F5" w:rsidRPr="003E3D3C" w:rsidRDefault="00F505F5" w:rsidP="004B1F20">
            <w:pPr>
              <w:tabs>
                <w:tab w:val="left" w:pos="330"/>
              </w:tabs>
              <w:spacing w:after="0" w:line="240" w:lineRule="auto"/>
              <w:rPr>
                <w:rFonts w:ascii="Book Antiqua" w:hAnsi="Book Antiqua"/>
                <w:bCs/>
                <w:i/>
                <w:iCs/>
                <w:color w:val="000000"/>
              </w:rPr>
            </w:pPr>
          </w:p>
        </w:tc>
        <w:tc>
          <w:tcPr>
            <w:tcW w:w="338" w:type="dxa"/>
          </w:tcPr>
          <w:p w:rsidR="00F505F5" w:rsidRPr="00DB3F2B" w:rsidRDefault="00F505F5" w:rsidP="004B1F20">
            <w:pPr>
              <w:spacing w:after="0" w:line="240" w:lineRule="auto"/>
              <w:jc w:val="both"/>
              <w:rPr>
                <w:rFonts w:ascii="Book Antiqua" w:hAnsi="Book Antiqua"/>
                <w:i/>
                <w:sz w:val="24"/>
                <w:szCs w:val="24"/>
                <w:lang w:val="id-ID"/>
              </w:rPr>
            </w:pPr>
          </w:p>
        </w:tc>
        <w:tc>
          <w:tcPr>
            <w:tcW w:w="6511" w:type="dxa"/>
            <w:gridSpan w:val="2"/>
            <w:vMerge w:val="restart"/>
            <w:tcBorders>
              <w:top w:val="single" w:sz="4" w:space="0" w:color="auto"/>
              <w:bottom w:val="single" w:sz="4" w:space="0" w:color="auto"/>
            </w:tcBorders>
            <w:shd w:val="clear" w:color="auto" w:fill="auto"/>
          </w:tcPr>
          <w:p w:rsidR="00F505F5" w:rsidRPr="00F505F5" w:rsidRDefault="00461F3D" w:rsidP="004B1F20">
            <w:pPr>
              <w:spacing w:after="0" w:line="240" w:lineRule="auto"/>
              <w:ind w:right="-108"/>
              <w:jc w:val="both"/>
              <w:rPr>
                <w:rFonts w:ascii="Book Antiqua" w:hAnsi="Book Antiqua"/>
                <w:b/>
                <w:i/>
              </w:rPr>
            </w:pPr>
            <w:r>
              <w:rPr>
                <w:rFonts w:ascii="Book Antiqua" w:hAnsi="Book Antiqua"/>
                <w:b/>
                <w:i/>
                <w:color w:val="2F5496" w:themeColor="accent1" w:themeShade="BF"/>
              </w:rPr>
              <w:t>Introductio</w:t>
            </w:r>
            <w:r w:rsidR="00F505F5" w:rsidRPr="00F505F5">
              <w:rPr>
                <w:rFonts w:ascii="Book Antiqua" w:hAnsi="Book Antiqua"/>
                <w:b/>
                <w:i/>
                <w:color w:val="2F5496" w:themeColor="accent1" w:themeShade="BF"/>
              </w:rPr>
              <w:t xml:space="preserve">n: </w:t>
            </w:r>
            <w:r w:rsidR="00CB3F97" w:rsidRPr="00CB3F97">
              <w:rPr>
                <w:rFonts w:ascii="Book Antiqua" w:hAnsi="Book Antiqua"/>
                <w:i/>
              </w:rPr>
              <w:t>One of the reasons for a reverse proof system is the difficulty of proving the offenses committed by certain perpetrators of a criminal offense, such as corruption and money laundering. Thus, the government issues the legal policy to apply a reverse burden of proof to solve this problem</w:t>
            </w:r>
            <w:r w:rsidR="00CB3F97">
              <w:rPr>
                <w:rFonts w:ascii="Book Antiqua" w:hAnsi="Book Antiqua"/>
                <w:i/>
              </w:rPr>
              <w:t>.</w:t>
            </w:r>
          </w:p>
          <w:p w:rsidR="00F505F5" w:rsidRPr="00F505F5" w:rsidRDefault="00F505F5" w:rsidP="004B1F20">
            <w:pPr>
              <w:spacing w:after="0" w:line="240" w:lineRule="auto"/>
              <w:ind w:right="-108"/>
              <w:jc w:val="both"/>
              <w:rPr>
                <w:rFonts w:ascii="Book Antiqua" w:hAnsi="Book Antiqua"/>
                <w:bCs/>
                <w:i/>
              </w:rPr>
            </w:pPr>
            <w:r w:rsidRPr="00F505F5">
              <w:rPr>
                <w:rFonts w:ascii="Book Antiqua" w:hAnsi="Book Antiqua"/>
                <w:b/>
                <w:i/>
                <w:color w:val="2F5496" w:themeColor="accent1" w:themeShade="BF"/>
              </w:rPr>
              <w:t>Purposes of the Research</w:t>
            </w:r>
            <w:r w:rsidRPr="00F505F5">
              <w:rPr>
                <w:rFonts w:ascii="Book Antiqua" w:hAnsi="Book Antiqua"/>
                <w:b/>
                <w:bCs/>
                <w:i/>
                <w:color w:val="2F5496" w:themeColor="accent1" w:themeShade="BF"/>
              </w:rPr>
              <w:t xml:space="preserve">: </w:t>
            </w:r>
            <w:r w:rsidRPr="00F505F5">
              <w:rPr>
                <w:rFonts w:ascii="Book Antiqua" w:hAnsi="Book Antiqua"/>
                <w:b/>
                <w:bCs/>
                <w:i/>
              </w:rPr>
              <w:t xml:space="preserve"> </w:t>
            </w:r>
            <w:r w:rsidR="00CB3F97" w:rsidRPr="00CB3F97">
              <w:rPr>
                <w:rFonts w:ascii="Book Antiqua" w:hAnsi="Book Antiqua"/>
                <w:i/>
              </w:rPr>
              <w:t>This study aims to analyze the application of the reverse burden of proof in Indonesian and Islamic criminal law</w:t>
            </w:r>
            <w:r w:rsidR="00CB3F97">
              <w:rPr>
                <w:rFonts w:ascii="Book Antiqua" w:hAnsi="Book Antiqua"/>
                <w:i/>
              </w:rPr>
              <w:t>.</w:t>
            </w:r>
          </w:p>
          <w:p w:rsidR="00F505F5" w:rsidRPr="00F505F5" w:rsidRDefault="00F505F5" w:rsidP="004B1F20">
            <w:pPr>
              <w:spacing w:after="0" w:line="240" w:lineRule="auto"/>
              <w:ind w:right="-108"/>
              <w:jc w:val="both"/>
              <w:rPr>
                <w:rFonts w:ascii="Book Antiqua" w:hAnsi="Book Antiqua"/>
                <w:bCs/>
                <w:i/>
              </w:rPr>
            </w:pPr>
            <w:r w:rsidRPr="00F505F5">
              <w:rPr>
                <w:rFonts w:ascii="Book Antiqua" w:hAnsi="Book Antiqua"/>
                <w:b/>
                <w:i/>
                <w:color w:val="2F5496" w:themeColor="accent1" w:themeShade="BF"/>
              </w:rPr>
              <w:t>Methods of the Research</w:t>
            </w:r>
            <w:r w:rsidRPr="00F505F5">
              <w:rPr>
                <w:rFonts w:ascii="Book Antiqua" w:hAnsi="Book Antiqua"/>
                <w:b/>
                <w:bCs/>
                <w:i/>
                <w:color w:val="2F5496" w:themeColor="accent1" w:themeShade="BF"/>
              </w:rPr>
              <w:t xml:space="preserve">: </w:t>
            </w:r>
            <w:r w:rsidR="00CB3F97" w:rsidRPr="00CB3F97">
              <w:rPr>
                <w:rFonts w:ascii="Book Antiqua" w:hAnsi="Book Antiqua"/>
                <w:i/>
              </w:rPr>
              <w:t>This research is legalistic, doctrinal, or normative, using a comparative law approach to compare the application of a reverse burden of proof in Indonesian criminal law and Islamic criminal law</w:t>
            </w:r>
            <w:r w:rsidR="00CB3F97">
              <w:rPr>
                <w:rFonts w:ascii="Book Antiqua" w:hAnsi="Book Antiqua"/>
                <w:i/>
              </w:rPr>
              <w:t>.</w:t>
            </w:r>
          </w:p>
          <w:p w:rsidR="00E71049" w:rsidRPr="00F70D71" w:rsidRDefault="00E71049" w:rsidP="00CB3F97">
            <w:pPr>
              <w:spacing w:after="0" w:line="240" w:lineRule="auto"/>
              <w:ind w:right="-76"/>
              <w:jc w:val="both"/>
              <w:rPr>
                <w:rFonts w:ascii="Book Antiqua" w:hAnsi="Book Antiqua"/>
                <w:bCs/>
                <w:i/>
              </w:rPr>
            </w:pPr>
            <w:r>
              <w:rPr>
                <w:rFonts w:ascii="Book Antiqua" w:hAnsi="Book Antiqua"/>
                <w:b/>
                <w:i/>
                <w:color w:val="2F5496" w:themeColor="accent1" w:themeShade="BF"/>
              </w:rPr>
              <w:t>Results / Main Findings</w:t>
            </w:r>
            <w:r w:rsidR="00F70D71">
              <w:rPr>
                <w:rFonts w:ascii="Book Antiqua" w:hAnsi="Book Antiqua"/>
                <w:b/>
                <w:i/>
                <w:color w:val="2F5496" w:themeColor="accent1" w:themeShade="BF"/>
              </w:rPr>
              <w:t xml:space="preserve"> / </w:t>
            </w:r>
            <w:r w:rsidR="00F70D71" w:rsidRPr="00E71049">
              <w:rPr>
                <w:rFonts w:ascii="Book Antiqua" w:hAnsi="Book Antiqua"/>
                <w:b/>
                <w:i/>
                <w:color w:val="2F5496" w:themeColor="accent1" w:themeShade="BF"/>
              </w:rPr>
              <w:t>Novelty</w:t>
            </w:r>
            <w:r w:rsidR="00CB3F97">
              <w:rPr>
                <w:rFonts w:ascii="Book Antiqua" w:hAnsi="Book Antiqua"/>
                <w:b/>
                <w:i/>
                <w:color w:val="2F5496" w:themeColor="accent1" w:themeShade="BF"/>
              </w:rPr>
              <w:t xml:space="preserve"> </w:t>
            </w:r>
            <w:r w:rsidR="00F70D71" w:rsidRPr="00E71049">
              <w:rPr>
                <w:rFonts w:ascii="Book Antiqua" w:hAnsi="Book Antiqua"/>
                <w:b/>
                <w:i/>
                <w:color w:val="2F5496" w:themeColor="accent1" w:themeShade="BF"/>
              </w:rPr>
              <w:t>/</w:t>
            </w:r>
            <w:r w:rsidR="00CB3F97">
              <w:rPr>
                <w:rFonts w:ascii="Book Antiqua" w:hAnsi="Book Antiqua"/>
                <w:b/>
                <w:i/>
                <w:color w:val="2F5496" w:themeColor="accent1" w:themeShade="BF"/>
              </w:rPr>
              <w:t xml:space="preserve"> </w:t>
            </w:r>
            <w:r w:rsidR="00F70D71" w:rsidRPr="00E71049">
              <w:rPr>
                <w:rFonts w:ascii="Book Antiqua" w:hAnsi="Book Antiqua"/>
                <w:b/>
                <w:i/>
                <w:color w:val="2F5496" w:themeColor="accent1" w:themeShade="BF"/>
              </w:rPr>
              <w:t>Originality</w:t>
            </w:r>
            <w:r>
              <w:rPr>
                <w:rFonts w:ascii="Book Antiqua" w:hAnsi="Book Antiqua"/>
                <w:b/>
                <w:i/>
                <w:color w:val="2F5496" w:themeColor="accent1" w:themeShade="BF"/>
              </w:rPr>
              <w:t xml:space="preserve"> </w:t>
            </w:r>
            <w:r w:rsidR="00F505F5" w:rsidRPr="00F505F5">
              <w:rPr>
                <w:rFonts w:ascii="Book Antiqua" w:hAnsi="Book Antiqua"/>
                <w:b/>
                <w:i/>
                <w:color w:val="2F5496" w:themeColor="accent1" w:themeShade="BF"/>
              </w:rPr>
              <w:t>of the Research</w:t>
            </w:r>
            <w:r w:rsidR="00F505F5" w:rsidRPr="00F505F5">
              <w:rPr>
                <w:rFonts w:ascii="Book Antiqua" w:hAnsi="Book Antiqua"/>
                <w:b/>
                <w:bCs/>
                <w:i/>
                <w:color w:val="2F5496" w:themeColor="accent1" w:themeShade="BF"/>
              </w:rPr>
              <w:t>:</w:t>
            </w:r>
            <w:r w:rsidR="00F505F5" w:rsidRPr="00F505F5">
              <w:rPr>
                <w:rFonts w:ascii="Book Antiqua" w:hAnsi="Book Antiqua"/>
                <w:b/>
                <w:bCs/>
                <w:i/>
              </w:rPr>
              <w:t xml:space="preserve"> </w:t>
            </w:r>
            <w:r w:rsidR="00CB3F97" w:rsidRPr="00CB3F97">
              <w:rPr>
                <w:rFonts w:ascii="Book Antiqua" w:hAnsi="Book Antiqua"/>
                <w:i/>
                <w:color w:val="000000" w:themeColor="text1"/>
              </w:rPr>
              <w:t xml:space="preserve">The application of a reverse burden of proof in Indonesia is limited and balanced (balanced probability of principles) as regulated in Article 37 of Law no. 31 of 2019 in </w:t>
            </w:r>
            <w:proofErr w:type="spellStart"/>
            <w:r w:rsidR="00CB3F97" w:rsidRPr="00CB3F97">
              <w:rPr>
                <w:rFonts w:ascii="Book Antiqua" w:hAnsi="Book Antiqua"/>
                <w:i/>
                <w:color w:val="000000" w:themeColor="text1"/>
              </w:rPr>
              <w:t>conjuction</w:t>
            </w:r>
            <w:proofErr w:type="spellEnd"/>
            <w:r w:rsidR="00CB3F97" w:rsidRPr="00CB3F97">
              <w:rPr>
                <w:rFonts w:ascii="Book Antiqua" w:hAnsi="Book Antiqua"/>
                <w:i/>
                <w:color w:val="000000" w:themeColor="text1"/>
              </w:rPr>
              <w:t xml:space="preserve"> with Law No. 20 of 2000 concerning the Eradication of Corruption Crimes and Article 35 of Law no. 8 of 2010 concerning the Prevention and Eradication of the Crime of Money Laundering. In Islamic criminal law, the application of t a reverse burden of proof has long been carried out, as seen in Surah Al-</w:t>
            </w:r>
            <w:proofErr w:type="spellStart"/>
            <w:r w:rsidR="00CB3F97" w:rsidRPr="00CB3F97">
              <w:rPr>
                <w:rFonts w:ascii="Book Antiqua" w:hAnsi="Book Antiqua"/>
                <w:i/>
                <w:color w:val="000000" w:themeColor="text1"/>
              </w:rPr>
              <w:t>Nisa</w:t>
            </w:r>
            <w:proofErr w:type="spellEnd"/>
            <w:r w:rsidR="00CB3F97" w:rsidRPr="00CB3F97">
              <w:rPr>
                <w:rFonts w:ascii="Book Antiqua" w:hAnsi="Book Antiqua"/>
                <w:i/>
                <w:color w:val="000000" w:themeColor="text1"/>
              </w:rPr>
              <w:t xml:space="preserve"> verse 135 and the story of Prophet Yusuf's proof of </w:t>
            </w:r>
            <w:proofErr w:type="spellStart"/>
            <w:r w:rsidR="00CB3F97" w:rsidRPr="00CB3F97">
              <w:rPr>
                <w:rFonts w:ascii="Book Antiqua" w:hAnsi="Book Antiqua"/>
                <w:i/>
                <w:color w:val="000000" w:themeColor="text1"/>
              </w:rPr>
              <w:t>Zulaikha's</w:t>
            </w:r>
            <w:proofErr w:type="spellEnd"/>
            <w:r w:rsidR="00CB3F97" w:rsidRPr="00CB3F97">
              <w:rPr>
                <w:rFonts w:ascii="Book Antiqua" w:hAnsi="Book Antiqua"/>
                <w:i/>
                <w:color w:val="000000" w:themeColor="text1"/>
              </w:rPr>
              <w:t xml:space="preserve"> accusation in Surah Yusuf verses 24-29, and several hadiths of the Prophet Muhammad. These two legal systems are similar in terms of the application of a reverse burden of proof that is only applied to certain cases, such as corruption and money laundering. However, the difference is that the application of a reverse burden of proof in Indonesian criminal law is limited and balanced. In contrast, the principle of a reverse burden of proof against corruption cases in Islamic criminal law is absolute.</w:t>
            </w:r>
          </w:p>
        </w:tc>
      </w:tr>
      <w:tr w:rsidR="00F505F5" w:rsidRPr="00DB3F2B" w:rsidTr="00F505F5">
        <w:trPr>
          <w:trHeight w:val="292"/>
        </w:trPr>
        <w:tc>
          <w:tcPr>
            <w:tcW w:w="2790" w:type="dxa"/>
            <w:gridSpan w:val="2"/>
            <w:vMerge/>
            <w:tcBorders>
              <w:bottom w:val="single" w:sz="4" w:space="0" w:color="auto"/>
            </w:tcBorders>
            <w:shd w:val="clear" w:color="auto" w:fill="8EAADB" w:themeFill="accent1" w:themeFillTint="99"/>
          </w:tcPr>
          <w:p w:rsidR="00F505F5" w:rsidRPr="00DB3F2B" w:rsidRDefault="00F505F5" w:rsidP="00EC3AAF">
            <w:pPr>
              <w:rPr>
                <w:rFonts w:ascii="Book Antiqua" w:hAnsi="Book Antiqua"/>
                <w:b/>
                <w:bCs/>
                <w:i/>
                <w:iCs/>
                <w:color w:val="000000"/>
                <w:lang w:val="id-ID"/>
              </w:rPr>
            </w:pPr>
          </w:p>
        </w:tc>
        <w:tc>
          <w:tcPr>
            <w:tcW w:w="338" w:type="dxa"/>
          </w:tcPr>
          <w:p w:rsidR="00F505F5" w:rsidRPr="00DB3F2B" w:rsidRDefault="00F505F5" w:rsidP="00EC3AAF">
            <w:pPr>
              <w:rPr>
                <w:rFonts w:ascii="Book Antiqua" w:hAnsi="Book Antiqua"/>
                <w:b/>
                <w:bCs/>
                <w:i/>
                <w:iCs/>
                <w:color w:val="000000"/>
                <w:sz w:val="24"/>
                <w:szCs w:val="24"/>
                <w:lang w:val="id-ID"/>
              </w:rPr>
            </w:pPr>
          </w:p>
        </w:tc>
        <w:tc>
          <w:tcPr>
            <w:tcW w:w="6511" w:type="dxa"/>
            <w:gridSpan w:val="2"/>
            <w:vMerge/>
            <w:tcBorders>
              <w:bottom w:val="single" w:sz="4" w:space="0" w:color="auto"/>
            </w:tcBorders>
            <w:shd w:val="clear" w:color="auto" w:fill="FBE4D5" w:themeFill="accent2" w:themeFillTint="33"/>
          </w:tcPr>
          <w:p w:rsidR="00F505F5" w:rsidRPr="00DB3F2B" w:rsidRDefault="00F505F5" w:rsidP="00EC3AAF">
            <w:pPr>
              <w:rPr>
                <w:rFonts w:ascii="Book Antiqua" w:hAnsi="Book Antiqua"/>
                <w:b/>
                <w:bCs/>
                <w:i/>
                <w:iCs/>
                <w:color w:val="000000"/>
                <w:sz w:val="24"/>
                <w:szCs w:val="24"/>
                <w:lang w:val="id-ID"/>
              </w:rPr>
            </w:pPr>
          </w:p>
        </w:tc>
      </w:tr>
    </w:tbl>
    <w:p w:rsidR="004B1F20" w:rsidRPr="00D01483" w:rsidRDefault="004B1F20" w:rsidP="00761299">
      <w:pPr>
        <w:spacing w:after="120" w:line="240" w:lineRule="auto"/>
        <w:jc w:val="both"/>
        <w:rPr>
          <w:rFonts w:ascii="Book Antiqua" w:hAnsi="Book Antiqua"/>
          <w:b/>
          <w:bCs/>
          <w:i/>
          <w:iCs/>
          <w:color w:val="FFC000" w:themeColor="accent4"/>
          <w:sz w:val="24"/>
          <w:szCs w:val="24"/>
          <w:lang w:val="id-ID"/>
        </w:rPr>
      </w:pPr>
    </w:p>
    <w:p w:rsidR="004B1F20" w:rsidRPr="00436951" w:rsidRDefault="004B1F20" w:rsidP="00375CC0">
      <w:pPr>
        <w:numPr>
          <w:ilvl w:val="0"/>
          <w:numId w:val="18"/>
        </w:numPr>
        <w:spacing w:after="120" w:line="240" w:lineRule="auto"/>
        <w:ind w:left="284" w:hanging="284"/>
        <w:rPr>
          <w:rFonts w:ascii="Book Antiqua" w:hAnsi="Book Antiqua"/>
          <w:b/>
          <w:bCs/>
          <w:color w:val="4472C4" w:themeColor="accent1"/>
          <w:sz w:val="24"/>
          <w:szCs w:val="22"/>
          <w:lang w:val="id-ID"/>
        </w:rPr>
      </w:pPr>
      <w:r w:rsidRPr="00436951">
        <w:rPr>
          <w:rFonts w:ascii="Book Antiqua" w:hAnsi="Book Antiqua"/>
          <w:b/>
          <w:bCs/>
          <w:color w:val="2F5496" w:themeColor="accent1" w:themeShade="BF"/>
          <w:sz w:val="24"/>
          <w:szCs w:val="24"/>
        </w:rPr>
        <w:t>INTRODUCTION</w:t>
      </w:r>
      <w:r w:rsidRPr="00436951">
        <w:rPr>
          <w:rFonts w:ascii="Book Antiqua" w:hAnsi="Book Antiqua"/>
          <w:b/>
          <w:bCs/>
          <w:color w:val="4472C4" w:themeColor="accent1"/>
          <w:sz w:val="24"/>
          <w:szCs w:val="22"/>
          <w:lang w:val="id-ID"/>
        </w:rPr>
        <w:t xml:space="preserve"> </w:t>
      </w:r>
    </w:p>
    <w:p w:rsidR="00375CC0" w:rsidRPr="00375CC0" w:rsidRDefault="00375CC0" w:rsidP="00375CC0">
      <w:pPr>
        <w:spacing w:after="120" w:line="240" w:lineRule="auto"/>
        <w:jc w:val="both"/>
        <w:rPr>
          <w:rFonts w:ascii="Book Antiqua" w:hAnsi="Book Antiqua" w:cstheme="majorHAnsi"/>
          <w:sz w:val="24"/>
          <w:szCs w:val="24"/>
        </w:rPr>
      </w:pPr>
      <w:r w:rsidRPr="00375CC0">
        <w:rPr>
          <w:rFonts w:ascii="Book Antiqua" w:hAnsi="Book Antiqua" w:cstheme="majorHAnsi"/>
          <w:sz w:val="24"/>
          <w:szCs w:val="24"/>
        </w:rPr>
        <w:t xml:space="preserve">Conventionally, the party with the obligation to prove is the Public Prosecutor. In the trial, the Public Prosecutor is in charge of proving the offense of the crime perpetrators. It is in line with the general principle of proof; that is, the plaintiff is the one who has an </w:t>
      </w:r>
      <w:r w:rsidRPr="00375CC0">
        <w:rPr>
          <w:rFonts w:ascii="Book Antiqua" w:hAnsi="Book Antiqua" w:cstheme="majorHAnsi"/>
          <w:sz w:val="24"/>
          <w:szCs w:val="24"/>
        </w:rPr>
        <w:lastRenderedPageBreak/>
        <w:t>obligation to prove.</w:t>
      </w:r>
      <w:r w:rsidR="00B63396">
        <w:rPr>
          <w:rStyle w:val="FootnoteReference"/>
          <w:rFonts w:ascii="Book Antiqua" w:hAnsi="Book Antiqua"/>
          <w:sz w:val="24"/>
          <w:szCs w:val="24"/>
        </w:rPr>
        <w:footnoteReference w:id="1"/>
      </w:r>
      <w:r w:rsidRPr="00375CC0">
        <w:rPr>
          <w:rFonts w:ascii="Book Antiqua" w:hAnsi="Book Antiqua" w:cstheme="majorHAnsi"/>
          <w:sz w:val="24"/>
          <w:szCs w:val="24"/>
        </w:rPr>
        <w:t xml:space="preserve"> Therefore, in a court of law, the party who has the authority to sue is the public prosecutor, so they must prove the truth of what they are accused of against the perpetrators.</w:t>
      </w:r>
    </w:p>
    <w:p w:rsidR="00375CC0" w:rsidRPr="00375CC0" w:rsidRDefault="00375CC0" w:rsidP="00375CC0">
      <w:pPr>
        <w:spacing w:after="120" w:line="240" w:lineRule="auto"/>
        <w:jc w:val="both"/>
        <w:rPr>
          <w:rFonts w:ascii="Book Antiqua" w:hAnsi="Book Antiqua" w:cstheme="majorHAnsi"/>
          <w:sz w:val="24"/>
          <w:szCs w:val="24"/>
        </w:rPr>
      </w:pPr>
      <w:r w:rsidRPr="00375CC0">
        <w:rPr>
          <w:rFonts w:ascii="Book Antiqua" w:hAnsi="Book Antiqua" w:cstheme="majorHAnsi"/>
          <w:sz w:val="24"/>
          <w:szCs w:val="24"/>
        </w:rPr>
        <w:t>The suspects or defendants do not have an obligation to prove the offense they have committed because they are instead entitled to the right to deny or refute th</w:t>
      </w:r>
      <w:r w:rsidR="00761299">
        <w:rPr>
          <w:rFonts w:ascii="Book Antiqua" w:hAnsi="Book Antiqua" w:cstheme="majorHAnsi"/>
          <w:sz w:val="24"/>
          <w:szCs w:val="24"/>
        </w:rPr>
        <w:t>e charges they are accused of.</w:t>
      </w:r>
      <w:r w:rsidR="00B63396">
        <w:rPr>
          <w:rStyle w:val="FootnoteReference"/>
          <w:rFonts w:ascii="Book Antiqua" w:hAnsi="Book Antiqua"/>
          <w:sz w:val="24"/>
          <w:szCs w:val="24"/>
        </w:rPr>
        <w:footnoteReference w:id="2"/>
      </w:r>
      <w:r w:rsidR="00761299">
        <w:rPr>
          <w:rFonts w:ascii="Book Antiqua" w:hAnsi="Book Antiqua" w:cstheme="majorHAnsi"/>
          <w:sz w:val="24"/>
          <w:szCs w:val="24"/>
        </w:rPr>
        <w:t xml:space="preserve"> </w:t>
      </w:r>
      <w:r w:rsidRPr="00375CC0">
        <w:rPr>
          <w:rFonts w:ascii="Book Antiqua" w:hAnsi="Book Antiqua" w:cstheme="majorHAnsi"/>
          <w:sz w:val="24"/>
          <w:szCs w:val="24"/>
        </w:rPr>
        <w:t>This system of proof is called the ordinary burden of proof system. It means that the burden of proof to prove the crime and the offense of the suspect rests entirely with the public prosecutor. In this case, the defendant or his legal advisor is only given the right to answer and deny all demands of the Public Prosecutor based on the available evidence.</w:t>
      </w:r>
      <w:r w:rsidR="00B63396">
        <w:rPr>
          <w:rStyle w:val="FootnoteReference"/>
          <w:rFonts w:ascii="Book Antiqua" w:hAnsi="Book Antiqua"/>
          <w:sz w:val="24"/>
          <w:szCs w:val="24"/>
        </w:rPr>
        <w:footnoteReference w:id="3"/>
      </w:r>
      <w:r w:rsidRPr="00375CC0">
        <w:rPr>
          <w:rFonts w:ascii="Book Antiqua" w:hAnsi="Book Antiqua" w:cstheme="majorHAnsi"/>
          <w:sz w:val="24"/>
          <w:szCs w:val="24"/>
        </w:rPr>
        <w:t xml:space="preserve"> </w:t>
      </w:r>
    </w:p>
    <w:p w:rsidR="00375CC0" w:rsidRPr="00375CC0" w:rsidRDefault="00375CC0" w:rsidP="00375CC0">
      <w:pPr>
        <w:spacing w:after="120" w:line="240" w:lineRule="auto"/>
        <w:jc w:val="both"/>
        <w:rPr>
          <w:rFonts w:ascii="Book Antiqua" w:hAnsi="Book Antiqua" w:cstheme="majorHAnsi"/>
          <w:sz w:val="24"/>
          <w:szCs w:val="24"/>
        </w:rPr>
      </w:pPr>
      <w:r w:rsidRPr="00375CC0">
        <w:rPr>
          <w:rFonts w:ascii="Book Antiqua" w:hAnsi="Book Antiqua" w:cstheme="majorHAnsi"/>
          <w:sz w:val="24"/>
          <w:szCs w:val="24"/>
        </w:rPr>
        <w:t xml:space="preserve">In Indonesia, the suspect or defendant is not burdened with the obligation of proof because the Indonesian legal system adheres to the principle of presumption of </w:t>
      </w:r>
      <w:proofErr w:type="gramStart"/>
      <w:r w:rsidRPr="00375CC0">
        <w:rPr>
          <w:rFonts w:ascii="Book Antiqua" w:hAnsi="Book Antiqua" w:cstheme="majorHAnsi"/>
          <w:sz w:val="24"/>
          <w:szCs w:val="24"/>
        </w:rPr>
        <w:t>innocence,</w:t>
      </w:r>
      <w:proofErr w:type="gramEnd"/>
      <w:r w:rsidRPr="00375CC0">
        <w:rPr>
          <w:rFonts w:ascii="Book Antiqua" w:hAnsi="Book Antiqua" w:cstheme="majorHAnsi"/>
          <w:sz w:val="24"/>
          <w:szCs w:val="24"/>
        </w:rPr>
        <w:t xml:space="preserve"> the obligation of proof</w:t>
      </w:r>
      <w:r w:rsidR="00C97246">
        <w:rPr>
          <w:rFonts w:ascii="Book Antiqua" w:hAnsi="Book Antiqua" w:cstheme="majorHAnsi"/>
          <w:sz w:val="24"/>
          <w:szCs w:val="24"/>
        </w:rPr>
        <w:t xml:space="preserve"> is for the public prosecutor.</w:t>
      </w:r>
      <w:r w:rsidR="00B63396">
        <w:rPr>
          <w:rStyle w:val="FootnoteReference"/>
          <w:rFonts w:ascii="Book Antiqua" w:hAnsi="Book Antiqua"/>
          <w:sz w:val="24"/>
          <w:szCs w:val="24"/>
        </w:rPr>
        <w:footnoteReference w:id="4"/>
      </w:r>
      <w:r w:rsidR="00C97246">
        <w:t xml:space="preserve"> </w:t>
      </w:r>
      <w:r w:rsidRPr="00375CC0">
        <w:rPr>
          <w:rFonts w:ascii="Book Antiqua" w:hAnsi="Book Antiqua" w:cstheme="majorHAnsi"/>
          <w:sz w:val="24"/>
          <w:szCs w:val="24"/>
        </w:rPr>
        <w:t>Therefore, the public prosecutor plays an important role in convincing the judge to decide based on the evidence submitted before the court session. In the ordinary burden of proof system, the method of using evidence applied is based on Law Number 8 Year applies 1981 concerning the Criminal Code Procedure (KUHAP) without exception, which is to prove all elements of a criminal offense by using evidence that refers to the minimum requirements of proof.</w:t>
      </w:r>
    </w:p>
    <w:p w:rsidR="00375CC0" w:rsidRPr="00375CC0" w:rsidRDefault="00375CC0" w:rsidP="00375CC0">
      <w:pPr>
        <w:spacing w:after="120" w:line="240" w:lineRule="auto"/>
        <w:jc w:val="both"/>
        <w:rPr>
          <w:rFonts w:ascii="Book Antiqua" w:hAnsi="Book Antiqua" w:cstheme="majorHAnsi"/>
          <w:sz w:val="24"/>
          <w:szCs w:val="24"/>
        </w:rPr>
      </w:pPr>
      <w:r w:rsidRPr="00375CC0">
        <w:rPr>
          <w:rFonts w:ascii="Book Antiqua" w:hAnsi="Book Antiqua" w:cstheme="majorHAnsi"/>
          <w:sz w:val="24"/>
          <w:szCs w:val="24"/>
        </w:rPr>
        <w:t>However, this proof system is challenging for the Public Prosecutor to prove the defendant's offense, especially for certain crimes, such as corruption, money laundering, corporate crimes, banking crimes, etc. All these crimes are classified as white-collar crimes, and some are even classified as extraordinary crimes.</w:t>
      </w:r>
      <w:r w:rsidR="00B63396">
        <w:rPr>
          <w:rStyle w:val="FootnoteReference"/>
          <w:rFonts w:ascii="Book Antiqua" w:hAnsi="Book Antiqua"/>
          <w:sz w:val="24"/>
          <w:szCs w:val="24"/>
        </w:rPr>
        <w:footnoteReference w:id="5"/>
      </w:r>
      <w:r w:rsidR="00C97246">
        <w:t xml:space="preserve"> </w:t>
      </w:r>
      <w:r w:rsidRPr="00375CC0">
        <w:rPr>
          <w:rFonts w:ascii="Book Antiqua" w:hAnsi="Book Antiqua" w:cstheme="majorHAnsi"/>
          <w:sz w:val="24"/>
          <w:szCs w:val="24"/>
        </w:rPr>
        <w:t>These two crimes tend to be difficult to prove because they involve complex bureaucracy, sophisticated technology, and crimes committed by professional groups.</w:t>
      </w:r>
      <w:r w:rsidR="00B63396">
        <w:rPr>
          <w:rStyle w:val="FootnoteReference"/>
        </w:rPr>
        <w:footnoteReference w:id="6"/>
      </w:r>
      <w:r w:rsidR="00C97246">
        <w:t xml:space="preserve"> </w:t>
      </w:r>
      <w:r w:rsidRPr="00375CC0">
        <w:rPr>
          <w:rFonts w:ascii="Book Antiqua" w:hAnsi="Book Antiqua" w:cstheme="majorHAnsi"/>
          <w:sz w:val="24"/>
          <w:szCs w:val="24"/>
        </w:rPr>
        <w:t xml:space="preserve">Therefore, a new proof system has emerged to ensnare the perpetrators, namely the reverse burden of the proof system to address the development of these crimes. </w:t>
      </w:r>
    </w:p>
    <w:p w:rsidR="00375CC0" w:rsidRPr="00375CC0" w:rsidRDefault="00375CC0" w:rsidP="00375CC0">
      <w:pPr>
        <w:spacing w:after="120" w:line="240" w:lineRule="auto"/>
        <w:jc w:val="both"/>
        <w:rPr>
          <w:rFonts w:ascii="Book Antiqua" w:hAnsi="Book Antiqua" w:cstheme="majorHAnsi"/>
          <w:sz w:val="24"/>
          <w:szCs w:val="24"/>
        </w:rPr>
      </w:pPr>
      <w:r w:rsidRPr="00375CC0">
        <w:rPr>
          <w:rFonts w:ascii="Book Antiqua" w:hAnsi="Book Antiqua" w:cstheme="majorHAnsi"/>
          <w:sz w:val="24"/>
          <w:szCs w:val="24"/>
        </w:rPr>
        <w:t>In Indonesian criminal law, the reverse burden of the proof system is applied carefully and only for certain criminal offenses. The consequence of implementing this system is that it conflicts with the presumption of innocence adopted in the Indonesian procedural law system. Therefore, the application of the reverse burden of the proof system in Indonesia is not absolute but limited or the balanced reverse burden of the proof system.</w:t>
      </w:r>
      <w:r w:rsidR="00B63396">
        <w:rPr>
          <w:rStyle w:val="FootnoteReference"/>
        </w:rPr>
        <w:footnoteReference w:id="7"/>
      </w:r>
      <w:r w:rsidR="00C97246">
        <w:t xml:space="preserve"> </w:t>
      </w:r>
      <w:r w:rsidRPr="00375CC0">
        <w:rPr>
          <w:rFonts w:ascii="Book Antiqua" w:hAnsi="Book Antiqua" w:cstheme="majorHAnsi"/>
          <w:sz w:val="24"/>
          <w:szCs w:val="24"/>
        </w:rPr>
        <w:t>It is indicated in Law no. 31 of 1999, which was later revised by Law no. 20 of 2001 concerning the Eradication of Criminal Offenses of Corruption, and Law no. 8 of 2010 concerning the Prevention and Eradication of the Criminal Offense of Money Laundering.</w:t>
      </w:r>
    </w:p>
    <w:p w:rsidR="004B1F20" w:rsidRDefault="00375CC0" w:rsidP="00375CC0">
      <w:pPr>
        <w:spacing w:after="120" w:line="240" w:lineRule="auto"/>
        <w:jc w:val="both"/>
        <w:rPr>
          <w:rFonts w:ascii="Book Antiqua" w:hAnsi="Book Antiqua" w:cstheme="majorHAnsi"/>
          <w:sz w:val="24"/>
          <w:szCs w:val="24"/>
          <w:lang w:val="en-GB"/>
        </w:rPr>
      </w:pPr>
      <w:r w:rsidRPr="00375CC0">
        <w:rPr>
          <w:rFonts w:ascii="Book Antiqua" w:hAnsi="Book Antiqua" w:cstheme="majorHAnsi"/>
          <w:sz w:val="24"/>
          <w:szCs w:val="24"/>
        </w:rPr>
        <w:t xml:space="preserve">Long before Indonesian criminal law implemented a limited reverse burden of the proof system for certain criminal offenses, Islamic criminal law implemented an absolute reverse </w:t>
      </w:r>
      <w:r w:rsidRPr="00375CC0">
        <w:rPr>
          <w:rFonts w:ascii="Book Antiqua" w:hAnsi="Book Antiqua" w:cstheme="majorHAnsi"/>
          <w:sz w:val="24"/>
          <w:szCs w:val="24"/>
        </w:rPr>
        <w:lastRenderedPageBreak/>
        <w:t>burden of the proof system.</w:t>
      </w:r>
      <w:r w:rsidR="00B63396">
        <w:rPr>
          <w:rStyle w:val="FootnoteReference"/>
        </w:rPr>
        <w:footnoteReference w:id="8"/>
      </w:r>
      <w:r w:rsidR="00C97246">
        <w:t xml:space="preserve"> </w:t>
      </w:r>
      <w:r w:rsidRPr="00375CC0">
        <w:rPr>
          <w:rFonts w:ascii="Book Antiqua" w:hAnsi="Book Antiqua" w:cstheme="majorHAnsi"/>
          <w:sz w:val="24"/>
          <w:szCs w:val="24"/>
        </w:rPr>
        <w:t>Although generally, Islamic criminal law places the burden of proof on the Public Prosecutor, in certain circumstances, this obligation can be transferred to the defendant. Concerning the concept and implementation, there are similarities and differences in the application of the reverse burden of the proof system in Indonesian and Islamic criminal law. Therefore, this study compares the reverse burden of proof system between Indonesian criminal law and Islamic criminal law.</w:t>
      </w:r>
    </w:p>
    <w:p w:rsidR="00AF20D0" w:rsidRPr="00761299" w:rsidRDefault="00AF20D0" w:rsidP="005D65B9">
      <w:pPr>
        <w:spacing w:after="0" w:line="240" w:lineRule="auto"/>
        <w:jc w:val="both"/>
        <w:rPr>
          <w:rFonts w:ascii="Book Antiqua" w:hAnsi="Book Antiqua"/>
          <w:sz w:val="24"/>
          <w:szCs w:val="24"/>
        </w:rPr>
      </w:pPr>
    </w:p>
    <w:p w:rsidR="004B1F20" w:rsidRPr="00436951" w:rsidRDefault="004B1F20" w:rsidP="00AF20D0">
      <w:pPr>
        <w:numPr>
          <w:ilvl w:val="0"/>
          <w:numId w:val="18"/>
        </w:numPr>
        <w:spacing w:after="120" w:line="240" w:lineRule="auto"/>
        <w:ind w:left="284" w:hanging="284"/>
        <w:rPr>
          <w:rFonts w:ascii="Book Antiqua" w:hAnsi="Book Antiqua"/>
          <w:b/>
          <w:bCs/>
          <w:color w:val="4472C4" w:themeColor="accent1"/>
          <w:sz w:val="28"/>
          <w:szCs w:val="22"/>
          <w:lang w:val="id-ID"/>
        </w:rPr>
      </w:pPr>
      <w:r w:rsidRPr="00436951">
        <w:rPr>
          <w:rFonts w:ascii="Book Antiqua" w:hAnsi="Book Antiqua"/>
          <w:b/>
          <w:color w:val="2F5496" w:themeColor="accent1" w:themeShade="BF"/>
          <w:sz w:val="24"/>
          <w:szCs w:val="24"/>
        </w:rPr>
        <w:t>METHOD</w:t>
      </w:r>
    </w:p>
    <w:p w:rsidR="004B1F20" w:rsidRDefault="00375CC0" w:rsidP="00AF20D0">
      <w:pPr>
        <w:spacing w:after="0" w:line="240" w:lineRule="auto"/>
        <w:jc w:val="both"/>
        <w:rPr>
          <w:rFonts w:ascii="Book Antiqua" w:hAnsi="Book Antiqua" w:cstheme="majorHAnsi"/>
          <w:sz w:val="24"/>
          <w:szCs w:val="24"/>
        </w:rPr>
      </w:pPr>
      <w:r w:rsidRPr="00375CC0">
        <w:rPr>
          <w:rFonts w:ascii="Book Antiqua" w:hAnsi="Book Antiqua" w:cstheme="majorHAnsi"/>
          <w:sz w:val="24"/>
          <w:szCs w:val="24"/>
          <w:lang w:val="id-ID"/>
        </w:rPr>
        <w:t>This research is legalistic, doctrinal, or normative. Normative research aims to find, explain, study, analyze and systematically present certain facts, principles, concepts, theories, and laws to find new knowledge and ideas recommended as a change or renewal.</w:t>
      </w:r>
      <w:r w:rsidR="00B63396">
        <w:rPr>
          <w:rStyle w:val="FootnoteReference"/>
          <w:rFonts w:ascii="Book Antiqua" w:hAnsi="Book Antiqua"/>
          <w:sz w:val="24"/>
          <w:szCs w:val="24"/>
        </w:rPr>
        <w:footnoteReference w:id="9"/>
      </w:r>
      <w:r w:rsidR="00C97246">
        <w:t xml:space="preserve"> </w:t>
      </w:r>
      <w:r w:rsidRPr="00375CC0">
        <w:rPr>
          <w:rFonts w:ascii="Book Antiqua" w:hAnsi="Book Antiqua" w:cstheme="majorHAnsi"/>
          <w:sz w:val="24"/>
          <w:szCs w:val="24"/>
          <w:lang w:val="id-ID"/>
        </w:rPr>
        <w:t>This study examined all documents, references, facts, theories, doctrines, and laws related to the reverse burden of proof according to Islamic and Indonesian criminal law. This study employed a comparative law approach. The comparative law approach studies the relationship between the legal systems of a country or compares the legislation between different legal systems in the world.</w:t>
      </w:r>
      <w:r w:rsidR="00B63396">
        <w:rPr>
          <w:rStyle w:val="FootnoteReference"/>
          <w:rFonts w:ascii="Book Antiqua" w:hAnsi="Book Antiqua"/>
          <w:spacing w:val="-1"/>
          <w:sz w:val="24"/>
          <w:szCs w:val="24"/>
        </w:rPr>
        <w:footnoteReference w:id="10"/>
      </w:r>
      <w:r w:rsidR="00C97246">
        <w:rPr>
          <w:rFonts w:ascii="Book Antiqua" w:hAnsi="Book Antiqua" w:cstheme="majorHAnsi"/>
          <w:sz w:val="24"/>
          <w:szCs w:val="24"/>
        </w:rPr>
        <w:t xml:space="preserve"> </w:t>
      </w:r>
      <w:r w:rsidRPr="00375CC0">
        <w:rPr>
          <w:rFonts w:ascii="Book Antiqua" w:hAnsi="Book Antiqua" w:cstheme="majorHAnsi"/>
          <w:sz w:val="24"/>
          <w:szCs w:val="24"/>
          <w:lang w:val="id-ID"/>
        </w:rPr>
        <w:t>It aims to compare the reverse burden of the proof system in Indonesian criminal law and Islamic criminal law.</w:t>
      </w:r>
    </w:p>
    <w:p w:rsidR="00AF20D0" w:rsidRPr="00761299" w:rsidRDefault="00AF20D0" w:rsidP="005D65B9">
      <w:pPr>
        <w:spacing w:after="0" w:line="360" w:lineRule="auto"/>
        <w:jc w:val="both"/>
        <w:rPr>
          <w:rFonts w:ascii="Book Antiqua" w:hAnsi="Book Antiqua" w:cs="Calibri"/>
          <w:color w:val="333333"/>
          <w:sz w:val="24"/>
        </w:rPr>
      </w:pPr>
    </w:p>
    <w:p w:rsidR="004B1F20" w:rsidRDefault="004B1F20" w:rsidP="004B1F20">
      <w:pPr>
        <w:numPr>
          <w:ilvl w:val="0"/>
          <w:numId w:val="18"/>
        </w:numPr>
        <w:spacing w:after="120" w:line="240" w:lineRule="auto"/>
        <w:ind w:left="284" w:hanging="284"/>
        <w:rPr>
          <w:rFonts w:ascii="Book Antiqua" w:hAnsi="Book Antiqua"/>
          <w:b/>
          <w:color w:val="2F5496" w:themeColor="accent1" w:themeShade="BF"/>
          <w:sz w:val="24"/>
          <w:szCs w:val="24"/>
        </w:rPr>
      </w:pPr>
      <w:r w:rsidRPr="00B63277">
        <w:rPr>
          <w:rFonts w:ascii="Book Antiqua" w:hAnsi="Book Antiqua"/>
          <w:b/>
          <w:color w:val="2F5496" w:themeColor="accent1" w:themeShade="BF"/>
          <w:sz w:val="24"/>
          <w:szCs w:val="24"/>
        </w:rPr>
        <w:t>RESULTS AND DISCUSSION</w:t>
      </w:r>
    </w:p>
    <w:p w:rsidR="00375CC0" w:rsidRPr="006B65A2" w:rsidRDefault="00375CC0" w:rsidP="00375CC0">
      <w:pPr>
        <w:pStyle w:val="ListParagraph"/>
        <w:numPr>
          <w:ilvl w:val="1"/>
          <w:numId w:val="18"/>
        </w:numPr>
        <w:tabs>
          <w:tab w:val="left" w:pos="360"/>
        </w:tabs>
        <w:spacing w:after="120" w:line="240" w:lineRule="auto"/>
        <w:ind w:left="360"/>
        <w:rPr>
          <w:rFonts w:ascii="Book Antiqua" w:hAnsi="Book Antiqua"/>
          <w:b/>
          <w:sz w:val="24"/>
          <w:szCs w:val="24"/>
        </w:rPr>
      </w:pPr>
      <w:r w:rsidRPr="006B65A2">
        <w:rPr>
          <w:rFonts w:ascii="Book Antiqua" w:hAnsi="Book Antiqua"/>
          <w:b/>
          <w:sz w:val="24"/>
          <w:szCs w:val="24"/>
        </w:rPr>
        <w:t>Definition of Proof</w:t>
      </w:r>
    </w:p>
    <w:p w:rsidR="00375CC0" w:rsidRPr="00375CC0" w:rsidRDefault="00375CC0" w:rsidP="00375CC0">
      <w:pPr>
        <w:spacing w:after="120" w:line="240" w:lineRule="auto"/>
        <w:jc w:val="both"/>
        <w:rPr>
          <w:rFonts w:ascii="Book Antiqua" w:hAnsi="Book Antiqua"/>
          <w:sz w:val="24"/>
          <w:szCs w:val="24"/>
        </w:rPr>
      </w:pPr>
      <w:r w:rsidRPr="00375CC0">
        <w:rPr>
          <w:rFonts w:ascii="Book Antiqua" w:hAnsi="Book Antiqua"/>
          <w:sz w:val="24"/>
          <w:szCs w:val="24"/>
        </w:rPr>
        <w:t xml:space="preserve">Proof is a paramount aspect of law enforcement. A person cannot be convicted before a fair process of proof and trial. The word proof derives from "prove” in English or is called </w:t>
      </w:r>
      <w:proofErr w:type="spellStart"/>
      <w:r w:rsidRPr="00C97246">
        <w:rPr>
          <w:rFonts w:ascii="Book Antiqua" w:hAnsi="Book Antiqua"/>
          <w:i/>
          <w:sz w:val="24"/>
          <w:szCs w:val="24"/>
        </w:rPr>
        <w:t>bewijs</w:t>
      </w:r>
      <w:proofErr w:type="spellEnd"/>
      <w:r w:rsidRPr="00375CC0">
        <w:rPr>
          <w:rFonts w:ascii="Book Antiqua" w:hAnsi="Book Antiqua"/>
          <w:sz w:val="24"/>
          <w:szCs w:val="24"/>
        </w:rPr>
        <w:t xml:space="preserve"> in Dutch, which means "everything that serves to convince someone's thinking about the truth or</w:t>
      </w:r>
      <w:r w:rsidR="00C97246">
        <w:rPr>
          <w:rFonts w:ascii="Book Antiqua" w:hAnsi="Book Antiqua"/>
          <w:sz w:val="24"/>
          <w:szCs w:val="24"/>
        </w:rPr>
        <w:t xml:space="preserve"> falsity of an uncertain case."</w:t>
      </w:r>
      <w:r w:rsidR="00B63396">
        <w:rPr>
          <w:rStyle w:val="FootnoteReference"/>
          <w:rFonts w:ascii="Book Antiqua" w:hAnsi="Book Antiqua"/>
          <w:sz w:val="24"/>
          <w:szCs w:val="24"/>
          <w:lang w:eastAsia="id-ID"/>
        </w:rPr>
        <w:footnoteReference w:id="11"/>
      </w:r>
      <w:r w:rsidR="00C97246">
        <w:rPr>
          <w:lang w:eastAsia="id-ID"/>
        </w:rPr>
        <w:t xml:space="preserve"> </w:t>
      </w:r>
      <w:r w:rsidRPr="00375CC0">
        <w:rPr>
          <w:rFonts w:ascii="Book Antiqua" w:hAnsi="Book Antiqua"/>
          <w:sz w:val="24"/>
          <w:szCs w:val="24"/>
        </w:rPr>
        <w:t>The proving process attempts to find the truth rather than a legal event. Through the proof process, the actions of a suspect can be accepted by common sense if a sentence is imposed on the defendant.</w:t>
      </w:r>
      <w:r w:rsidR="00B63396">
        <w:rPr>
          <w:rStyle w:val="FootnoteReference"/>
          <w:rFonts w:ascii="Book Antiqua" w:hAnsi="Book Antiqua"/>
          <w:sz w:val="24"/>
          <w:szCs w:val="24"/>
        </w:rPr>
        <w:footnoteReference w:id="12"/>
      </w:r>
      <w:r w:rsidRPr="00375CC0">
        <w:rPr>
          <w:rFonts w:ascii="Book Antiqua" w:hAnsi="Book Antiqua"/>
          <w:sz w:val="24"/>
          <w:szCs w:val="24"/>
        </w:rPr>
        <w:t xml:space="preserve"> </w:t>
      </w:r>
    </w:p>
    <w:p w:rsidR="00375CC0" w:rsidRPr="00375CC0" w:rsidRDefault="00375CC0" w:rsidP="00375CC0">
      <w:pPr>
        <w:spacing w:after="120" w:line="240" w:lineRule="auto"/>
        <w:jc w:val="both"/>
        <w:rPr>
          <w:rFonts w:ascii="Book Antiqua" w:hAnsi="Book Antiqua"/>
          <w:sz w:val="24"/>
          <w:szCs w:val="24"/>
        </w:rPr>
      </w:pPr>
      <w:r w:rsidRPr="00375CC0">
        <w:rPr>
          <w:rFonts w:ascii="Book Antiqua" w:hAnsi="Book Antiqua"/>
          <w:sz w:val="24"/>
          <w:szCs w:val="24"/>
        </w:rPr>
        <w:t xml:space="preserve">In the aspect of criminal code procedure, the law of proof is a provision that limits court proceedings to find and defend the truth; judges, public prosecutors, defendants, or legal advisors, are all bound by the provisions of the procedure and assessment of evidence stipulated by law. They must not use their way of assessing evidence. If they use evidence, it must not conflict with the law. The defendant cannot defend something he deems true outside the provisions outlined by law. The panel of judges, in particular, must be aware and careful in assessing and considering the strength of the evidence found during the trial examination. If the panel of </w:t>
      </w:r>
      <w:proofErr w:type="gramStart"/>
      <w:r w:rsidRPr="00375CC0">
        <w:rPr>
          <w:rFonts w:ascii="Book Antiqua" w:hAnsi="Book Antiqua"/>
          <w:sz w:val="24"/>
          <w:szCs w:val="24"/>
        </w:rPr>
        <w:t>judges</w:t>
      </w:r>
      <w:proofErr w:type="gramEnd"/>
      <w:r w:rsidRPr="00375CC0">
        <w:rPr>
          <w:rFonts w:ascii="Book Antiqua" w:hAnsi="Book Antiqua"/>
          <w:sz w:val="24"/>
          <w:szCs w:val="24"/>
        </w:rPr>
        <w:t xml:space="preserve"> wishes to put the truth found in the decision, that truth must be tested with evidence, in a manner and with the strength of evidence attached to each evidence. Otherwise, the suspects will likely escape and innocent people to be punished.</w:t>
      </w:r>
      <w:r w:rsidR="00B63396">
        <w:rPr>
          <w:rStyle w:val="FootnoteReference"/>
          <w:rFonts w:ascii="Book Antiqua" w:hAnsi="Book Antiqua"/>
          <w:sz w:val="24"/>
          <w:szCs w:val="24"/>
        </w:rPr>
        <w:footnoteReference w:id="13"/>
      </w:r>
      <w:r w:rsidRPr="00375CC0">
        <w:rPr>
          <w:rFonts w:ascii="Book Antiqua" w:hAnsi="Book Antiqua"/>
          <w:sz w:val="24"/>
          <w:szCs w:val="24"/>
        </w:rPr>
        <w:t xml:space="preserve">  </w:t>
      </w:r>
    </w:p>
    <w:p w:rsidR="00375CC0" w:rsidRPr="00375CC0" w:rsidRDefault="00375CC0" w:rsidP="00375CC0">
      <w:pPr>
        <w:spacing w:after="120" w:line="240" w:lineRule="auto"/>
        <w:jc w:val="both"/>
        <w:rPr>
          <w:rFonts w:ascii="Book Antiqua" w:hAnsi="Book Antiqua"/>
          <w:sz w:val="24"/>
          <w:szCs w:val="24"/>
        </w:rPr>
      </w:pPr>
      <w:r w:rsidRPr="00375CC0">
        <w:rPr>
          <w:rFonts w:ascii="Book Antiqua" w:hAnsi="Book Antiqua"/>
          <w:sz w:val="24"/>
          <w:szCs w:val="24"/>
        </w:rPr>
        <w:lastRenderedPageBreak/>
        <w:t xml:space="preserve">In addition, the term "evidence" originates from the Latin, </w:t>
      </w:r>
      <w:proofErr w:type="spellStart"/>
      <w:r w:rsidRPr="00375CC0">
        <w:rPr>
          <w:rFonts w:ascii="Book Antiqua" w:hAnsi="Book Antiqua"/>
          <w:sz w:val="24"/>
          <w:szCs w:val="24"/>
        </w:rPr>
        <w:t>evidencs</w:t>
      </w:r>
      <w:proofErr w:type="spellEnd"/>
      <w:r w:rsidRPr="00375CC0">
        <w:rPr>
          <w:rFonts w:ascii="Book Antiqua" w:hAnsi="Book Antiqua"/>
          <w:sz w:val="24"/>
          <w:szCs w:val="24"/>
        </w:rPr>
        <w:t xml:space="preserve">, and </w:t>
      </w:r>
      <w:proofErr w:type="spellStart"/>
      <w:r w:rsidRPr="00375CC0">
        <w:rPr>
          <w:rFonts w:ascii="Book Antiqua" w:hAnsi="Book Antiqua"/>
          <w:sz w:val="24"/>
          <w:szCs w:val="24"/>
        </w:rPr>
        <w:t>evidere</w:t>
      </w:r>
      <w:proofErr w:type="spellEnd"/>
      <w:r w:rsidRPr="00375CC0">
        <w:rPr>
          <w:rFonts w:ascii="Book Antiqua" w:hAnsi="Book Antiqua"/>
          <w:sz w:val="24"/>
          <w:szCs w:val="24"/>
        </w:rPr>
        <w:t>, which means to show clearly, to make clear to the sight, to discover clearly, to make plainly certain, to ascertain, to prove</w:t>
      </w:r>
      <w:r w:rsidRPr="00C97246">
        <w:rPr>
          <w:rFonts w:ascii="Book Antiqua" w:hAnsi="Book Antiqua"/>
          <w:sz w:val="24"/>
          <w:szCs w:val="24"/>
        </w:rPr>
        <w:t>.</w:t>
      </w:r>
      <w:r w:rsidR="00AE3093">
        <w:rPr>
          <w:rStyle w:val="FootnoteReference"/>
          <w:rFonts w:ascii="Book Antiqua" w:hAnsi="Book Antiqua"/>
          <w:sz w:val="24"/>
          <w:szCs w:val="24"/>
        </w:rPr>
        <w:footnoteReference w:id="14"/>
      </w:r>
      <w:r w:rsidR="00C97246">
        <w:rPr>
          <w:rFonts w:ascii="Book Antiqua" w:hAnsi="Book Antiqua"/>
          <w:sz w:val="24"/>
          <w:szCs w:val="24"/>
        </w:rPr>
        <w:t xml:space="preserve"> </w:t>
      </w:r>
      <w:r w:rsidRPr="00375CC0">
        <w:rPr>
          <w:rFonts w:ascii="Book Antiqua" w:hAnsi="Book Antiqua"/>
          <w:sz w:val="24"/>
          <w:szCs w:val="24"/>
        </w:rPr>
        <w:t xml:space="preserve">The evidence is something stating the truth of an event, its truth, witnesses, and signs of evil deeds. </w:t>
      </w:r>
      <w:proofErr w:type="spellStart"/>
      <w:r w:rsidRPr="00375CC0">
        <w:rPr>
          <w:rFonts w:ascii="Book Antiqua" w:hAnsi="Book Antiqua"/>
          <w:sz w:val="24"/>
          <w:szCs w:val="24"/>
        </w:rPr>
        <w:t>Andi</w:t>
      </w:r>
      <w:proofErr w:type="spellEnd"/>
      <w:r w:rsidRPr="00375CC0">
        <w:rPr>
          <w:rFonts w:ascii="Book Antiqua" w:hAnsi="Book Antiqua"/>
          <w:sz w:val="24"/>
          <w:szCs w:val="24"/>
        </w:rPr>
        <w:t xml:space="preserve"> </w:t>
      </w:r>
      <w:proofErr w:type="spellStart"/>
      <w:r w:rsidRPr="00375CC0">
        <w:rPr>
          <w:rFonts w:ascii="Book Antiqua" w:hAnsi="Book Antiqua"/>
          <w:sz w:val="24"/>
          <w:szCs w:val="24"/>
        </w:rPr>
        <w:t>Hamzah</w:t>
      </w:r>
      <w:proofErr w:type="spellEnd"/>
      <w:r w:rsidRPr="00375CC0">
        <w:rPr>
          <w:rFonts w:ascii="Book Antiqua" w:hAnsi="Book Antiqua"/>
          <w:sz w:val="24"/>
          <w:szCs w:val="24"/>
        </w:rPr>
        <w:t xml:space="preserve"> defined evidence as items to ensure the truth of a proposition, stance, and indictment. Evidence is an effort to prove through items allowed to be used to prove the arguments or, in criminal cases, indictments before a court, for example, the defendant's testimony, testimony, expert testimony, letters, instructions, and also including allegations and oaths.</w:t>
      </w:r>
      <w:r w:rsidR="00AE3093">
        <w:rPr>
          <w:rStyle w:val="FootnoteReference"/>
          <w:rFonts w:ascii="Book Antiqua" w:hAnsi="Book Antiqua"/>
          <w:sz w:val="24"/>
          <w:szCs w:val="24"/>
        </w:rPr>
        <w:footnoteReference w:id="15"/>
      </w:r>
      <w:r w:rsidRPr="00375CC0">
        <w:rPr>
          <w:rFonts w:ascii="Book Antiqua" w:hAnsi="Book Antiqua"/>
          <w:sz w:val="24"/>
          <w:szCs w:val="24"/>
        </w:rPr>
        <w:t xml:space="preserve">  </w:t>
      </w:r>
    </w:p>
    <w:p w:rsidR="00375CC0" w:rsidRPr="00375CC0" w:rsidRDefault="00375CC0" w:rsidP="00375CC0">
      <w:pPr>
        <w:spacing w:after="120" w:line="240" w:lineRule="auto"/>
        <w:jc w:val="both"/>
        <w:rPr>
          <w:rFonts w:ascii="Book Antiqua" w:hAnsi="Book Antiqua"/>
          <w:sz w:val="24"/>
          <w:szCs w:val="24"/>
        </w:rPr>
      </w:pPr>
      <w:r w:rsidRPr="00375CC0">
        <w:rPr>
          <w:rFonts w:ascii="Book Antiqua" w:hAnsi="Book Antiqua"/>
          <w:sz w:val="24"/>
          <w:szCs w:val="24"/>
        </w:rPr>
        <w:t xml:space="preserve">Proof of guilt or innocence of a defendant must be through examination in a court. </w:t>
      </w:r>
      <w:proofErr w:type="spellStart"/>
      <w:r w:rsidRPr="00375CC0">
        <w:rPr>
          <w:rFonts w:ascii="Book Antiqua" w:hAnsi="Book Antiqua"/>
          <w:sz w:val="24"/>
          <w:szCs w:val="24"/>
        </w:rPr>
        <w:t>Darwan</w:t>
      </w:r>
      <w:proofErr w:type="spellEnd"/>
      <w:r w:rsidRPr="00375CC0">
        <w:rPr>
          <w:rFonts w:ascii="Book Antiqua" w:hAnsi="Book Antiqua"/>
          <w:sz w:val="24"/>
          <w:szCs w:val="24"/>
        </w:rPr>
        <w:t xml:space="preserve"> </w:t>
      </w:r>
      <w:proofErr w:type="spellStart"/>
      <w:r w:rsidRPr="00375CC0">
        <w:rPr>
          <w:rFonts w:ascii="Book Antiqua" w:hAnsi="Book Antiqua"/>
          <w:sz w:val="24"/>
          <w:szCs w:val="24"/>
        </w:rPr>
        <w:t>Prinst</w:t>
      </w:r>
      <w:proofErr w:type="spellEnd"/>
      <w:r w:rsidRPr="00375CC0">
        <w:rPr>
          <w:rFonts w:ascii="Book Antiqua" w:hAnsi="Book Antiqua"/>
          <w:sz w:val="24"/>
          <w:szCs w:val="24"/>
        </w:rPr>
        <w:t xml:space="preserve"> stated, "Concerning the evidence, the judge needs to consider the interests of the community and the interests of the defendant. The public interest means that a person violating the law must be punished according to his offense. The defendant interest means that he must be treated fairly in such a way that the innocent one should not be punished, or if he is proved to be guilty, he should not be sentenced with too severe punishment, but it must be </w:t>
      </w:r>
      <w:r w:rsidR="00C97246">
        <w:rPr>
          <w:rFonts w:ascii="Book Antiqua" w:hAnsi="Book Antiqua"/>
          <w:sz w:val="24"/>
          <w:szCs w:val="24"/>
        </w:rPr>
        <w:t>equal to his offense."</w:t>
      </w:r>
      <w:r w:rsidR="00B63396">
        <w:rPr>
          <w:rStyle w:val="FootnoteReference"/>
          <w:rFonts w:ascii="Book Antiqua" w:hAnsi="Book Antiqua"/>
          <w:sz w:val="24"/>
          <w:szCs w:val="24"/>
        </w:rPr>
        <w:footnoteReference w:id="16"/>
      </w:r>
      <w:r w:rsidRPr="00375CC0">
        <w:rPr>
          <w:rFonts w:ascii="Book Antiqua" w:hAnsi="Book Antiqua"/>
          <w:sz w:val="24"/>
          <w:szCs w:val="24"/>
        </w:rPr>
        <w:t xml:space="preserve"> </w:t>
      </w:r>
    </w:p>
    <w:p w:rsidR="00375CC0" w:rsidRPr="00375CC0" w:rsidRDefault="00375CC0" w:rsidP="00375CC0">
      <w:pPr>
        <w:spacing w:after="120" w:line="240" w:lineRule="auto"/>
        <w:jc w:val="both"/>
        <w:rPr>
          <w:rFonts w:ascii="Book Antiqua" w:hAnsi="Book Antiqua"/>
          <w:sz w:val="24"/>
          <w:szCs w:val="24"/>
        </w:rPr>
      </w:pPr>
      <w:r w:rsidRPr="00375CC0">
        <w:rPr>
          <w:rFonts w:ascii="Book Antiqua" w:hAnsi="Book Antiqua"/>
          <w:sz w:val="24"/>
          <w:szCs w:val="24"/>
        </w:rPr>
        <w:t>The measuring tool in the theory of proof consists</w:t>
      </w:r>
      <w:r w:rsidR="00C97246">
        <w:rPr>
          <w:rFonts w:ascii="Book Antiqua" w:hAnsi="Book Antiqua"/>
          <w:sz w:val="24"/>
          <w:szCs w:val="24"/>
        </w:rPr>
        <w:t xml:space="preserve"> of six main points, as follows:</w:t>
      </w:r>
      <w:r w:rsidR="00C97246" w:rsidRPr="00C97246">
        <w:t xml:space="preserve"> </w:t>
      </w:r>
      <w:r w:rsidR="00B63396">
        <w:rPr>
          <w:rStyle w:val="FootnoteReference"/>
          <w:rFonts w:ascii="Book Antiqua" w:hAnsi="Book Antiqua"/>
          <w:sz w:val="24"/>
          <w:szCs w:val="24"/>
        </w:rPr>
        <w:footnoteReference w:id="17"/>
      </w:r>
      <w:r w:rsidRPr="00375CC0">
        <w:rPr>
          <w:rFonts w:ascii="Book Antiqua" w:hAnsi="Book Antiqua"/>
          <w:sz w:val="24"/>
          <w:szCs w:val="24"/>
        </w:rPr>
        <w:t xml:space="preserve"> </w:t>
      </w:r>
    </w:p>
    <w:p w:rsidR="00375CC0" w:rsidRPr="00375CC0" w:rsidRDefault="00375CC0" w:rsidP="00375CC0">
      <w:pPr>
        <w:pStyle w:val="ListParagraph"/>
        <w:numPr>
          <w:ilvl w:val="0"/>
          <w:numId w:val="20"/>
        </w:numPr>
        <w:spacing w:after="120" w:line="240" w:lineRule="auto"/>
        <w:ind w:left="360"/>
        <w:jc w:val="both"/>
        <w:rPr>
          <w:rFonts w:ascii="Book Antiqua" w:hAnsi="Book Antiqua"/>
          <w:sz w:val="24"/>
          <w:szCs w:val="24"/>
        </w:rPr>
      </w:pPr>
      <w:r w:rsidRPr="00375CC0">
        <w:rPr>
          <w:rFonts w:ascii="Book Antiqua" w:hAnsi="Book Antiqua"/>
          <w:sz w:val="24"/>
          <w:szCs w:val="24"/>
        </w:rPr>
        <w:t>The basis of evidence that is concluded in consideration of the court's decision to obtain the correct facts (</w:t>
      </w:r>
      <w:proofErr w:type="spellStart"/>
      <w:r w:rsidRPr="00375CC0">
        <w:rPr>
          <w:rFonts w:ascii="Book Antiqua" w:hAnsi="Book Antiqua"/>
          <w:i/>
          <w:sz w:val="24"/>
          <w:szCs w:val="24"/>
        </w:rPr>
        <w:t>bewijsgonden</w:t>
      </w:r>
      <w:proofErr w:type="spellEnd"/>
      <w:r w:rsidRPr="00375CC0">
        <w:rPr>
          <w:rFonts w:ascii="Book Antiqua" w:hAnsi="Book Antiqua"/>
          <w:sz w:val="24"/>
          <w:szCs w:val="24"/>
        </w:rPr>
        <w:t>);</w:t>
      </w:r>
    </w:p>
    <w:p w:rsidR="00375CC0" w:rsidRPr="00375CC0" w:rsidRDefault="00375CC0" w:rsidP="00375CC0">
      <w:pPr>
        <w:pStyle w:val="ListParagraph"/>
        <w:numPr>
          <w:ilvl w:val="0"/>
          <w:numId w:val="20"/>
        </w:numPr>
        <w:spacing w:after="120" w:line="240" w:lineRule="auto"/>
        <w:ind w:left="360"/>
        <w:jc w:val="both"/>
        <w:rPr>
          <w:rFonts w:ascii="Book Antiqua" w:hAnsi="Book Antiqua"/>
          <w:sz w:val="24"/>
          <w:szCs w:val="24"/>
        </w:rPr>
      </w:pPr>
      <w:r w:rsidRPr="00375CC0">
        <w:rPr>
          <w:rFonts w:ascii="Book Antiqua" w:hAnsi="Book Antiqua"/>
          <w:sz w:val="24"/>
          <w:szCs w:val="24"/>
        </w:rPr>
        <w:t>Items of evidence used by judges to get an overview of past criminal offenses (</w:t>
      </w:r>
      <w:proofErr w:type="spellStart"/>
      <w:r w:rsidRPr="00375CC0">
        <w:rPr>
          <w:rFonts w:ascii="Book Antiqua" w:hAnsi="Book Antiqua"/>
          <w:i/>
          <w:sz w:val="24"/>
          <w:szCs w:val="24"/>
        </w:rPr>
        <w:t>bewijsmiddelen</w:t>
      </w:r>
      <w:proofErr w:type="spellEnd"/>
      <w:r w:rsidRPr="00375CC0">
        <w:rPr>
          <w:rFonts w:ascii="Book Antiqua" w:hAnsi="Book Antiqua"/>
          <w:sz w:val="24"/>
          <w:szCs w:val="24"/>
        </w:rPr>
        <w:t>);</w:t>
      </w:r>
    </w:p>
    <w:p w:rsidR="00375CC0" w:rsidRPr="00375CC0" w:rsidRDefault="00375CC0" w:rsidP="00375CC0">
      <w:pPr>
        <w:pStyle w:val="ListParagraph"/>
        <w:numPr>
          <w:ilvl w:val="0"/>
          <w:numId w:val="20"/>
        </w:numPr>
        <w:spacing w:after="120" w:line="240" w:lineRule="auto"/>
        <w:ind w:left="360"/>
        <w:jc w:val="both"/>
        <w:rPr>
          <w:rFonts w:ascii="Book Antiqua" w:hAnsi="Book Antiqua"/>
          <w:sz w:val="24"/>
          <w:szCs w:val="24"/>
        </w:rPr>
      </w:pPr>
      <w:r w:rsidRPr="00375CC0">
        <w:rPr>
          <w:rFonts w:ascii="Book Antiqua" w:hAnsi="Book Antiqua"/>
          <w:sz w:val="24"/>
          <w:szCs w:val="24"/>
        </w:rPr>
        <w:t>Description of how to present items of evidence to the judge in court (</w:t>
      </w:r>
      <w:proofErr w:type="spellStart"/>
      <w:r w:rsidRPr="00375CC0">
        <w:rPr>
          <w:rFonts w:ascii="Book Antiqua" w:hAnsi="Book Antiqua"/>
          <w:i/>
          <w:sz w:val="24"/>
          <w:szCs w:val="24"/>
        </w:rPr>
        <w:t>bewijsvoering</w:t>
      </w:r>
      <w:proofErr w:type="spellEnd"/>
      <w:r w:rsidRPr="00375CC0">
        <w:rPr>
          <w:rFonts w:ascii="Book Antiqua" w:hAnsi="Book Antiqua"/>
          <w:sz w:val="24"/>
          <w:szCs w:val="24"/>
        </w:rPr>
        <w:t>);</w:t>
      </w:r>
    </w:p>
    <w:p w:rsidR="00375CC0" w:rsidRPr="00375CC0" w:rsidRDefault="00375CC0" w:rsidP="00375CC0">
      <w:pPr>
        <w:pStyle w:val="ListParagraph"/>
        <w:numPr>
          <w:ilvl w:val="0"/>
          <w:numId w:val="20"/>
        </w:numPr>
        <w:spacing w:after="120" w:line="240" w:lineRule="auto"/>
        <w:ind w:left="360"/>
        <w:jc w:val="both"/>
        <w:rPr>
          <w:rFonts w:ascii="Book Antiqua" w:hAnsi="Book Antiqua"/>
          <w:sz w:val="24"/>
          <w:szCs w:val="24"/>
        </w:rPr>
      </w:pPr>
      <w:r w:rsidRPr="00375CC0">
        <w:rPr>
          <w:rFonts w:ascii="Book Antiqua" w:hAnsi="Book Antiqua"/>
          <w:sz w:val="24"/>
          <w:szCs w:val="24"/>
        </w:rPr>
        <w:t>The strength of evidence in each item of evidence in the assessments of the proof of an indictment (</w:t>
      </w:r>
      <w:proofErr w:type="spellStart"/>
      <w:r w:rsidRPr="00375CC0">
        <w:rPr>
          <w:rFonts w:ascii="Book Antiqua" w:hAnsi="Book Antiqua"/>
          <w:i/>
          <w:sz w:val="24"/>
          <w:szCs w:val="24"/>
        </w:rPr>
        <w:t>bewijskracht</w:t>
      </w:r>
      <w:proofErr w:type="spellEnd"/>
      <w:r w:rsidRPr="00375CC0">
        <w:rPr>
          <w:rFonts w:ascii="Book Antiqua" w:hAnsi="Book Antiqua"/>
          <w:sz w:val="24"/>
          <w:szCs w:val="24"/>
        </w:rPr>
        <w:t>);</w:t>
      </w:r>
    </w:p>
    <w:p w:rsidR="00375CC0" w:rsidRPr="00375CC0" w:rsidRDefault="00375CC0" w:rsidP="00375CC0">
      <w:pPr>
        <w:pStyle w:val="ListParagraph"/>
        <w:numPr>
          <w:ilvl w:val="0"/>
          <w:numId w:val="20"/>
        </w:numPr>
        <w:spacing w:after="120" w:line="240" w:lineRule="auto"/>
        <w:ind w:left="360"/>
        <w:jc w:val="both"/>
        <w:rPr>
          <w:rFonts w:ascii="Book Antiqua" w:hAnsi="Book Antiqua"/>
          <w:sz w:val="24"/>
          <w:szCs w:val="24"/>
        </w:rPr>
      </w:pPr>
      <w:r w:rsidRPr="00375CC0">
        <w:rPr>
          <w:rFonts w:ascii="Book Antiqua" w:hAnsi="Book Antiqua"/>
          <w:sz w:val="24"/>
          <w:szCs w:val="24"/>
        </w:rPr>
        <w:t>The burden of proof required by law to prove the indictment before a court hearing (</w:t>
      </w:r>
      <w:proofErr w:type="spellStart"/>
      <w:r w:rsidRPr="00375CC0">
        <w:rPr>
          <w:rFonts w:ascii="Book Antiqua" w:hAnsi="Book Antiqua"/>
          <w:i/>
          <w:sz w:val="24"/>
          <w:szCs w:val="24"/>
        </w:rPr>
        <w:t>bewijslast</w:t>
      </w:r>
      <w:proofErr w:type="spellEnd"/>
      <w:r w:rsidRPr="00375CC0">
        <w:rPr>
          <w:rFonts w:ascii="Book Antiqua" w:hAnsi="Book Antiqua"/>
          <w:sz w:val="24"/>
          <w:szCs w:val="24"/>
        </w:rPr>
        <w:t>);</w:t>
      </w:r>
    </w:p>
    <w:p w:rsidR="00375CC0" w:rsidRPr="00375CC0" w:rsidRDefault="00375CC0" w:rsidP="00375CC0">
      <w:pPr>
        <w:pStyle w:val="ListParagraph"/>
        <w:numPr>
          <w:ilvl w:val="0"/>
          <w:numId w:val="20"/>
        </w:numPr>
        <w:spacing w:after="120" w:line="240" w:lineRule="auto"/>
        <w:ind w:left="360"/>
        <w:jc w:val="both"/>
        <w:rPr>
          <w:rFonts w:ascii="Book Antiqua" w:hAnsi="Book Antiqua"/>
          <w:sz w:val="24"/>
          <w:szCs w:val="24"/>
        </w:rPr>
      </w:pPr>
      <w:r w:rsidRPr="00375CC0">
        <w:rPr>
          <w:rFonts w:ascii="Book Antiqua" w:hAnsi="Book Antiqua"/>
          <w:sz w:val="24"/>
          <w:szCs w:val="24"/>
        </w:rPr>
        <w:t>The minimum evidence required to prove to bind the judge's freedom (</w:t>
      </w:r>
      <w:proofErr w:type="spellStart"/>
      <w:r w:rsidRPr="00375CC0">
        <w:rPr>
          <w:rFonts w:ascii="Book Antiqua" w:hAnsi="Book Antiqua"/>
          <w:i/>
          <w:sz w:val="24"/>
          <w:szCs w:val="24"/>
        </w:rPr>
        <w:t>bewijsminimum</w:t>
      </w:r>
      <w:proofErr w:type="spellEnd"/>
      <w:r w:rsidRPr="00375CC0">
        <w:rPr>
          <w:rFonts w:ascii="Book Antiqua" w:hAnsi="Book Antiqua"/>
          <w:sz w:val="24"/>
          <w:szCs w:val="24"/>
        </w:rPr>
        <w:t>).</w:t>
      </w:r>
    </w:p>
    <w:p w:rsidR="004B1F20" w:rsidRDefault="00375CC0" w:rsidP="00375CC0">
      <w:pPr>
        <w:spacing w:after="120" w:line="240" w:lineRule="auto"/>
        <w:jc w:val="both"/>
        <w:rPr>
          <w:rFonts w:ascii="Book Antiqua" w:hAnsi="Book Antiqua"/>
          <w:sz w:val="24"/>
          <w:szCs w:val="24"/>
        </w:rPr>
      </w:pPr>
      <w:r w:rsidRPr="00375CC0">
        <w:rPr>
          <w:rFonts w:ascii="Book Antiqua" w:hAnsi="Book Antiqua"/>
          <w:sz w:val="24"/>
          <w:szCs w:val="24"/>
        </w:rPr>
        <w:t xml:space="preserve">Based on the opinions of the above legal experts, it can be concluded that proof is a process of how items of evidence can be used in a trial following the applicable procedural law. So, proof serves to confirm the criminal offense committed by the defendant, free the defendant from unproven charges and punish him/her based on proven criminal charges. On the other hand, the items of evidence serve to assist the course of proof in a trial. The function of the items also depends </w:t>
      </w:r>
      <w:proofErr w:type="gramStart"/>
      <w:r w:rsidRPr="00375CC0">
        <w:rPr>
          <w:rFonts w:ascii="Book Antiqua" w:hAnsi="Book Antiqua"/>
          <w:sz w:val="24"/>
          <w:szCs w:val="24"/>
        </w:rPr>
        <w:t>on the strength of each evidence</w:t>
      </w:r>
      <w:proofErr w:type="gramEnd"/>
      <w:r w:rsidRPr="00375CC0">
        <w:rPr>
          <w:rFonts w:ascii="Book Antiqua" w:hAnsi="Book Antiqua"/>
          <w:sz w:val="24"/>
          <w:szCs w:val="24"/>
        </w:rPr>
        <w:t>. If items of evidence do not accompany the proof, the proving procedure is null and void by law.</w:t>
      </w:r>
    </w:p>
    <w:p w:rsidR="00375CC0" w:rsidRPr="00375CC0" w:rsidRDefault="00375CC0" w:rsidP="00375CC0">
      <w:pPr>
        <w:pStyle w:val="ListParagraph"/>
        <w:numPr>
          <w:ilvl w:val="1"/>
          <w:numId w:val="18"/>
        </w:numPr>
        <w:spacing w:after="120" w:line="240" w:lineRule="auto"/>
        <w:ind w:left="360"/>
        <w:contextualSpacing w:val="0"/>
        <w:rPr>
          <w:rFonts w:ascii="Book Antiqua" w:eastAsia="Arial Unicode MS" w:hAnsi="Book Antiqua" w:cstheme="majorHAnsi"/>
          <w:b/>
          <w:color w:val="000000" w:themeColor="text1"/>
          <w:sz w:val="24"/>
          <w:szCs w:val="24"/>
        </w:rPr>
      </w:pPr>
      <w:r w:rsidRPr="00375CC0">
        <w:rPr>
          <w:rFonts w:ascii="Book Antiqua" w:eastAsia="Arial Unicode MS" w:hAnsi="Book Antiqua" w:cstheme="majorHAnsi"/>
          <w:b/>
          <w:color w:val="000000" w:themeColor="text1"/>
          <w:sz w:val="24"/>
          <w:szCs w:val="24"/>
        </w:rPr>
        <w:t>Burden of Proof</w:t>
      </w:r>
    </w:p>
    <w:p w:rsidR="00375CC0" w:rsidRPr="00375CC0" w:rsidRDefault="00375CC0" w:rsidP="00375CC0">
      <w:pPr>
        <w:spacing w:after="120" w:line="240" w:lineRule="auto"/>
        <w:jc w:val="both"/>
        <w:rPr>
          <w:rFonts w:ascii="Book Antiqua" w:eastAsia="Arial Unicode MS" w:hAnsi="Book Antiqua" w:cstheme="majorHAnsi"/>
          <w:color w:val="000000" w:themeColor="text1"/>
          <w:sz w:val="24"/>
          <w:szCs w:val="24"/>
        </w:rPr>
      </w:pPr>
      <w:r w:rsidRPr="00375CC0">
        <w:rPr>
          <w:rFonts w:ascii="Book Antiqua" w:eastAsia="Arial Unicode MS" w:hAnsi="Book Antiqua" w:cstheme="majorHAnsi"/>
          <w:color w:val="000000" w:themeColor="text1"/>
          <w:sz w:val="24"/>
          <w:szCs w:val="24"/>
        </w:rPr>
        <w:t xml:space="preserve">In the aspect of law enforcement, who or which institution has the burden or obligation to prove the defendant's guilt. The burden of proof is to burden someone to prove someone's guilt by presenting evidence, documents, and arguments before the court. </w:t>
      </w:r>
      <w:proofErr w:type="spellStart"/>
      <w:r w:rsidRPr="00375CC0">
        <w:rPr>
          <w:rFonts w:ascii="Book Antiqua" w:eastAsia="Arial Unicode MS" w:hAnsi="Book Antiqua" w:cstheme="majorHAnsi"/>
          <w:color w:val="000000" w:themeColor="text1"/>
          <w:sz w:val="24"/>
          <w:szCs w:val="24"/>
        </w:rPr>
        <w:t>Siti</w:t>
      </w:r>
      <w:proofErr w:type="spellEnd"/>
      <w:r w:rsidRPr="00375CC0">
        <w:rPr>
          <w:rFonts w:ascii="Book Antiqua" w:eastAsia="Arial Unicode MS" w:hAnsi="Book Antiqua" w:cstheme="majorHAnsi"/>
          <w:color w:val="000000" w:themeColor="text1"/>
          <w:sz w:val="24"/>
          <w:szCs w:val="24"/>
        </w:rPr>
        <w:t xml:space="preserve"> </w:t>
      </w:r>
      <w:proofErr w:type="spellStart"/>
      <w:r w:rsidRPr="00375CC0">
        <w:rPr>
          <w:rFonts w:ascii="Book Antiqua" w:eastAsia="Arial Unicode MS" w:hAnsi="Book Antiqua" w:cstheme="majorHAnsi"/>
          <w:color w:val="000000" w:themeColor="text1"/>
          <w:sz w:val="24"/>
          <w:szCs w:val="24"/>
        </w:rPr>
        <w:t>Zalikhah</w:t>
      </w:r>
      <w:proofErr w:type="spellEnd"/>
      <w:r w:rsidRPr="00375CC0">
        <w:rPr>
          <w:rFonts w:ascii="Book Antiqua" w:eastAsia="Arial Unicode MS" w:hAnsi="Book Antiqua" w:cstheme="majorHAnsi"/>
          <w:color w:val="000000" w:themeColor="text1"/>
          <w:sz w:val="24"/>
          <w:szCs w:val="24"/>
        </w:rPr>
        <w:t xml:space="preserve"> argued that the burden of proof is the responsibility that lies with the party accusing someone of comm</w:t>
      </w:r>
      <w:r w:rsidR="009671ED">
        <w:rPr>
          <w:rFonts w:ascii="Book Antiqua" w:eastAsia="Arial Unicode MS" w:hAnsi="Book Antiqua" w:cstheme="majorHAnsi"/>
          <w:color w:val="000000" w:themeColor="text1"/>
          <w:sz w:val="24"/>
          <w:szCs w:val="24"/>
        </w:rPr>
        <w:t>itting an offense harming him</w:t>
      </w:r>
      <w:r w:rsidR="00785A79">
        <w:rPr>
          <w:rFonts w:ascii="Book Antiqua" w:eastAsia="Arial Unicode MS" w:hAnsi="Book Antiqua" w:cstheme="majorHAnsi"/>
          <w:color w:val="000000" w:themeColor="text1"/>
          <w:sz w:val="24"/>
          <w:szCs w:val="24"/>
        </w:rPr>
        <w:t>.</w:t>
      </w:r>
      <w:r w:rsidR="00B63396">
        <w:rPr>
          <w:rStyle w:val="FootnoteReference"/>
          <w:lang w:eastAsia="id-ID"/>
        </w:rPr>
        <w:footnoteReference w:id="18"/>
      </w:r>
      <w:r w:rsidR="00785A79">
        <w:rPr>
          <w:rFonts w:ascii="Book Antiqua" w:eastAsia="Arial Unicode MS" w:hAnsi="Book Antiqua" w:cstheme="majorHAnsi"/>
          <w:color w:val="000000" w:themeColor="text1"/>
          <w:sz w:val="24"/>
          <w:szCs w:val="24"/>
        </w:rPr>
        <w:t xml:space="preserve"> </w:t>
      </w:r>
      <w:r w:rsidRPr="00375CC0">
        <w:rPr>
          <w:rFonts w:ascii="Book Antiqua" w:eastAsia="Arial Unicode MS" w:hAnsi="Book Antiqua" w:cstheme="majorHAnsi"/>
          <w:color w:val="000000" w:themeColor="text1"/>
          <w:sz w:val="24"/>
          <w:szCs w:val="24"/>
        </w:rPr>
        <w:t xml:space="preserve">If someone postulates a fact, she/he </w:t>
      </w:r>
      <w:r w:rsidRPr="00375CC0">
        <w:rPr>
          <w:rFonts w:ascii="Book Antiqua" w:eastAsia="Arial Unicode MS" w:hAnsi="Book Antiqua" w:cstheme="majorHAnsi"/>
          <w:color w:val="000000" w:themeColor="text1"/>
          <w:sz w:val="24"/>
          <w:szCs w:val="24"/>
        </w:rPr>
        <w:lastRenderedPageBreak/>
        <w:t>must prove it to convince the cour</w:t>
      </w:r>
      <w:r w:rsidR="009671ED">
        <w:rPr>
          <w:rFonts w:ascii="Book Antiqua" w:eastAsia="Arial Unicode MS" w:hAnsi="Book Antiqua" w:cstheme="majorHAnsi"/>
          <w:color w:val="000000" w:themeColor="text1"/>
          <w:sz w:val="24"/>
          <w:szCs w:val="24"/>
        </w:rPr>
        <w:t>t of the existence of the fact.</w:t>
      </w:r>
      <w:r w:rsidR="00B63396">
        <w:rPr>
          <w:rStyle w:val="FootnoteReference"/>
          <w:rFonts w:ascii="Book Antiqua" w:hAnsi="Book Antiqua"/>
          <w:sz w:val="24"/>
          <w:szCs w:val="24"/>
        </w:rPr>
        <w:footnoteReference w:id="19"/>
      </w:r>
      <w:r w:rsidR="00C97246">
        <w:rPr>
          <w:rFonts w:ascii="Book Antiqua" w:eastAsia="Arial Unicode MS" w:hAnsi="Book Antiqua" w:cstheme="majorHAnsi"/>
          <w:color w:val="000000" w:themeColor="text1"/>
          <w:sz w:val="24"/>
          <w:szCs w:val="24"/>
        </w:rPr>
        <w:t xml:space="preserve"> </w:t>
      </w:r>
      <w:proofErr w:type="spellStart"/>
      <w:r w:rsidRPr="00375CC0">
        <w:rPr>
          <w:rFonts w:ascii="Book Antiqua" w:eastAsia="Arial Unicode MS" w:hAnsi="Book Antiqua" w:cstheme="majorHAnsi"/>
          <w:color w:val="000000" w:themeColor="text1"/>
          <w:sz w:val="24"/>
          <w:szCs w:val="24"/>
        </w:rPr>
        <w:t>Gabbo</w:t>
      </w:r>
      <w:proofErr w:type="spellEnd"/>
      <w:r w:rsidRPr="00375CC0">
        <w:rPr>
          <w:rFonts w:ascii="Book Antiqua" w:eastAsia="Arial Unicode MS" w:hAnsi="Book Antiqua" w:cstheme="majorHAnsi"/>
          <w:color w:val="000000" w:themeColor="text1"/>
          <w:sz w:val="24"/>
          <w:szCs w:val="24"/>
        </w:rPr>
        <w:t xml:space="preserve"> David Byrne interpreted the burden of proof as a responsibility to present evidence to the court related to the case following the stage of evidence required.</w:t>
      </w:r>
      <w:r w:rsidR="00B63396">
        <w:rPr>
          <w:rStyle w:val="FootnoteReference"/>
          <w:rFonts w:ascii="Book Antiqua" w:hAnsi="Book Antiqua"/>
          <w:sz w:val="24"/>
          <w:szCs w:val="24"/>
        </w:rPr>
        <w:footnoteReference w:id="20"/>
      </w:r>
      <w:r w:rsidRPr="00C97246">
        <w:rPr>
          <w:rFonts w:ascii="Book Antiqua" w:eastAsia="Arial Unicode MS" w:hAnsi="Book Antiqua" w:cstheme="majorHAnsi"/>
          <w:color w:val="000000" w:themeColor="text1"/>
          <w:sz w:val="24"/>
          <w:szCs w:val="24"/>
        </w:rPr>
        <w:t xml:space="preserve"> </w:t>
      </w:r>
      <w:r w:rsidRPr="00375CC0">
        <w:rPr>
          <w:rFonts w:ascii="Book Antiqua" w:eastAsia="Arial Unicode MS" w:hAnsi="Book Antiqua" w:cstheme="majorHAnsi"/>
          <w:color w:val="000000" w:themeColor="text1"/>
          <w:sz w:val="24"/>
          <w:szCs w:val="24"/>
        </w:rPr>
        <w:t xml:space="preserve"> </w:t>
      </w:r>
    </w:p>
    <w:p w:rsidR="00375CC0" w:rsidRPr="00375CC0" w:rsidRDefault="00375CC0" w:rsidP="00375CC0">
      <w:pPr>
        <w:spacing w:after="120" w:line="240" w:lineRule="auto"/>
        <w:jc w:val="both"/>
        <w:rPr>
          <w:rFonts w:ascii="Book Antiqua" w:eastAsia="Arial Unicode MS" w:hAnsi="Book Antiqua" w:cstheme="majorHAnsi"/>
          <w:color w:val="000000" w:themeColor="text1"/>
          <w:sz w:val="24"/>
          <w:szCs w:val="24"/>
        </w:rPr>
      </w:pPr>
      <w:r w:rsidRPr="00375CC0">
        <w:rPr>
          <w:rFonts w:ascii="Book Antiqua" w:eastAsia="Arial Unicode MS" w:hAnsi="Book Antiqua" w:cstheme="majorHAnsi"/>
          <w:color w:val="000000" w:themeColor="text1"/>
          <w:sz w:val="24"/>
          <w:szCs w:val="24"/>
        </w:rPr>
        <w:t>From the criminal code procedure point of view, the burden of proof lies with the Public Prosecutor. The burden of proof in a criminal case will be the responsibility of the public prosecutor and will not be transferred to the defendant during the trial in court. However, the defendant also must prove his case to refute or deny any facts that the Public Prosecutor has indicted against him.</w:t>
      </w:r>
      <w:r w:rsidR="00B63396">
        <w:rPr>
          <w:rStyle w:val="FootnoteReference"/>
          <w:rFonts w:ascii="Book Antiqua" w:hAnsi="Book Antiqua"/>
          <w:sz w:val="24"/>
          <w:szCs w:val="24"/>
        </w:rPr>
        <w:footnoteReference w:id="21"/>
      </w:r>
      <w:r w:rsidR="00785A79">
        <w:rPr>
          <w:rFonts w:ascii="Book Antiqua" w:eastAsia="Arial Unicode MS" w:hAnsi="Book Antiqua" w:cstheme="majorHAnsi"/>
          <w:color w:val="000000" w:themeColor="text1"/>
          <w:sz w:val="24"/>
          <w:szCs w:val="24"/>
        </w:rPr>
        <w:t xml:space="preserve"> </w:t>
      </w:r>
      <w:r w:rsidRPr="00375CC0">
        <w:rPr>
          <w:rFonts w:ascii="Book Antiqua" w:eastAsia="Arial Unicode MS" w:hAnsi="Book Antiqua" w:cstheme="majorHAnsi"/>
          <w:color w:val="000000" w:themeColor="text1"/>
          <w:sz w:val="24"/>
          <w:szCs w:val="24"/>
        </w:rPr>
        <w:t>In a criminal trial, the judge provides an opportunity for both parties to submit various items of evidence and examine them before the court.</w:t>
      </w:r>
      <w:r w:rsidR="00B63396">
        <w:rPr>
          <w:rStyle w:val="FootnoteReference"/>
          <w:rFonts w:ascii="Book Antiqua" w:hAnsi="Book Antiqua"/>
          <w:sz w:val="24"/>
          <w:szCs w:val="24"/>
        </w:rPr>
        <w:footnoteReference w:id="22"/>
      </w:r>
      <w:r w:rsidRPr="00375CC0">
        <w:rPr>
          <w:rFonts w:ascii="Book Antiqua" w:eastAsia="Arial Unicode MS" w:hAnsi="Book Antiqua" w:cstheme="majorHAnsi"/>
          <w:color w:val="000000" w:themeColor="text1"/>
          <w:sz w:val="24"/>
          <w:szCs w:val="24"/>
        </w:rPr>
        <w:t xml:space="preserve">  </w:t>
      </w:r>
    </w:p>
    <w:p w:rsidR="00375CC0" w:rsidRPr="00375CC0" w:rsidRDefault="00375CC0" w:rsidP="00375CC0">
      <w:pPr>
        <w:spacing w:after="120" w:line="240" w:lineRule="auto"/>
        <w:jc w:val="both"/>
        <w:rPr>
          <w:rFonts w:ascii="Book Antiqua" w:eastAsia="Arial Unicode MS" w:hAnsi="Book Antiqua" w:cstheme="majorHAnsi"/>
          <w:color w:val="000000" w:themeColor="text1"/>
          <w:sz w:val="24"/>
          <w:szCs w:val="24"/>
        </w:rPr>
      </w:pPr>
      <w:r w:rsidRPr="00375CC0">
        <w:rPr>
          <w:rFonts w:ascii="Book Antiqua" w:eastAsia="Arial Unicode MS" w:hAnsi="Book Antiqua" w:cstheme="majorHAnsi"/>
          <w:color w:val="000000" w:themeColor="text1"/>
          <w:sz w:val="24"/>
          <w:szCs w:val="24"/>
        </w:rPr>
        <w:t>The above principle of proof is adopted by Indonesia through Law no. 8 of 1981 concerning the Criminal Code Procedure, stating that "whoever makes an accusation is the one who is burdened with proving that what is being accused is true". This principle arises from presumption of innocence as an important principle in the Criminal Code Procedure. This principle is stipulated in Article 8 of Law no. 4 of 2004 concerning Judicial Power, stating that everyone is considered innocent until a court decision proves his guilt with permanent legal force.</w:t>
      </w:r>
    </w:p>
    <w:p w:rsidR="00375CC0" w:rsidRPr="00375CC0" w:rsidRDefault="00375CC0" w:rsidP="00375CC0">
      <w:pPr>
        <w:spacing w:after="120" w:line="240" w:lineRule="auto"/>
        <w:jc w:val="both"/>
        <w:rPr>
          <w:rFonts w:ascii="Book Antiqua" w:eastAsia="Arial Unicode MS" w:hAnsi="Book Antiqua" w:cstheme="majorHAnsi"/>
          <w:color w:val="000000" w:themeColor="text1"/>
          <w:sz w:val="24"/>
          <w:szCs w:val="24"/>
        </w:rPr>
      </w:pPr>
      <w:proofErr w:type="spellStart"/>
      <w:r w:rsidRPr="00375CC0">
        <w:rPr>
          <w:rFonts w:ascii="Book Antiqua" w:eastAsia="Arial Unicode MS" w:hAnsi="Book Antiqua" w:cstheme="majorHAnsi"/>
          <w:color w:val="000000" w:themeColor="text1"/>
          <w:sz w:val="24"/>
          <w:szCs w:val="24"/>
        </w:rPr>
        <w:t>Ashaf</w:t>
      </w:r>
      <w:proofErr w:type="spellEnd"/>
      <w:r w:rsidRPr="00375CC0">
        <w:rPr>
          <w:rFonts w:ascii="Book Antiqua" w:eastAsia="Arial Unicode MS" w:hAnsi="Book Antiqua" w:cstheme="majorHAnsi"/>
          <w:color w:val="000000" w:themeColor="text1"/>
          <w:sz w:val="24"/>
          <w:szCs w:val="24"/>
        </w:rPr>
        <w:t xml:space="preserve"> bin Md. </w:t>
      </w:r>
      <w:proofErr w:type="spellStart"/>
      <w:r w:rsidRPr="00375CC0">
        <w:rPr>
          <w:rFonts w:ascii="Book Antiqua" w:eastAsia="Arial Unicode MS" w:hAnsi="Book Antiqua" w:cstheme="majorHAnsi"/>
          <w:color w:val="000000" w:themeColor="text1"/>
          <w:sz w:val="24"/>
          <w:szCs w:val="24"/>
        </w:rPr>
        <w:t>Hashim</w:t>
      </w:r>
      <w:proofErr w:type="spellEnd"/>
      <w:r w:rsidRPr="00375CC0">
        <w:rPr>
          <w:rFonts w:ascii="Book Antiqua" w:eastAsia="Arial Unicode MS" w:hAnsi="Book Antiqua" w:cstheme="majorHAnsi"/>
          <w:color w:val="000000" w:themeColor="text1"/>
          <w:sz w:val="24"/>
          <w:szCs w:val="24"/>
        </w:rPr>
        <w:t xml:space="preserve"> mentioned that, in principle, the burden of proof in criminal cases is always on the public prosecutor. </w:t>
      </w:r>
      <w:proofErr w:type="spellStart"/>
      <w:r w:rsidRPr="00375CC0">
        <w:rPr>
          <w:rFonts w:ascii="Book Antiqua" w:eastAsia="Arial Unicode MS" w:hAnsi="Book Antiqua" w:cstheme="majorHAnsi"/>
          <w:color w:val="000000" w:themeColor="text1"/>
          <w:sz w:val="24"/>
          <w:szCs w:val="24"/>
        </w:rPr>
        <w:t>Hayt</w:t>
      </w:r>
      <w:proofErr w:type="spellEnd"/>
      <w:r w:rsidRPr="00375CC0">
        <w:rPr>
          <w:rFonts w:ascii="Book Antiqua" w:eastAsia="Arial Unicode MS" w:hAnsi="Book Antiqua" w:cstheme="majorHAnsi"/>
          <w:color w:val="000000" w:themeColor="text1"/>
          <w:sz w:val="24"/>
          <w:szCs w:val="24"/>
        </w:rPr>
        <w:t xml:space="preserve"> and </w:t>
      </w:r>
      <w:proofErr w:type="spellStart"/>
      <w:r w:rsidRPr="00375CC0">
        <w:rPr>
          <w:rFonts w:ascii="Book Antiqua" w:eastAsia="Arial Unicode MS" w:hAnsi="Book Antiqua" w:cstheme="majorHAnsi"/>
          <w:color w:val="000000" w:themeColor="text1"/>
          <w:sz w:val="24"/>
          <w:szCs w:val="24"/>
        </w:rPr>
        <w:t>Groeschel</w:t>
      </w:r>
      <w:proofErr w:type="spellEnd"/>
      <w:r w:rsidRPr="00375CC0">
        <w:rPr>
          <w:rFonts w:ascii="Book Antiqua" w:eastAsia="Arial Unicode MS" w:hAnsi="Book Antiqua" w:cstheme="majorHAnsi"/>
          <w:color w:val="000000" w:themeColor="text1"/>
          <w:sz w:val="24"/>
          <w:szCs w:val="24"/>
        </w:rPr>
        <w:t xml:space="preserve"> also shared a similar view that in almost all criminal cases, the burden of proof l</w:t>
      </w:r>
      <w:r w:rsidR="00785A79">
        <w:rPr>
          <w:rFonts w:ascii="Book Antiqua" w:eastAsia="Arial Unicode MS" w:hAnsi="Book Antiqua" w:cstheme="majorHAnsi"/>
          <w:color w:val="000000" w:themeColor="text1"/>
          <w:sz w:val="24"/>
          <w:szCs w:val="24"/>
        </w:rPr>
        <w:t>ies with the public prosecutor.</w:t>
      </w:r>
      <w:r w:rsidR="00B63396">
        <w:rPr>
          <w:rStyle w:val="FootnoteReference"/>
          <w:rFonts w:ascii="Book Antiqua" w:hAnsi="Book Antiqua"/>
          <w:sz w:val="24"/>
          <w:szCs w:val="24"/>
        </w:rPr>
        <w:footnoteReference w:id="23"/>
      </w:r>
      <w:r w:rsidR="00785A79">
        <w:rPr>
          <w:rFonts w:ascii="Book Antiqua" w:eastAsia="Arial Unicode MS" w:hAnsi="Book Antiqua" w:cstheme="majorHAnsi"/>
          <w:color w:val="000000" w:themeColor="text1"/>
          <w:sz w:val="24"/>
          <w:szCs w:val="24"/>
        </w:rPr>
        <w:t xml:space="preserve"> </w:t>
      </w:r>
      <w:r w:rsidRPr="00375CC0">
        <w:rPr>
          <w:rFonts w:ascii="Book Antiqua" w:eastAsia="Arial Unicode MS" w:hAnsi="Book Antiqua" w:cstheme="majorHAnsi"/>
          <w:color w:val="000000" w:themeColor="text1"/>
          <w:sz w:val="24"/>
          <w:szCs w:val="24"/>
        </w:rPr>
        <w:t xml:space="preserve">However, </w:t>
      </w:r>
      <w:proofErr w:type="spellStart"/>
      <w:r w:rsidRPr="00375CC0">
        <w:rPr>
          <w:rFonts w:ascii="Book Antiqua" w:eastAsia="Arial Unicode MS" w:hAnsi="Book Antiqua" w:cstheme="majorHAnsi"/>
          <w:color w:val="000000" w:themeColor="text1"/>
          <w:sz w:val="24"/>
          <w:szCs w:val="24"/>
        </w:rPr>
        <w:t>Ruzman</w:t>
      </w:r>
      <w:proofErr w:type="spellEnd"/>
      <w:r w:rsidRPr="00375CC0">
        <w:rPr>
          <w:rFonts w:ascii="Book Antiqua" w:eastAsia="Arial Unicode MS" w:hAnsi="Book Antiqua" w:cstheme="majorHAnsi"/>
          <w:color w:val="000000" w:themeColor="text1"/>
          <w:sz w:val="24"/>
          <w:szCs w:val="24"/>
        </w:rPr>
        <w:t xml:space="preserve"> Noor and </w:t>
      </w:r>
      <w:proofErr w:type="spellStart"/>
      <w:r w:rsidRPr="00375CC0">
        <w:rPr>
          <w:rFonts w:ascii="Book Antiqua" w:eastAsia="Arial Unicode MS" w:hAnsi="Book Antiqua" w:cstheme="majorHAnsi"/>
          <w:color w:val="000000" w:themeColor="text1"/>
          <w:sz w:val="24"/>
          <w:szCs w:val="24"/>
        </w:rPr>
        <w:t>Mohd</w:t>
      </w:r>
      <w:proofErr w:type="spellEnd"/>
      <w:r w:rsidRPr="00375CC0">
        <w:rPr>
          <w:rFonts w:ascii="Book Antiqua" w:eastAsia="Arial Unicode MS" w:hAnsi="Book Antiqua" w:cstheme="majorHAnsi"/>
          <w:color w:val="000000" w:themeColor="text1"/>
          <w:sz w:val="24"/>
          <w:szCs w:val="24"/>
        </w:rPr>
        <w:t xml:space="preserve"> </w:t>
      </w:r>
      <w:proofErr w:type="spellStart"/>
      <w:r w:rsidRPr="00375CC0">
        <w:rPr>
          <w:rFonts w:ascii="Book Antiqua" w:eastAsia="Arial Unicode MS" w:hAnsi="Book Antiqua" w:cstheme="majorHAnsi"/>
          <w:color w:val="000000" w:themeColor="text1"/>
          <w:sz w:val="24"/>
          <w:szCs w:val="24"/>
        </w:rPr>
        <w:t>Istajib</w:t>
      </w:r>
      <w:proofErr w:type="spellEnd"/>
      <w:r w:rsidRPr="00375CC0">
        <w:rPr>
          <w:rFonts w:ascii="Book Antiqua" w:eastAsia="Arial Unicode MS" w:hAnsi="Book Antiqua" w:cstheme="majorHAnsi"/>
          <w:color w:val="000000" w:themeColor="text1"/>
          <w:sz w:val="24"/>
          <w:szCs w:val="24"/>
        </w:rPr>
        <w:t xml:space="preserve"> had a contrasting view that under certain circumstances, the burden of proof can be transferred to the defendant.</w:t>
      </w:r>
      <w:r w:rsidR="00B63396">
        <w:rPr>
          <w:rStyle w:val="FootnoteReference"/>
          <w:rFonts w:ascii="Book Antiqua" w:hAnsi="Book Antiqua"/>
          <w:sz w:val="24"/>
          <w:szCs w:val="24"/>
        </w:rPr>
        <w:footnoteReference w:id="24"/>
      </w:r>
      <w:r w:rsidRPr="00375CC0">
        <w:rPr>
          <w:rFonts w:ascii="Book Antiqua" w:eastAsia="Arial Unicode MS" w:hAnsi="Book Antiqua" w:cstheme="majorHAnsi"/>
          <w:color w:val="000000" w:themeColor="text1"/>
          <w:sz w:val="24"/>
          <w:szCs w:val="24"/>
        </w:rPr>
        <w:t xml:space="preserve">  In the case of </w:t>
      </w:r>
      <w:proofErr w:type="spellStart"/>
      <w:r w:rsidRPr="00375CC0">
        <w:rPr>
          <w:rFonts w:ascii="Book Antiqua" w:eastAsia="Arial Unicode MS" w:hAnsi="Book Antiqua" w:cstheme="majorHAnsi"/>
          <w:color w:val="000000" w:themeColor="text1"/>
          <w:sz w:val="24"/>
          <w:szCs w:val="24"/>
        </w:rPr>
        <w:t>Adetunji</w:t>
      </w:r>
      <w:proofErr w:type="spellEnd"/>
      <w:r w:rsidRPr="00375CC0">
        <w:rPr>
          <w:rFonts w:ascii="Book Antiqua" w:eastAsia="Arial Unicode MS" w:hAnsi="Book Antiqua" w:cstheme="majorHAnsi"/>
          <w:color w:val="000000" w:themeColor="text1"/>
          <w:sz w:val="24"/>
          <w:szCs w:val="24"/>
        </w:rPr>
        <w:t xml:space="preserve"> </w:t>
      </w:r>
      <w:proofErr w:type="spellStart"/>
      <w:r w:rsidRPr="00375CC0">
        <w:rPr>
          <w:rFonts w:ascii="Book Antiqua" w:eastAsia="Arial Unicode MS" w:hAnsi="Book Antiqua" w:cstheme="majorHAnsi"/>
          <w:color w:val="000000" w:themeColor="text1"/>
          <w:sz w:val="24"/>
          <w:szCs w:val="24"/>
        </w:rPr>
        <w:t>Adeleye</w:t>
      </w:r>
      <w:proofErr w:type="spellEnd"/>
      <w:r w:rsidRPr="00375CC0">
        <w:rPr>
          <w:rFonts w:ascii="Book Antiqua" w:eastAsia="Arial Unicode MS" w:hAnsi="Book Antiqua" w:cstheme="majorHAnsi"/>
          <w:color w:val="000000" w:themeColor="text1"/>
          <w:sz w:val="24"/>
          <w:szCs w:val="24"/>
        </w:rPr>
        <w:t xml:space="preserve"> </w:t>
      </w:r>
      <w:proofErr w:type="spellStart"/>
      <w:r w:rsidRPr="00375CC0">
        <w:rPr>
          <w:rFonts w:ascii="Book Antiqua" w:eastAsia="Arial Unicode MS" w:hAnsi="Book Antiqua" w:cstheme="majorHAnsi"/>
          <w:color w:val="000000" w:themeColor="text1"/>
          <w:sz w:val="24"/>
          <w:szCs w:val="24"/>
        </w:rPr>
        <w:t>Suli</w:t>
      </w:r>
      <w:proofErr w:type="spellEnd"/>
      <w:r w:rsidRPr="00375CC0">
        <w:rPr>
          <w:rFonts w:ascii="Book Antiqua" w:eastAsia="Arial Unicode MS" w:hAnsi="Book Antiqua" w:cstheme="majorHAnsi"/>
          <w:color w:val="000000" w:themeColor="text1"/>
          <w:sz w:val="24"/>
          <w:szCs w:val="24"/>
        </w:rPr>
        <w:t xml:space="preserve"> v Raya as the plaintiff (1993, 3 CLJ 113), the judge ruled that a person is accused of carrying a bag containing narcotics or the like must prove that the bag owner is not his.</w:t>
      </w:r>
      <w:r w:rsidR="00B63396">
        <w:rPr>
          <w:rStyle w:val="FootnoteReference"/>
          <w:rFonts w:ascii="Book Antiqua" w:hAnsi="Book Antiqua"/>
          <w:sz w:val="24"/>
          <w:szCs w:val="24"/>
        </w:rPr>
        <w:footnoteReference w:id="25"/>
      </w:r>
      <w:r w:rsidRPr="00375CC0">
        <w:rPr>
          <w:rFonts w:ascii="Book Antiqua" w:eastAsia="Arial Unicode MS" w:hAnsi="Book Antiqua" w:cstheme="majorHAnsi"/>
          <w:color w:val="000000" w:themeColor="text1"/>
          <w:sz w:val="24"/>
          <w:szCs w:val="24"/>
        </w:rPr>
        <w:t xml:space="preserve"> </w:t>
      </w:r>
    </w:p>
    <w:p w:rsidR="00375CC0" w:rsidRPr="00375CC0" w:rsidRDefault="00375CC0" w:rsidP="00375CC0">
      <w:pPr>
        <w:spacing w:after="120" w:line="240" w:lineRule="auto"/>
        <w:jc w:val="both"/>
        <w:rPr>
          <w:rFonts w:ascii="Book Antiqua" w:eastAsia="Arial Unicode MS" w:hAnsi="Book Antiqua" w:cstheme="majorHAnsi"/>
          <w:color w:val="000000" w:themeColor="text1"/>
          <w:sz w:val="24"/>
          <w:szCs w:val="24"/>
        </w:rPr>
      </w:pPr>
      <w:r w:rsidRPr="00375CC0">
        <w:rPr>
          <w:rFonts w:ascii="Book Antiqua" w:eastAsia="Arial Unicode MS" w:hAnsi="Book Antiqua" w:cstheme="majorHAnsi"/>
          <w:color w:val="000000" w:themeColor="text1"/>
          <w:sz w:val="24"/>
          <w:szCs w:val="24"/>
        </w:rPr>
        <w:t>This principle has developed into a reverse burden of proof system, where the burden of proving the guilt lies on the shoulders of the defendant, not the public prosecutor. This transfer of the burden of proof must follow various criteria and not apply to all crimes. Therefore, the reverse burden of proof is only applied to certain crimes, such as white-collar and extraordinary crimes.</w:t>
      </w:r>
    </w:p>
    <w:p w:rsidR="004B1F20" w:rsidRPr="00375CC0" w:rsidRDefault="00375CC0" w:rsidP="00375CC0">
      <w:pPr>
        <w:tabs>
          <w:tab w:val="left" w:pos="360"/>
        </w:tabs>
        <w:spacing w:after="120" w:line="240" w:lineRule="auto"/>
        <w:jc w:val="both"/>
        <w:rPr>
          <w:rFonts w:ascii="Book Antiqua" w:eastAsia="Arial Unicode MS" w:hAnsi="Book Antiqua" w:cstheme="majorHAnsi"/>
          <w:b/>
          <w:color w:val="000000" w:themeColor="text1"/>
          <w:sz w:val="24"/>
          <w:szCs w:val="24"/>
        </w:rPr>
      </w:pPr>
      <w:r w:rsidRPr="00375CC0">
        <w:rPr>
          <w:rFonts w:ascii="Book Antiqua" w:eastAsia="Arial Unicode MS" w:hAnsi="Book Antiqua" w:cstheme="majorHAnsi"/>
          <w:b/>
          <w:color w:val="000000" w:themeColor="text1"/>
          <w:sz w:val="24"/>
          <w:szCs w:val="24"/>
        </w:rPr>
        <w:t>3.3</w:t>
      </w:r>
      <w:r w:rsidRPr="00375CC0">
        <w:rPr>
          <w:rFonts w:ascii="Book Antiqua" w:eastAsia="Arial Unicode MS" w:hAnsi="Book Antiqua" w:cstheme="majorHAnsi"/>
          <w:b/>
          <w:color w:val="000000" w:themeColor="text1"/>
          <w:sz w:val="24"/>
          <w:szCs w:val="24"/>
        </w:rPr>
        <w:tab/>
        <w:t>Reverse Burden of Proof in Indonesian Criminal Law</w:t>
      </w:r>
    </w:p>
    <w:p w:rsidR="00375CC0" w:rsidRPr="00375CC0" w:rsidRDefault="00375CC0" w:rsidP="00375CC0">
      <w:pPr>
        <w:spacing w:after="120" w:line="240" w:lineRule="auto"/>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In simple terms, the reverse burden of proof system or theory is that the entire burden of proof (preparing witnesses, experts, letters, and instructions) is the defendant's obligation. However, this proof system is only applied to certain offenses. In Indonesia, it applies to the offense of corruption and money laundering. However, corruption offenses do not apply a complete reverse burden of proof system but a balanced probability of principles.</w:t>
      </w:r>
    </w:p>
    <w:p w:rsidR="00375CC0" w:rsidRPr="00375CC0" w:rsidRDefault="00375CC0" w:rsidP="00375CC0">
      <w:pPr>
        <w:spacing w:after="120" w:line="240" w:lineRule="auto"/>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lastRenderedPageBreak/>
        <w:t>Transferring the responsibility for the burden of proof to the defendant is often referred to as the reverse burden of proof (</w:t>
      </w:r>
      <w:proofErr w:type="spellStart"/>
      <w:r w:rsidRPr="006B65A2">
        <w:rPr>
          <w:rFonts w:ascii="Book Antiqua" w:hAnsi="Book Antiqua" w:cstheme="majorHAnsi"/>
          <w:i/>
          <w:color w:val="000000" w:themeColor="text1"/>
          <w:sz w:val="24"/>
          <w:szCs w:val="24"/>
        </w:rPr>
        <w:t>omkering</w:t>
      </w:r>
      <w:proofErr w:type="spellEnd"/>
      <w:r w:rsidRPr="006B65A2">
        <w:rPr>
          <w:rFonts w:ascii="Book Antiqua" w:hAnsi="Book Antiqua" w:cstheme="majorHAnsi"/>
          <w:i/>
          <w:color w:val="000000" w:themeColor="text1"/>
          <w:sz w:val="24"/>
          <w:szCs w:val="24"/>
        </w:rPr>
        <w:t xml:space="preserve"> van het </w:t>
      </w:r>
      <w:proofErr w:type="spellStart"/>
      <w:r w:rsidRPr="006B65A2">
        <w:rPr>
          <w:rFonts w:ascii="Book Antiqua" w:hAnsi="Book Antiqua" w:cstheme="majorHAnsi"/>
          <w:i/>
          <w:color w:val="000000" w:themeColor="text1"/>
          <w:sz w:val="24"/>
          <w:szCs w:val="24"/>
        </w:rPr>
        <w:t>bewijslast</w:t>
      </w:r>
      <w:proofErr w:type="spellEnd"/>
      <w:r w:rsidRPr="00375CC0">
        <w:rPr>
          <w:rFonts w:ascii="Book Antiqua" w:hAnsi="Book Antiqua" w:cstheme="majorHAnsi"/>
          <w:color w:val="000000" w:themeColor="text1"/>
          <w:sz w:val="24"/>
          <w:szCs w:val="24"/>
        </w:rPr>
        <w:t xml:space="preserve">). The reverse proof system is used for Anglo Saxon countries and aims to facilitate proof for "certain cases" or certain cases that are specific in nature. Thus, the burden of proof is limited to specific and difficult to prove cases. </w:t>
      </w:r>
      <w:proofErr w:type="gramStart"/>
      <w:r w:rsidRPr="00375CC0">
        <w:rPr>
          <w:rFonts w:ascii="Book Antiqua" w:hAnsi="Book Antiqua" w:cstheme="majorHAnsi"/>
          <w:color w:val="000000" w:themeColor="text1"/>
          <w:sz w:val="24"/>
          <w:szCs w:val="24"/>
        </w:rPr>
        <w:t>Due to the difficulty if the case, this system is adopted contrary to universal principles regarding the proof.</w:t>
      </w:r>
      <w:proofErr w:type="gramEnd"/>
      <w:r w:rsidR="00B63396">
        <w:rPr>
          <w:rStyle w:val="FootnoteReference"/>
          <w:rFonts w:ascii="Book Antiqua" w:hAnsi="Book Antiqua"/>
          <w:sz w:val="24"/>
          <w:szCs w:val="24"/>
        </w:rPr>
        <w:footnoteReference w:id="26"/>
      </w:r>
      <w:r w:rsidRPr="00375CC0">
        <w:rPr>
          <w:rFonts w:ascii="Book Antiqua" w:hAnsi="Book Antiqua" w:cstheme="majorHAnsi"/>
          <w:color w:val="000000" w:themeColor="text1"/>
          <w:sz w:val="24"/>
          <w:szCs w:val="24"/>
        </w:rPr>
        <w:t xml:space="preserve"> </w:t>
      </w:r>
    </w:p>
    <w:p w:rsidR="00375CC0" w:rsidRPr="00375CC0" w:rsidRDefault="00375CC0" w:rsidP="00375CC0">
      <w:pPr>
        <w:spacing w:after="120" w:line="240" w:lineRule="auto"/>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Some scholars equate the term reverse burden of proof and the shifting burden of proof. However, the two terms are different. The shifting burden of proof is defined as "shifting the burden of proof," and the reverse burden of proof is defined as “reversal of the burden of proof.” This proof system provides an opportunity for the defendant to prove that he is not guilty of committing a criminal offense of corruption. If the statement of a person or defendant is true, the judge can consider the information to benefit the defendant or can harm the defendant if the information is not true.</w:t>
      </w:r>
    </w:p>
    <w:p w:rsidR="00375CC0" w:rsidRPr="00375CC0" w:rsidRDefault="00375CC0" w:rsidP="00375CC0">
      <w:pPr>
        <w:spacing w:after="120" w:line="240" w:lineRule="auto"/>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 xml:space="preserve">From the theoretical aspect, there is the limited or balanced reverse burden of proof and absolute reverse burden of proof. The balance reverse proof system means that even though the defendant has proven </w:t>
      </w:r>
      <w:proofErr w:type="gramStart"/>
      <w:r w:rsidRPr="00375CC0">
        <w:rPr>
          <w:rFonts w:ascii="Book Antiqua" w:hAnsi="Book Antiqua" w:cstheme="majorHAnsi"/>
          <w:color w:val="000000" w:themeColor="text1"/>
          <w:sz w:val="24"/>
          <w:szCs w:val="24"/>
        </w:rPr>
        <w:t>himself</w:t>
      </w:r>
      <w:proofErr w:type="gramEnd"/>
      <w:r w:rsidRPr="00375CC0">
        <w:rPr>
          <w:rFonts w:ascii="Book Antiqua" w:hAnsi="Book Antiqua" w:cstheme="majorHAnsi"/>
          <w:color w:val="000000" w:themeColor="text1"/>
          <w:sz w:val="24"/>
          <w:szCs w:val="24"/>
        </w:rPr>
        <w:t xml:space="preserve"> innocent, the Public Prosecutor is obliged to prove the defendant’s guilt under certain conditions before the court. In a pure reverse burden of proof, the defendant has the right to prove that he is innocent, but if the defendant fails to prove it, the judge can impose a sentence on him. Seno </w:t>
      </w:r>
      <w:proofErr w:type="spellStart"/>
      <w:r w:rsidRPr="00375CC0">
        <w:rPr>
          <w:rFonts w:ascii="Book Antiqua" w:hAnsi="Book Antiqua" w:cstheme="majorHAnsi"/>
          <w:color w:val="000000" w:themeColor="text1"/>
          <w:sz w:val="24"/>
          <w:szCs w:val="24"/>
        </w:rPr>
        <w:t>Adji</w:t>
      </w:r>
      <w:proofErr w:type="spellEnd"/>
      <w:r w:rsidRPr="00375CC0">
        <w:rPr>
          <w:rFonts w:ascii="Book Antiqua" w:hAnsi="Book Antiqua" w:cstheme="majorHAnsi"/>
          <w:color w:val="000000" w:themeColor="text1"/>
          <w:sz w:val="24"/>
          <w:szCs w:val="24"/>
        </w:rPr>
        <w:t xml:space="preserve"> believed that a pure or absolute reverse burden of proof in the Indonesian legal system only exists in corruption offenses, specifically for the gratification and reporting of</w:t>
      </w:r>
      <w:r w:rsidR="009671ED">
        <w:rPr>
          <w:rFonts w:ascii="Book Antiqua" w:hAnsi="Book Antiqua" w:cstheme="majorHAnsi"/>
          <w:color w:val="000000" w:themeColor="text1"/>
          <w:sz w:val="24"/>
          <w:szCs w:val="24"/>
        </w:rPr>
        <w:t xml:space="preserve"> state administrators' assets.</w:t>
      </w:r>
      <w:r w:rsidR="00B63396">
        <w:rPr>
          <w:rStyle w:val="FootnoteReference"/>
          <w:rFonts w:ascii="Book Antiqua" w:hAnsi="Book Antiqua"/>
          <w:sz w:val="24"/>
          <w:szCs w:val="24"/>
        </w:rPr>
        <w:footnoteReference w:id="27"/>
      </w:r>
    </w:p>
    <w:p w:rsidR="00375CC0" w:rsidRPr="00375CC0" w:rsidRDefault="00375CC0" w:rsidP="00375CC0">
      <w:pPr>
        <w:spacing w:after="120" w:line="240" w:lineRule="auto"/>
        <w:jc w:val="both"/>
        <w:rPr>
          <w:rFonts w:ascii="Book Antiqua" w:hAnsi="Book Antiqua" w:cstheme="majorHAnsi"/>
          <w:color w:val="000000" w:themeColor="text1"/>
          <w:sz w:val="24"/>
          <w:szCs w:val="24"/>
        </w:rPr>
      </w:pPr>
      <w:proofErr w:type="spellStart"/>
      <w:r w:rsidRPr="00375CC0">
        <w:rPr>
          <w:rFonts w:ascii="Book Antiqua" w:hAnsi="Book Antiqua" w:cstheme="majorHAnsi"/>
          <w:color w:val="000000" w:themeColor="text1"/>
          <w:sz w:val="24"/>
          <w:szCs w:val="24"/>
        </w:rPr>
        <w:t>Shopian</w:t>
      </w:r>
      <w:proofErr w:type="spellEnd"/>
      <w:r w:rsidRPr="00375CC0">
        <w:rPr>
          <w:rFonts w:ascii="Book Antiqua" w:hAnsi="Book Antiqua" w:cstheme="majorHAnsi"/>
          <w:color w:val="000000" w:themeColor="text1"/>
          <w:sz w:val="24"/>
          <w:szCs w:val="24"/>
        </w:rPr>
        <w:t xml:space="preserve"> </w:t>
      </w:r>
      <w:proofErr w:type="spellStart"/>
      <w:r w:rsidRPr="00375CC0">
        <w:rPr>
          <w:rFonts w:ascii="Book Antiqua" w:hAnsi="Book Antiqua" w:cstheme="majorHAnsi"/>
          <w:color w:val="000000" w:themeColor="text1"/>
          <w:sz w:val="24"/>
          <w:szCs w:val="24"/>
        </w:rPr>
        <w:t>Kasim</w:t>
      </w:r>
      <w:proofErr w:type="spellEnd"/>
      <w:r w:rsidRPr="00375CC0">
        <w:rPr>
          <w:rFonts w:ascii="Book Antiqua" w:hAnsi="Book Antiqua" w:cstheme="majorHAnsi"/>
          <w:color w:val="000000" w:themeColor="text1"/>
          <w:sz w:val="24"/>
          <w:szCs w:val="24"/>
        </w:rPr>
        <w:t xml:space="preserve"> stated that reverse proof is when the public prosecutor only proves the defendant's assets and the assets of other people or institutions resulting from the defendant's unlawful acts. The defendant must prove whether the property belongs to the defendant and whether the property (if it belongs to him) is not from a crime or unlawful act or does not damage the country's e</w:t>
      </w:r>
      <w:r w:rsidR="009671ED">
        <w:rPr>
          <w:rFonts w:ascii="Book Antiqua" w:hAnsi="Book Antiqua" w:cstheme="majorHAnsi"/>
          <w:color w:val="000000" w:themeColor="text1"/>
          <w:sz w:val="24"/>
          <w:szCs w:val="24"/>
        </w:rPr>
        <w:t>conomy.</w:t>
      </w:r>
      <w:r w:rsidR="00B63396">
        <w:rPr>
          <w:rStyle w:val="FootnoteReference"/>
          <w:rFonts w:ascii="Book Antiqua" w:hAnsi="Book Antiqua"/>
          <w:color w:val="000000"/>
          <w:sz w:val="24"/>
          <w:szCs w:val="24"/>
          <w:lang w:val="sq-AL"/>
        </w:rPr>
        <w:footnoteReference w:id="28"/>
      </w:r>
      <w:r w:rsidRPr="00375CC0">
        <w:rPr>
          <w:rFonts w:ascii="Book Antiqua" w:hAnsi="Book Antiqua" w:cstheme="majorHAnsi"/>
          <w:color w:val="000000" w:themeColor="text1"/>
          <w:sz w:val="24"/>
          <w:szCs w:val="24"/>
        </w:rPr>
        <w:t xml:space="preserve"> So, the most important job of the prosecutor is to register the wealth of the defendant, who by law is declared to be the corrupted property. In contrast, the defendant must prove that the property is not from corruption.</w:t>
      </w:r>
    </w:p>
    <w:p w:rsidR="00375CC0" w:rsidRPr="00375CC0" w:rsidRDefault="00375CC0" w:rsidP="00375CC0">
      <w:pPr>
        <w:spacing w:after="120" w:line="240" w:lineRule="auto"/>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 xml:space="preserve">In addition, </w:t>
      </w:r>
      <w:proofErr w:type="spellStart"/>
      <w:r w:rsidRPr="00375CC0">
        <w:rPr>
          <w:rFonts w:ascii="Book Antiqua" w:hAnsi="Book Antiqua" w:cstheme="majorHAnsi"/>
          <w:color w:val="000000" w:themeColor="text1"/>
          <w:sz w:val="24"/>
          <w:szCs w:val="24"/>
        </w:rPr>
        <w:t>Luhut</w:t>
      </w:r>
      <w:proofErr w:type="spellEnd"/>
      <w:r w:rsidRPr="00375CC0">
        <w:rPr>
          <w:rFonts w:ascii="Book Antiqua" w:hAnsi="Book Antiqua" w:cstheme="majorHAnsi"/>
          <w:color w:val="000000" w:themeColor="text1"/>
          <w:sz w:val="24"/>
          <w:szCs w:val="24"/>
        </w:rPr>
        <w:t xml:space="preserve"> MP </w:t>
      </w:r>
      <w:proofErr w:type="spellStart"/>
      <w:r w:rsidRPr="00375CC0">
        <w:rPr>
          <w:rFonts w:ascii="Book Antiqua" w:hAnsi="Book Antiqua" w:cstheme="majorHAnsi"/>
          <w:color w:val="000000" w:themeColor="text1"/>
          <w:sz w:val="24"/>
          <w:szCs w:val="24"/>
        </w:rPr>
        <w:t>Pangaribuan</w:t>
      </w:r>
      <w:proofErr w:type="spellEnd"/>
      <w:r w:rsidRPr="00375CC0">
        <w:rPr>
          <w:rFonts w:ascii="Book Antiqua" w:hAnsi="Book Antiqua" w:cstheme="majorHAnsi"/>
          <w:color w:val="000000" w:themeColor="text1"/>
          <w:sz w:val="24"/>
          <w:szCs w:val="24"/>
        </w:rPr>
        <w:t xml:space="preserve"> argued that reverse proof means that the entire burden of proof (preparing witnesses, letters, and experts) is the responsibility of the defendant. It means that the Public Prosecutor just charges someone who, for example, based on the prosecutor's judgment, is too rich considering his monthly salary. He will be found guilty of corruption and punishe</w:t>
      </w:r>
      <w:r w:rsidR="00785A79">
        <w:rPr>
          <w:rFonts w:ascii="Book Antiqua" w:hAnsi="Book Antiqua" w:cstheme="majorHAnsi"/>
          <w:color w:val="000000" w:themeColor="text1"/>
          <w:sz w:val="24"/>
          <w:szCs w:val="24"/>
        </w:rPr>
        <w:t>d if he cannot prove otherwise.</w:t>
      </w:r>
      <w:r w:rsidR="00B63396">
        <w:rPr>
          <w:rStyle w:val="FootnoteReference"/>
          <w:rFonts w:ascii="Book Antiqua" w:hAnsi="Book Antiqua"/>
          <w:color w:val="000000"/>
          <w:sz w:val="24"/>
          <w:szCs w:val="24"/>
          <w:lang w:val="sq-AL"/>
        </w:rPr>
        <w:footnoteReference w:id="29"/>
      </w:r>
      <w:r w:rsidRPr="00375CC0">
        <w:rPr>
          <w:rFonts w:ascii="Book Antiqua" w:hAnsi="Book Antiqua" w:cstheme="majorHAnsi"/>
          <w:color w:val="000000" w:themeColor="text1"/>
          <w:sz w:val="24"/>
          <w:szCs w:val="24"/>
        </w:rPr>
        <w:t xml:space="preserve"> The reverse proof principle is almost similar to the procedure applied in the UK and Malaysia since 1961, called the prevention of corruption act, following the principle of presumption of corruption, meaning that the person accused of corruption is considered that he had been proven guilty of committing a crime.</w:t>
      </w:r>
    </w:p>
    <w:p w:rsidR="00375CC0" w:rsidRPr="00375CC0" w:rsidRDefault="00375CC0" w:rsidP="00375CC0">
      <w:pPr>
        <w:spacing w:after="120" w:line="240" w:lineRule="auto"/>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 xml:space="preserve">Based on the previous description, in the reverse proof system, the most important task of the public prosecutor is to register the defendant's assets that, by law, are declared corrupt assets or proceeds from money laundering. The defendant must prove that the assets are </w:t>
      </w:r>
      <w:r w:rsidRPr="00375CC0">
        <w:rPr>
          <w:rFonts w:ascii="Book Antiqua" w:hAnsi="Book Antiqua" w:cstheme="majorHAnsi"/>
          <w:color w:val="000000" w:themeColor="text1"/>
          <w:sz w:val="24"/>
          <w:szCs w:val="24"/>
        </w:rPr>
        <w:lastRenderedPageBreak/>
        <w:t>the property of a crime; if the defendant fails to prove, it can be considered that there is strong evidence that the defendant has c</w:t>
      </w:r>
      <w:r w:rsidR="009671ED">
        <w:rPr>
          <w:rFonts w:ascii="Book Antiqua" w:hAnsi="Book Antiqua" w:cstheme="majorHAnsi"/>
          <w:color w:val="000000" w:themeColor="text1"/>
          <w:sz w:val="24"/>
          <w:szCs w:val="24"/>
        </w:rPr>
        <w:t>ommitted a corruption offense.</w:t>
      </w:r>
      <w:r w:rsidR="00B63396">
        <w:rPr>
          <w:rStyle w:val="FootnoteReference"/>
          <w:rFonts w:ascii="Book Antiqua" w:hAnsi="Book Antiqua"/>
          <w:color w:val="000000"/>
          <w:sz w:val="24"/>
          <w:szCs w:val="24"/>
          <w:lang w:val="sq-AL"/>
        </w:rPr>
        <w:footnoteReference w:id="30"/>
      </w:r>
      <w:r w:rsidR="009671ED">
        <w:rPr>
          <w:rFonts w:ascii="Book Antiqua" w:hAnsi="Book Antiqua" w:cstheme="majorHAnsi"/>
          <w:color w:val="000000" w:themeColor="text1"/>
          <w:sz w:val="24"/>
          <w:szCs w:val="24"/>
        </w:rPr>
        <w:t xml:space="preserve"> </w:t>
      </w:r>
      <w:r w:rsidRPr="00375CC0">
        <w:rPr>
          <w:rFonts w:ascii="Book Antiqua" w:hAnsi="Book Antiqua" w:cstheme="majorHAnsi"/>
          <w:color w:val="000000" w:themeColor="text1"/>
          <w:sz w:val="24"/>
          <w:szCs w:val="24"/>
        </w:rPr>
        <w:t>Thus, if the reverse proof system is implemented, investigators, without legal evidence, can bring the suspect of corruption to court. In court, the defendant must prove that his wealth does not originate from corruption. Thus, the task of the prosecutor as a public prosecutor is easier.</w:t>
      </w:r>
    </w:p>
    <w:p w:rsidR="00375CC0" w:rsidRPr="00375CC0" w:rsidRDefault="00375CC0" w:rsidP="00375CC0">
      <w:pPr>
        <w:spacing w:after="120" w:line="240" w:lineRule="auto"/>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The reverse proof system is also applied to money laundering crimes, as regulated in Law number 25 of 2003, concerning Money Laundering offense. Article 35 stipulates that for a court hearing, the defendant must prove that his assets are not the result of a criminal offense. Article 35 also stated that the defendant is allowed to prove that his assets do not originate from a criminal offense. This provision is known as the principle of reverse proof.</w:t>
      </w:r>
    </w:p>
    <w:p w:rsidR="00375CC0" w:rsidRPr="00375CC0" w:rsidRDefault="00375CC0" w:rsidP="00375CC0">
      <w:pPr>
        <w:spacing w:after="120" w:line="240" w:lineRule="auto"/>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Furthermore, Law Number 31 of 1999, in conjunction with Law Number 20 of 2001 concerning the Eradication of Criminal offense of corruption, also explicitly regulates the implementation of a limited or balanced reverse proof system, which, if applied seriously, is good enough to eradicate corruption. The application of the proof system is strengthened by the existence of a wealth reporting system regulated in Government Regulation number 65 of 1999 concerning Procedures for Examination of State Administration Assets as the implementation of Law number 28 of 1999 concerning the Implementation of a Clean and Free State from Corruption, Collusion and Nepotism.</w:t>
      </w:r>
    </w:p>
    <w:p w:rsidR="00375CC0" w:rsidRPr="00375CC0" w:rsidRDefault="00375CC0" w:rsidP="00375CC0">
      <w:pPr>
        <w:spacing w:after="120" w:line="240" w:lineRule="auto"/>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Article 37 of Law Number 31 of 1999, in conjunction with Law Number 20 of 2001, stipulates that:</w:t>
      </w:r>
    </w:p>
    <w:p w:rsidR="00375CC0" w:rsidRPr="00375CC0" w:rsidRDefault="00375CC0" w:rsidP="00375CC0">
      <w:pPr>
        <w:pStyle w:val="ListParagraph"/>
        <w:numPr>
          <w:ilvl w:val="1"/>
          <w:numId w:val="23"/>
        </w:numPr>
        <w:spacing w:after="120" w:line="240" w:lineRule="auto"/>
        <w:ind w:left="360"/>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The defendant has the right to prove that he has not committed a criminal offense of corruption;</w:t>
      </w:r>
    </w:p>
    <w:p w:rsidR="00375CC0" w:rsidRPr="00375CC0" w:rsidRDefault="00375CC0" w:rsidP="00375CC0">
      <w:pPr>
        <w:pStyle w:val="ListParagraph"/>
        <w:numPr>
          <w:ilvl w:val="1"/>
          <w:numId w:val="23"/>
        </w:numPr>
        <w:spacing w:after="120" w:line="240" w:lineRule="auto"/>
        <w:ind w:left="360"/>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If the defendant can prove that he has not committed a criminal offense of corruption, then the information is used to his advantage;</w:t>
      </w:r>
    </w:p>
    <w:p w:rsidR="00375CC0" w:rsidRPr="00375CC0" w:rsidRDefault="00375CC0" w:rsidP="00375CC0">
      <w:pPr>
        <w:pStyle w:val="ListParagraph"/>
        <w:numPr>
          <w:ilvl w:val="1"/>
          <w:numId w:val="23"/>
        </w:numPr>
        <w:spacing w:after="120" w:line="240" w:lineRule="auto"/>
        <w:ind w:left="360"/>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The defendant must provide information regarding all his assets and the assets of the spouse, children, and the property of any person or corporation suspected of related to the case;</w:t>
      </w:r>
    </w:p>
    <w:p w:rsidR="00375CC0" w:rsidRPr="00375CC0" w:rsidRDefault="00375CC0" w:rsidP="00375CC0">
      <w:pPr>
        <w:pStyle w:val="ListParagraph"/>
        <w:numPr>
          <w:ilvl w:val="1"/>
          <w:numId w:val="23"/>
        </w:numPr>
        <w:spacing w:after="120" w:line="240" w:lineRule="auto"/>
        <w:ind w:left="360"/>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If the defendant cannot prove that the wealth is not balanced with his income or the source of his additional wealth, the information can be used to expand the items of evidence that the defendant has committed a criminal offense of corruption;</w:t>
      </w:r>
    </w:p>
    <w:p w:rsidR="00375CC0" w:rsidRPr="00375CC0" w:rsidRDefault="00375CC0" w:rsidP="00375CC0">
      <w:pPr>
        <w:pStyle w:val="ListParagraph"/>
        <w:numPr>
          <w:ilvl w:val="1"/>
          <w:numId w:val="23"/>
        </w:numPr>
        <w:spacing w:after="120" w:line="240" w:lineRule="auto"/>
        <w:ind w:left="360"/>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In the circumstances as referred to in paragraphs (1), (2), (3), and (4), the public prosecutor is obliged to prove his indictment.</w:t>
      </w:r>
    </w:p>
    <w:p w:rsidR="00375CC0" w:rsidRPr="00375CC0" w:rsidRDefault="00375CC0" w:rsidP="00375CC0">
      <w:pPr>
        <w:spacing w:after="120" w:line="240" w:lineRule="auto"/>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The above provisions were further strengthened in the amendment to the corruption law in 37A of Law no. 20 of 2001 concerning the Eradication of Corruption offense, which stipulates that:</w:t>
      </w:r>
    </w:p>
    <w:p w:rsidR="00375CC0" w:rsidRPr="00375CC0" w:rsidRDefault="00375CC0" w:rsidP="00375CC0">
      <w:pPr>
        <w:pStyle w:val="ListParagraph"/>
        <w:numPr>
          <w:ilvl w:val="1"/>
          <w:numId w:val="25"/>
        </w:numPr>
        <w:spacing w:after="120" w:line="240" w:lineRule="auto"/>
        <w:ind w:left="360" w:hanging="360"/>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The defendant must provide a statement of all his assets and the property of the spouse, children, and the property of any person or corporation suspected of having a relationship with the case;</w:t>
      </w:r>
    </w:p>
    <w:p w:rsidR="00375CC0" w:rsidRPr="00375CC0" w:rsidRDefault="00375CC0" w:rsidP="00375CC0">
      <w:pPr>
        <w:pStyle w:val="ListParagraph"/>
        <w:numPr>
          <w:ilvl w:val="1"/>
          <w:numId w:val="25"/>
        </w:numPr>
        <w:spacing w:after="120" w:line="240" w:lineRule="auto"/>
        <w:ind w:left="360" w:hanging="360"/>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If the defendant cannot prove that the wealth is not balanced with his income or the source of additional wealth, the information referred to in paragraph (1) is used to strengthen the items of evidence that the defendant has committed a criminal offense of corruption;</w:t>
      </w:r>
    </w:p>
    <w:p w:rsidR="00375CC0" w:rsidRPr="00375CC0" w:rsidRDefault="00375CC0" w:rsidP="00375CC0">
      <w:pPr>
        <w:pStyle w:val="ListParagraph"/>
        <w:numPr>
          <w:ilvl w:val="1"/>
          <w:numId w:val="25"/>
        </w:numPr>
        <w:spacing w:after="120" w:line="240" w:lineRule="auto"/>
        <w:ind w:left="360" w:hanging="360"/>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lastRenderedPageBreak/>
        <w:t>The provisions as referred to in paragraphs (1) and (1) constitute a criminal offense or the main case as referred to in Articles 2, 3, 4, 13, 14, 15, and 16 of Law Number 31 1999 concerning the Eradication of Criminal offense of Corruption and Articles 5 to 12 of this law means that the Public Prosecutor is still obliged to prove the charges.</w:t>
      </w:r>
    </w:p>
    <w:p w:rsidR="00375CC0" w:rsidRPr="00375CC0" w:rsidRDefault="00375CC0" w:rsidP="00375CC0">
      <w:pPr>
        <w:spacing w:after="120" w:line="240" w:lineRule="auto"/>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The legal politics of the legislation policy concerning the reverse burden of proof is also regulated in Article 38B paragraph (1) of Law Number 20 of 2001, stipulating that "everyone accused of committing one of the criminal offenses of corruption as referred to in Article 2, 3, 4, 13, 14, 15 and 16 of Law Number 31 of 1999 concerning the Eradication of Criminal offenses of Corruption and Article 5 to 12 of this Law, are required to prove otherwise against his property which has not been charged but is also suspected of originating from corruption".</w:t>
      </w:r>
    </w:p>
    <w:p w:rsidR="00375CC0" w:rsidRPr="00375CC0" w:rsidRDefault="00375CC0" w:rsidP="00375CC0">
      <w:pPr>
        <w:spacing w:after="120" w:line="240" w:lineRule="auto"/>
        <w:jc w:val="both"/>
        <w:rPr>
          <w:rFonts w:ascii="Book Antiqua" w:hAnsi="Book Antiqua" w:cstheme="majorHAnsi"/>
          <w:color w:val="000000" w:themeColor="text1"/>
          <w:sz w:val="24"/>
          <w:szCs w:val="24"/>
        </w:rPr>
      </w:pPr>
      <w:r w:rsidRPr="00375CC0">
        <w:rPr>
          <w:rFonts w:ascii="Book Antiqua" w:hAnsi="Book Antiqua" w:cstheme="majorHAnsi"/>
          <w:color w:val="000000" w:themeColor="text1"/>
          <w:sz w:val="24"/>
          <w:szCs w:val="24"/>
        </w:rPr>
        <w:t xml:space="preserve">The provisions of this Article are a reverse burden of proof that is specifically focused on the confiscation of property strongly suspected of originating from corruption. However, this confiscation of assets does not apply to the provisions of Article 12B paragraph (1) letter </w:t>
      </w:r>
      <w:proofErr w:type="gramStart"/>
      <w:r w:rsidRPr="00375CC0">
        <w:rPr>
          <w:rFonts w:ascii="Book Antiqua" w:hAnsi="Book Antiqua" w:cstheme="majorHAnsi"/>
          <w:color w:val="000000" w:themeColor="text1"/>
          <w:sz w:val="24"/>
          <w:szCs w:val="24"/>
        </w:rPr>
        <w:t>a of</w:t>
      </w:r>
      <w:proofErr w:type="gramEnd"/>
      <w:r w:rsidRPr="00375CC0">
        <w:rPr>
          <w:rFonts w:ascii="Book Antiqua" w:hAnsi="Book Antiqua" w:cstheme="majorHAnsi"/>
          <w:color w:val="000000" w:themeColor="text1"/>
          <w:sz w:val="24"/>
          <w:szCs w:val="24"/>
        </w:rPr>
        <w:t xml:space="preserve"> Law Number 20 of 2001, but to perpetrators charged with a principal crime. As stipulated in Law Number 20 of 2001, the reverse burden of proof can be described as the guilt of people strongly suspected of committing a criminal offense of corruption as stipulated in Article 12B and Article 37 of Law Number 20 of 2001.</w:t>
      </w:r>
    </w:p>
    <w:p w:rsidR="004B1F20" w:rsidRPr="007C2FFA" w:rsidRDefault="00375CC0" w:rsidP="00375CC0">
      <w:pPr>
        <w:spacing w:after="120" w:line="240" w:lineRule="auto"/>
        <w:jc w:val="both"/>
        <w:rPr>
          <w:rFonts w:ascii="Book Antiqua" w:eastAsia="Arial Unicode MS" w:hAnsi="Book Antiqua" w:cstheme="majorHAnsi"/>
          <w:b/>
          <w:color w:val="000000" w:themeColor="text1"/>
          <w:sz w:val="24"/>
          <w:szCs w:val="24"/>
        </w:rPr>
      </w:pPr>
      <w:r w:rsidRPr="00375CC0">
        <w:rPr>
          <w:rFonts w:ascii="Book Antiqua" w:hAnsi="Book Antiqua" w:cstheme="majorHAnsi"/>
          <w:color w:val="000000" w:themeColor="text1"/>
          <w:sz w:val="24"/>
          <w:szCs w:val="24"/>
        </w:rPr>
        <w:t>The ownership of the assets of the perpetrators strongly suspected of the corruption result is regulated in the provisions of Articles 37A and 38B, paragraph (2) of Law Number 20 of 2001. In short, the legal politics of legislation policy against corruption offenses is aimed at the offenses of the perpetrators and the property of perpetrators suspected of corruption. If analyzed carefully, the Indonesian legal politics regarding the legislative policy on the reverse burden of proof, especially the provisions of Article 12B of Law Number 20 of 2001, is controversial or can even be said to be a legislative policy error in formulating norms for the reverse burden of proof in the offense of bribery or gratification studied from the perspective of criminal law.</w:t>
      </w:r>
    </w:p>
    <w:p w:rsidR="004B1F20" w:rsidRPr="00EE6288" w:rsidRDefault="00375CC0" w:rsidP="00375CC0">
      <w:pPr>
        <w:pStyle w:val="ListParagraph"/>
        <w:numPr>
          <w:ilvl w:val="1"/>
          <w:numId w:val="26"/>
        </w:numPr>
        <w:spacing w:after="120" w:line="240" w:lineRule="auto"/>
        <w:ind w:left="360"/>
        <w:contextualSpacing w:val="0"/>
        <w:jc w:val="both"/>
        <w:rPr>
          <w:rFonts w:ascii="Book Antiqua" w:hAnsi="Book Antiqua"/>
          <w:b/>
          <w:sz w:val="24"/>
          <w:szCs w:val="24"/>
        </w:rPr>
      </w:pPr>
      <w:r w:rsidRPr="00375CC0">
        <w:rPr>
          <w:rFonts w:ascii="Book Antiqua" w:hAnsi="Book Antiqua" w:cstheme="majorHAnsi"/>
          <w:b/>
          <w:color w:val="000000" w:themeColor="text1"/>
          <w:sz w:val="24"/>
          <w:szCs w:val="24"/>
          <w:lang w:val="id-ID"/>
        </w:rPr>
        <w:t>Reverse Proof in Islamic Law</w:t>
      </w:r>
      <w:r w:rsidR="004B1F20" w:rsidRPr="00EE6288">
        <w:rPr>
          <w:rFonts w:ascii="Book Antiqua" w:hAnsi="Book Antiqua"/>
          <w:b/>
          <w:sz w:val="24"/>
          <w:szCs w:val="24"/>
        </w:rPr>
        <w:t xml:space="preserve"> </w:t>
      </w:r>
    </w:p>
    <w:p w:rsidR="006B65A2" w:rsidRPr="006B65A2" w:rsidRDefault="006B65A2" w:rsidP="006B65A2">
      <w:pPr>
        <w:spacing w:after="120" w:line="240" w:lineRule="auto"/>
        <w:jc w:val="both"/>
        <w:rPr>
          <w:rFonts w:ascii="Book Antiqua" w:hAnsi="Book Antiqua" w:cstheme="majorHAnsi"/>
          <w:color w:val="000000" w:themeColor="text1"/>
          <w:sz w:val="24"/>
          <w:szCs w:val="24"/>
        </w:rPr>
      </w:pPr>
      <w:r w:rsidRPr="006B65A2">
        <w:rPr>
          <w:rFonts w:ascii="Book Antiqua" w:hAnsi="Book Antiqua" w:cstheme="majorHAnsi"/>
          <w:color w:val="000000" w:themeColor="text1"/>
          <w:sz w:val="24"/>
          <w:szCs w:val="24"/>
        </w:rPr>
        <w:t>In Islamic law, a person will be responsible for proving an indictment (</w:t>
      </w:r>
      <w:proofErr w:type="spellStart"/>
      <w:r w:rsidRPr="00761299">
        <w:rPr>
          <w:rFonts w:ascii="Book Antiqua" w:hAnsi="Book Antiqua" w:cstheme="majorHAnsi"/>
          <w:i/>
          <w:color w:val="000000" w:themeColor="text1"/>
          <w:sz w:val="24"/>
          <w:szCs w:val="24"/>
        </w:rPr>
        <w:t>Mudda'i</w:t>
      </w:r>
      <w:proofErr w:type="spellEnd"/>
      <w:r w:rsidRPr="006B65A2">
        <w:rPr>
          <w:rFonts w:ascii="Book Antiqua" w:hAnsi="Book Antiqua" w:cstheme="majorHAnsi"/>
          <w:color w:val="000000" w:themeColor="text1"/>
          <w:sz w:val="24"/>
          <w:szCs w:val="24"/>
        </w:rPr>
        <w:t xml:space="preserve">) he has made. In a hadith of Prophet Muhammad PBUH, it is stated, "Proof is an obligation for the Plaintiff, </w:t>
      </w:r>
      <w:proofErr w:type="gramStart"/>
      <w:r w:rsidRPr="006B65A2">
        <w:rPr>
          <w:rFonts w:ascii="Book Antiqua" w:hAnsi="Book Antiqua" w:cstheme="majorHAnsi"/>
          <w:color w:val="000000" w:themeColor="text1"/>
          <w:sz w:val="24"/>
          <w:szCs w:val="24"/>
        </w:rPr>
        <w:t>Oath</w:t>
      </w:r>
      <w:proofErr w:type="gramEnd"/>
      <w:r w:rsidRPr="006B65A2">
        <w:rPr>
          <w:rFonts w:ascii="Book Antiqua" w:hAnsi="Book Antiqua" w:cstheme="majorHAnsi"/>
          <w:color w:val="000000" w:themeColor="text1"/>
          <w:sz w:val="24"/>
          <w:szCs w:val="24"/>
        </w:rPr>
        <w:t xml:space="preserve"> is an obligation for the defendant (Narrated by al-</w:t>
      </w:r>
      <w:proofErr w:type="spellStart"/>
      <w:r w:rsidRPr="006B65A2">
        <w:rPr>
          <w:rFonts w:ascii="Book Antiqua" w:hAnsi="Book Antiqua" w:cstheme="majorHAnsi"/>
          <w:color w:val="000000" w:themeColor="text1"/>
          <w:sz w:val="24"/>
          <w:szCs w:val="24"/>
        </w:rPr>
        <w:t>Turmuzi</w:t>
      </w:r>
      <w:proofErr w:type="spellEnd"/>
      <w:r w:rsidRPr="006B65A2">
        <w:rPr>
          <w:rFonts w:ascii="Book Antiqua" w:hAnsi="Book Antiqua" w:cstheme="majorHAnsi"/>
          <w:color w:val="000000" w:themeColor="text1"/>
          <w:sz w:val="24"/>
          <w:szCs w:val="24"/>
        </w:rPr>
        <w:t>). Based on this hadith, it is obligatory for the person accusing another person to prove the truth of his claim. However, it does not mean that the defendant cannot prove his innocence. It is done to avoid doubt because the proof system in Islam is based on the principle of clarity and avoiding ambiguity.</w:t>
      </w:r>
    </w:p>
    <w:p w:rsidR="006B65A2" w:rsidRPr="006B65A2" w:rsidRDefault="006B65A2" w:rsidP="006B65A2">
      <w:pPr>
        <w:spacing w:after="120" w:line="240" w:lineRule="auto"/>
        <w:jc w:val="both"/>
        <w:rPr>
          <w:rFonts w:ascii="Book Antiqua" w:hAnsi="Book Antiqua" w:cstheme="majorHAnsi"/>
          <w:color w:val="000000" w:themeColor="text1"/>
          <w:sz w:val="24"/>
          <w:szCs w:val="24"/>
        </w:rPr>
      </w:pPr>
      <w:r w:rsidRPr="006B65A2">
        <w:rPr>
          <w:rFonts w:ascii="Book Antiqua" w:hAnsi="Book Antiqua" w:cstheme="majorHAnsi"/>
          <w:color w:val="000000" w:themeColor="text1"/>
          <w:sz w:val="24"/>
          <w:szCs w:val="24"/>
        </w:rPr>
        <w:t xml:space="preserve">The Prophet Muhammad PBUH said, "When two disputing parties sit in front of you, do not ever decide before you hear (information) from the other party (second party) as you hear (information) from the first party because it will further clarify the judicial process that you hold (Narrated by Ahmad, Abu </w:t>
      </w:r>
      <w:proofErr w:type="spellStart"/>
      <w:r w:rsidRPr="006B65A2">
        <w:rPr>
          <w:rFonts w:ascii="Book Antiqua" w:hAnsi="Book Antiqua" w:cstheme="majorHAnsi"/>
          <w:color w:val="000000" w:themeColor="text1"/>
          <w:sz w:val="24"/>
          <w:szCs w:val="24"/>
        </w:rPr>
        <w:t>Daud</w:t>
      </w:r>
      <w:proofErr w:type="spellEnd"/>
      <w:r w:rsidRPr="006B65A2">
        <w:rPr>
          <w:rFonts w:ascii="Book Antiqua" w:hAnsi="Book Antiqua" w:cstheme="majorHAnsi"/>
          <w:color w:val="000000" w:themeColor="text1"/>
          <w:sz w:val="24"/>
          <w:szCs w:val="24"/>
        </w:rPr>
        <w:t xml:space="preserve">, and </w:t>
      </w:r>
      <w:proofErr w:type="spellStart"/>
      <w:r w:rsidRPr="006B65A2">
        <w:rPr>
          <w:rFonts w:ascii="Book Antiqua" w:hAnsi="Book Antiqua" w:cstheme="majorHAnsi"/>
          <w:color w:val="000000" w:themeColor="text1"/>
          <w:sz w:val="24"/>
          <w:szCs w:val="24"/>
        </w:rPr>
        <w:t>Turmizi</w:t>
      </w:r>
      <w:proofErr w:type="spellEnd"/>
      <w:r w:rsidRPr="006B65A2">
        <w:rPr>
          <w:rFonts w:ascii="Book Antiqua" w:hAnsi="Book Antiqua" w:cstheme="majorHAnsi"/>
          <w:color w:val="000000" w:themeColor="text1"/>
          <w:sz w:val="24"/>
          <w:szCs w:val="24"/>
        </w:rPr>
        <w:t>). The hadith indicates that reverse proof can also be applied in Islam because there is no limit to the testimony in the process of proving. The testimony must be from both parties. It is intended to achieve clarity in a case.</w:t>
      </w:r>
    </w:p>
    <w:p w:rsidR="006B65A2" w:rsidRPr="006B65A2" w:rsidRDefault="006B65A2" w:rsidP="006B65A2">
      <w:pPr>
        <w:spacing w:after="120" w:line="240" w:lineRule="auto"/>
        <w:jc w:val="both"/>
        <w:rPr>
          <w:rFonts w:ascii="Book Antiqua" w:hAnsi="Book Antiqua" w:cstheme="majorHAnsi"/>
          <w:color w:val="000000" w:themeColor="text1"/>
          <w:sz w:val="24"/>
          <w:szCs w:val="24"/>
        </w:rPr>
      </w:pPr>
      <w:r w:rsidRPr="006B65A2">
        <w:rPr>
          <w:rFonts w:ascii="Book Antiqua" w:hAnsi="Book Antiqua" w:cstheme="majorHAnsi"/>
          <w:color w:val="000000" w:themeColor="text1"/>
          <w:sz w:val="24"/>
          <w:szCs w:val="24"/>
        </w:rPr>
        <w:t xml:space="preserve">In Islamic law, two approaches are proposed by </w:t>
      </w:r>
      <w:r w:rsidRPr="00761299">
        <w:rPr>
          <w:rFonts w:ascii="Book Antiqua" w:hAnsi="Book Antiqua" w:cstheme="majorHAnsi"/>
          <w:i/>
          <w:color w:val="000000" w:themeColor="text1"/>
          <w:sz w:val="24"/>
          <w:szCs w:val="24"/>
        </w:rPr>
        <w:t>al-</w:t>
      </w:r>
      <w:proofErr w:type="spellStart"/>
      <w:r w:rsidRPr="00761299">
        <w:rPr>
          <w:rFonts w:ascii="Book Antiqua" w:hAnsi="Book Antiqua" w:cstheme="majorHAnsi"/>
          <w:i/>
          <w:color w:val="000000" w:themeColor="text1"/>
          <w:sz w:val="24"/>
          <w:szCs w:val="24"/>
        </w:rPr>
        <w:t>Madzhaib</w:t>
      </w:r>
      <w:proofErr w:type="spellEnd"/>
      <w:r w:rsidRPr="00761299">
        <w:rPr>
          <w:rFonts w:ascii="Book Antiqua" w:hAnsi="Book Antiqua" w:cstheme="majorHAnsi"/>
          <w:i/>
          <w:color w:val="000000" w:themeColor="text1"/>
          <w:sz w:val="24"/>
          <w:szCs w:val="24"/>
        </w:rPr>
        <w:t xml:space="preserve"> al-</w:t>
      </w:r>
      <w:proofErr w:type="spellStart"/>
      <w:r w:rsidRPr="00761299">
        <w:rPr>
          <w:rFonts w:ascii="Book Antiqua" w:hAnsi="Book Antiqua" w:cstheme="majorHAnsi"/>
          <w:i/>
          <w:color w:val="000000" w:themeColor="text1"/>
          <w:sz w:val="24"/>
          <w:szCs w:val="24"/>
        </w:rPr>
        <w:t>Tsalatsah</w:t>
      </w:r>
      <w:proofErr w:type="spellEnd"/>
      <w:r w:rsidRPr="006B65A2">
        <w:rPr>
          <w:rFonts w:ascii="Book Antiqua" w:hAnsi="Book Antiqua" w:cstheme="majorHAnsi"/>
          <w:color w:val="000000" w:themeColor="text1"/>
          <w:sz w:val="24"/>
          <w:szCs w:val="24"/>
        </w:rPr>
        <w:t xml:space="preserve"> in discussing the application of the reverse proof system, namely the </w:t>
      </w:r>
      <w:r w:rsidRPr="00761299">
        <w:rPr>
          <w:rFonts w:ascii="Book Antiqua" w:hAnsi="Book Antiqua" w:cstheme="majorHAnsi"/>
          <w:i/>
          <w:color w:val="000000" w:themeColor="text1"/>
          <w:sz w:val="24"/>
          <w:szCs w:val="24"/>
        </w:rPr>
        <w:t>al-</w:t>
      </w:r>
      <w:proofErr w:type="spellStart"/>
      <w:r w:rsidRPr="00761299">
        <w:rPr>
          <w:rFonts w:ascii="Book Antiqua" w:hAnsi="Book Antiqua" w:cstheme="majorHAnsi"/>
          <w:i/>
          <w:color w:val="000000" w:themeColor="text1"/>
          <w:sz w:val="24"/>
          <w:szCs w:val="24"/>
        </w:rPr>
        <w:t>qadha</w:t>
      </w:r>
      <w:proofErr w:type="spellEnd"/>
      <w:r w:rsidRPr="006B65A2">
        <w:rPr>
          <w:rFonts w:ascii="Book Antiqua" w:hAnsi="Book Antiqua" w:cstheme="majorHAnsi"/>
          <w:color w:val="000000" w:themeColor="text1"/>
          <w:sz w:val="24"/>
          <w:szCs w:val="24"/>
        </w:rPr>
        <w:t xml:space="preserve"> '</w:t>
      </w:r>
      <w:proofErr w:type="spellStart"/>
      <w:r w:rsidRPr="00761299">
        <w:rPr>
          <w:rFonts w:ascii="Book Antiqua" w:hAnsi="Book Antiqua" w:cstheme="majorHAnsi"/>
          <w:i/>
          <w:color w:val="000000" w:themeColor="text1"/>
          <w:sz w:val="24"/>
          <w:szCs w:val="24"/>
        </w:rPr>
        <w:t>bima</w:t>
      </w:r>
      <w:proofErr w:type="spellEnd"/>
      <w:r w:rsidRPr="00761299">
        <w:rPr>
          <w:rFonts w:ascii="Book Antiqua" w:hAnsi="Book Antiqua" w:cstheme="majorHAnsi"/>
          <w:i/>
          <w:color w:val="000000" w:themeColor="text1"/>
          <w:sz w:val="24"/>
          <w:szCs w:val="24"/>
        </w:rPr>
        <w:t xml:space="preserve"> </w:t>
      </w:r>
      <w:proofErr w:type="spellStart"/>
      <w:r w:rsidRPr="00761299">
        <w:rPr>
          <w:rFonts w:ascii="Book Antiqua" w:hAnsi="Book Antiqua" w:cstheme="majorHAnsi"/>
          <w:i/>
          <w:color w:val="000000" w:themeColor="text1"/>
          <w:sz w:val="24"/>
          <w:szCs w:val="24"/>
        </w:rPr>
        <w:t>yazh-haru</w:t>
      </w:r>
      <w:proofErr w:type="spellEnd"/>
      <w:r w:rsidRPr="00761299">
        <w:rPr>
          <w:rFonts w:ascii="Book Antiqua" w:hAnsi="Book Antiqua" w:cstheme="majorHAnsi"/>
          <w:i/>
          <w:color w:val="000000" w:themeColor="text1"/>
          <w:sz w:val="24"/>
          <w:szCs w:val="24"/>
        </w:rPr>
        <w:t xml:space="preserve"> min </w:t>
      </w:r>
      <w:proofErr w:type="spellStart"/>
      <w:r w:rsidRPr="00761299">
        <w:rPr>
          <w:rFonts w:ascii="Book Antiqua" w:hAnsi="Book Antiqua" w:cstheme="majorHAnsi"/>
          <w:i/>
          <w:color w:val="000000" w:themeColor="text1"/>
          <w:sz w:val="24"/>
          <w:szCs w:val="24"/>
        </w:rPr>
        <w:t>qara</w:t>
      </w:r>
      <w:proofErr w:type="spellEnd"/>
      <w:r w:rsidRPr="00761299">
        <w:rPr>
          <w:rFonts w:ascii="Book Antiqua" w:hAnsi="Book Antiqua" w:cstheme="majorHAnsi"/>
          <w:i/>
          <w:color w:val="000000" w:themeColor="text1"/>
          <w:sz w:val="24"/>
          <w:szCs w:val="24"/>
        </w:rPr>
        <w:t>'</w:t>
      </w:r>
      <w:r w:rsidR="00761299">
        <w:rPr>
          <w:rFonts w:ascii="Book Antiqua" w:hAnsi="Book Antiqua" w:cstheme="majorHAnsi"/>
          <w:color w:val="000000" w:themeColor="text1"/>
          <w:sz w:val="24"/>
          <w:szCs w:val="24"/>
        </w:rPr>
        <w:t xml:space="preserve"> </w:t>
      </w:r>
      <w:r w:rsidRPr="006B65A2">
        <w:rPr>
          <w:rFonts w:ascii="Book Antiqua" w:hAnsi="Book Antiqua" w:cstheme="majorHAnsi"/>
          <w:color w:val="000000" w:themeColor="text1"/>
          <w:sz w:val="24"/>
          <w:szCs w:val="24"/>
        </w:rPr>
        <w:t xml:space="preserve">in </w:t>
      </w:r>
      <w:r w:rsidRPr="00761299">
        <w:rPr>
          <w:rFonts w:ascii="Book Antiqua" w:hAnsi="Book Antiqua" w:cstheme="majorHAnsi"/>
          <w:i/>
          <w:color w:val="000000" w:themeColor="text1"/>
          <w:sz w:val="24"/>
          <w:szCs w:val="24"/>
        </w:rPr>
        <w:t>al-</w:t>
      </w:r>
      <w:proofErr w:type="spellStart"/>
      <w:r w:rsidRPr="00761299">
        <w:rPr>
          <w:rFonts w:ascii="Book Antiqua" w:hAnsi="Book Antiqua" w:cstheme="majorHAnsi"/>
          <w:i/>
          <w:color w:val="000000" w:themeColor="text1"/>
          <w:sz w:val="24"/>
          <w:szCs w:val="24"/>
        </w:rPr>
        <w:t>ahwal</w:t>
      </w:r>
      <w:proofErr w:type="spellEnd"/>
      <w:r w:rsidRPr="00761299">
        <w:rPr>
          <w:rFonts w:ascii="Book Antiqua" w:hAnsi="Book Antiqua" w:cstheme="majorHAnsi"/>
          <w:i/>
          <w:color w:val="000000" w:themeColor="text1"/>
          <w:sz w:val="24"/>
          <w:szCs w:val="24"/>
        </w:rPr>
        <w:t xml:space="preserve"> </w:t>
      </w:r>
      <w:proofErr w:type="spellStart"/>
      <w:proofErr w:type="gramStart"/>
      <w:r w:rsidRPr="00761299">
        <w:rPr>
          <w:rFonts w:ascii="Book Antiqua" w:hAnsi="Book Antiqua" w:cstheme="majorHAnsi"/>
          <w:i/>
          <w:color w:val="000000" w:themeColor="text1"/>
          <w:sz w:val="24"/>
          <w:szCs w:val="24"/>
        </w:rPr>
        <w:t>wa</w:t>
      </w:r>
      <w:proofErr w:type="spellEnd"/>
      <w:proofErr w:type="gramEnd"/>
      <w:r w:rsidRPr="00761299">
        <w:rPr>
          <w:rFonts w:ascii="Book Antiqua" w:hAnsi="Book Antiqua" w:cstheme="majorHAnsi"/>
          <w:i/>
          <w:color w:val="000000" w:themeColor="text1"/>
          <w:sz w:val="24"/>
          <w:szCs w:val="24"/>
        </w:rPr>
        <w:t xml:space="preserve"> al-</w:t>
      </w:r>
      <w:proofErr w:type="spellStart"/>
      <w:r w:rsidRPr="00761299">
        <w:rPr>
          <w:rFonts w:ascii="Book Antiqua" w:hAnsi="Book Antiqua" w:cstheme="majorHAnsi"/>
          <w:i/>
          <w:color w:val="000000" w:themeColor="text1"/>
          <w:sz w:val="24"/>
          <w:szCs w:val="24"/>
        </w:rPr>
        <w:t>amarat</w:t>
      </w:r>
      <w:proofErr w:type="spellEnd"/>
      <w:r w:rsidRPr="006B65A2">
        <w:rPr>
          <w:rFonts w:ascii="Book Antiqua" w:hAnsi="Book Antiqua" w:cstheme="majorHAnsi"/>
          <w:color w:val="000000" w:themeColor="text1"/>
          <w:sz w:val="24"/>
          <w:szCs w:val="24"/>
        </w:rPr>
        <w:t xml:space="preserve"> approach. In the approach with the concept of al-</w:t>
      </w:r>
      <w:proofErr w:type="spellStart"/>
      <w:r w:rsidRPr="006B65A2">
        <w:rPr>
          <w:rFonts w:ascii="Book Antiqua" w:hAnsi="Book Antiqua" w:cstheme="majorHAnsi"/>
          <w:color w:val="000000" w:themeColor="text1"/>
          <w:sz w:val="24"/>
          <w:szCs w:val="24"/>
        </w:rPr>
        <w:t>qadha</w:t>
      </w:r>
      <w:proofErr w:type="spellEnd"/>
      <w:r w:rsidRPr="006B65A2">
        <w:rPr>
          <w:rFonts w:ascii="Book Antiqua" w:hAnsi="Book Antiqua" w:cstheme="majorHAnsi"/>
          <w:color w:val="000000" w:themeColor="text1"/>
          <w:sz w:val="24"/>
          <w:szCs w:val="24"/>
        </w:rPr>
        <w:t xml:space="preserve"> '</w:t>
      </w:r>
      <w:proofErr w:type="spellStart"/>
      <w:r w:rsidRPr="00761299">
        <w:rPr>
          <w:rFonts w:ascii="Book Antiqua" w:hAnsi="Book Antiqua" w:cstheme="majorHAnsi"/>
          <w:i/>
          <w:color w:val="000000" w:themeColor="text1"/>
          <w:sz w:val="24"/>
          <w:szCs w:val="24"/>
        </w:rPr>
        <w:t>bima</w:t>
      </w:r>
      <w:proofErr w:type="spellEnd"/>
      <w:r w:rsidRPr="00761299">
        <w:rPr>
          <w:rFonts w:ascii="Book Antiqua" w:hAnsi="Book Antiqua" w:cstheme="majorHAnsi"/>
          <w:i/>
          <w:color w:val="000000" w:themeColor="text1"/>
          <w:sz w:val="24"/>
          <w:szCs w:val="24"/>
        </w:rPr>
        <w:t xml:space="preserve"> </w:t>
      </w:r>
      <w:proofErr w:type="spellStart"/>
      <w:r w:rsidRPr="00761299">
        <w:rPr>
          <w:rFonts w:ascii="Book Antiqua" w:hAnsi="Book Antiqua" w:cstheme="majorHAnsi"/>
          <w:i/>
          <w:color w:val="000000" w:themeColor="text1"/>
          <w:sz w:val="24"/>
          <w:szCs w:val="24"/>
        </w:rPr>
        <w:t>yazh-haru</w:t>
      </w:r>
      <w:proofErr w:type="spellEnd"/>
      <w:r w:rsidRPr="00761299">
        <w:rPr>
          <w:rFonts w:ascii="Book Antiqua" w:hAnsi="Book Antiqua" w:cstheme="majorHAnsi"/>
          <w:i/>
          <w:color w:val="000000" w:themeColor="text1"/>
          <w:sz w:val="24"/>
          <w:szCs w:val="24"/>
        </w:rPr>
        <w:t xml:space="preserve"> min </w:t>
      </w:r>
      <w:proofErr w:type="spellStart"/>
      <w:r w:rsidRPr="00761299">
        <w:rPr>
          <w:rFonts w:ascii="Book Antiqua" w:hAnsi="Book Antiqua" w:cstheme="majorHAnsi"/>
          <w:i/>
          <w:color w:val="000000" w:themeColor="text1"/>
          <w:sz w:val="24"/>
          <w:szCs w:val="24"/>
        </w:rPr>
        <w:t>qara'in</w:t>
      </w:r>
      <w:proofErr w:type="spellEnd"/>
      <w:r w:rsidRPr="00761299">
        <w:rPr>
          <w:rFonts w:ascii="Book Antiqua" w:hAnsi="Book Antiqua" w:cstheme="majorHAnsi"/>
          <w:i/>
          <w:color w:val="000000" w:themeColor="text1"/>
          <w:sz w:val="24"/>
          <w:szCs w:val="24"/>
        </w:rPr>
        <w:t xml:space="preserve"> al-</w:t>
      </w:r>
      <w:proofErr w:type="spellStart"/>
      <w:r w:rsidRPr="00761299">
        <w:rPr>
          <w:rFonts w:ascii="Book Antiqua" w:hAnsi="Book Antiqua" w:cstheme="majorHAnsi"/>
          <w:i/>
          <w:color w:val="000000" w:themeColor="text1"/>
          <w:sz w:val="24"/>
          <w:szCs w:val="24"/>
        </w:rPr>
        <w:t>ahwal</w:t>
      </w:r>
      <w:proofErr w:type="spellEnd"/>
      <w:r w:rsidRPr="00761299">
        <w:rPr>
          <w:rFonts w:ascii="Book Antiqua" w:hAnsi="Book Antiqua" w:cstheme="majorHAnsi"/>
          <w:i/>
          <w:color w:val="000000" w:themeColor="text1"/>
          <w:sz w:val="24"/>
          <w:szCs w:val="24"/>
        </w:rPr>
        <w:t xml:space="preserve"> </w:t>
      </w:r>
      <w:proofErr w:type="spellStart"/>
      <w:r w:rsidRPr="00761299">
        <w:rPr>
          <w:rFonts w:ascii="Book Antiqua" w:hAnsi="Book Antiqua" w:cstheme="majorHAnsi"/>
          <w:i/>
          <w:color w:val="000000" w:themeColor="text1"/>
          <w:sz w:val="24"/>
          <w:szCs w:val="24"/>
        </w:rPr>
        <w:t>wa</w:t>
      </w:r>
      <w:proofErr w:type="spellEnd"/>
      <w:r w:rsidRPr="00761299">
        <w:rPr>
          <w:rFonts w:ascii="Book Antiqua" w:hAnsi="Book Antiqua" w:cstheme="majorHAnsi"/>
          <w:i/>
          <w:color w:val="000000" w:themeColor="text1"/>
          <w:sz w:val="24"/>
          <w:szCs w:val="24"/>
        </w:rPr>
        <w:t xml:space="preserve"> al-</w:t>
      </w:r>
      <w:proofErr w:type="spellStart"/>
      <w:r w:rsidRPr="00761299">
        <w:rPr>
          <w:rFonts w:ascii="Book Antiqua" w:hAnsi="Book Antiqua" w:cstheme="majorHAnsi"/>
          <w:i/>
          <w:color w:val="000000" w:themeColor="text1"/>
          <w:sz w:val="24"/>
          <w:szCs w:val="24"/>
        </w:rPr>
        <w:t>amarat</w:t>
      </w:r>
      <w:proofErr w:type="spellEnd"/>
      <w:r w:rsidRPr="006B65A2">
        <w:rPr>
          <w:rFonts w:ascii="Book Antiqua" w:hAnsi="Book Antiqua" w:cstheme="majorHAnsi"/>
          <w:color w:val="000000" w:themeColor="text1"/>
          <w:sz w:val="24"/>
          <w:szCs w:val="24"/>
        </w:rPr>
        <w:t xml:space="preserve">, legal decisions are based on conditional indications and </w:t>
      </w:r>
      <w:proofErr w:type="spellStart"/>
      <w:r w:rsidRPr="00761299">
        <w:rPr>
          <w:rFonts w:ascii="Book Antiqua" w:hAnsi="Book Antiqua" w:cstheme="majorHAnsi"/>
          <w:i/>
          <w:color w:val="000000" w:themeColor="text1"/>
          <w:sz w:val="24"/>
          <w:szCs w:val="24"/>
        </w:rPr>
        <w:lastRenderedPageBreak/>
        <w:t>zahir</w:t>
      </w:r>
      <w:proofErr w:type="spellEnd"/>
      <w:r w:rsidRPr="006B65A2">
        <w:rPr>
          <w:rFonts w:ascii="Book Antiqua" w:hAnsi="Book Antiqua" w:cstheme="majorHAnsi"/>
          <w:color w:val="000000" w:themeColor="text1"/>
          <w:sz w:val="24"/>
          <w:szCs w:val="24"/>
        </w:rPr>
        <w:t xml:space="preserve"> (clear) signs. This approach ignores the concept of </w:t>
      </w:r>
      <w:r w:rsidRPr="00761299">
        <w:rPr>
          <w:rFonts w:ascii="Book Antiqua" w:hAnsi="Book Antiqua" w:cstheme="majorHAnsi"/>
          <w:i/>
          <w:color w:val="000000" w:themeColor="text1"/>
          <w:sz w:val="24"/>
          <w:szCs w:val="24"/>
        </w:rPr>
        <w:t>al-</w:t>
      </w:r>
      <w:proofErr w:type="spellStart"/>
      <w:r w:rsidRPr="00761299">
        <w:rPr>
          <w:rFonts w:ascii="Book Antiqua" w:hAnsi="Book Antiqua" w:cstheme="majorHAnsi"/>
          <w:i/>
          <w:color w:val="000000" w:themeColor="text1"/>
          <w:sz w:val="24"/>
          <w:szCs w:val="24"/>
        </w:rPr>
        <w:t>Madzahib</w:t>
      </w:r>
      <w:proofErr w:type="spellEnd"/>
      <w:r w:rsidRPr="00761299">
        <w:rPr>
          <w:rFonts w:ascii="Book Antiqua" w:hAnsi="Book Antiqua" w:cstheme="majorHAnsi"/>
          <w:i/>
          <w:color w:val="000000" w:themeColor="text1"/>
          <w:sz w:val="24"/>
          <w:szCs w:val="24"/>
        </w:rPr>
        <w:t xml:space="preserve"> al-</w:t>
      </w:r>
      <w:proofErr w:type="spellStart"/>
      <w:r w:rsidRPr="00761299">
        <w:rPr>
          <w:rFonts w:ascii="Book Antiqua" w:hAnsi="Book Antiqua" w:cstheme="majorHAnsi"/>
          <w:i/>
          <w:color w:val="000000" w:themeColor="text1"/>
          <w:sz w:val="24"/>
          <w:szCs w:val="24"/>
        </w:rPr>
        <w:t>Tsalatsah</w:t>
      </w:r>
      <w:proofErr w:type="spellEnd"/>
      <w:r w:rsidRPr="006B65A2">
        <w:rPr>
          <w:rFonts w:ascii="Book Antiqua" w:hAnsi="Book Antiqua" w:cstheme="majorHAnsi"/>
          <w:color w:val="000000" w:themeColor="text1"/>
          <w:sz w:val="24"/>
          <w:szCs w:val="24"/>
        </w:rPr>
        <w:t xml:space="preserve"> where a judge's decision is based on evidence submitted by the public prosecutor in court (</w:t>
      </w:r>
      <w:proofErr w:type="spellStart"/>
      <w:r w:rsidRPr="00761299">
        <w:rPr>
          <w:rFonts w:ascii="Book Antiqua" w:hAnsi="Book Antiqua" w:cstheme="majorHAnsi"/>
          <w:i/>
          <w:color w:val="000000" w:themeColor="text1"/>
          <w:sz w:val="24"/>
          <w:szCs w:val="24"/>
        </w:rPr>
        <w:t>bayyinatu</w:t>
      </w:r>
      <w:proofErr w:type="spellEnd"/>
      <w:r w:rsidRPr="00761299">
        <w:rPr>
          <w:rFonts w:ascii="Book Antiqua" w:hAnsi="Book Antiqua" w:cstheme="majorHAnsi"/>
          <w:i/>
          <w:color w:val="000000" w:themeColor="text1"/>
          <w:sz w:val="24"/>
          <w:szCs w:val="24"/>
        </w:rPr>
        <w:t xml:space="preserve"> al-</w:t>
      </w:r>
      <w:proofErr w:type="spellStart"/>
      <w:r w:rsidRPr="00761299">
        <w:rPr>
          <w:rFonts w:ascii="Book Antiqua" w:hAnsi="Book Antiqua" w:cstheme="majorHAnsi"/>
          <w:i/>
          <w:color w:val="000000" w:themeColor="text1"/>
          <w:sz w:val="24"/>
          <w:szCs w:val="24"/>
        </w:rPr>
        <w:t>mudda'iy</w:t>
      </w:r>
      <w:proofErr w:type="spellEnd"/>
      <w:r w:rsidRPr="006B65A2">
        <w:rPr>
          <w:rFonts w:ascii="Book Antiqua" w:hAnsi="Book Antiqua" w:cstheme="majorHAnsi"/>
          <w:color w:val="000000" w:themeColor="text1"/>
          <w:sz w:val="24"/>
          <w:szCs w:val="24"/>
        </w:rPr>
        <w:t>) or an oath by the defendant (</w:t>
      </w:r>
      <w:proofErr w:type="spellStart"/>
      <w:r w:rsidRPr="00761299">
        <w:rPr>
          <w:rFonts w:ascii="Book Antiqua" w:hAnsi="Book Antiqua" w:cstheme="majorHAnsi"/>
          <w:i/>
          <w:color w:val="000000" w:themeColor="text1"/>
          <w:sz w:val="24"/>
          <w:szCs w:val="24"/>
        </w:rPr>
        <w:t>yaminu</w:t>
      </w:r>
      <w:proofErr w:type="spellEnd"/>
      <w:r w:rsidRPr="00761299">
        <w:rPr>
          <w:rFonts w:ascii="Book Antiqua" w:hAnsi="Book Antiqua" w:cstheme="majorHAnsi"/>
          <w:i/>
          <w:color w:val="000000" w:themeColor="text1"/>
          <w:sz w:val="24"/>
          <w:szCs w:val="24"/>
        </w:rPr>
        <w:t xml:space="preserve"> al-</w:t>
      </w:r>
      <w:proofErr w:type="spellStart"/>
      <w:r w:rsidRPr="00761299">
        <w:rPr>
          <w:rFonts w:ascii="Book Antiqua" w:hAnsi="Book Antiqua" w:cstheme="majorHAnsi"/>
          <w:i/>
          <w:color w:val="000000" w:themeColor="text1"/>
          <w:sz w:val="24"/>
          <w:szCs w:val="24"/>
        </w:rPr>
        <w:t>mudda'a</w:t>
      </w:r>
      <w:proofErr w:type="spellEnd"/>
      <w:r w:rsidRPr="00761299">
        <w:rPr>
          <w:rFonts w:ascii="Book Antiqua" w:hAnsi="Book Antiqua" w:cstheme="majorHAnsi"/>
          <w:i/>
          <w:color w:val="000000" w:themeColor="text1"/>
          <w:sz w:val="24"/>
          <w:szCs w:val="24"/>
        </w:rPr>
        <w:t xml:space="preserve">' </w:t>
      </w:r>
      <w:proofErr w:type="spellStart"/>
      <w:r w:rsidRPr="00761299">
        <w:rPr>
          <w:rFonts w:ascii="Book Antiqua" w:hAnsi="Book Antiqua" w:cstheme="majorHAnsi"/>
          <w:i/>
          <w:color w:val="000000" w:themeColor="text1"/>
          <w:sz w:val="24"/>
          <w:szCs w:val="24"/>
        </w:rPr>
        <w:t>alayhi</w:t>
      </w:r>
      <w:proofErr w:type="spellEnd"/>
      <w:r w:rsidRPr="006B65A2">
        <w:rPr>
          <w:rFonts w:ascii="Book Antiqua" w:hAnsi="Book Antiqua" w:cstheme="majorHAnsi"/>
          <w:color w:val="000000" w:themeColor="text1"/>
          <w:sz w:val="24"/>
          <w:szCs w:val="24"/>
        </w:rPr>
        <w:t xml:space="preserve">). Instead, this approach is based on </w:t>
      </w:r>
      <w:proofErr w:type="spellStart"/>
      <w:r w:rsidRPr="00761299">
        <w:rPr>
          <w:rFonts w:ascii="Book Antiqua" w:hAnsi="Book Antiqua" w:cstheme="majorHAnsi"/>
          <w:i/>
          <w:color w:val="000000" w:themeColor="text1"/>
          <w:sz w:val="24"/>
          <w:szCs w:val="24"/>
        </w:rPr>
        <w:t>qara'in</w:t>
      </w:r>
      <w:proofErr w:type="spellEnd"/>
      <w:r w:rsidRPr="00761299">
        <w:rPr>
          <w:rFonts w:ascii="Book Antiqua" w:hAnsi="Book Antiqua" w:cstheme="majorHAnsi"/>
          <w:i/>
          <w:color w:val="000000" w:themeColor="text1"/>
          <w:sz w:val="24"/>
          <w:szCs w:val="24"/>
        </w:rPr>
        <w:t xml:space="preserve"> al-</w:t>
      </w:r>
      <w:proofErr w:type="spellStart"/>
      <w:r w:rsidRPr="00761299">
        <w:rPr>
          <w:rFonts w:ascii="Book Antiqua" w:hAnsi="Book Antiqua" w:cstheme="majorHAnsi"/>
          <w:i/>
          <w:color w:val="000000" w:themeColor="text1"/>
          <w:sz w:val="24"/>
          <w:szCs w:val="24"/>
        </w:rPr>
        <w:t>ahwal</w:t>
      </w:r>
      <w:proofErr w:type="spellEnd"/>
      <w:r w:rsidRPr="00761299">
        <w:rPr>
          <w:rFonts w:ascii="Book Antiqua" w:hAnsi="Book Antiqua" w:cstheme="majorHAnsi"/>
          <w:i/>
          <w:color w:val="000000" w:themeColor="text1"/>
          <w:sz w:val="24"/>
          <w:szCs w:val="24"/>
        </w:rPr>
        <w:t xml:space="preserve"> </w:t>
      </w:r>
      <w:proofErr w:type="spellStart"/>
      <w:proofErr w:type="gramStart"/>
      <w:r w:rsidRPr="00761299">
        <w:rPr>
          <w:rFonts w:ascii="Book Antiqua" w:hAnsi="Book Antiqua" w:cstheme="majorHAnsi"/>
          <w:i/>
          <w:color w:val="000000" w:themeColor="text1"/>
          <w:sz w:val="24"/>
          <w:szCs w:val="24"/>
        </w:rPr>
        <w:t>wa</w:t>
      </w:r>
      <w:proofErr w:type="spellEnd"/>
      <w:proofErr w:type="gramEnd"/>
      <w:r w:rsidRPr="00761299">
        <w:rPr>
          <w:rFonts w:ascii="Book Antiqua" w:hAnsi="Book Antiqua" w:cstheme="majorHAnsi"/>
          <w:i/>
          <w:color w:val="000000" w:themeColor="text1"/>
          <w:sz w:val="24"/>
          <w:szCs w:val="24"/>
        </w:rPr>
        <w:t xml:space="preserve"> al-</w:t>
      </w:r>
      <w:proofErr w:type="spellStart"/>
      <w:r w:rsidRPr="00761299">
        <w:rPr>
          <w:rFonts w:ascii="Book Antiqua" w:hAnsi="Book Antiqua" w:cstheme="majorHAnsi"/>
          <w:i/>
          <w:color w:val="000000" w:themeColor="text1"/>
          <w:sz w:val="24"/>
          <w:szCs w:val="24"/>
        </w:rPr>
        <w:t>amarat</w:t>
      </w:r>
      <w:proofErr w:type="spellEnd"/>
      <w:r w:rsidRPr="00761299">
        <w:rPr>
          <w:rFonts w:ascii="Book Antiqua" w:hAnsi="Book Antiqua" w:cstheme="majorHAnsi"/>
          <w:i/>
          <w:color w:val="000000" w:themeColor="text1"/>
          <w:sz w:val="24"/>
          <w:szCs w:val="24"/>
        </w:rPr>
        <w:t xml:space="preserve"> al-</w:t>
      </w:r>
      <w:proofErr w:type="spellStart"/>
      <w:r w:rsidRPr="00761299">
        <w:rPr>
          <w:rFonts w:ascii="Book Antiqua" w:hAnsi="Book Antiqua" w:cstheme="majorHAnsi"/>
          <w:i/>
          <w:color w:val="000000" w:themeColor="text1"/>
          <w:sz w:val="24"/>
          <w:szCs w:val="24"/>
        </w:rPr>
        <w:t>zhahirah</w:t>
      </w:r>
      <w:proofErr w:type="spellEnd"/>
      <w:r w:rsidRPr="006B65A2">
        <w:rPr>
          <w:rFonts w:ascii="Book Antiqua" w:hAnsi="Book Antiqua" w:cstheme="majorHAnsi"/>
          <w:color w:val="000000" w:themeColor="text1"/>
          <w:sz w:val="24"/>
          <w:szCs w:val="24"/>
        </w:rPr>
        <w:t>, meaning that proof is based on tradition and clear signs.</w:t>
      </w:r>
    </w:p>
    <w:p w:rsidR="006B65A2" w:rsidRPr="006B65A2" w:rsidRDefault="006B65A2" w:rsidP="006B65A2">
      <w:pPr>
        <w:spacing w:after="120" w:line="240" w:lineRule="auto"/>
        <w:jc w:val="both"/>
        <w:rPr>
          <w:rFonts w:ascii="Book Antiqua" w:hAnsi="Book Antiqua" w:cstheme="majorHAnsi"/>
          <w:color w:val="000000" w:themeColor="text1"/>
          <w:sz w:val="24"/>
          <w:szCs w:val="24"/>
        </w:rPr>
      </w:pPr>
      <w:r w:rsidRPr="006B65A2">
        <w:rPr>
          <w:rFonts w:ascii="Book Antiqua" w:hAnsi="Book Antiqua" w:cstheme="majorHAnsi"/>
          <w:color w:val="000000" w:themeColor="text1"/>
          <w:sz w:val="24"/>
          <w:szCs w:val="24"/>
        </w:rPr>
        <w:t xml:space="preserve">This concept originated from Imam Malik's </w:t>
      </w:r>
      <w:r w:rsidRPr="00761299">
        <w:rPr>
          <w:rFonts w:ascii="Book Antiqua" w:hAnsi="Book Antiqua" w:cstheme="majorHAnsi"/>
          <w:i/>
          <w:color w:val="000000" w:themeColor="text1"/>
          <w:sz w:val="24"/>
          <w:szCs w:val="24"/>
        </w:rPr>
        <w:t>al-</w:t>
      </w:r>
      <w:proofErr w:type="spellStart"/>
      <w:r w:rsidRPr="00761299">
        <w:rPr>
          <w:rFonts w:ascii="Book Antiqua" w:hAnsi="Book Antiqua" w:cstheme="majorHAnsi"/>
          <w:i/>
          <w:color w:val="000000" w:themeColor="text1"/>
          <w:sz w:val="24"/>
          <w:szCs w:val="24"/>
        </w:rPr>
        <w:t>qa'idah</w:t>
      </w:r>
      <w:proofErr w:type="spellEnd"/>
      <w:r w:rsidRPr="00761299">
        <w:rPr>
          <w:rFonts w:ascii="Book Antiqua" w:hAnsi="Book Antiqua" w:cstheme="majorHAnsi"/>
          <w:i/>
          <w:color w:val="000000" w:themeColor="text1"/>
          <w:sz w:val="24"/>
          <w:szCs w:val="24"/>
        </w:rPr>
        <w:t xml:space="preserve"> al-</w:t>
      </w:r>
      <w:proofErr w:type="spellStart"/>
      <w:r w:rsidRPr="00761299">
        <w:rPr>
          <w:rFonts w:ascii="Book Antiqua" w:hAnsi="Book Antiqua" w:cstheme="majorHAnsi"/>
          <w:i/>
          <w:color w:val="000000" w:themeColor="text1"/>
          <w:sz w:val="24"/>
          <w:szCs w:val="24"/>
        </w:rPr>
        <w:t>ushuliyyah</w:t>
      </w:r>
      <w:proofErr w:type="spellEnd"/>
      <w:r w:rsidRPr="006B65A2">
        <w:rPr>
          <w:rFonts w:ascii="Book Antiqua" w:hAnsi="Book Antiqua" w:cstheme="majorHAnsi"/>
          <w:color w:val="000000" w:themeColor="text1"/>
          <w:sz w:val="24"/>
          <w:szCs w:val="24"/>
        </w:rPr>
        <w:t xml:space="preserve">, who accepted the </w:t>
      </w:r>
      <w:proofErr w:type="spellStart"/>
      <w:r w:rsidRPr="00761299">
        <w:rPr>
          <w:rFonts w:ascii="Book Antiqua" w:hAnsi="Book Antiqua" w:cstheme="majorHAnsi"/>
          <w:i/>
          <w:color w:val="000000" w:themeColor="text1"/>
          <w:sz w:val="24"/>
          <w:szCs w:val="24"/>
        </w:rPr>
        <w:t>munasib</w:t>
      </w:r>
      <w:proofErr w:type="spellEnd"/>
      <w:r w:rsidRPr="00761299">
        <w:rPr>
          <w:rFonts w:ascii="Book Antiqua" w:hAnsi="Book Antiqua" w:cstheme="majorHAnsi"/>
          <w:i/>
          <w:color w:val="000000" w:themeColor="text1"/>
          <w:sz w:val="24"/>
          <w:szCs w:val="24"/>
        </w:rPr>
        <w:t xml:space="preserve"> </w:t>
      </w:r>
      <w:proofErr w:type="spellStart"/>
      <w:r w:rsidRPr="00761299">
        <w:rPr>
          <w:rFonts w:ascii="Book Antiqua" w:hAnsi="Book Antiqua" w:cstheme="majorHAnsi"/>
          <w:i/>
          <w:color w:val="000000" w:themeColor="text1"/>
          <w:sz w:val="24"/>
          <w:szCs w:val="24"/>
        </w:rPr>
        <w:t>mursal</w:t>
      </w:r>
      <w:proofErr w:type="spellEnd"/>
      <w:r w:rsidRPr="00761299">
        <w:rPr>
          <w:rFonts w:ascii="Book Antiqua" w:hAnsi="Book Antiqua" w:cstheme="majorHAnsi"/>
          <w:i/>
          <w:color w:val="000000" w:themeColor="text1"/>
          <w:sz w:val="24"/>
          <w:szCs w:val="24"/>
        </w:rPr>
        <w:t xml:space="preserve"> or al-</w:t>
      </w:r>
      <w:proofErr w:type="spellStart"/>
      <w:r w:rsidRPr="00761299">
        <w:rPr>
          <w:rFonts w:ascii="Book Antiqua" w:hAnsi="Book Antiqua" w:cstheme="majorHAnsi"/>
          <w:i/>
          <w:color w:val="000000" w:themeColor="text1"/>
          <w:sz w:val="24"/>
          <w:szCs w:val="24"/>
        </w:rPr>
        <w:t>mashalih</w:t>
      </w:r>
      <w:proofErr w:type="spellEnd"/>
      <w:r w:rsidRPr="00761299">
        <w:rPr>
          <w:rFonts w:ascii="Book Antiqua" w:hAnsi="Book Antiqua" w:cstheme="majorHAnsi"/>
          <w:i/>
          <w:color w:val="000000" w:themeColor="text1"/>
          <w:sz w:val="24"/>
          <w:szCs w:val="24"/>
        </w:rPr>
        <w:t xml:space="preserve"> al-</w:t>
      </w:r>
      <w:proofErr w:type="spellStart"/>
      <w:r w:rsidRPr="00761299">
        <w:rPr>
          <w:rFonts w:ascii="Book Antiqua" w:hAnsi="Book Antiqua" w:cstheme="majorHAnsi"/>
          <w:i/>
          <w:color w:val="000000" w:themeColor="text1"/>
          <w:sz w:val="24"/>
          <w:szCs w:val="24"/>
        </w:rPr>
        <w:t>mursalah</w:t>
      </w:r>
      <w:proofErr w:type="spellEnd"/>
      <w:r w:rsidRPr="006B65A2">
        <w:rPr>
          <w:rFonts w:ascii="Book Antiqua" w:hAnsi="Book Antiqua" w:cstheme="majorHAnsi"/>
          <w:color w:val="000000" w:themeColor="text1"/>
          <w:sz w:val="24"/>
          <w:szCs w:val="24"/>
        </w:rPr>
        <w:t>, namely benefits without the law but can be implemented. In this concept, a person can be charged with the law without having clear evidence but based on clear signs to a judge. The application of this concept can be seen in the case of Prophet Yusuf. He was declared right if his shirt was torn at the back and guilty if his shirt was torn in front, without having to have a witness or oath (Surah Yusuf, Verse: 24-29).</w:t>
      </w:r>
    </w:p>
    <w:p w:rsidR="006B65A2" w:rsidRPr="006B65A2" w:rsidRDefault="006B65A2" w:rsidP="006B65A2">
      <w:pPr>
        <w:spacing w:after="120" w:line="240" w:lineRule="auto"/>
        <w:jc w:val="both"/>
        <w:rPr>
          <w:rFonts w:ascii="Book Antiqua" w:hAnsi="Book Antiqua" w:cstheme="majorHAnsi"/>
          <w:color w:val="000000" w:themeColor="text1"/>
          <w:sz w:val="24"/>
          <w:szCs w:val="24"/>
        </w:rPr>
      </w:pPr>
      <w:r w:rsidRPr="006B65A2">
        <w:rPr>
          <w:rFonts w:ascii="Book Antiqua" w:hAnsi="Book Antiqua" w:cstheme="majorHAnsi"/>
          <w:color w:val="000000" w:themeColor="text1"/>
          <w:sz w:val="24"/>
          <w:szCs w:val="24"/>
        </w:rPr>
        <w:t xml:space="preserve">Based on the above concept, if an official or former official is accused of corruption or other crimes based on unbalanced wealth and income. The accusation is due to </w:t>
      </w:r>
      <w:proofErr w:type="spellStart"/>
      <w:r w:rsidRPr="00761299">
        <w:rPr>
          <w:rFonts w:ascii="Book Antiqua" w:hAnsi="Book Antiqua" w:cstheme="majorHAnsi"/>
          <w:i/>
          <w:color w:val="000000" w:themeColor="text1"/>
          <w:sz w:val="24"/>
          <w:szCs w:val="24"/>
        </w:rPr>
        <w:t>qarinah</w:t>
      </w:r>
      <w:proofErr w:type="spellEnd"/>
      <w:r w:rsidRPr="006B65A2">
        <w:rPr>
          <w:rFonts w:ascii="Book Antiqua" w:hAnsi="Book Antiqua" w:cstheme="majorHAnsi"/>
          <w:color w:val="000000" w:themeColor="text1"/>
          <w:sz w:val="24"/>
          <w:szCs w:val="24"/>
        </w:rPr>
        <w:t xml:space="preserve"> or </w:t>
      </w:r>
      <w:proofErr w:type="spellStart"/>
      <w:r w:rsidRPr="006B65A2">
        <w:rPr>
          <w:rFonts w:ascii="Book Antiqua" w:hAnsi="Book Antiqua" w:cstheme="majorHAnsi"/>
          <w:i/>
          <w:color w:val="000000" w:themeColor="text1"/>
          <w:sz w:val="24"/>
          <w:szCs w:val="24"/>
        </w:rPr>
        <w:t>amarah</w:t>
      </w:r>
      <w:proofErr w:type="spellEnd"/>
      <w:r w:rsidRPr="006B65A2">
        <w:rPr>
          <w:rFonts w:ascii="Book Antiqua" w:hAnsi="Book Antiqua" w:cstheme="majorHAnsi"/>
          <w:i/>
          <w:color w:val="000000" w:themeColor="text1"/>
          <w:sz w:val="24"/>
          <w:szCs w:val="24"/>
        </w:rPr>
        <w:t xml:space="preserve"> </w:t>
      </w:r>
      <w:proofErr w:type="spellStart"/>
      <w:r w:rsidRPr="006B65A2">
        <w:rPr>
          <w:rFonts w:ascii="Book Antiqua" w:hAnsi="Book Antiqua" w:cstheme="majorHAnsi"/>
          <w:i/>
          <w:color w:val="000000" w:themeColor="text1"/>
          <w:sz w:val="24"/>
          <w:szCs w:val="24"/>
        </w:rPr>
        <w:t>zhahirah</w:t>
      </w:r>
      <w:proofErr w:type="spellEnd"/>
      <w:r w:rsidRPr="006B65A2">
        <w:rPr>
          <w:rFonts w:ascii="Book Antiqua" w:hAnsi="Book Antiqua" w:cstheme="majorHAnsi"/>
          <w:color w:val="000000" w:themeColor="text1"/>
          <w:sz w:val="24"/>
          <w:szCs w:val="24"/>
        </w:rPr>
        <w:t xml:space="preserve"> in the form of his position enabling a transit for state finances used for personal interests in the status of corruption. Hence, the person becomes the suspected (</w:t>
      </w:r>
      <w:proofErr w:type="spellStart"/>
      <w:r w:rsidRPr="006B65A2">
        <w:rPr>
          <w:rFonts w:ascii="Book Antiqua" w:hAnsi="Book Antiqua" w:cstheme="majorHAnsi"/>
          <w:i/>
          <w:color w:val="000000" w:themeColor="text1"/>
          <w:sz w:val="24"/>
          <w:szCs w:val="24"/>
        </w:rPr>
        <w:t>muttaham</w:t>
      </w:r>
      <w:proofErr w:type="spellEnd"/>
      <w:r w:rsidRPr="006B65A2">
        <w:rPr>
          <w:rFonts w:ascii="Book Antiqua" w:hAnsi="Book Antiqua" w:cstheme="majorHAnsi"/>
          <w:color w:val="000000" w:themeColor="text1"/>
          <w:sz w:val="24"/>
          <w:szCs w:val="24"/>
        </w:rPr>
        <w:t>) of misappropriating the state finances or abusing his power to extract such personal gain.</w:t>
      </w:r>
    </w:p>
    <w:p w:rsidR="006B65A2" w:rsidRPr="006B65A2" w:rsidRDefault="006B65A2" w:rsidP="006B65A2">
      <w:pPr>
        <w:spacing w:after="120" w:line="240" w:lineRule="auto"/>
        <w:jc w:val="both"/>
        <w:rPr>
          <w:rFonts w:ascii="Book Antiqua" w:hAnsi="Book Antiqua" w:cstheme="majorHAnsi"/>
          <w:color w:val="000000" w:themeColor="text1"/>
          <w:sz w:val="24"/>
          <w:szCs w:val="24"/>
        </w:rPr>
      </w:pPr>
      <w:r w:rsidRPr="006B65A2">
        <w:rPr>
          <w:rFonts w:ascii="Book Antiqua" w:hAnsi="Book Antiqua" w:cstheme="majorHAnsi"/>
          <w:color w:val="000000" w:themeColor="text1"/>
          <w:sz w:val="24"/>
          <w:szCs w:val="24"/>
        </w:rPr>
        <w:t>In Islamic history, the caliph Umar (</w:t>
      </w:r>
      <w:proofErr w:type="gramStart"/>
      <w:r w:rsidRPr="006B65A2">
        <w:rPr>
          <w:rFonts w:ascii="Book Antiqua" w:hAnsi="Book Antiqua" w:cstheme="majorHAnsi"/>
          <w:color w:val="000000" w:themeColor="text1"/>
          <w:sz w:val="24"/>
          <w:szCs w:val="24"/>
        </w:rPr>
        <w:t>may</w:t>
      </w:r>
      <w:proofErr w:type="gramEnd"/>
      <w:r w:rsidRPr="006B65A2">
        <w:rPr>
          <w:rFonts w:ascii="Book Antiqua" w:hAnsi="Book Antiqua" w:cstheme="majorHAnsi"/>
          <w:color w:val="000000" w:themeColor="text1"/>
          <w:sz w:val="24"/>
          <w:szCs w:val="24"/>
        </w:rPr>
        <w:t xml:space="preserve"> Allah please with him) once confiscated the wealth of Abu </w:t>
      </w:r>
      <w:proofErr w:type="spellStart"/>
      <w:r w:rsidRPr="006B65A2">
        <w:rPr>
          <w:rFonts w:ascii="Book Antiqua" w:hAnsi="Book Antiqua" w:cstheme="majorHAnsi"/>
          <w:color w:val="000000" w:themeColor="text1"/>
          <w:sz w:val="24"/>
          <w:szCs w:val="24"/>
        </w:rPr>
        <w:t>Hurairah</w:t>
      </w:r>
      <w:proofErr w:type="spellEnd"/>
      <w:r w:rsidRPr="006B65A2">
        <w:rPr>
          <w:rFonts w:ascii="Book Antiqua" w:hAnsi="Book Antiqua" w:cstheme="majorHAnsi"/>
          <w:color w:val="000000" w:themeColor="text1"/>
          <w:sz w:val="24"/>
          <w:szCs w:val="24"/>
        </w:rPr>
        <w:t xml:space="preserve">. However, it is unclear whether the confiscation was done after Abu </w:t>
      </w:r>
      <w:proofErr w:type="spellStart"/>
      <w:r w:rsidRPr="006B65A2">
        <w:rPr>
          <w:rFonts w:ascii="Book Antiqua" w:hAnsi="Book Antiqua" w:cstheme="majorHAnsi"/>
          <w:color w:val="000000" w:themeColor="text1"/>
          <w:sz w:val="24"/>
          <w:szCs w:val="24"/>
        </w:rPr>
        <w:t>Hurairah</w:t>
      </w:r>
      <w:proofErr w:type="spellEnd"/>
      <w:r w:rsidRPr="006B65A2">
        <w:rPr>
          <w:rFonts w:ascii="Book Antiqua" w:hAnsi="Book Antiqua" w:cstheme="majorHAnsi"/>
          <w:color w:val="000000" w:themeColor="text1"/>
          <w:sz w:val="24"/>
          <w:szCs w:val="24"/>
        </w:rPr>
        <w:t xml:space="preserve"> could not prove the origin of his wealth or without allowing Abu </w:t>
      </w:r>
      <w:proofErr w:type="spellStart"/>
      <w:r w:rsidRPr="006B65A2">
        <w:rPr>
          <w:rFonts w:ascii="Book Antiqua" w:hAnsi="Book Antiqua" w:cstheme="majorHAnsi"/>
          <w:color w:val="000000" w:themeColor="text1"/>
          <w:sz w:val="24"/>
          <w:szCs w:val="24"/>
        </w:rPr>
        <w:t>Hurairah</w:t>
      </w:r>
      <w:proofErr w:type="spellEnd"/>
      <w:r w:rsidRPr="006B65A2">
        <w:rPr>
          <w:rFonts w:ascii="Book Antiqua" w:hAnsi="Book Antiqua" w:cstheme="majorHAnsi"/>
          <w:color w:val="000000" w:themeColor="text1"/>
          <w:sz w:val="24"/>
          <w:szCs w:val="24"/>
        </w:rPr>
        <w:t xml:space="preserve"> a chance to prove the source of his wealth.</w:t>
      </w:r>
      <w:r w:rsidR="00B63396">
        <w:rPr>
          <w:rStyle w:val="FootnoteReference"/>
          <w:rFonts w:ascii="Book Antiqua" w:hAnsi="Book Antiqua"/>
          <w:sz w:val="24"/>
          <w:szCs w:val="24"/>
        </w:rPr>
        <w:footnoteReference w:id="31"/>
      </w:r>
      <w:r w:rsidR="00785A79">
        <w:rPr>
          <w:rFonts w:ascii="Book Antiqua" w:hAnsi="Book Antiqua" w:cstheme="majorHAnsi"/>
          <w:color w:val="000000" w:themeColor="text1"/>
          <w:sz w:val="24"/>
          <w:szCs w:val="24"/>
        </w:rPr>
        <w:t xml:space="preserve"> </w:t>
      </w:r>
      <w:proofErr w:type="gramStart"/>
      <w:r w:rsidRPr="006B65A2">
        <w:rPr>
          <w:rFonts w:ascii="Book Antiqua" w:hAnsi="Book Antiqua" w:cstheme="majorHAnsi"/>
          <w:color w:val="000000" w:themeColor="text1"/>
          <w:sz w:val="24"/>
          <w:szCs w:val="24"/>
        </w:rPr>
        <w:t xml:space="preserve">According to history, when Abu </w:t>
      </w:r>
      <w:proofErr w:type="spellStart"/>
      <w:r w:rsidRPr="006B65A2">
        <w:rPr>
          <w:rFonts w:ascii="Book Antiqua" w:hAnsi="Book Antiqua" w:cstheme="majorHAnsi"/>
          <w:color w:val="000000" w:themeColor="text1"/>
          <w:sz w:val="24"/>
          <w:szCs w:val="24"/>
        </w:rPr>
        <w:t>Hurairah</w:t>
      </w:r>
      <w:proofErr w:type="spellEnd"/>
      <w:r w:rsidRPr="006B65A2">
        <w:rPr>
          <w:rFonts w:ascii="Book Antiqua" w:hAnsi="Book Antiqua" w:cstheme="majorHAnsi"/>
          <w:color w:val="000000" w:themeColor="text1"/>
          <w:sz w:val="24"/>
          <w:szCs w:val="24"/>
        </w:rPr>
        <w:t xml:space="preserve"> returned from Bahrain with 4,000 dinars.</w:t>
      </w:r>
      <w:proofErr w:type="gramEnd"/>
      <w:r w:rsidRPr="006B65A2">
        <w:rPr>
          <w:rFonts w:ascii="Book Antiqua" w:hAnsi="Book Antiqua" w:cstheme="majorHAnsi"/>
          <w:color w:val="000000" w:themeColor="text1"/>
          <w:sz w:val="24"/>
          <w:szCs w:val="24"/>
        </w:rPr>
        <w:t xml:space="preserve"> He went to the Caliph Umar bin </w:t>
      </w:r>
      <w:proofErr w:type="spellStart"/>
      <w:r w:rsidRPr="006B65A2">
        <w:rPr>
          <w:rFonts w:ascii="Book Antiqua" w:hAnsi="Book Antiqua" w:cstheme="majorHAnsi"/>
          <w:color w:val="000000" w:themeColor="text1"/>
          <w:sz w:val="24"/>
          <w:szCs w:val="24"/>
        </w:rPr>
        <w:t>Khattab</w:t>
      </w:r>
      <w:proofErr w:type="spellEnd"/>
      <w:r w:rsidRPr="006B65A2">
        <w:rPr>
          <w:rFonts w:ascii="Book Antiqua" w:hAnsi="Book Antiqua" w:cstheme="majorHAnsi"/>
          <w:color w:val="000000" w:themeColor="text1"/>
          <w:sz w:val="24"/>
          <w:szCs w:val="24"/>
        </w:rPr>
        <w:t xml:space="preserve">. Umar asked one of the companions of the narrator of the hadith whether he had wronged anyone. Abu </w:t>
      </w:r>
      <w:proofErr w:type="spellStart"/>
      <w:r w:rsidRPr="006B65A2">
        <w:rPr>
          <w:rFonts w:ascii="Book Antiqua" w:hAnsi="Book Antiqua" w:cstheme="majorHAnsi"/>
          <w:color w:val="000000" w:themeColor="text1"/>
          <w:sz w:val="24"/>
          <w:szCs w:val="24"/>
        </w:rPr>
        <w:t>Hurairah</w:t>
      </w:r>
      <w:proofErr w:type="spellEnd"/>
      <w:r w:rsidRPr="006B65A2">
        <w:rPr>
          <w:rFonts w:ascii="Book Antiqua" w:hAnsi="Book Antiqua" w:cstheme="majorHAnsi"/>
          <w:color w:val="000000" w:themeColor="text1"/>
          <w:sz w:val="24"/>
          <w:szCs w:val="24"/>
        </w:rPr>
        <w:t xml:space="preserve"> said no. The caliph asked whether Abu </w:t>
      </w:r>
      <w:proofErr w:type="spellStart"/>
      <w:r w:rsidRPr="006B65A2">
        <w:rPr>
          <w:rFonts w:ascii="Book Antiqua" w:hAnsi="Book Antiqua" w:cstheme="majorHAnsi"/>
          <w:color w:val="000000" w:themeColor="text1"/>
          <w:sz w:val="24"/>
          <w:szCs w:val="24"/>
        </w:rPr>
        <w:t>Hurairah</w:t>
      </w:r>
      <w:proofErr w:type="spellEnd"/>
      <w:r w:rsidRPr="006B65A2">
        <w:rPr>
          <w:rFonts w:ascii="Book Antiqua" w:hAnsi="Book Antiqua" w:cstheme="majorHAnsi"/>
          <w:color w:val="000000" w:themeColor="text1"/>
          <w:sz w:val="24"/>
          <w:szCs w:val="24"/>
        </w:rPr>
        <w:t xml:space="preserve"> took the rights of others. He denied. Umar also asked how much money was brought by Abu </w:t>
      </w:r>
      <w:proofErr w:type="spellStart"/>
      <w:r w:rsidRPr="006B65A2">
        <w:rPr>
          <w:rFonts w:ascii="Book Antiqua" w:hAnsi="Book Antiqua" w:cstheme="majorHAnsi"/>
          <w:color w:val="000000" w:themeColor="text1"/>
          <w:sz w:val="24"/>
          <w:szCs w:val="24"/>
        </w:rPr>
        <w:t>Hurairah</w:t>
      </w:r>
      <w:proofErr w:type="spellEnd"/>
      <w:r w:rsidRPr="006B65A2">
        <w:rPr>
          <w:rFonts w:ascii="Book Antiqua" w:hAnsi="Book Antiqua" w:cstheme="majorHAnsi"/>
          <w:color w:val="000000" w:themeColor="text1"/>
          <w:sz w:val="24"/>
          <w:szCs w:val="24"/>
        </w:rPr>
        <w:t xml:space="preserve">. The Prophet's companion replied that he had brought 20 thousand dinars. Umar asked; where did he get that much money from? Abu </w:t>
      </w:r>
      <w:proofErr w:type="spellStart"/>
      <w:r w:rsidRPr="006B65A2">
        <w:rPr>
          <w:rFonts w:ascii="Book Antiqua" w:hAnsi="Book Antiqua" w:cstheme="majorHAnsi"/>
          <w:color w:val="000000" w:themeColor="text1"/>
          <w:sz w:val="24"/>
          <w:szCs w:val="24"/>
        </w:rPr>
        <w:t>Hurairah</w:t>
      </w:r>
      <w:proofErr w:type="spellEnd"/>
      <w:r w:rsidRPr="006B65A2">
        <w:rPr>
          <w:rFonts w:ascii="Book Antiqua" w:hAnsi="Book Antiqua" w:cstheme="majorHAnsi"/>
          <w:color w:val="000000" w:themeColor="text1"/>
          <w:sz w:val="24"/>
          <w:szCs w:val="24"/>
        </w:rPr>
        <w:t xml:space="preserve"> replied he got the money from trading profits.</w:t>
      </w:r>
      <w:r w:rsidR="00B63396">
        <w:rPr>
          <w:rStyle w:val="FootnoteReference"/>
          <w:rFonts w:ascii="Book Antiqua" w:hAnsi="Book Antiqua"/>
          <w:sz w:val="24"/>
          <w:szCs w:val="24"/>
        </w:rPr>
        <w:footnoteReference w:id="32"/>
      </w:r>
      <w:r w:rsidRPr="006B65A2">
        <w:rPr>
          <w:rFonts w:ascii="Book Antiqua" w:hAnsi="Book Antiqua" w:cstheme="majorHAnsi"/>
          <w:color w:val="000000" w:themeColor="text1"/>
          <w:sz w:val="24"/>
          <w:szCs w:val="24"/>
        </w:rPr>
        <w:t xml:space="preserve"> </w:t>
      </w:r>
    </w:p>
    <w:p w:rsidR="006B65A2" w:rsidRPr="006B65A2" w:rsidRDefault="006B65A2" w:rsidP="006B65A2">
      <w:pPr>
        <w:spacing w:after="120" w:line="240" w:lineRule="auto"/>
        <w:jc w:val="both"/>
        <w:rPr>
          <w:rFonts w:ascii="Book Antiqua" w:hAnsi="Book Antiqua" w:cstheme="majorHAnsi"/>
          <w:color w:val="000000" w:themeColor="text1"/>
          <w:sz w:val="24"/>
          <w:szCs w:val="24"/>
        </w:rPr>
      </w:pPr>
      <w:r w:rsidRPr="006B65A2">
        <w:rPr>
          <w:rFonts w:ascii="Book Antiqua" w:hAnsi="Book Antiqua" w:cstheme="majorHAnsi"/>
          <w:color w:val="000000" w:themeColor="text1"/>
          <w:sz w:val="24"/>
          <w:szCs w:val="24"/>
        </w:rPr>
        <w:t xml:space="preserve">The actions of the caliph Umar were a form of reverse proof of the source of a person's funds suspected of originating from unlawful acts. In the story, Abu </w:t>
      </w:r>
      <w:proofErr w:type="spellStart"/>
      <w:r w:rsidRPr="006B65A2">
        <w:rPr>
          <w:rFonts w:ascii="Book Antiqua" w:hAnsi="Book Antiqua" w:cstheme="majorHAnsi"/>
          <w:color w:val="000000" w:themeColor="text1"/>
          <w:sz w:val="24"/>
          <w:szCs w:val="24"/>
        </w:rPr>
        <w:t>Hurairah</w:t>
      </w:r>
      <w:proofErr w:type="spellEnd"/>
      <w:r w:rsidRPr="006B65A2">
        <w:rPr>
          <w:rFonts w:ascii="Book Antiqua" w:hAnsi="Book Antiqua" w:cstheme="majorHAnsi"/>
          <w:color w:val="000000" w:themeColor="text1"/>
          <w:sz w:val="24"/>
          <w:szCs w:val="24"/>
        </w:rPr>
        <w:t xml:space="preserve"> proved everything that Umar questioned as not true at all. The proof was carried out directly by Abu </w:t>
      </w:r>
      <w:proofErr w:type="spellStart"/>
      <w:r w:rsidRPr="006B65A2">
        <w:rPr>
          <w:rFonts w:ascii="Book Antiqua" w:hAnsi="Book Antiqua" w:cstheme="majorHAnsi"/>
          <w:color w:val="000000" w:themeColor="text1"/>
          <w:sz w:val="24"/>
          <w:szCs w:val="24"/>
        </w:rPr>
        <w:t>Hurairah</w:t>
      </w:r>
      <w:proofErr w:type="spellEnd"/>
      <w:r w:rsidRPr="006B65A2">
        <w:rPr>
          <w:rFonts w:ascii="Book Antiqua" w:hAnsi="Book Antiqua" w:cstheme="majorHAnsi"/>
          <w:color w:val="000000" w:themeColor="text1"/>
          <w:sz w:val="24"/>
          <w:szCs w:val="24"/>
        </w:rPr>
        <w:t xml:space="preserve"> by mentioning the source of the acquisition of his funds or assets. Based on the history, it can be concluded that the application of the principle of reverse proof is not new in Islamic criminal law.</w:t>
      </w:r>
    </w:p>
    <w:p w:rsidR="006B65A2" w:rsidRPr="006B65A2" w:rsidRDefault="006B65A2" w:rsidP="006B65A2">
      <w:pPr>
        <w:spacing w:after="120" w:line="240" w:lineRule="auto"/>
        <w:jc w:val="both"/>
        <w:rPr>
          <w:rFonts w:ascii="Book Antiqua" w:hAnsi="Book Antiqua" w:cstheme="majorHAnsi"/>
          <w:color w:val="000000" w:themeColor="text1"/>
          <w:sz w:val="24"/>
          <w:szCs w:val="24"/>
        </w:rPr>
      </w:pPr>
      <w:r>
        <w:rPr>
          <w:rFonts w:ascii="Book Antiqua" w:hAnsi="Book Antiqua" w:cstheme="majorHAnsi"/>
          <w:color w:val="000000" w:themeColor="text1"/>
          <w:sz w:val="24"/>
          <w:szCs w:val="24"/>
        </w:rPr>
        <w:t xml:space="preserve">In Indonesia, the Indonesian </w:t>
      </w:r>
      <w:proofErr w:type="spellStart"/>
      <w:r>
        <w:rPr>
          <w:rFonts w:ascii="Book Antiqua" w:hAnsi="Book Antiqua" w:cstheme="majorHAnsi"/>
          <w:color w:val="000000" w:themeColor="text1"/>
          <w:sz w:val="24"/>
          <w:szCs w:val="24"/>
        </w:rPr>
        <w:t>Ule</w:t>
      </w:r>
      <w:r w:rsidRPr="006B65A2">
        <w:rPr>
          <w:rFonts w:ascii="Book Antiqua" w:hAnsi="Book Antiqua" w:cstheme="majorHAnsi"/>
          <w:color w:val="000000" w:themeColor="text1"/>
          <w:sz w:val="24"/>
          <w:szCs w:val="24"/>
        </w:rPr>
        <w:t>ma</w:t>
      </w:r>
      <w:proofErr w:type="spellEnd"/>
      <w:r w:rsidRPr="006B65A2">
        <w:rPr>
          <w:rFonts w:ascii="Book Antiqua" w:hAnsi="Book Antiqua" w:cstheme="majorHAnsi"/>
          <w:color w:val="000000" w:themeColor="text1"/>
          <w:sz w:val="24"/>
          <w:szCs w:val="24"/>
        </w:rPr>
        <w:t xml:space="preserve"> Council (MUI) has issued a fatwa, created in the Decision of the VIII MUI National Deliberation. The fatwa stipulates that in certain legal cases, such as embezzlement, corruption, and money laundering, the principle of reverse proof is permissible if an indication of a criminal act is found. The Fatwa of the Indonesian </w:t>
      </w:r>
      <w:proofErr w:type="spellStart"/>
      <w:r w:rsidRPr="006B65A2">
        <w:rPr>
          <w:rFonts w:ascii="Book Antiqua" w:hAnsi="Book Antiqua" w:cstheme="majorHAnsi"/>
          <w:color w:val="000000" w:themeColor="text1"/>
          <w:sz w:val="24"/>
          <w:szCs w:val="24"/>
        </w:rPr>
        <w:t>Ulema</w:t>
      </w:r>
      <w:proofErr w:type="spellEnd"/>
      <w:r w:rsidRPr="006B65A2">
        <w:rPr>
          <w:rFonts w:ascii="Book Antiqua" w:hAnsi="Book Antiqua" w:cstheme="majorHAnsi"/>
          <w:color w:val="000000" w:themeColor="text1"/>
          <w:sz w:val="24"/>
          <w:szCs w:val="24"/>
        </w:rPr>
        <w:t xml:space="preserve"> Council Number 01/MUNAS-VIII/MUI/2010 dated 13 Sha'ban 1431 H or 27 July 2010 has stipulated the Application of the Principle of Reverse Proof as follows:</w:t>
      </w:r>
      <w:r w:rsidR="00B63396">
        <w:rPr>
          <w:rStyle w:val="FootnoteReference"/>
          <w:rFonts w:ascii="Book Antiqua" w:hAnsi="Book Antiqua"/>
          <w:sz w:val="24"/>
          <w:szCs w:val="24"/>
        </w:rPr>
        <w:footnoteReference w:id="33"/>
      </w:r>
      <w:r w:rsidRPr="006B65A2">
        <w:rPr>
          <w:rFonts w:ascii="Book Antiqua" w:hAnsi="Book Antiqua" w:cstheme="majorHAnsi"/>
          <w:color w:val="000000" w:themeColor="text1"/>
          <w:sz w:val="24"/>
          <w:szCs w:val="24"/>
        </w:rPr>
        <w:t xml:space="preserve">  </w:t>
      </w:r>
    </w:p>
    <w:p w:rsidR="006B65A2" w:rsidRPr="006B65A2" w:rsidRDefault="006B65A2" w:rsidP="006B65A2">
      <w:pPr>
        <w:pStyle w:val="ListParagraph"/>
        <w:numPr>
          <w:ilvl w:val="2"/>
          <w:numId w:val="28"/>
        </w:numPr>
        <w:spacing w:after="120" w:line="240" w:lineRule="auto"/>
        <w:ind w:left="360" w:hanging="360"/>
        <w:jc w:val="both"/>
        <w:rPr>
          <w:rFonts w:ascii="Book Antiqua" w:hAnsi="Book Antiqua" w:cstheme="majorHAnsi"/>
          <w:color w:val="000000" w:themeColor="text1"/>
          <w:sz w:val="24"/>
          <w:szCs w:val="24"/>
        </w:rPr>
      </w:pPr>
      <w:r w:rsidRPr="006B65A2">
        <w:rPr>
          <w:rFonts w:ascii="Book Antiqua" w:hAnsi="Book Antiqua" w:cstheme="majorHAnsi"/>
          <w:color w:val="000000" w:themeColor="text1"/>
          <w:sz w:val="24"/>
          <w:szCs w:val="24"/>
        </w:rPr>
        <w:lastRenderedPageBreak/>
        <w:t>A person cannot be found guilty until there is a confession (</w:t>
      </w:r>
      <w:proofErr w:type="spellStart"/>
      <w:r w:rsidRPr="006B65A2">
        <w:rPr>
          <w:rFonts w:ascii="Book Antiqua" w:hAnsi="Book Antiqua" w:cstheme="majorHAnsi"/>
          <w:color w:val="000000" w:themeColor="text1"/>
          <w:sz w:val="24"/>
          <w:szCs w:val="24"/>
        </w:rPr>
        <w:t>iqrar</w:t>
      </w:r>
      <w:proofErr w:type="spellEnd"/>
      <w:r w:rsidRPr="006B65A2">
        <w:rPr>
          <w:rFonts w:ascii="Book Antiqua" w:hAnsi="Book Antiqua" w:cstheme="majorHAnsi"/>
          <w:color w:val="000000" w:themeColor="text1"/>
          <w:sz w:val="24"/>
          <w:szCs w:val="24"/>
        </w:rPr>
        <w:t>) or other evidence showing that a person is guilty, in line with the principle of presumption of innocence.</w:t>
      </w:r>
    </w:p>
    <w:p w:rsidR="006B65A2" w:rsidRPr="006B65A2" w:rsidRDefault="006B65A2" w:rsidP="006B65A2">
      <w:pPr>
        <w:pStyle w:val="ListParagraph"/>
        <w:numPr>
          <w:ilvl w:val="2"/>
          <w:numId w:val="28"/>
        </w:numPr>
        <w:spacing w:after="120" w:line="240" w:lineRule="auto"/>
        <w:ind w:left="360" w:hanging="360"/>
        <w:jc w:val="both"/>
        <w:rPr>
          <w:rFonts w:ascii="Book Antiqua" w:hAnsi="Book Antiqua" w:cstheme="majorHAnsi"/>
          <w:color w:val="000000" w:themeColor="text1"/>
          <w:sz w:val="24"/>
          <w:szCs w:val="24"/>
        </w:rPr>
      </w:pPr>
      <w:r w:rsidRPr="006B65A2">
        <w:rPr>
          <w:rFonts w:ascii="Book Antiqua" w:hAnsi="Book Antiqua" w:cstheme="majorHAnsi"/>
          <w:color w:val="000000" w:themeColor="text1"/>
          <w:sz w:val="24"/>
          <w:szCs w:val="24"/>
        </w:rPr>
        <w:t>The obligation to prove is on the investigators and prosecutors, while the oath is for those who deny it.</w:t>
      </w:r>
    </w:p>
    <w:p w:rsidR="006B65A2" w:rsidRPr="006B65A2" w:rsidRDefault="006B65A2" w:rsidP="006B65A2">
      <w:pPr>
        <w:pStyle w:val="ListParagraph"/>
        <w:numPr>
          <w:ilvl w:val="2"/>
          <w:numId w:val="28"/>
        </w:numPr>
        <w:spacing w:after="120" w:line="240" w:lineRule="auto"/>
        <w:ind w:left="360" w:hanging="360"/>
        <w:jc w:val="both"/>
        <w:rPr>
          <w:rFonts w:ascii="Book Antiqua" w:hAnsi="Book Antiqua" w:cstheme="majorHAnsi"/>
          <w:color w:val="000000" w:themeColor="text1"/>
          <w:sz w:val="24"/>
          <w:szCs w:val="24"/>
        </w:rPr>
      </w:pPr>
      <w:r w:rsidRPr="006B65A2">
        <w:rPr>
          <w:rFonts w:ascii="Book Antiqua" w:hAnsi="Book Antiqua" w:cstheme="majorHAnsi"/>
          <w:color w:val="000000" w:themeColor="text1"/>
          <w:sz w:val="24"/>
          <w:szCs w:val="24"/>
        </w:rPr>
        <w:t>In certain legal cases, such as embezzlement, corruption, and money laundering, it is permissible to apply the principle of reverse burden of proof if an indication (</w:t>
      </w:r>
      <w:proofErr w:type="spellStart"/>
      <w:r w:rsidRPr="006B65A2">
        <w:rPr>
          <w:rFonts w:ascii="Book Antiqua" w:hAnsi="Book Antiqua" w:cstheme="majorHAnsi"/>
          <w:i/>
          <w:color w:val="000000" w:themeColor="text1"/>
          <w:sz w:val="24"/>
          <w:szCs w:val="24"/>
        </w:rPr>
        <w:t>amarat</w:t>
      </w:r>
      <w:proofErr w:type="spellEnd"/>
      <w:r w:rsidRPr="006B65A2">
        <w:rPr>
          <w:rFonts w:ascii="Book Antiqua" w:hAnsi="Book Antiqua" w:cstheme="majorHAnsi"/>
          <w:i/>
          <w:color w:val="000000" w:themeColor="text1"/>
          <w:sz w:val="24"/>
          <w:szCs w:val="24"/>
        </w:rPr>
        <w:t xml:space="preserve"> al-</w:t>
      </w:r>
      <w:proofErr w:type="spellStart"/>
      <w:r w:rsidRPr="006B65A2">
        <w:rPr>
          <w:rFonts w:ascii="Book Antiqua" w:hAnsi="Book Antiqua" w:cstheme="majorHAnsi"/>
          <w:i/>
          <w:color w:val="000000" w:themeColor="text1"/>
          <w:sz w:val="24"/>
          <w:szCs w:val="24"/>
        </w:rPr>
        <w:t>hukm</w:t>
      </w:r>
      <w:proofErr w:type="spellEnd"/>
      <w:r w:rsidRPr="006B65A2">
        <w:rPr>
          <w:rFonts w:ascii="Book Antiqua" w:hAnsi="Book Antiqua" w:cstheme="majorHAnsi"/>
          <w:color w:val="000000" w:themeColor="text1"/>
          <w:sz w:val="24"/>
          <w:szCs w:val="24"/>
        </w:rPr>
        <w:t>) is found so that proof of the untruth of the accusation is charged to the defendant.</w:t>
      </w:r>
    </w:p>
    <w:p w:rsidR="006B65A2" w:rsidRPr="006B65A2" w:rsidRDefault="006B65A2" w:rsidP="006B65A2">
      <w:pPr>
        <w:spacing w:after="120" w:line="240" w:lineRule="auto"/>
        <w:jc w:val="both"/>
        <w:rPr>
          <w:rFonts w:ascii="Book Antiqua" w:hAnsi="Book Antiqua" w:cstheme="majorHAnsi"/>
          <w:color w:val="000000" w:themeColor="text1"/>
          <w:sz w:val="24"/>
          <w:szCs w:val="24"/>
        </w:rPr>
      </w:pPr>
      <w:r w:rsidRPr="006B65A2">
        <w:rPr>
          <w:rFonts w:ascii="Book Antiqua" w:hAnsi="Book Antiqua" w:cstheme="majorHAnsi"/>
          <w:color w:val="000000" w:themeColor="text1"/>
          <w:sz w:val="24"/>
          <w:szCs w:val="24"/>
        </w:rPr>
        <w:t xml:space="preserve">The MUI fatwa refers to several references: the Qur'an, hadith, and </w:t>
      </w:r>
      <w:proofErr w:type="spellStart"/>
      <w:r w:rsidRPr="00761299">
        <w:rPr>
          <w:rFonts w:ascii="Book Antiqua" w:hAnsi="Book Antiqua" w:cstheme="majorHAnsi"/>
          <w:i/>
          <w:color w:val="000000" w:themeColor="text1"/>
          <w:sz w:val="24"/>
          <w:szCs w:val="24"/>
        </w:rPr>
        <w:t>fiqh</w:t>
      </w:r>
      <w:proofErr w:type="spellEnd"/>
      <w:r w:rsidRPr="006B65A2">
        <w:rPr>
          <w:rFonts w:ascii="Book Antiqua" w:hAnsi="Book Antiqua" w:cstheme="majorHAnsi"/>
          <w:color w:val="000000" w:themeColor="text1"/>
          <w:sz w:val="24"/>
          <w:szCs w:val="24"/>
        </w:rPr>
        <w:t xml:space="preserve"> (Islamic jurisprudence) rules. One of the arguments used in creating the MUI Fatwa is Surah an-</w:t>
      </w:r>
      <w:proofErr w:type="spellStart"/>
      <w:r w:rsidRPr="006B65A2">
        <w:rPr>
          <w:rFonts w:ascii="Book Antiqua" w:hAnsi="Book Antiqua" w:cstheme="majorHAnsi"/>
          <w:color w:val="000000" w:themeColor="text1"/>
          <w:sz w:val="24"/>
          <w:szCs w:val="24"/>
        </w:rPr>
        <w:t>Nisa</w:t>
      </w:r>
      <w:proofErr w:type="spellEnd"/>
      <w:r w:rsidRPr="006B65A2">
        <w:rPr>
          <w:rFonts w:ascii="Book Antiqua" w:hAnsi="Book Antiqua" w:cstheme="majorHAnsi"/>
          <w:color w:val="000000" w:themeColor="text1"/>
          <w:sz w:val="24"/>
          <w:szCs w:val="24"/>
        </w:rPr>
        <w:t xml:space="preserve">: 135, meaning: “O </w:t>
      </w:r>
      <w:proofErr w:type="gramStart"/>
      <w:r w:rsidRPr="006B65A2">
        <w:rPr>
          <w:rFonts w:ascii="Book Antiqua" w:hAnsi="Book Antiqua" w:cstheme="majorHAnsi"/>
          <w:color w:val="000000" w:themeColor="text1"/>
          <w:sz w:val="24"/>
          <w:szCs w:val="24"/>
        </w:rPr>
        <w:t>you</w:t>
      </w:r>
      <w:proofErr w:type="gramEnd"/>
      <w:r w:rsidRPr="006B65A2">
        <w:rPr>
          <w:rFonts w:ascii="Book Antiqua" w:hAnsi="Book Antiqua" w:cstheme="majorHAnsi"/>
          <w:color w:val="000000" w:themeColor="text1"/>
          <w:sz w:val="24"/>
          <w:szCs w:val="24"/>
        </w:rPr>
        <w:t xml:space="preserve"> who have believed, be persistently standing firm in justice, witnesses for </w:t>
      </w:r>
      <w:proofErr w:type="spellStart"/>
      <w:r w:rsidRPr="006B65A2">
        <w:rPr>
          <w:rFonts w:ascii="Book Antiqua" w:hAnsi="Book Antiqua" w:cstheme="majorHAnsi"/>
          <w:color w:val="000000" w:themeColor="text1"/>
          <w:sz w:val="24"/>
          <w:szCs w:val="24"/>
        </w:rPr>
        <w:t>Allāh</w:t>
      </w:r>
      <w:proofErr w:type="spellEnd"/>
      <w:r w:rsidRPr="006B65A2">
        <w:rPr>
          <w:rFonts w:ascii="Book Antiqua" w:hAnsi="Book Antiqua" w:cstheme="majorHAnsi"/>
          <w:color w:val="000000" w:themeColor="text1"/>
          <w:sz w:val="24"/>
          <w:szCs w:val="24"/>
        </w:rPr>
        <w:t>, even if it be against yourselves or parents and relatives. Whether one is rich or poor</w:t>
      </w:r>
      <w:r w:rsidR="00213215">
        <w:rPr>
          <w:rFonts w:ascii="Book Antiqua" w:hAnsi="Book Antiqua" w:cstheme="majorHAnsi"/>
          <w:color w:val="000000" w:themeColor="text1"/>
          <w:sz w:val="24"/>
          <w:szCs w:val="24"/>
        </w:rPr>
        <w:t>, Allah is more worthy of both.</w:t>
      </w:r>
      <w:r w:rsidRPr="006B65A2">
        <w:rPr>
          <w:rFonts w:ascii="Book Antiqua" w:hAnsi="Book Antiqua" w:cstheme="majorHAnsi"/>
          <w:color w:val="000000" w:themeColor="text1"/>
          <w:sz w:val="24"/>
          <w:szCs w:val="24"/>
        </w:rPr>
        <w:t xml:space="preserve"> So follow not [personal] inclination, lest you not be just. And if you distort [your testimony] or refuse [to give it], then indeed </w:t>
      </w:r>
      <w:proofErr w:type="spellStart"/>
      <w:r w:rsidRPr="006B65A2">
        <w:rPr>
          <w:rFonts w:ascii="Book Antiqua" w:hAnsi="Book Antiqua" w:cstheme="majorHAnsi"/>
          <w:color w:val="000000" w:themeColor="text1"/>
          <w:sz w:val="24"/>
          <w:szCs w:val="24"/>
        </w:rPr>
        <w:t>Allāh</w:t>
      </w:r>
      <w:proofErr w:type="spellEnd"/>
      <w:r w:rsidRPr="006B65A2">
        <w:rPr>
          <w:rFonts w:ascii="Book Antiqua" w:hAnsi="Book Antiqua" w:cstheme="majorHAnsi"/>
          <w:color w:val="000000" w:themeColor="text1"/>
          <w:sz w:val="24"/>
          <w:szCs w:val="24"/>
        </w:rPr>
        <w:t xml:space="preserve"> is ever, of what you do, Aware."</w:t>
      </w:r>
    </w:p>
    <w:p w:rsidR="004B1F20" w:rsidRDefault="006B65A2" w:rsidP="006B65A2">
      <w:pPr>
        <w:spacing w:after="120" w:line="240" w:lineRule="auto"/>
        <w:jc w:val="both"/>
        <w:rPr>
          <w:rFonts w:ascii="Book Antiqua" w:hAnsi="Book Antiqua" w:cstheme="majorHAnsi"/>
          <w:color w:val="000000" w:themeColor="text1"/>
          <w:sz w:val="24"/>
          <w:szCs w:val="24"/>
        </w:rPr>
      </w:pPr>
      <w:r w:rsidRPr="006B65A2">
        <w:rPr>
          <w:rFonts w:ascii="Book Antiqua" w:hAnsi="Book Antiqua" w:cstheme="majorHAnsi"/>
          <w:color w:val="000000" w:themeColor="text1"/>
          <w:sz w:val="24"/>
          <w:szCs w:val="24"/>
        </w:rPr>
        <w:t>The above verse contains legal instructions that the testimony also aims to prove the truth against oneself from the accusations of other parties. Testimony against oneself (</w:t>
      </w:r>
      <w:proofErr w:type="spellStart"/>
      <w:r w:rsidRPr="009671ED">
        <w:rPr>
          <w:rFonts w:ascii="Book Antiqua" w:hAnsi="Book Antiqua" w:cstheme="majorHAnsi"/>
          <w:i/>
          <w:color w:val="000000" w:themeColor="text1"/>
          <w:sz w:val="24"/>
          <w:szCs w:val="24"/>
        </w:rPr>
        <w:t>walaw</w:t>
      </w:r>
      <w:proofErr w:type="spellEnd"/>
      <w:r w:rsidRPr="009671ED">
        <w:rPr>
          <w:rFonts w:ascii="Book Antiqua" w:hAnsi="Book Antiqua" w:cstheme="majorHAnsi"/>
          <w:i/>
          <w:color w:val="000000" w:themeColor="text1"/>
          <w:sz w:val="24"/>
          <w:szCs w:val="24"/>
        </w:rPr>
        <w:t xml:space="preserve"> '</w:t>
      </w:r>
      <w:proofErr w:type="spellStart"/>
      <w:r w:rsidRPr="009671ED">
        <w:rPr>
          <w:rFonts w:ascii="Book Antiqua" w:hAnsi="Book Antiqua" w:cstheme="majorHAnsi"/>
          <w:i/>
          <w:color w:val="000000" w:themeColor="text1"/>
          <w:sz w:val="24"/>
          <w:szCs w:val="24"/>
        </w:rPr>
        <w:t>ala</w:t>
      </w:r>
      <w:proofErr w:type="spellEnd"/>
      <w:r w:rsidRPr="009671ED">
        <w:rPr>
          <w:rFonts w:ascii="Book Antiqua" w:hAnsi="Book Antiqua" w:cstheme="majorHAnsi"/>
          <w:i/>
          <w:color w:val="000000" w:themeColor="text1"/>
          <w:sz w:val="24"/>
          <w:szCs w:val="24"/>
        </w:rPr>
        <w:t xml:space="preserve"> </w:t>
      </w:r>
      <w:proofErr w:type="spellStart"/>
      <w:r w:rsidRPr="009671ED">
        <w:rPr>
          <w:rFonts w:ascii="Book Antiqua" w:hAnsi="Book Antiqua" w:cstheme="majorHAnsi"/>
          <w:i/>
          <w:color w:val="000000" w:themeColor="text1"/>
          <w:sz w:val="24"/>
          <w:szCs w:val="24"/>
        </w:rPr>
        <w:t>anfusikum</w:t>
      </w:r>
      <w:proofErr w:type="spellEnd"/>
      <w:r w:rsidRPr="006B65A2">
        <w:rPr>
          <w:rFonts w:ascii="Book Antiqua" w:hAnsi="Book Antiqua" w:cstheme="majorHAnsi"/>
          <w:color w:val="000000" w:themeColor="text1"/>
          <w:sz w:val="24"/>
          <w:szCs w:val="24"/>
        </w:rPr>
        <w:t>) in a court trial indicates reverse proof where the defendant can testify before the judge that he did not commit the wrongdoing as alleged</w:t>
      </w:r>
      <w:r w:rsidRPr="00213215">
        <w:rPr>
          <w:rFonts w:ascii="Book Antiqua" w:hAnsi="Book Antiqua" w:cstheme="majorHAnsi"/>
          <w:color w:val="000000" w:themeColor="text1"/>
          <w:sz w:val="24"/>
          <w:szCs w:val="24"/>
        </w:rPr>
        <w:t>.</w:t>
      </w:r>
      <w:r w:rsidR="00B63396">
        <w:rPr>
          <w:rStyle w:val="FootnoteReference"/>
          <w:rFonts w:ascii="Book Antiqua" w:hAnsi="Book Antiqua"/>
          <w:sz w:val="24"/>
          <w:szCs w:val="24"/>
        </w:rPr>
        <w:footnoteReference w:id="34"/>
      </w:r>
      <w:r w:rsidR="00213215">
        <w:rPr>
          <w:rFonts w:ascii="Book Antiqua" w:hAnsi="Book Antiqua" w:cstheme="majorHAnsi"/>
          <w:color w:val="000000" w:themeColor="text1"/>
          <w:sz w:val="24"/>
          <w:szCs w:val="24"/>
        </w:rPr>
        <w:t xml:space="preserve"> </w:t>
      </w:r>
      <w:r w:rsidRPr="006B65A2">
        <w:rPr>
          <w:rFonts w:ascii="Book Antiqua" w:hAnsi="Book Antiqua" w:cstheme="majorHAnsi"/>
          <w:color w:val="000000" w:themeColor="text1"/>
          <w:sz w:val="24"/>
          <w:szCs w:val="24"/>
        </w:rPr>
        <w:t xml:space="preserve">If a corruption offense case, a person who is accused of committing corruption can testify for </w:t>
      </w:r>
      <w:proofErr w:type="gramStart"/>
      <w:r w:rsidRPr="006B65A2">
        <w:rPr>
          <w:rFonts w:ascii="Book Antiqua" w:hAnsi="Book Antiqua" w:cstheme="majorHAnsi"/>
          <w:color w:val="000000" w:themeColor="text1"/>
          <w:sz w:val="24"/>
          <w:szCs w:val="24"/>
        </w:rPr>
        <w:t>himself</w:t>
      </w:r>
      <w:proofErr w:type="gramEnd"/>
      <w:r w:rsidRPr="006B65A2">
        <w:rPr>
          <w:rFonts w:ascii="Book Antiqua" w:hAnsi="Book Antiqua" w:cstheme="majorHAnsi"/>
          <w:color w:val="000000" w:themeColor="text1"/>
          <w:sz w:val="24"/>
          <w:szCs w:val="24"/>
        </w:rPr>
        <w:t xml:space="preserve"> that the assets acquired so far are not from the offense. Mustafa al-</w:t>
      </w:r>
      <w:proofErr w:type="spellStart"/>
      <w:r w:rsidRPr="006B65A2">
        <w:rPr>
          <w:rFonts w:ascii="Book Antiqua" w:hAnsi="Book Antiqua" w:cstheme="majorHAnsi"/>
          <w:color w:val="000000" w:themeColor="text1"/>
          <w:sz w:val="24"/>
          <w:szCs w:val="24"/>
        </w:rPr>
        <w:t>Zarqa</w:t>
      </w:r>
      <w:proofErr w:type="spellEnd"/>
      <w:r w:rsidRPr="006B65A2">
        <w:rPr>
          <w:rFonts w:ascii="Book Antiqua" w:hAnsi="Book Antiqua" w:cstheme="majorHAnsi"/>
          <w:color w:val="000000" w:themeColor="text1"/>
          <w:sz w:val="24"/>
          <w:szCs w:val="24"/>
        </w:rPr>
        <w:t xml:space="preserve"> argued that if a state official has assets with unclear sources, it indicates that he has committed treason and corruption.</w:t>
      </w:r>
      <w:r w:rsidR="00B63396">
        <w:rPr>
          <w:rStyle w:val="FootnoteReference"/>
          <w:rFonts w:ascii="Book Antiqua" w:hAnsi="Book Antiqua"/>
          <w:sz w:val="24"/>
          <w:szCs w:val="24"/>
        </w:rPr>
        <w:footnoteReference w:id="35"/>
      </w:r>
      <w:r w:rsidRPr="006B65A2">
        <w:rPr>
          <w:rFonts w:ascii="Book Antiqua" w:hAnsi="Book Antiqua" w:cstheme="majorHAnsi"/>
          <w:color w:val="000000" w:themeColor="text1"/>
          <w:sz w:val="24"/>
          <w:szCs w:val="24"/>
        </w:rPr>
        <w:t xml:space="preserve">  Therefore, he may be fired, and the property may be confiscated as long as he cannot prove the source of his wealth.</w:t>
      </w:r>
    </w:p>
    <w:p w:rsidR="00761299" w:rsidRPr="007C2FFA" w:rsidRDefault="00761299" w:rsidP="00761299">
      <w:pPr>
        <w:spacing w:after="0" w:line="240" w:lineRule="auto"/>
        <w:jc w:val="both"/>
        <w:rPr>
          <w:rFonts w:ascii="Book Antiqua" w:hAnsi="Book Antiqua" w:cs="Calibri"/>
          <w:color w:val="000000" w:themeColor="text1"/>
          <w:lang w:val="id-ID"/>
        </w:rPr>
      </w:pPr>
    </w:p>
    <w:p w:rsidR="004B1F20" w:rsidRPr="006B65A2" w:rsidRDefault="004B1F20" w:rsidP="006B65A2">
      <w:pPr>
        <w:pStyle w:val="ListParagraph"/>
        <w:numPr>
          <w:ilvl w:val="0"/>
          <w:numId w:val="18"/>
        </w:numPr>
        <w:spacing w:after="120" w:line="240" w:lineRule="auto"/>
        <w:ind w:left="360"/>
        <w:jc w:val="both"/>
        <w:rPr>
          <w:rFonts w:ascii="Book Antiqua" w:hAnsi="Book Antiqua"/>
          <w:b/>
          <w:bCs/>
          <w:color w:val="FFC000" w:themeColor="accent4"/>
          <w:szCs w:val="22"/>
          <w:lang w:val="id-ID"/>
        </w:rPr>
      </w:pPr>
      <w:r w:rsidRPr="006B65A2">
        <w:rPr>
          <w:rFonts w:ascii="Book Antiqua" w:hAnsi="Book Antiqua"/>
          <w:b/>
          <w:color w:val="2F5496" w:themeColor="accent1" w:themeShade="BF"/>
          <w:sz w:val="24"/>
          <w:szCs w:val="24"/>
        </w:rPr>
        <w:t>CONCLUSION</w:t>
      </w:r>
    </w:p>
    <w:p w:rsidR="006B65A2" w:rsidRPr="006B65A2" w:rsidRDefault="006B65A2" w:rsidP="006B65A2">
      <w:pPr>
        <w:spacing w:after="120" w:line="240" w:lineRule="auto"/>
        <w:jc w:val="both"/>
        <w:rPr>
          <w:rFonts w:ascii="Book Antiqua" w:hAnsi="Book Antiqua" w:cstheme="majorHAnsi"/>
          <w:color w:val="000000" w:themeColor="text1"/>
          <w:sz w:val="24"/>
          <w:szCs w:val="24"/>
          <w:lang w:val="en-GB"/>
        </w:rPr>
      </w:pPr>
      <w:r w:rsidRPr="006B65A2">
        <w:rPr>
          <w:rFonts w:ascii="Book Antiqua" w:hAnsi="Book Antiqua" w:cstheme="majorHAnsi"/>
          <w:color w:val="000000" w:themeColor="text1"/>
          <w:sz w:val="24"/>
          <w:szCs w:val="24"/>
          <w:lang w:val="en-GB"/>
        </w:rPr>
        <w:t xml:space="preserve">Proof in Islamic criminal law is identical to the conventional principle adopted in Indonesian criminal law, where the Public Prosecutor must prove the defendant's guilt. In Islamic criminal law, this proof is based on the hadith of the Prophet Muhammad PBUH, meaning "If humans were allowed to sue (freely), then they would demand blood and other property, but the person who was prosecuted had to swear an oath (Narrated by </w:t>
      </w:r>
      <w:proofErr w:type="spellStart"/>
      <w:r w:rsidRPr="006B65A2">
        <w:rPr>
          <w:rFonts w:ascii="Book Antiqua" w:hAnsi="Book Antiqua" w:cstheme="majorHAnsi"/>
          <w:color w:val="000000" w:themeColor="text1"/>
          <w:sz w:val="24"/>
          <w:szCs w:val="24"/>
          <w:lang w:val="en-GB"/>
        </w:rPr>
        <w:t>Baihaqi</w:t>
      </w:r>
      <w:proofErr w:type="spellEnd"/>
      <w:r w:rsidRPr="006B65A2">
        <w:rPr>
          <w:rFonts w:ascii="Book Antiqua" w:hAnsi="Book Antiqua" w:cstheme="majorHAnsi"/>
          <w:color w:val="000000" w:themeColor="text1"/>
          <w:sz w:val="24"/>
          <w:szCs w:val="24"/>
          <w:lang w:val="en-GB"/>
        </w:rPr>
        <w:t>). This hadith implies that the oath is charged to the defendant, while the evidence is the responsibility of the plaintiff. So, in the Islamic criminal code procedure, the prosecutor is responsible for proof because every matter is based on facts, and whoever denies them is obligated to prove it. Hence, the judge must grant the prosecutor and defendant equal rights to provide evidence of the case.</w:t>
      </w:r>
    </w:p>
    <w:p w:rsidR="004B1F20" w:rsidRDefault="006B65A2" w:rsidP="006B65A2">
      <w:pPr>
        <w:spacing w:after="120" w:line="240" w:lineRule="auto"/>
        <w:jc w:val="both"/>
        <w:rPr>
          <w:rFonts w:ascii="Book Antiqua" w:hAnsi="Book Antiqua" w:cstheme="majorHAnsi"/>
          <w:color w:val="000000" w:themeColor="text1"/>
          <w:sz w:val="24"/>
          <w:szCs w:val="24"/>
          <w:lang w:val="en-GB"/>
        </w:rPr>
      </w:pPr>
      <w:r w:rsidRPr="006B65A2">
        <w:rPr>
          <w:rFonts w:ascii="Book Antiqua" w:hAnsi="Book Antiqua" w:cstheme="majorHAnsi"/>
          <w:color w:val="000000" w:themeColor="text1"/>
          <w:sz w:val="24"/>
          <w:szCs w:val="24"/>
          <w:lang w:val="en-GB"/>
        </w:rPr>
        <w:t xml:space="preserve">In Indonesian criminal law, the principle of proof above is ruled out for certain cases that are difficult to prove, such as corruption and money laundering. To overcome the obstacles to eradicating corruption offenses, the government applies the principle of the reverse burden of proof, where the one with an obligation to prove the offense is not the Public Prosecutor but the defendant. The reverse burden of proof has been regulated in Article 37 of Law no. 31 of 2019 in conjunction with Law No. 20 of 2000 concerning the Eradication of Corruption Crimes and Article 35 of Law no. 8 of 2010 concerning the </w:t>
      </w:r>
      <w:r w:rsidRPr="006B65A2">
        <w:rPr>
          <w:rFonts w:ascii="Book Antiqua" w:hAnsi="Book Antiqua" w:cstheme="majorHAnsi"/>
          <w:color w:val="000000" w:themeColor="text1"/>
          <w:sz w:val="24"/>
          <w:szCs w:val="24"/>
          <w:lang w:val="en-GB"/>
        </w:rPr>
        <w:lastRenderedPageBreak/>
        <w:t>Prevention and Eradication of Money Laundering. On the other hand, in Islamic criminal law, the concept of the reverse burden of proof has long been applied, as indicated in Surah Al-</w:t>
      </w:r>
      <w:proofErr w:type="spellStart"/>
      <w:r w:rsidRPr="006B65A2">
        <w:rPr>
          <w:rFonts w:ascii="Book Antiqua" w:hAnsi="Book Antiqua" w:cstheme="majorHAnsi"/>
          <w:color w:val="000000" w:themeColor="text1"/>
          <w:sz w:val="24"/>
          <w:szCs w:val="24"/>
          <w:lang w:val="en-GB"/>
        </w:rPr>
        <w:t>Nisa</w:t>
      </w:r>
      <w:proofErr w:type="spellEnd"/>
      <w:r w:rsidRPr="006B65A2">
        <w:rPr>
          <w:rFonts w:ascii="Book Antiqua" w:hAnsi="Book Antiqua" w:cstheme="majorHAnsi"/>
          <w:color w:val="000000" w:themeColor="text1"/>
          <w:sz w:val="24"/>
          <w:szCs w:val="24"/>
          <w:lang w:val="en-GB"/>
        </w:rPr>
        <w:t xml:space="preserve">: 135 and the story of the proof of the Prophet Yusuf on the accusation of </w:t>
      </w:r>
      <w:proofErr w:type="spellStart"/>
      <w:r w:rsidRPr="006B65A2">
        <w:rPr>
          <w:rFonts w:ascii="Book Antiqua" w:hAnsi="Book Antiqua" w:cstheme="majorHAnsi"/>
          <w:color w:val="000000" w:themeColor="text1"/>
          <w:sz w:val="24"/>
          <w:szCs w:val="24"/>
          <w:lang w:val="en-GB"/>
        </w:rPr>
        <w:t>Zulaikha</w:t>
      </w:r>
      <w:proofErr w:type="spellEnd"/>
      <w:r w:rsidRPr="006B65A2">
        <w:rPr>
          <w:rFonts w:ascii="Book Antiqua" w:hAnsi="Book Antiqua" w:cstheme="majorHAnsi"/>
          <w:color w:val="000000" w:themeColor="text1"/>
          <w:sz w:val="24"/>
          <w:szCs w:val="24"/>
          <w:lang w:val="en-GB"/>
        </w:rPr>
        <w:t xml:space="preserve"> in Surah Yusuf verses 24-29 and several hadiths of the Prophet Muhammad PBUH. The similarity between these two legal systems is that the reverse burden of proof is only applied to certain cases.</w:t>
      </w:r>
    </w:p>
    <w:p w:rsidR="00AA1A42" w:rsidRPr="00EE6288" w:rsidRDefault="00AA1A42" w:rsidP="00AA1A42">
      <w:pPr>
        <w:spacing w:after="0" w:line="240" w:lineRule="auto"/>
        <w:jc w:val="both"/>
        <w:rPr>
          <w:rFonts w:ascii="Book Antiqua" w:hAnsi="Book Antiqua" w:cs="Calibri"/>
          <w:color w:val="333333"/>
        </w:rPr>
      </w:pPr>
    </w:p>
    <w:p w:rsidR="004B1F20" w:rsidRDefault="004B1F20" w:rsidP="00B322EB">
      <w:pPr>
        <w:spacing w:after="120" w:line="240" w:lineRule="auto"/>
        <w:jc w:val="both"/>
        <w:rPr>
          <w:rFonts w:ascii="Book Antiqua" w:eastAsia="Arial Unicode MS" w:hAnsi="Book Antiqua" w:cstheme="majorHAnsi"/>
          <w:b/>
          <w:color w:val="2F5496" w:themeColor="accent1" w:themeShade="BF"/>
          <w:sz w:val="24"/>
          <w:szCs w:val="24"/>
          <w:lang w:val="en-GB"/>
        </w:rPr>
      </w:pPr>
      <w:r w:rsidRPr="00EE6288">
        <w:rPr>
          <w:rFonts w:ascii="Book Antiqua" w:eastAsia="Arial Unicode MS" w:hAnsi="Book Antiqua" w:cstheme="majorHAnsi"/>
          <w:b/>
          <w:color w:val="2F5496" w:themeColor="accent1" w:themeShade="BF"/>
          <w:sz w:val="24"/>
          <w:szCs w:val="24"/>
          <w:lang w:val="en-GB"/>
        </w:rPr>
        <w:t>REFERENCES</w:t>
      </w:r>
    </w:p>
    <w:p w:rsidR="009671ED" w:rsidRDefault="009671ED" w:rsidP="00B322EB">
      <w:pPr>
        <w:spacing w:after="120" w:line="240" w:lineRule="auto"/>
        <w:jc w:val="both"/>
        <w:rPr>
          <w:rFonts w:ascii="Book Antiqua" w:eastAsia="Arial Unicode MS" w:hAnsi="Book Antiqua" w:cstheme="majorHAnsi"/>
          <w:i/>
          <w:sz w:val="24"/>
          <w:szCs w:val="24"/>
          <w:lang w:val="en-GB"/>
        </w:rPr>
      </w:pPr>
      <w:r w:rsidRPr="009671ED">
        <w:rPr>
          <w:rFonts w:ascii="Book Antiqua" w:eastAsia="Arial Unicode MS" w:hAnsi="Book Antiqua" w:cstheme="majorHAnsi"/>
          <w:i/>
          <w:sz w:val="24"/>
          <w:szCs w:val="24"/>
          <w:lang w:val="en-GB"/>
        </w:rPr>
        <w:t>Journal Article</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Pr>
          <w:rFonts w:ascii="Book Antiqua" w:eastAsia="Arial Unicode MS" w:hAnsi="Book Antiqua" w:cstheme="majorHAnsi"/>
          <w:sz w:val="24"/>
          <w:szCs w:val="24"/>
          <w:lang w:val="en-GB"/>
        </w:rPr>
        <w:fldChar w:fldCharType="begin" w:fldLock="1"/>
      </w:r>
      <w:r>
        <w:rPr>
          <w:rFonts w:ascii="Book Antiqua" w:eastAsia="Arial Unicode MS" w:hAnsi="Book Antiqua" w:cstheme="majorHAnsi"/>
          <w:sz w:val="24"/>
          <w:szCs w:val="24"/>
          <w:lang w:val="en-GB"/>
        </w:rPr>
        <w:instrText xml:space="preserve">ADDIN Mendeley Bibliography CSL_BIBLIOGRAPHY </w:instrText>
      </w:r>
      <w:r>
        <w:rPr>
          <w:rFonts w:ascii="Book Antiqua" w:eastAsia="Arial Unicode MS" w:hAnsi="Book Antiqua" w:cstheme="majorHAnsi"/>
          <w:sz w:val="24"/>
          <w:szCs w:val="24"/>
          <w:lang w:val="en-GB"/>
        </w:rPr>
        <w:fldChar w:fldCharType="separate"/>
      </w:r>
      <w:r w:rsidR="00D921B7">
        <w:rPr>
          <w:rFonts w:ascii="Book Antiqua" w:hAnsi="Book Antiqua"/>
          <w:noProof/>
          <w:sz w:val="24"/>
          <w:szCs w:val="24"/>
        </w:rPr>
        <w:t>Adji, Indriyanto Seno</w:t>
      </w:r>
      <w:r w:rsidRPr="0029592F">
        <w:rPr>
          <w:rFonts w:ascii="Book Antiqua" w:hAnsi="Book Antiqua"/>
          <w:noProof/>
          <w:sz w:val="24"/>
          <w:szCs w:val="24"/>
        </w:rPr>
        <w:t xml:space="preserve">. “Perspektif Perbuatan Melawan Hukum Terhadap Tindak Pidana Korupsi.” </w:t>
      </w:r>
      <w:r w:rsidRPr="0029592F">
        <w:rPr>
          <w:rFonts w:ascii="Book Antiqua" w:hAnsi="Book Antiqua"/>
          <w:i/>
          <w:iCs/>
          <w:noProof/>
          <w:sz w:val="24"/>
          <w:szCs w:val="24"/>
        </w:rPr>
        <w:t>Jurnal Hukum Pro Justitia</w:t>
      </w:r>
      <w:r w:rsidRPr="0029592F">
        <w:rPr>
          <w:rFonts w:ascii="Book Antiqua" w:hAnsi="Book Antiqua"/>
          <w:noProof/>
          <w:sz w:val="24"/>
          <w:szCs w:val="24"/>
        </w:rPr>
        <w:t xml:space="preserve"> 25, no. 4 (2007): 283–304</w:t>
      </w:r>
      <w:r w:rsidR="006D72BA">
        <w:rPr>
          <w:rFonts w:ascii="Book Antiqua" w:hAnsi="Book Antiqua"/>
          <w:noProof/>
          <w:sz w:val="24"/>
          <w:szCs w:val="24"/>
        </w:rPr>
        <w:t>.</w:t>
      </w:r>
      <w:r w:rsidR="006D72BA" w:rsidRPr="006D72BA">
        <w:t xml:space="preserve"> </w:t>
      </w:r>
      <w:r w:rsidR="006D72BA">
        <w:rPr>
          <w:rFonts w:ascii="Book Antiqua" w:hAnsi="Book Antiqua"/>
          <w:noProof/>
          <w:sz w:val="24"/>
          <w:szCs w:val="24"/>
        </w:rPr>
        <w:t>https://doi.org/10.20885/jhpj</w:t>
      </w:r>
      <w:r w:rsidR="006D72BA" w:rsidRPr="006D72BA">
        <w:rPr>
          <w:rFonts w:ascii="Book Antiqua" w:hAnsi="Book Antiqua"/>
          <w:noProof/>
          <w:sz w:val="24"/>
          <w:szCs w:val="24"/>
        </w:rPr>
        <w:t>.vo</w:t>
      </w:r>
      <w:r w:rsidR="006D72BA">
        <w:rPr>
          <w:rFonts w:ascii="Book Antiqua" w:hAnsi="Book Antiqua"/>
          <w:noProof/>
          <w:sz w:val="24"/>
          <w:szCs w:val="24"/>
        </w:rPr>
        <w:t>25</w:t>
      </w:r>
      <w:r w:rsidR="006D72BA" w:rsidRPr="006D72BA">
        <w:rPr>
          <w:rFonts w:ascii="Book Antiqua" w:hAnsi="Book Antiqua"/>
          <w:noProof/>
          <w:sz w:val="24"/>
          <w:szCs w:val="24"/>
        </w:rPr>
        <w:t>.iss4.art6.</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Analiansyah. “Hukum Pembuktian Terbalik Dalam Perspektif Hukum Islam.” </w:t>
      </w:r>
      <w:r w:rsidRPr="0029592F">
        <w:rPr>
          <w:rFonts w:ascii="Book Antiqua" w:hAnsi="Book Antiqua"/>
          <w:i/>
          <w:iCs/>
          <w:noProof/>
          <w:sz w:val="24"/>
          <w:szCs w:val="24"/>
        </w:rPr>
        <w:t>Jurnal Al-Murshalah</w:t>
      </w:r>
      <w:r w:rsidRPr="0029592F">
        <w:rPr>
          <w:rFonts w:ascii="Book Antiqua" w:hAnsi="Book Antiqua"/>
          <w:noProof/>
          <w:sz w:val="24"/>
          <w:szCs w:val="24"/>
        </w:rPr>
        <w:t xml:space="preserve"> 2, no. 1 (2016): 38–52</w:t>
      </w:r>
      <w:r w:rsidR="006D72BA">
        <w:rPr>
          <w:rFonts w:ascii="Book Antiqua" w:hAnsi="Book Antiqua"/>
          <w:noProof/>
          <w:sz w:val="24"/>
          <w:szCs w:val="24"/>
        </w:rPr>
        <w:t>. https://doi.org/10.18196/jam</w:t>
      </w:r>
      <w:r w:rsidR="006D72BA" w:rsidRPr="006D72BA">
        <w:rPr>
          <w:rFonts w:ascii="Book Antiqua" w:hAnsi="Book Antiqua"/>
          <w:noProof/>
          <w:sz w:val="24"/>
          <w:szCs w:val="24"/>
        </w:rPr>
        <w:t>.</w:t>
      </w:r>
      <w:r w:rsidR="006D72BA">
        <w:rPr>
          <w:rFonts w:ascii="Book Antiqua" w:hAnsi="Book Antiqua"/>
          <w:noProof/>
          <w:sz w:val="24"/>
          <w:szCs w:val="24"/>
        </w:rPr>
        <w:t>vo</w:t>
      </w:r>
      <w:r w:rsidR="006D72BA" w:rsidRPr="006D72BA">
        <w:rPr>
          <w:rFonts w:ascii="Book Antiqua" w:hAnsi="Book Antiqua"/>
          <w:noProof/>
          <w:sz w:val="24"/>
          <w:szCs w:val="24"/>
        </w:rPr>
        <w:t>2</w:t>
      </w:r>
      <w:r w:rsidR="006D72BA">
        <w:rPr>
          <w:rFonts w:ascii="Book Antiqua" w:hAnsi="Book Antiqua"/>
          <w:noProof/>
          <w:sz w:val="24"/>
          <w:szCs w:val="24"/>
        </w:rPr>
        <w:t>.i1.</w:t>
      </w:r>
      <w:r w:rsidR="006D72BA" w:rsidRPr="006D72BA">
        <w:rPr>
          <w:rFonts w:ascii="Book Antiqua" w:hAnsi="Book Antiqua"/>
          <w:noProof/>
          <w:sz w:val="24"/>
          <w:szCs w:val="24"/>
        </w:rPr>
        <w:t>217.</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Eddyono, Supriyadi Widodo. “Verification Reversed Imposition And It’s Challenges.” </w:t>
      </w:r>
      <w:r w:rsidRPr="0029592F">
        <w:rPr>
          <w:rFonts w:ascii="Book Antiqua" w:hAnsi="Book Antiqua"/>
          <w:i/>
          <w:iCs/>
          <w:noProof/>
          <w:sz w:val="24"/>
          <w:szCs w:val="24"/>
        </w:rPr>
        <w:t>Legislasi Indonesia</w:t>
      </w:r>
      <w:r w:rsidRPr="0029592F">
        <w:rPr>
          <w:rFonts w:ascii="Book Antiqua" w:hAnsi="Book Antiqua"/>
          <w:noProof/>
          <w:sz w:val="24"/>
          <w:szCs w:val="24"/>
        </w:rPr>
        <w:t xml:space="preserve"> 8, no. 2 (2013): 267–80</w:t>
      </w:r>
      <w:r w:rsidR="009C3462">
        <w:rPr>
          <w:rFonts w:ascii="Book Antiqua" w:hAnsi="Book Antiqua"/>
          <w:noProof/>
          <w:sz w:val="24"/>
          <w:szCs w:val="24"/>
        </w:rPr>
        <w:t>.</w:t>
      </w:r>
      <w:r w:rsidR="009C3462" w:rsidRPr="009C3462">
        <w:rPr>
          <w:rFonts w:ascii="Book Antiqua" w:hAnsi="Book Antiqua"/>
          <w:noProof/>
          <w:sz w:val="24"/>
          <w:szCs w:val="24"/>
        </w:rPr>
        <w:t xml:space="preserve"> https://doi.org/10.54629/jli.v8i2.358</w:t>
      </w:r>
      <w:r w:rsidRPr="0029592F">
        <w:rPr>
          <w:rFonts w:ascii="Book Antiqua" w:hAnsi="Book Antiqua"/>
          <w:noProof/>
          <w:sz w:val="24"/>
          <w:szCs w:val="24"/>
        </w:rPr>
        <w:t>.</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Hart, Hamilton. “Anti Corruption Strategies in Indonesia.” </w:t>
      </w:r>
      <w:r w:rsidRPr="0029592F">
        <w:rPr>
          <w:rFonts w:ascii="Book Antiqua" w:hAnsi="Book Antiqua"/>
          <w:i/>
          <w:iCs/>
          <w:noProof/>
          <w:sz w:val="24"/>
          <w:szCs w:val="24"/>
        </w:rPr>
        <w:t>Buletin of Indonesia Economic Studies</w:t>
      </w:r>
      <w:r w:rsidRPr="0029592F">
        <w:rPr>
          <w:rFonts w:ascii="Book Antiqua" w:hAnsi="Book Antiqua"/>
          <w:noProof/>
          <w:sz w:val="24"/>
          <w:szCs w:val="24"/>
        </w:rPr>
        <w:t xml:space="preserve"> 37, no. 1 (2001): 65–88</w:t>
      </w:r>
      <w:r w:rsidR="009C3462">
        <w:rPr>
          <w:rFonts w:ascii="Book Antiqua" w:hAnsi="Book Antiqua"/>
          <w:noProof/>
          <w:sz w:val="24"/>
          <w:szCs w:val="24"/>
        </w:rPr>
        <w:t xml:space="preserve">. </w:t>
      </w:r>
      <w:r w:rsidR="009C3462" w:rsidRPr="009C3462">
        <w:rPr>
          <w:rFonts w:ascii="Book Antiqua" w:hAnsi="Book Antiqua"/>
          <w:noProof/>
          <w:sz w:val="24"/>
          <w:szCs w:val="24"/>
        </w:rPr>
        <w:t>https://doi.org/10.1080/000749101300046519</w:t>
      </w:r>
      <w:r w:rsidRPr="0029592F">
        <w:rPr>
          <w:rFonts w:ascii="Book Antiqua" w:hAnsi="Book Antiqua"/>
          <w:noProof/>
          <w:sz w:val="24"/>
          <w:szCs w:val="24"/>
        </w:rPr>
        <w:t>.</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Hashim, Ashraf Bin Md. “Tahap Pembuktian Di Dalam Kes-Kes Jenayah: Kajian Perbandingan Antara Undang-Undang Islam Dan Sivil.” </w:t>
      </w:r>
      <w:r w:rsidRPr="0029592F">
        <w:rPr>
          <w:rFonts w:ascii="Book Antiqua" w:hAnsi="Book Antiqua"/>
          <w:i/>
          <w:iCs/>
          <w:noProof/>
          <w:sz w:val="24"/>
          <w:szCs w:val="24"/>
        </w:rPr>
        <w:t>Jumal Syariah</w:t>
      </w:r>
      <w:r w:rsidRPr="0029592F">
        <w:rPr>
          <w:rFonts w:ascii="Book Antiqua" w:hAnsi="Book Antiqua"/>
          <w:noProof/>
          <w:sz w:val="24"/>
          <w:szCs w:val="24"/>
        </w:rPr>
        <w:t xml:space="preserve"> 9, no. 2 (2001): 1</w:t>
      </w:r>
      <w:r w:rsidR="008B5D51">
        <w:rPr>
          <w:rFonts w:ascii="Book Antiqua" w:hAnsi="Book Antiqua"/>
          <w:noProof/>
          <w:sz w:val="24"/>
          <w:szCs w:val="24"/>
        </w:rPr>
        <w:t xml:space="preserve">3-32. </w:t>
      </w:r>
      <w:r w:rsidR="008B5D51" w:rsidRPr="008B5D51">
        <w:rPr>
          <w:rFonts w:ascii="Book Antiqua" w:hAnsi="Book Antiqua"/>
          <w:noProof/>
          <w:sz w:val="24"/>
          <w:szCs w:val="24"/>
        </w:rPr>
        <w:t>https://doi.org/10.22452</w:t>
      </w:r>
      <w:r w:rsidRPr="0029592F">
        <w:rPr>
          <w:rFonts w:ascii="Book Antiqua" w:hAnsi="Book Antiqua"/>
          <w:noProof/>
          <w:sz w:val="24"/>
          <w:szCs w:val="24"/>
        </w:rPr>
        <w:t>.</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Hatta, Muhammad. </w:t>
      </w:r>
      <w:r w:rsidRPr="0029592F">
        <w:rPr>
          <w:rFonts w:ascii="Book Antiqua" w:hAnsi="Book Antiqua"/>
          <w:i/>
          <w:iCs/>
          <w:noProof/>
          <w:sz w:val="24"/>
          <w:szCs w:val="24"/>
        </w:rPr>
        <w:t>Kejahatan Luar Biasa: Extra Ordinary Crime</w:t>
      </w:r>
      <w:r w:rsidRPr="0029592F">
        <w:rPr>
          <w:rFonts w:ascii="Book Antiqua" w:hAnsi="Book Antiqua"/>
          <w:noProof/>
          <w:sz w:val="24"/>
          <w:szCs w:val="24"/>
        </w:rPr>
        <w:t xml:space="preserve">. </w:t>
      </w:r>
      <w:r w:rsidRPr="0029592F">
        <w:rPr>
          <w:rFonts w:ascii="Book Antiqua" w:hAnsi="Book Antiqua"/>
          <w:i/>
          <w:iCs/>
          <w:noProof/>
          <w:sz w:val="24"/>
          <w:szCs w:val="24"/>
        </w:rPr>
        <w:t>Unimal Press</w:t>
      </w:r>
      <w:r w:rsidRPr="0029592F">
        <w:rPr>
          <w:rFonts w:ascii="Book Antiqua" w:hAnsi="Book Antiqua"/>
          <w:noProof/>
          <w:sz w:val="24"/>
          <w:szCs w:val="24"/>
        </w:rPr>
        <w:t>. Vol. 1, 2019. https://doi.org/10.1017/CBO9781107415324.004.</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Munawar, Kukun Abdul Syakur. “Pembuktian Terbalik Sebagai Kebijakan Kriminal Dalam Penanganan Tindak Pidana Korupsi.” </w:t>
      </w:r>
      <w:r w:rsidRPr="0029592F">
        <w:rPr>
          <w:rFonts w:ascii="Book Antiqua" w:hAnsi="Book Antiqua"/>
          <w:i/>
          <w:iCs/>
          <w:noProof/>
          <w:sz w:val="24"/>
          <w:szCs w:val="24"/>
        </w:rPr>
        <w:t>Jurnal Hukum</w:t>
      </w:r>
      <w:r w:rsidRPr="0029592F">
        <w:rPr>
          <w:rFonts w:ascii="Book Antiqua" w:hAnsi="Book Antiqua"/>
          <w:noProof/>
          <w:sz w:val="24"/>
          <w:szCs w:val="24"/>
        </w:rPr>
        <w:t xml:space="preserve"> 5, no. 2 (2017): 224–45</w:t>
      </w:r>
      <w:r w:rsidR="00D1021B">
        <w:rPr>
          <w:rFonts w:ascii="Book Antiqua" w:hAnsi="Book Antiqua"/>
          <w:noProof/>
          <w:sz w:val="24"/>
          <w:szCs w:val="24"/>
        </w:rPr>
        <w:t xml:space="preserve">. </w:t>
      </w:r>
      <w:r w:rsidR="00D1021B" w:rsidRPr="00D1021B">
        <w:rPr>
          <w:rFonts w:ascii="Book Antiqua" w:hAnsi="Book Antiqua"/>
          <w:noProof/>
          <w:sz w:val="24"/>
          <w:szCs w:val="24"/>
        </w:rPr>
        <w:t>http://dx.doi.org/10.25157/jigj.v5i2.820</w:t>
      </w:r>
      <w:r w:rsidRPr="0029592F">
        <w:rPr>
          <w:rFonts w:ascii="Book Antiqua" w:hAnsi="Book Antiqua"/>
          <w:noProof/>
          <w:sz w:val="24"/>
          <w:szCs w:val="24"/>
        </w:rPr>
        <w:t>.</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Noor, Ruzman, and Istajib Mokhtar. “Ulasan Kes Dari Aspek Pembuktian: Rosmah Binti Suly &amp; Seorang Yang Lain Lwn. Ismail Bin Mohamad &amp; Seorang Yang Lain [JH 32/2, JUN 2011, 223].” </w:t>
      </w:r>
      <w:r w:rsidRPr="0029592F">
        <w:rPr>
          <w:rFonts w:ascii="Book Antiqua" w:hAnsi="Book Antiqua"/>
          <w:i/>
          <w:iCs/>
          <w:noProof/>
          <w:sz w:val="24"/>
          <w:szCs w:val="24"/>
        </w:rPr>
        <w:t>Jurnal Kanun</w:t>
      </w:r>
      <w:r w:rsidRPr="0029592F">
        <w:rPr>
          <w:rFonts w:ascii="Book Antiqua" w:hAnsi="Book Antiqua"/>
          <w:noProof/>
          <w:sz w:val="24"/>
          <w:szCs w:val="24"/>
        </w:rPr>
        <w:t xml:space="preserve"> 26, no. 1 (2015)</w:t>
      </w:r>
      <w:r w:rsidR="00D1021B">
        <w:rPr>
          <w:rFonts w:ascii="Book Antiqua" w:hAnsi="Book Antiqua"/>
          <w:noProof/>
          <w:sz w:val="24"/>
          <w:szCs w:val="24"/>
        </w:rPr>
        <w:t>.</w:t>
      </w:r>
      <w:r w:rsidR="00D1021B" w:rsidRPr="00D1021B">
        <w:t xml:space="preserve"> </w:t>
      </w:r>
      <w:r w:rsidR="00D1021B">
        <w:rPr>
          <w:rFonts w:ascii="Book Antiqua" w:hAnsi="Book Antiqua"/>
          <w:noProof/>
          <w:sz w:val="24"/>
          <w:szCs w:val="24"/>
        </w:rPr>
        <w:t>http://dx.doi.org/10.30821/kanun</w:t>
      </w:r>
      <w:r w:rsidR="006D72BA">
        <w:rPr>
          <w:rFonts w:ascii="Book Antiqua" w:hAnsi="Book Antiqua"/>
          <w:noProof/>
          <w:sz w:val="24"/>
          <w:szCs w:val="24"/>
        </w:rPr>
        <w:t>.v2</w:t>
      </w:r>
      <w:r w:rsidR="00D1021B" w:rsidRPr="00D1021B">
        <w:rPr>
          <w:rFonts w:ascii="Book Antiqua" w:hAnsi="Book Antiqua"/>
          <w:noProof/>
          <w:sz w:val="24"/>
          <w:szCs w:val="24"/>
        </w:rPr>
        <w:t>6i</w:t>
      </w:r>
      <w:r w:rsidR="006D72BA">
        <w:rPr>
          <w:rFonts w:ascii="Book Antiqua" w:hAnsi="Book Antiqua"/>
          <w:noProof/>
          <w:sz w:val="24"/>
          <w:szCs w:val="24"/>
        </w:rPr>
        <w:t>1</w:t>
      </w:r>
      <w:r w:rsidR="00D1021B" w:rsidRPr="00D1021B">
        <w:rPr>
          <w:rFonts w:ascii="Book Antiqua" w:hAnsi="Book Antiqua"/>
          <w:noProof/>
          <w:sz w:val="24"/>
          <w:szCs w:val="24"/>
        </w:rPr>
        <w:t>.121.</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Nugroho, Bastianto. “Peranan Alat Bukti Dalam Perkara Pidana Dalam Putusan Hakim Menurut KUHAP.” </w:t>
      </w:r>
      <w:r w:rsidRPr="0029592F">
        <w:rPr>
          <w:rFonts w:ascii="Book Antiqua" w:hAnsi="Book Antiqua"/>
          <w:i/>
          <w:iCs/>
          <w:noProof/>
          <w:sz w:val="24"/>
          <w:szCs w:val="24"/>
        </w:rPr>
        <w:t>Yuridika</w:t>
      </w:r>
      <w:r w:rsidRPr="0029592F">
        <w:rPr>
          <w:rFonts w:ascii="Book Antiqua" w:hAnsi="Book Antiqua"/>
          <w:noProof/>
          <w:sz w:val="24"/>
          <w:szCs w:val="24"/>
        </w:rPr>
        <w:t xml:space="preserve"> 32, no. 1 (2017): 21-25</w:t>
      </w:r>
      <w:r w:rsidR="009E4910">
        <w:rPr>
          <w:rFonts w:ascii="Book Antiqua" w:hAnsi="Book Antiqua"/>
          <w:noProof/>
          <w:sz w:val="24"/>
          <w:szCs w:val="24"/>
        </w:rPr>
        <w:t>.</w:t>
      </w:r>
      <w:r w:rsidR="009E4910" w:rsidRPr="009E4910">
        <w:rPr>
          <w:rFonts w:ascii="Book Antiqua" w:hAnsi="Book Antiqua"/>
          <w:noProof/>
          <w:sz w:val="24"/>
          <w:szCs w:val="24"/>
        </w:rPr>
        <w:t xml:space="preserve"> https://doi.org/10.20473/ydk.v32i1.4780</w:t>
      </w:r>
      <w:r w:rsidR="009E4910">
        <w:rPr>
          <w:rFonts w:ascii="Book Antiqua" w:hAnsi="Book Antiqua"/>
          <w:noProof/>
          <w:sz w:val="24"/>
          <w:szCs w:val="24"/>
        </w:rPr>
        <w:t xml:space="preserve"> </w:t>
      </w:r>
      <w:r w:rsidRPr="0029592F">
        <w:rPr>
          <w:rFonts w:ascii="Book Antiqua" w:hAnsi="Book Antiqua"/>
          <w:noProof/>
          <w:sz w:val="24"/>
          <w:szCs w:val="24"/>
        </w:rPr>
        <w:t>.</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Paul, Augustine. “Evidence-Practice and Procedure.” </w:t>
      </w:r>
      <w:r w:rsidRPr="0029592F">
        <w:rPr>
          <w:rFonts w:ascii="Book Antiqua" w:hAnsi="Book Antiqua"/>
          <w:i/>
          <w:iCs/>
          <w:noProof/>
          <w:sz w:val="24"/>
          <w:szCs w:val="24"/>
        </w:rPr>
        <w:t>Malayan Law Journal</w:t>
      </w:r>
      <w:r w:rsidRPr="0029592F">
        <w:rPr>
          <w:rFonts w:ascii="Book Antiqua" w:hAnsi="Book Antiqua"/>
          <w:noProof/>
          <w:sz w:val="24"/>
          <w:szCs w:val="24"/>
        </w:rPr>
        <w:t xml:space="preserve"> 5 (2003): 540.</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Rahman, Gazali. “Asas Pembuktian Terbalik Dalam Tindak Pidana Korupsi (Perspektif Hukum Pidana Indonesia Dan Hukum Pidana Islam).” </w:t>
      </w:r>
      <w:r w:rsidRPr="0029592F">
        <w:rPr>
          <w:rFonts w:ascii="Book Antiqua" w:hAnsi="Book Antiqua"/>
          <w:i/>
          <w:iCs/>
          <w:noProof/>
          <w:sz w:val="24"/>
          <w:szCs w:val="24"/>
        </w:rPr>
        <w:t>Tahkim: Jurnal Hukum Dan Syariah</w:t>
      </w:r>
      <w:r w:rsidRPr="0029592F">
        <w:rPr>
          <w:rFonts w:ascii="Book Antiqua" w:hAnsi="Book Antiqua"/>
          <w:noProof/>
          <w:sz w:val="24"/>
          <w:szCs w:val="24"/>
        </w:rPr>
        <w:t xml:space="preserve"> XV, no. 2 (2019): 235–45</w:t>
      </w:r>
      <w:r w:rsidR="009E4910">
        <w:rPr>
          <w:rFonts w:ascii="Book Antiqua" w:hAnsi="Book Antiqua"/>
          <w:noProof/>
          <w:sz w:val="24"/>
          <w:szCs w:val="24"/>
        </w:rPr>
        <w:t xml:space="preserve">. </w:t>
      </w:r>
      <w:r w:rsidR="009E4910" w:rsidRPr="009E4910">
        <w:rPr>
          <w:rFonts w:ascii="Book Antiqua" w:hAnsi="Book Antiqua"/>
          <w:noProof/>
          <w:sz w:val="24"/>
          <w:szCs w:val="24"/>
        </w:rPr>
        <w:t>http://dx.doi.org/10.33477/thk.v15i2.2702</w:t>
      </w:r>
      <w:r w:rsidRPr="0029592F">
        <w:rPr>
          <w:rFonts w:ascii="Book Antiqua" w:hAnsi="Book Antiqua"/>
          <w:noProof/>
          <w:sz w:val="24"/>
          <w:szCs w:val="24"/>
        </w:rPr>
        <w:t>.</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Shariff, Ahmad ‘Azam Mohd. “Syariah Prosecution Procedure: Analysis on Legal Provisions under Syariah Criminal Procedure (Federal Territories) Act 1997 and Syariah Criminal Courts (Federal Territories) Act 1997.” </w:t>
      </w:r>
      <w:r w:rsidRPr="0029592F">
        <w:rPr>
          <w:rFonts w:ascii="Book Antiqua" w:hAnsi="Book Antiqua"/>
          <w:i/>
          <w:iCs/>
          <w:noProof/>
          <w:sz w:val="24"/>
          <w:szCs w:val="24"/>
        </w:rPr>
        <w:t>Jurnal Undang-Undang &amp; Masyarakat</w:t>
      </w:r>
      <w:r w:rsidRPr="0029592F">
        <w:rPr>
          <w:rFonts w:ascii="Book Antiqua" w:hAnsi="Book Antiqua"/>
          <w:noProof/>
          <w:sz w:val="24"/>
          <w:szCs w:val="24"/>
        </w:rPr>
        <w:t xml:space="preserve"> 15 (2011): 1–18.</w:t>
      </w:r>
    </w:p>
    <w:p w:rsidR="0029592F" w:rsidRPr="0029592F" w:rsidRDefault="0029592F"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Yaqin, A. “Legal Research and Writting.” </w:t>
      </w:r>
      <w:r w:rsidRPr="0029592F">
        <w:rPr>
          <w:rFonts w:ascii="Book Antiqua" w:hAnsi="Book Antiqua"/>
          <w:i/>
          <w:iCs/>
          <w:noProof/>
          <w:sz w:val="24"/>
          <w:szCs w:val="24"/>
        </w:rPr>
        <w:t>Malayan Law Journal SDN BHD</w:t>
      </w:r>
      <w:r w:rsidRPr="0029592F">
        <w:rPr>
          <w:rFonts w:ascii="Book Antiqua" w:hAnsi="Book Antiqua"/>
          <w:noProof/>
          <w:sz w:val="24"/>
          <w:szCs w:val="24"/>
        </w:rPr>
        <w:t xml:space="preserve"> 1 (2007): 10.</w:t>
      </w:r>
    </w:p>
    <w:p w:rsidR="009671ED" w:rsidRDefault="0029592F" w:rsidP="00B322EB">
      <w:pPr>
        <w:spacing w:after="120" w:line="240" w:lineRule="auto"/>
        <w:jc w:val="both"/>
        <w:rPr>
          <w:rFonts w:ascii="Book Antiqua" w:eastAsia="Arial Unicode MS" w:hAnsi="Book Antiqua" w:cstheme="majorHAnsi"/>
          <w:i/>
          <w:sz w:val="24"/>
          <w:szCs w:val="24"/>
          <w:lang w:val="en-GB"/>
        </w:rPr>
      </w:pPr>
      <w:r>
        <w:rPr>
          <w:rFonts w:ascii="Book Antiqua" w:eastAsia="Arial Unicode MS" w:hAnsi="Book Antiqua" w:cstheme="majorHAnsi"/>
          <w:sz w:val="24"/>
          <w:szCs w:val="24"/>
          <w:lang w:val="en-GB"/>
        </w:rPr>
        <w:lastRenderedPageBreak/>
        <w:fldChar w:fldCharType="end"/>
      </w:r>
      <w:r w:rsidR="009671ED" w:rsidRPr="009671ED">
        <w:rPr>
          <w:rFonts w:ascii="Book Antiqua" w:eastAsia="Arial Unicode MS" w:hAnsi="Book Antiqua" w:cstheme="majorHAnsi"/>
          <w:i/>
          <w:sz w:val="24"/>
          <w:szCs w:val="24"/>
          <w:lang w:val="en-GB"/>
        </w:rPr>
        <w:t>Book</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Adji, Indriyanto Seno. </w:t>
      </w:r>
      <w:r w:rsidRPr="0029592F">
        <w:rPr>
          <w:rFonts w:ascii="Book Antiqua" w:hAnsi="Book Antiqua"/>
          <w:i/>
          <w:iCs/>
          <w:noProof/>
          <w:sz w:val="24"/>
          <w:szCs w:val="24"/>
        </w:rPr>
        <w:t>Korupsi Dan Permasalahannya</w:t>
      </w:r>
      <w:r w:rsidRPr="0029592F">
        <w:rPr>
          <w:rFonts w:ascii="Book Antiqua" w:hAnsi="Book Antiqua"/>
          <w:noProof/>
          <w:sz w:val="24"/>
          <w:szCs w:val="24"/>
        </w:rPr>
        <w:t>. Jakarta: Diadit Media Press, 2012.</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Al-Zarqa, Mustafa Ahmad. </w:t>
      </w:r>
      <w:r w:rsidRPr="0029592F">
        <w:rPr>
          <w:rFonts w:ascii="Book Antiqua" w:hAnsi="Book Antiqua"/>
          <w:i/>
          <w:iCs/>
          <w:noProof/>
          <w:sz w:val="24"/>
          <w:szCs w:val="24"/>
        </w:rPr>
        <w:t>Al-Madkhal Al-Fiqhi Al-‘Am</w:t>
      </w:r>
      <w:r w:rsidRPr="0029592F">
        <w:rPr>
          <w:rFonts w:ascii="Book Antiqua" w:hAnsi="Book Antiqua"/>
          <w:noProof/>
          <w:sz w:val="24"/>
          <w:szCs w:val="24"/>
        </w:rPr>
        <w:t>. II. Beirut: Matba’ah Tharban, 1986.</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Anshoruddin. </w:t>
      </w:r>
      <w:r w:rsidRPr="0029592F">
        <w:rPr>
          <w:rFonts w:ascii="Book Antiqua" w:hAnsi="Book Antiqua"/>
          <w:i/>
          <w:iCs/>
          <w:noProof/>
          <w:sz w:val="24"/>
          <w:szCs w:val="24"/>
        </w:rPr>
        <w:t>Hukum Pembuktian Menurut Hukum Acara Islam Dan Hukum Positif</w:t>
      </w:r>
      <w:r w:rsidRPr="0029592F">
        <w:rPr>
          <w:rFonts w:ascii="Book Antiqua" w:hAnsi="Book Antiqua"/>
          <w:noProof/>
          <w:sz w:val="24"/>
          <w:szCs w:val="24"/>
        </w:rPr>
        <w:t>. Yogyakarta: Pustaka Pelajar, 2014.</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Byrne, J. A Gabbo David. </w:t>
      </w:r>
      <w:r w:rsidRPr="0029592F">
        <w:rPr>
          <w:rFonts w:ascii="Book Antiqua" w:hAnsi="Book Antiqua"/>
          <w:i/>
          <w:iCs/>
          <w:noProof/>
          <w:sz w:val="24"/>
          <w:szCs w:val="24"/>
        </w:rPr>
        <w:t>Cross on Evidence</w:t>
      </w:r>
      <w:r w:rsidRPr="0029592F">
        <w:rPr>
          <w:rFonts w:ascii="Book Antiqua" w:hAnsi="Book Antiqua"/>
          <w:noProof/>
          <w:sz w:val="24"/>
          <w:szCs w:val="24"/>
        </w:rPr>
        <w:t>. Singapore: Tien Wah Press, 1980.</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Cees, Schaap. </w:t>
      </w:r>
      <w:r w:rsidRPr="0029592F">
        <w:rPr>
          <w:rFonts w:ascii="Book Antiqua" w:hAnsi="Book Antiqua"/>
          <w:i/>
          <w:iCs/>
          <w:noProof/>
          <w:sz w:val="24"/>
          <w:szCs w:val="24"/>
        </w:rPr>
        <w:t>Fighting Money Laundering</w:t>
      </w:r>
      <w:r w:rsidRPr="0029592F">
        <w:rPr>
          <w:rFonts w:ascii="Book Antiqua" w:hAnsi="Book Antiqua"/>
          <w:noProof/>
          <w:sz w:val="24"/>
          <w:szCs w:val="24"/>
        </w:rPr>
        <w:t>. London: Kluwer Law International, 1998.</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Diantha, I Made Pasek. </w:t>
      </w:r>
      <w:r w:rsidRPr="0029592F">
        <w:rPr>
          <w:rFonts w:ascii="Book Antiqua" w:hAnsi="Book Antiqua"/>
          <w:i/>
          <w:iCs/>
          <w:noProof/>
          <w:sz w:val="24"/>
          <w:szCs w:val="24"/>
        </w:rPr>
        <w:t>Metodologi Penelitian Hukum Normatif Dalam Justifikasi Teori Hukum</w:t>
      </w:r>
      <w:r w:rsidRPr="0029592F">
        <w:rPr>
          <w:rFonts w:ascii="Book Antiqua" w:hAnsi="Book Antiqua"/>
          <w:noProof/>
          <w:sz w:val="24"/>
          <w:szCs w:val="24"/>
        </w:rPr>
        <w:t>. Jakarta: Prenanda Media Group, 2017.</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Effendy, Marwan. </w:t>
      </w:r>
      <w:r w:rsidRPr="0029592F">
        <w:rPr>
          <w:rFonts w:ascii="Book Antiqua" w:hAnsi="Book Antiqua"/>
          <w:i/>
          <w:iCs/>
          <w:noProof/>
          <w:sz w:val="24"/>
          <w:szCs w:val="24"/>
        </w:rPr>
        <w:t>Sistem Peradilan Pidana Tinjauan Terhadap Beberapa Perkembangan Hukuh Pidana</w:t>
      </w:r>
      <w:r w:rsidRPr="0029592F">
        <w:rPr>
          <w:rFonts w:ascii="Book Antiqua" w:hAnsi="Book Antiqua"/>
          <w:noProof/>
          <w:sz w:val="24"/>
          <w:szCs w:val="24"/>
        </w:rPr>
        <w:t>. Jakarta: Referensi Jakarta, 2012.</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Groeschel, Hayt. </w:t>
      </w:r>
      <w:r w:rsidRPr="0029592F">
        <w:rPr>
          <w:rFonts w:ascii="Book Antiqua" w:hAnsi="Book Antiqua"/>
          <w:i/>
          <w:iCs/>
          <w:noProof/>
          <w:sz w:val="24"/>
          <w:szCs w:val="24"/>
        </w:rPr>
        <w:t>Law of Hospital, Physician and Patient</w:t>
      </w:r>
      <w:r w:rsidRPr="0029592F">
        <w:rPr>
          <w:rFonts w:ascii="Book Antiqua" w:hAnsi="Book Antiqua"/>
          <w:noProof/>
          <w:sz w:val="24"/>
          <w:szCs w:val="24"/>
        </w:rPr>
        <w:t>. Physician`s Record Company: Berwyn, 1972.</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Hiariej, E. O. S. </w:t>
      </w:r>
      <w:r w:rsidRPr="0029592F">
        <w:rPr>
          <w:rFonts w:ascii="Book Antiqua" w:hAnsi="Book Antiqua"/>
          <w:i/>
          <w:iCs/>
          <w:noProof/>
          <w:sz w:val="24"/>
          <w:szCs w:val="24"/>
        </w:rPr>
        <w:t>Pembuktian Terbalik Dalam Pengembalian Aset Kejahatan Korupsi</w:t>
      </w:r>
      <w:r w:rsidRPr="0029592F">
        <w:rPr>
          <w:rFonts w:ascii="Book Antiqua" w:hAnsi="Book Antiqua"/>
          <w:noProof/>
          <w:sz w:val="24"/>
          <w:szCs w:val="24"/>
        </w:rPr>
        <w:t>. Yogyakarta: Universitas Gadjah Mada, 2012.</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Hidma, TR. </w:t>
      </w:r>
      <w:r w:rsidRPr="0029592F">
        <w:rPr>
          <w:rFonts w:ascii="Book Antiqua" w:hAnsi="Book Antiqua"/>
          <w:i/>
          <w:iCs/>
          <w:noProof/>
          <w:sz w:val="24"/>
          <w:szCs w:val="24"/>
        </w:rPr>
        <w:t>Pitlo Het Nederlands Burgerlijk Recht Deel 7 Bewijs Achtste Druk</w:t>
      </w:r>
      <w:r w:rsidRPr="0029592F">
        <w:rPr>
          <w:rFonts w:ascii="Book Antiqua" w:hAnsi="Book Antiqua"/>
          <w:noProof/>
          <w:sz w:val="24"/>
          <w:szCs w:val="24"/>
        </w:rPr>
        <w:t>. Kluwer: Deventer, 2004.</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Ibrahim, Hamid. </w:t>
      </w:r>
      <w:r w:rsidRPr="0029592F">
        <w:rPr>
          <w:rFonts w:ascii="Book Antiqua" w:hAnsi="Book Antiqua"/>
          <w:i/>
          <w:iCs/>
          <w:noProof/>
          <w:sz w:val="24"/>
          <w:szCs w:val="24"/>
        </w:rPr>
        <w:t>Law of Evidence</w:t>
      </w:r>
      <w:r w:rsidRPr="0029592F">
        <w:rPr>
          <w:rFonts w:ascii="Book Antiqua" w:hAnsi="Book Antiqua"/>
          <w:noProof/>
          <w:sz w:val="24"/>
          <w:szCs w:val="24"/>
        </w:rPr>
        <w:t>. Kuala Lumpur: Central Law Book Corporation Sdn. Bhd, 1993.</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Kasim, Shopian. </w:t>
      </w:r>
      <w:r w:rsidRPr="0029592F">
        <w:rPr>
          <w:rFonts w:ascii="Book Antiqua" w:hAnsi="Book Antiqua"/>
          <w:i/>
          <w:iCs/>
          <w:noProof/>
          <w:sz w:val="24"/>
          <w:szCs w:val="24"/>
        </w:rPr>
        <w:t>Money Laundering Dan Pembuktian Terbalik</w:t>
      </w:r>
      <w:r w:rsidRPr="0029592F">
        <w:rPr>
          <w:rFonts w:ascii="Book Antiqua" w:hAnsi="Book Antiqua"/>
          <w:noProof/>
          <w:sz w:val="24"/>
          <w:szCs w:val="24"/>
        </w:rPr>
        <w:t>. Jakarta: Republika, 1998.</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Lumbun, T. Gayus. </w:t>
      </w:r>
      <w:r w:rsidRPr="0029592F">
        <w:rPr>
          <w:rFonts w:ascii="Book Antiqua" w:hAnsi="Book Antiqua"/>
          <w:i/>
          <w:iCs/>
          <w:noProof/>
          <w:sz w:val="24"/>
          <w:szCs w:val="24"/>
        </w:rPr>
        <w:t>Menerobos Goa Hantu Peradilan Indonesia</w:t>
      </w:r>
      <w:r w:rsidRPr="0029592F">
        <w:rPr>
          <w:rFonts w:ascii="Book Antiqua" w:hAnsi="Book Antiqua"/>
          <w:noProof/>
          <w:sz w:val="24"/>
          <w:szCs w:val="24"/>
        </w:rPr>
        <w:t>. Jakarta: Busines Information Service (BIS), 2004.</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Majelis Ulama Indonesia. </w:t>
      </w:r>
      <w:r w:rsidRPr="0029592F">
        <w:rPr>
          <w:rFonts w:ascii="Book Antiqua" w:hAnsi="Book Antiqua"/>
          <w:i/>
          <w:iCs/>
          <w:noProof/>
          <w:sz w:val="24"/>
          <w:szCs w:val="24"/>
        </w:rPr>
        <w:t>Himpunan Fatwa Majelis Ulama Indonesia Sejak 1975</w:t>
      </w:r>
      <w:r w:rsidRPr="0029592F">
        <w:rPr>
          <w:rFonts w:ascii="Book Antiqua" w:hAnsi="Book Antiqua"/>
          <w:noProof/>
          <w:sz w:val="24"/>
          <w:szCs w:val="24"/>
        </w:rPr>
        <w:t>. Jakarta: Erlangga, 2011.</w:t>
      </w:r>
    </w:p>
    <w:p w:rsidR="009E4910" w:rsidRPr="0029592F" w:rsidRDefault="009E4910" w:rsidP="009E4910">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Nor, Siti Zalikhah Haji Md. </w:t>
      </w:r>
      <w:r w:rsidRPr="0029592F">
        <w:rPr>
          <w:rFonts w:ascii="Book Antiqua" w:hAnsi="Book Antiqua"/>
          <w:i/>
          <w:iCs/>
          <w:noProof/>
          <w:sz w:val="24"/>
          <w:szCs w:val="24"/>
        </w:rPr>
        <w:t>Beberapa Aspek Dalam Undang-Undang Keterangan Islam</w:t>
      </w:r>
      <w:r w:rsidRPr="0029592F">
        <w:rPr>
          <w:rFonts w:ascii="Book Antiqua" w:hAnsi="Book Antiqua"/>
          <w:noProof/>
          <w:sz w:val="24"/>
          <w:szCs w:val="24"/>
        </w:rPr>
        <w:t>. 3rd ed. Kuala Lumpur: Dewan Bahasa dan Pustaka, 2006.</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Pri</w:t>
      </w:r>
      <w:bookmarkStart w:id="2" w:name="_GoBack"/>
      <w:bookmarkEnd w:id="2"/>
      <w:r w:rsidRPr="0029592F">
        <w:rPr>
          <w:rFonts w:ascii="Book Antiqua" w:hAnsi="Book Antiqua"/>
          <w:noProof/>
          <w:sz w:val="24"/>
          <w:szCs w:val="24"/>
        </w:rPr>
        <w:t xml:space="preserve">nts, Darwan. </w:t>
      </w:r>
      <w:r w:rsidRPr="0029592F">
        <w:rPr>
          <w:rFonts w:ascii="Book Antiqua" w:hAnsi="Book Antiqua"/>
          <w:i/>
          <w:iCs/>
          <w:noProof/>
          <w:sz w:val="24"/>
          <w:szCs w:val="24"/>
        </w:rPr>
        <w:t>Hukum Acara Pidana Dalam Praktik</w:t>
      </w:r>
      <w:r w:rsidRPr="0029592F">
        <w:rPr>
          <w:rFonts w:ascii="Book Antiqua" w:hAnsi="Book Antiqua"/>
          <w:noProof/>
          <w:sz w:val="24"/>
          <w:szCs w:val="24"/>
        </w:rPr>
        <w:t>. Jakarta: Djambatan, 1998.</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Prodjohamidjojo, Martiman. </w:t>
      </w:r>
      <w:r w:rsidRPr="0029592F">
        <w:rPr>
          <w:rFonts w:ascii="Book Antiqua" w:hAnsi="Book Antiqua"/>
          <w:i/>
          <w:iCs/>
          <w:noProof/>
          <w:sz w:val="24"/>
          <w:szCs w:val="24"/>
        </w:rPr>
        <w:t>Komentar Atas KUHAP: Kitab Undang-Undang Hukum Acara Pidana</w:t>
      </w:r>
      <w:r w:rsidRPr="0029592F">
        <w:rPr>
          <w:rFonts w:ascii="Book Antiqua" w:hAnsi="Book Antiqua"/>
          <w:noProof/>
          <w:sz w:val="24"/>
          <w:szCs w:val="24"/>
        </w:rPr>
        <w:t>. Jakarta: Pradnya Paramitha, 1984.</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szCs w:val="24"/>
        </w:rPr>
      </w:pPr>
      <w:r w:rsidRPr="0029592F">
        <w:rPr>
          <w:rFonts w:ascii="Book Antiqua" w:hAnsi="Book Antiqua"/>
          <w:noProof/>
          <w:sz w:val="24"/>
          <w:szCs w:val="24"/>
        </w:rPr>
        <w:t xml:space="preserve">Purnomo, Bambang. </w:t>
      </w:r>
      <w:r w:rsidRPr="0029592F">
        <w:rPr>
          <w:rFonts w:ascii="Book Antiqua" w:hAnsi="Book Antiqua"/>
          <w:i/>
          <w:iCs/>
          <w:noProof/>
          <w:sz w:val="24"/>
          <w:szCs w:val="24"/>
        </w:rPr>
        <w:t>Pokok-Pokok Tata Cara Peradilan Indonesia</w:t>
      </w:r>
      <w:r w:rsidRPr="0029592F">
        <w:rPr>
          <w:rFonts w:ascii="Book Antiqua" w:hAnsi="Book Antiqua"/>
          <w:noProof/>
          <w:sz w:val="24"/>
          <w:szCs w:val="24"/>
        </w:rPr>
        <w:t>. Jogjakarta: Liberti, 2004.</w:t>
      </w:r>
    </w:p>
    <w:p w:rsidR="00D921B7" w:rsidRPr="009671ED" w:rsidRDefault="00D921B7" w:rsidP="00D921B7">
      <w:pPr>
        <w:spacing w:after="120" w:line="240" w:lineRule="auto"/>
        <w:ind w:left="450" w:hanging="450"/>
        <w:jc w:val="both"/>
        <w:rPr>
          <w:rFonts w:ascii="Book Antiqua" w:eastAsia="Arial Unicode MS" w:hAnsi="Book Antiqua" w:cstheme="majorHAnsi"/>
          <w:sz w:val="24"/>
          <w:szCs w:val="24"/>
          <w:lang w:val="en-GB"/>
        </w:rPr>
      </w:pPr>
      <w:r w:rsidRPr="0029592F">
        <w:rPr>
          <w:rFonts w:ascii="Book Antiqua" w:hAnsi="Book Antiqua"/>
          <w:noProof/>
          <w:sz w:val="24"/>
          <w:szCs w:val="24"/>
        </w:rPr>
        <w:t xml:space="preserve">Saad, Zulfakar Ramlee. </w:t>
      </w:r>
      <w:r w:rsidRPr="0029592F">
        <w:rPr>
          <w:rFonts w:ascii="Book Antiqua" w:hAnsi="Book Antiqua"/>
          <w:i/>
          <w:iCs/>
          <w:noProof/>
          <w:sz w:val="24"/>
          <w:szCs w:val="24"/>
        </w:rPr>
        <w:t>Pembuktian Dalam Kes Jenayah Syariah Malaysia: Isu Dan Penyelesaian (Proving Cases in Syariah Courts: Issues and Resolutions)</w:t>
      </w:r>
      <w:r w:rsidRPr="0029592F">
        <w:rPr>
          <w:rFonts w:ascii="Book Antiqua" w:hAnsi="Book Antiqua"/>
          <w:noProof/>
          <w:sz w:val="24"/>
          <w:szCs w:val="24"/>
        </w:rPr>
        <w:t>. Kuala Lumpur: Dewan Bahasa dan Pustaka, 2008.</w:t>
      </w:r>
    </w:p>
    <w:p w:rsidR="00D921B7" w:rsidRPr="0029592F" w:rsidRDefault="00D921B7" w:rsidP="00D921B7">
      <w:pPr>
        <w:widowControl w:val="0"/>
        <w:autoSpaceDE w:val="0"/>
        <w:autoSpaceDN w:val="0"/>
        <w:adjustRightInd w:val="0"/>
        <w:spacing w:after="120" w:line="240" w:lineRule="auto"/>
        <w:ind w:left="480" w:hanging="480"/>
        <w:jc w:val="both"/>
        <w:rPr>
          <w:rFonts w:ascii="Book Antiqua" w:hAnsi="Book Antiqua"/>
          <w:noProof/>
          <w:sz w:val="24"/>
        </w:rPr>
      </w:pPr>
      <w:r w:rsidRPr="0029592F">
        <w:rPr>
          <w:rFonts w:ascii="Book Antiqua" w:hAnsi="Book Antiqua"/>
          <w:noProof/>
          <w:sz w:val="24"/>
          <w:szCs w:val="24"/>
        </w:rPr>
        <w:t xml:space="preserve">Yazid, Abu. </w:t>
      </w:r>
      <w:r w:rsidRPr="0029592F">
        <w:rPr>
          <w:rFonts w:ascii="Book Antiqua" w:hAnsi="Book Antiqua"/>
          <w:i/>
          <w:iCs/>
          <w:noProof/>
          <w:sz w:val="24"/>
          <w:szCs w:val="24"/>
        </w:rPr>
        <w:t>Fiqh Realitas</w:t>
      </w:r>
      <w:r w:rsidRPr="0029592F">
        <w:rPr>
          <w:rFonts w:ascii="Book Antiqua" w:hAnsi="Book Antiqua"/>
          <w:noProof/>
          <w:sz w:val="24"/>
          <w:szCs w:val="24"/>
        </w:rPr>
        <w:t>. Yogyakarta: Pustaka Pelajar, 2015.</w:t>
      </w:r>
    </w:p>
    <w:p w:rsidR="004B1F20" w:rsidRPr="009671ED" w:rsidRDefault="004B1F20" w:rsidP="004B1F20">
      <w:pPr>
        <w:pStyle w:val="Heading3"/>
        <w:spacing w:before="0" w:after="0" w:line="240" w:lineRule="auto"/>
        <w:jc w:val="both"/>
        <w:rPr>
          <w:rStyle w:val="Heading1Char"/>
          <w:rFonts w:asciiTheme="majorHAnsi" w:hAnsiTheme="majorHAnsi" w:cstheme="majorHAnsi"/>
          <w:b/>
          <w:sz w:val="24"/>
        </w:rPr>
      </w:pPr>
    </w:p>
    <w:p w:rsidR="004B1F20" w:rsidRDefault="004B1F20" w:rsidP="003A0113">
      <w:pPr>
        <w:pStyle w:val="Heading3"/>
        <w:spacing w:before="0" w:after="0" w:line="240" w:lineRule="auto"/>
        <w:jc w:val="both"/>
        <w:rPr>
          <w:rStyle w:val="Heading1Char"/>
          <w:rFonts w:asciiTheme="majorHAnsi" w:hAnsiTheme="majorHAnsi" w:cstheme="majorHAnsi"/>
          <w:b/>
          <w:sz w:val="36"/>
          <w:lang w:val="id-ID"/>
        </w:rPr>
      </w:pPr>
    </w:p>
    <w:bookmarkEnd w:id="0"/>
    <w:bookmarkEnd w:id="1"/>
    <w:p w:rsidR="004B1F20" w:rsidRDefault="004B1F20" w:rsidP="003A0113">
      <w:pPr>
        <w:pStyle w:val="Heading3"/>
        <w:spacing w:before="0" w:after="0" w:line="240" w:lineRule="auto"/>
        <w:jc w:val="both"/>
        <w:rPr>
          <w:rStyle w:val="Heading1Char"/>
          <w:rFonts w:asciiTheme="majorHAnsi" w:hAnsiTheme="majorHAnsi" w:cstheme="majorHAnsi"/>
          <w:b/>
          <w:sz w:val="36"/>
          <w:lang w:val="id-ID"/>
        </w:rPr>
      </w:pPr>
    </w:p>
    <w:sectPr w:rsidR="004B1F20" w:rsidSect="00B4626A">
      <w:footerReference w:type="even" r:id="rId13"/>
      <w:footerReference w:type="default" r:id="rId14"/>
      <w:headerReference w:type="first" r:id="rId15"/>
      <w:pgSz w:w="11906" w:h="16838" w:code="9"/>
      <w:pgMar w:top="925"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C34" w:rsidRDefault="00302C34" w:rsidP="00934130">
      <w:pPr>
        <w:spacing w:after="0" w:line="240" w:lineRule="auto"/>
      </w:pPr>
      <w:r>
        <w:separator/>
      </w:r>
    </w:p>
  </w:endnote>
  <w:endnote w:type="continuationSeparator" w:id="0">
    <w:p w:rsidR="00302C34" w:rsidRDefault="00302C34" w:rsidP="009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20208030705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1"/>
    <w:family w:val="roman"/>
    <w:notTrueType/>
    <w:pitch w:val="variable"/>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Devanagari MT">
    <w:charset w:val="00"/>
    <w:family w:val="auto"/>
    <w:pitch w:val="variable"/>
    <w:sig w:usb0="80008003" w:usb1="1000C0C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252991"/>
      <w:docPartObj>
        <w:docPartGallery w:val="Page Numbers (Bottom of Page)"/>
        <w:docPartUnique/>
      </w:docPartObj>
    </w:sdtPr>
    <w:sdtEndPr>
      <w:rPr>
        <w:color w:val="7F7F7F" w:themeColor="background1" w:themeShade="7F"/>
        <w:spacing w:val="60"/>
      </w:rPr>
    </w:sdtEndPr>
    <w:sdtContent>
      <w:p w:rsidR="00F505F5" w:rsidRDefault="0038264A" w:rsidP="0038264A">
        <w:pPr>
          <w:pStyle w:val="Footer"/>
          <w:pBdr>
            <w:top w:val="single" w:sz="4" w:space="1" w:color="D9D9D9" w:themeColor="background1" w:themeShade="D9"/>
          </w:pBdr>
          <w:rPr>
            <w:b/>
            <w:bCs/>
          </w:rPr>
        </w:pPr>
        <w:r w:rsidRPr="0038264A">
          <w:rPr>
            <w:rFonts w:asciiTheme="majorHAnsi" w:hAnsiTheme="majorHAnsi" w:cstheme="majorHAnsi"/>
            <w:b/>
            <w:noProof/>
            <w:sz w:val="24"/>
            <w:lang w:bidi="ar-SA"/>
          </w:rPr>
          <mc:AlternateContent>
            <mc:Choice Requires="wps">
              <w:drawing>
                <wp:anchor distT="45720" distB="45720" distL="114300" distR="114300" simplePos="0" relativeHeight="251674624" behindDoc="0" locked="0" layoutInCell="1" allowOverlap="1" wp14:anchorId="10B78E34" wp14:editId="6CD72838">
                  <wp:simplePos x="0" y="0"/>
                  <wp:positionH relativeFrom="column">
                    <wp:posOffset>390525</wp:posOffset>
                  </wp:positionH>
                  <wp:positionV relativeFrom="paragraph">
                    <wp:posOffset>0</wp:posOffset>
                  </wp:positionV>
                  <wp:extent cx="5791200" cy="638175"/>
                  <wp:effectExtent l="0" t="0" r="0"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38175"/>
                          </a:xfrm>
                          <a:prstGeom prst="rect">
                            <a:avLst/>
                          </a:prstGeom>
                          <a:solidFill>
                            <a:schemeClr val="bg1"/>
                          </a:solidFill>
                          <a:ln w="12700">
                            <a:noFill/>
                            <a:miter lim="800000"/>
                            <a:headEnd/>
                            <a:tailEnd/>
                          </a:ln>
                        </wps:spPr>
                        <wps:txbx>
                          <w:txbxContent>
                            <w:p w:rsidR="0038264A" w:rsidRPr="0038264A" w:rsidRDefault="009671ED" w:rsidP="0038264A">
                              <w:pPr>
                                <w:spacing w:after="0" w:line="240" w:lineRule="auto"/>
                                <w:jc w:val="right"/>
                                <w:rPr>
                                  <w:rFonts w:ascii="Book Antiqua" w:hAnsi="Book Antiqua"/>
                                  <w:b/>
                                  <w:i/>
                                  <w:color w:val="000000" w:themeColor="text1"/>
                                  <w:sz w:val="16"/>
                                  <w:szCs w:val="16"/>
                                </w:rPr>
                              </w:pPr>
                              <w:r>
                                <w:rPr>
                                  <w:rFonts w:ascii="Book Antiqua" w:hAnsi="Book Antiqua"/>
                                  <w:b/>
                                  <w:i/>
                                  <w:color w:val="000000" w:themeColor="text1"/>
                                  <w:sz w:val="16"/>
                                  <w:szCs w:val="16"/>
                                </w:rPr>
                                <w:t>Abdullah</w:t>
                              </w:r>
                              <w:r w:rsidR="0038264A" w:rsidRPr="0038264A">
                                <w:rPr>
                                  <w:rFonts w:ascii="Book Antiqua" w:hAnsi="Book Antiqua"/>
                                  <w:b/>
                                  <w:i/>
                                  <w:color w:val="000000" w:themeColor="text1"/>
                                  <w:sz w:val="16"/>
                                  <w:szCs w:val="16"/>
                                </w:rPr>
                                <w:t>, “</w:t>
                              </w:r>
                              <w:r w:rsidRPr="009671ED">
                                <w:rPr>
                                  <w:rFonts w:ascii="Book Antiqua" w:hAnsi="Book Antiqua"/>
                                  <w:b/>
                                  <w:i/>
                                  <w:color w:val="000000" w:themeColor="text1"/>
                                  <w:sz w:val="16"/>
                                  <w:szCs w:val="16"/>
                                </w:rPr>
                                <w:t xml:space="preserve">The Application of the Burden of </w:t>
                              </w:r>
                              <w:r>
                                <w:rPr>
                                  <w:rFonts w:ascii="Book Antiqua" w:hAnsi="Book Antiqua"/>
                                  <w:b/>
                                  <w:i/>
                                  <w:color w:val="000000" w:themeColor="text1"/>
                                  <w:sz w:val="16"/>
                                  <w:szCs w:val="16"/>
                                </w:rPr>
                                <w:t xml:space="preserve">Proof Concept in Indonesia: </w:t>
                              </w:r>
                              <w:r w:rsidRPr="009671ED">
                                <w:rPr>
                                  <w:rFonts w:ascii="Book Antiqua" w:hAnsi="Book Antiqua"/>
                                  <w:b/>
                                  <w:i/>
                                  <w:color w:val="000000" w:themeColor="text1"/>
                                  <w:sz w:val="16"/>
                                  <w:szCs w:val="16"/>
                                </w:rPr>
                                <w:t>A Comparative Study</w:t>
                              </w:r>
                              <w:r w:rsidR="0038264A" w:rsidRPr="0038264A">
                                <w:rPr>
                                  <w:rFonts w:ascii="Book Antiqua" w:hAnsi="Book Antiqua"/>
                                  <w:b/>
                                  <w:i/>
                                  <w:color w:val="000000" w:themeColor="text1"/>
                                  <w:sz w:val="16"/>
                                  <w:szCs w:val="16"/>
                                </w:rPr>
                                <w:t>”</w:t>
                              </w:r>
                            </w:p>
                            <w:p w:rsidR="0038264A" w:rsidRPr="0038264A" w:rsidRDefault="0038264A" w:rsidP="0038264A">
                              <w:pPr>
                                <w:spacing w:after="0" w:line="240" w:lineRule="auto"/>
                                <w:jc w:val="right"/>
                                <w:rPr>
                                  <w:rFonts w:ascii="Book Antiqua" w:hAnsi="Book Antiqua"/>
                                  <w:b/>
                                  <w:i/>
                                  <w:color w:val="000000" w:themeColor="text1"/>
                                  <w:sz w:val="16"/>
                                  <w:szCs w:val="16"/>
                                  <w:lang w:val="id-ID"/>
                                </w:rPr>
                              </w:pPr>
                              <w:r w:rsidRPr="0038264A">
                                <w:rPr>
                                  <w:rFonts w:ascii="Book Antiqua" w:hAnsi="Book Antiqua"/>
                                  <w:b/>
                                  <w:i/>
                                  <w:color w:val="000000" w:themeColor="text1"/>
                                  <w:sz w:val="16"/>
                                  <w:szCs w:val="16"/>
                                </w:rPr>
                                <w:t>SASI,</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27</w:t>
                              </w:r>
                              <w:r w:rsidRPr="0038264A">
                                <w:rPr>
                                  <w:rFonts w:ascii="Book Antiqua" w:hAnsi="Book Antiqua"/>
                                  <w:b/>
                                  <w:i/>
                                  <w:color w:val="000000" w:themeColor="text1"/>
                                  <w:sz w:val="16"/>
                                  <w:szCs w:val="16"/>
                                  <w:lang w:val="id-ID"/>
                                </w:rPr>
                                <w:t>(1)</w:t>
                              </w:r>
                              <w:r w:rsidRPr="0038264A">
                                <w:rPr>
                                  <w:rFonts w:ascii="Book Antiqua" w:hAnsi="Book Antiqua"/>
                                  <w:b/>
                                  <w:i/>
                                  <w:color w:val="000000" w:themeColor="text1"/>
                                  <w:sz w:val="16"/>
                                  <w:szCs w:val="16"/>
                                </w:rPr>
                                <w:t xml:space="preserve"> 2022</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1</w:t>
                              </w:r>
                              <w:r w:rsidRPr="0038264A">
                                <w:rPr>
                                  <w:rFonts w:ascii="Book Antiqua" w:hAnsi="Book Antiqua"/>
                                  <w:b/>
                                  <w:i/>
                                  <w:color w:val="000000" w:themeColor="text1"/>
                                  <w:sz w:val="16"/>
                                  <w:szCs w:val="16"/>
                                  <w:lang w:val="id-ID"/>
                                </w:rPr>
                                <w:t>-15</w:t>
                              </w:r>
                            </w:p>
                            <w:p w:rsidR="0038264A" w:rsidRPr="009D4306" w:rsidRDefault="0038264A" w:rsidP="0038264A">
                              <w:pPr>
                                <w:spacing w:after="0" w:line="240" w:lineRule="auto"/>
                                <w:jc w:val="right"/>
                                <w:rPr>
                                  <w:sz w:val="18"/>
                                  <w:szCs w:val="18"/>
                                </w:rPr>
                              </w:pPr>
                              <w:r w:rsidRPr="0038264A">
                                <w:rPr>
                                  <w:rFonts w:ascii="Book Antiqua" w:hAnsi="Book Antiqua"/>
                                  <w:b/>
                                  <w:i/>
                                  <w:color w:val="000000" w:themeColor="text1"/>
                                  <w:sz w:val="16"/>
                                  <w:szCs w:val="16"/>
                                  <w:lang w:val="id-ID"/>
                                </w:rPr>
                                <w:t>P-ISSN: 1693-0061, E-ISSN: 2614-2961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75pt;margin-top:0;width:456pt;height:50.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" fillcolor="white [3212]" stroked="f" strokeweight="1pt">
                  <v:textbox>
                    <w:txbxContent>
                      <w:p w:rsidR="0038264A" w:rsidRPr="0038264A" w:rsidRDefault="009671ED" w:rsidP="0038264A">
                        <w:pPr>
                          <w:spacing w:after="0" w:line="240" w:lineRule="auto"/>
                          <w:jc w:val="right"/>
                          <w:rPr>
                            <w:rFonts w:ascii="Book Antiqua" w:hAnsi="Book Antiqua"/>
                            <w:b/>
                            <w:i/>
                            <w:color w:val="000000" w:themeColor="text1"/>
                            <w:sz w:val="16"/>
                            <w:szCs w:val="16"/>
                          </w:rPr>
                        </w:pPr>
                        <w:r>
                          <w:rPr>
                            <w:rFonts w:ascii="Book Antiqua" w:hAnsi="Book Antiqua"/>
                            <w:b/>
                            <w:i/>
                            <w:color w:val="000000" w:themeColor="text1"/>
                            <w:sz w:val="16"/>
                            <w:szCs w:val="16"/>
                          </w:rPr>
                          <w:t>Abdullah</w:t>
                        </w:r>
                        <w:r w:rsidR="0038264A" w:rsidRPr="0038264A">
                          <w:rPr>
                            <w:rFonts w:ascii="Book Antiqua" w:hAnsi="Book Antiqua"/>
                            <w:b/>
                            <w:i/>
                            <w:color w:val="000000" w:themeColor="text1"/>
                            <w:sz w:val="16"/>
                            <w:szCs w:val="16"/>
                          </w:rPr>
                          <w:t>, “</w:t>
                        </w:r>
                        <w:r w:rsidRPr="009671ED">
                          <w:rPr>
                            <w:rFonts w:ascii="Book Antiqua" w:hAnsi="Book Antiqua"/>
                            <w:b/>
                            <w:i/>
                            <w:color w:val="000000" w:themeColor="text1"/>
                            <w:sz w:val="16"/>
                            <w:szCs w:val="16"/>
                          </w:rPr>
                          <w:t xml:space="preserve">The Application of the Burden of </w:t>
                        </w:r>
                        <w:r>
                          <w:rPr>
                            <w:rFonts w:ascii="Book Antiqua" w:hAnsi="Book Antiqua"/>
                            <w:b/>
                            <w:i/>
                            <w:color w:val="000000" w:themeColor="text1"/>
                            <w:sz w:val="16"/>
                            <w:szCs w:val="16"/>
                          </w:rPr>
                          <w:t xml:space="preserve">Proof Concept in Indonesia: </w:t>
                        </w:r>
                        <w:r w:rsidRPr="009671ED">
                          <w:rPr>
                            <w:rFonts w:ascii="Book Antiqua" w:hAnsi="Book Antiqua"/>
                            <w:b/>
                            <w:i/>
                            <w:color w:val="000000" w:themeColor="text1"/>
                            <w:sz w:val="16"/>
                            <w:szCs w:val="16"/>
                          </w:rPr>
                          <w:t>A Comparative Study</w:t>
                        </w:r>
                        <w:r w:rsidR="0038264A" w:rsidRPr="0038264A">
                          <w:rPr>
                            <w:rFonts w:ascii="Book Antiqua" w:hAnsi="Book Antiqua"/>
                            <w:b/>
                            <w:i/>
                            <w:color w:val="000000" w:themeColor="text1"/>
                            <w:sz w:val="16"/>
                            <w:szCs w:val="16"/>
                          </w:rPr>
                          <w:t>”</w:t>
                        </w:r>
                      </w:p>
                      <w:p w:rsidR="0038264A" w:rsidRPr="0038264A" w:rsidRDefault="0038264A" w:rsidP="0038264A">
                        <w:pPr>
                          <w:spacing w:after="0" w:line="240" w:lineRule="auto"/>
                          <w:jc w:val="right"/>
                          <w:rPr>
                            <w:rFonts w:ascii="Book Antiqua" w:hAnsi="Book Antiqua"/>
                            <w:b/>
                            <w:i/>
                            <w:color w:val="000000" w:themeColor="text1"/>
                            <w:sz w:val="16"/>
                            <w:szCs w:val="16"/>
                            <w:lang w:val="id-ID"/>
                          </w:rPr>
                        </w:pPr>
                        <w:r w:rsidRPr="0038264A">
                          <w:rPr>
                            <w:rFonts w:ascii="Book Antiqua" w:hAnsi="Book Antiqua"/>
                            <w:b/>
                            <w:i/>
                            <w:color w:val="000000" w:themeColor="text1"/>
                            <w:sz w:val="16"/>
                            <w:szCs w:val="16"/>
                          </w:rPr>
                          <w:t>SASI,</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27</w:t>
                        </w:r>
                        <w:r w:rsidRPr="0038264A">
                          <w:rPr>
                            <w:rFonts w:ascii="Book Antiqua" w:hAnsi="Book Antiqua"/>
                            <w:b/>
                            <w:i/>
                            <w:color w:val="000000" w:themeColor="text1"/>
                            <w:sz w:val="16"/>
                            <w:szCs w:val="16"/>
                            <w:lang w:val="id-ID"/>
                          </w:rPr>
                          <w:t>(1)</w:t>
                        </w:r>
                        <w:r w:rsidRPr="0038264A">
                          <w:rPr>
                            <w:rFonts w:ascii="Book Antiqua" w:hAnsi="Book Antiqua"/>
                            <w:b/>
                            <w:i/>
                            <w:color w:val="000000" w:themeColor="text1"/>
                            <w:sz w:val="16"/>
                            <w:szCs w:val="16"/>
                          </w:rPr>
                          <w:t xml:space="preserve"> 2022</w:t>
                        </w:r>
                        <w:r w:rsidRPr="0038264A">
                          <w:rPr>
                            <w:rFonts w:ascii="Book Antiqua" w:hAnsi="Book Antiqua"/>
                            <w:b/>
                            <w:i/>
                            <w:color w:val="000000" w:themeColor="text1"/>
                            <w:sz w:val="16"/>
                            <w:szCs w:val="16"/>
                            <w:lang w:val="id-ID"/>
                          </w:rPr>
                          <w:t xml:space="preserve">: </w:t>
                        </w:r>
                        <w:r w:rsidRPr="0038264A">
                          <w:rPr>
                            <w:rFonts w:ascii="Book Antiqua" w:hAnsi="Book Antiqua"/>
                            <w:b/>
                            <w:i/>
                            <w:color w:val="000000" w:themeColor="text1"/>
                            <w:sz w:val="16"/>
                            <w:szCs w:val="16"/>
                          </w:rPr>
                          <w:t>1</w:t>
                        </w:r>
                        <w:r w:rsidRPr="0038264A">
                          <w:rPr>
                            <w:rFonts w:ascii="Book Antiqua" w:hAnsi="Book Antiqua"/>
                            <w:b/>
                            <w:i/>
                            <w:color w:val="000000" w:themeColor="text1"/>
                            <w:sz w:val="16"/>
                            <w:szCs w:val="16"/>
                            <w:lang w:val="id-ID"/>
                          </w:rPr>
                          <w:t>-15</w:t>
                        </w:r>
                      </w:p>
                      <w:p w:rsidR="0038264A" w:rsidRPr="009D4306" w:rsidRDefault="0038264A" w:rsidP="0038264A">
                        <w:pPr>
                          <w:spacing w:after="0" w:line="240" w:lineRule="auto"/>
                          <w:jc w:val="right"/>
                          <w:rPr>
                            <w:sz w:val="18"/>
                            <w:szCs w:val="18"/>
                          </w:rPr>
                        </w:pPr>
                        <w:r w:rsidRPr="0038264A">
                          <w:rPr>
                            <w:rFonts w:ascii="Book Antiqua" w:hAnsi="Book Antiqua"/>
                            <w:b/>
                            <w:i/>
                            <w:color w:val="000000" w:themeColor="text1"/>
                            <w:sz w:val="16"/>
                            <w:szCs w:val="16"/>
                            <w:lang w:val="id-ID"/>
                          </w:rPr>
                          <w:t>P-ISSN: 1693-0061, E-ISSN: 2614-2961</w:t>
                        </w:r>
                      </w:p>
                    </w:txbxContent>
                  </v:textbox>
                </v:shape>
              </w:pict>
            </mc:Fallback>
          </mc:AlternateContent>
        </w:r>
        <w:r w:rsidR="00F505F5" w:rsidRPr="0038264A">
          <w:rPr>
            <w:rFonts w:ascii="Book Antiqua" w:hAnsi="Book Antiqua"/>
            <w:b/>
            <w:color w:val="1F3864" w:themeColor="accent1" w:themeShade="80"/>
            <w:sz w:val="28"/>
          </w:rPr>
          <w:fldChar w:fldCharType="begin"/>
        </w:r>
        <w:r w:rsidR="00F505F5" w:rsidRPr="0038264A">
          <w:rPr>
            <w:rFonts w:ascii="Book Antiqua" w:hAnsi="Book Antiqua"/>
            <w:b/>
            <w:color w:val="1F3864" w:themeColor="accent1" w:themeShade="80"/>
            <w:sz w:val="28"/>
          </w:rPr>
          <w:instrText xml:space="preserve"> PAGE   \* MERGEFORMAT </w:instrText>
        </w:r>
        <w:r w:rsidR="00F505F5" w:rsidRPr="0038264A">
          <w:rPr>
            <w:rFonts w:ascii="Book Antiqua" w:hAnsi="Book Antiqua"/>
            <w:b/>
            <w:color w:val="1F3864" w:themeColor="accent1" w:themeShade="80"/>
            <w:sz w:val="28"/>
          </w:rPr>
          <w:fldChar w:fldCharType="separate"/>
        </w:r>
        <w:r w:rsidR="00F84ED3" w:rsidRPr="00F84ED3">
          <w:rPr>
            <w:rFonts w:ascii="Book Antiqua" w:hAnsi="Book Antiqua"/>
            <w:b/>
            <w:bCs/>
            <w:noProof/>
            <w:color w:val="1F3864" w:themeColor="accent1" w:themeShade="80"/>
            <w:sz w:val="28"/>
          </w:rPr>
          <w:t>12</w:t>
        </w:r>
        <w:r w:rsidR="00F505F5" w:rsidRPr="0038264A">
          <w:rPr>
            <w:rFonts w:ascii="Book Antiqua" w:hAnsi="Book Antiqua"/>
            <w:b/>
            <w:bCs/>
            <w:noProof/>
            <w:color w:val="1F3864" w:themeColor="accent1" w:themeShade="80"/>
            <w:sz w:val="28"/>
          </w:rPr>
          <w:fldChar w:fldCharType="end"/>
        </w:r>
        <w:r w:rsidR="00F505F5" w:rsidRPr="0038264A">
          <w:rPr>
            <w:b/>
            <w:bCs/>
            <w:color w:val="1F3864" w:themeColor="accent1" w:themeShade="80"/>
            <w:sz w:val="24"/>
          </w:rPr>
          <w:t xml:space="preserve"> </w:t>
        </w:r>
        <w:r w:rsidR="00F505F5">
          <w:rPr>
            <w:b/>
            <w:bCs/>
          </w:rPr>
          <w:t xml:space="preserve">| </w:t>
        </w:r>
        <w:r w:rsidR="00F14211">
          <w:rPr>
            <w:b/>
            <w:bCs/>
          </w:rPr>
          <w:t xml:space="preserve">   </w:t>
        </w:r>
      </w:p>
    </w:sdtContent>
  </w:sdt>
  <w:p w:rsidR="00334F9D" w:rsidRPr="00185CD9" w:rsidRDefault="00334F9D">
    <w:pPr>
      <w:pStyle w:val="Footer"/>
      <w:rPr>
        <w:rFonts w:asciiTheme="majorHAnsi" w:hAnsiTheme="majorHAnsi" w:cstheme="majorHAns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575198"/>
      <w:docPartObj>
        <w:docPartGallery w:val="Page Numbers (Bottom of Page)"/>
        <w:docPartUnique/>
      </w:docPartObj>
    </w:sdtPr>
    <w:sdtEndPr>
      <w:rPr>
        <w:color w:val="7F7F7F" w:themeColor="background1" w:themeShade="7F"/>
        <w:spacing w:val="60"/>
      </w:rPr>
    </w:sdtEndPr>
    <w:sdtContent>
      <w:p w:rsidR="00F505F5" w:rsidRDefault="0038264A" w:rsidP="0038264A">
        <w:pPr>
          <w:pStyle w:val="Footer"/>
          <w:pBdr>
            <w:top w:val="single" w:sz="4" w:space="1" w:color="D9D9D9" w:themeColor="background1" w:themeShade="D9"/>
          </w:pBdr>
          <w:rPr>
            <w:b/>
            <w:bCs/>
          </w:rPr>
        </w:pPr>
        <w:r w:rsidRPr="0038264A">
          <w:rPr>
            <w:rFonts w:asciiTheme="majorHAnsi" w:hAnsiTheme="majorHAnsi" w:cstheme="majorHAnsi"/>
            <w:b/>
            <w:noProof/>
            <w:sz w:val="24"/>
            <w:lang w:bidi="ar-SA"/>
          </w:rPr>
          <mc:AlternateContent>
            <mc:Choice Requires="wps">
              <w:drawing>
                <wp:anchor distT="45720" distB="45720" distL="114300" distR="114300" simplePos="0" relativeHeight="251676672" behindDoc="0" locked="0" layoutInCell="1" allowOverlap="1" wp14:anchorId="0A3B047A" wp14:editId="15277618">
                  <wp:simplePos x="0" y="0"/>
                  <wp:positionH relativeFrom="column">
                    <wp:posOffset>466725</wp:posOffset>
                  </wp:positionH>
                  <wp:positionV relativeFrom="paragraph">
                    <wp:posOffset>-6985</wp:posOffset>
                  </wp:positionV>
                  <wp:extent cx="5791200" cy="6381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38175"/>
                          </a:xfrm>
                          <a:prstGeom prst="rect">
                            <a:avLst/>
                          </a:prstGeom>
                          <a:solidFill>
                            <a:schemeClr val="bg1"/>
                          </a:solidFill>
                          <a:ln w="12700">
                            <a:noFill/>
                            <a:miter lim="800000"/>
                            <a:headEnd/>
                            <a:tailEnd/>
                          </a:ln>
                        </wps:spPr>
                        <wps:txbx>
                          <w:txbxContent>
                            <w:p w:rsidR="0038264A" w:rsidRPr="0038264A" w:rsidRDefault="0036670D" w:rsidP="0038264A">
                              <w:pPr>
                                <w:spacing w:after="0" w:line="240" w:lineRule="auto"/>
                                <w:jc w:val="right"/>
                                <w:rPr>
                                  <w:rFonts w:ascii="Book Antiqua" w:hAnsi="Book Antiqua"/>
                                  <w:b/>
                                  <w:i/>
                                  <w:color w:val="000000" w:themeColor="text1"/>
                                  <w:sz w:val="16"/>
                                  <w:szCs w:val="18"/>
                                </w:rPr>
                              </w:pPr>
                              <w:r w:rsidRPr="0036670D">
                                <w:rPr>
                                  <w:rFonts w:ascii="Book Antiqua" w:hAnsi="Book Antiqua"/>
                                  <w:b/>
                                  <w:i/>
                                  <w:color w:val="000000" w:themeColor="text1"/>
                                  <w:sz w:val="16"/>
                                  <w:szCs w:val="18"/>
                                </w:rPr>
                                <w:t>Abdullah, “The Application of the Burden of Proof Concept in Indonesia: A Comparative Study”</w:t>
                              </w:r>
                            </w:p>
                            <w:p w:rsidR="0038264A" w:rsidRPr="0038264A" w:rsidRDefault="0038264A" w:rsidP="0038264A">
                              <w:pPr>
                                <w:spacing w:after="0" w:line="240" w:lineRule="auto"/>
                                <w:jc w:val="right"/>
                                <w:rPr>
                                  <w:rFonts w:ascii="Book Antiqua" w:hAnsi="Book Antiqua"/>
                                  <w:b/>
                                  <w:i/>
                                  <w:color w:val="000000" w:themeColor="text1"/>
                                  <w:sz w:val="16"/>
                                  <w:szCs w:val="18"/>
                                  <w:lang w:val="id-ID"/>
                                </w:rPr>
                              </w:pPr>
                              <w:r w:rsidRPr="0038264A">
                                <w:rPr>
                                  <w:rFonts w:ascii="Book Antiqua" w:hAnsi="Book Antiqua"/>
                                  <w:b/>
                                  <w:i/>
                                  <w:color w:val="000000" w:themeColor="text1"/>
                                  <w:sz w:val="16"/>
                                  <w:szCs w:val="18"/>
                                </w:rPr>
                                <w:t>SASI,</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27</w:t>
                              </w:r>
                              <w:r w:rsidRPr="0038264A">
                                <w:rPr>
                                  <w:rFonts w:ascii="Book Antiqua" w:hAnsi="Book Antiqua"/>
                                  <w:b/>
                                  <w:i/>
                                  <w:color w:val="000000" w:themeColor="text1"/>
                                  <w:sz w:val="16"/>
                                  <w:szCs w:val="18"/>
                                  <w:lang w:val="id-ID"/>
                                </w:rPr>
                                <w:t>(1)</w:t>
                              </w:r>
                              <w:r w:rsidRPr="0038264A">
                                <w:rPr>
                                  <w:rFonts w:ascii="Book Antiqua" w:hAnsi="Book Antiqua"/>
                                  <w:b/>
                                  <w:i/>
                                  <w:color w:val="000000" w:themeColor="text1"/>
                                  <w:sz w:val="16"/>
                                  <w:szCs w:val="18"/>
                                </w:rPr>
                                <w:t xml:space="preserve"> 2022</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1</w:t>
                              </w:r>
                              <w:r w:rsidRPr="0038264A">
                                <w:rPr>
                                  <w:rFonts w:ascii="Book Antiqua" w:hAnsi="Book Antiqua"/>
                                  <w:b/>
                                  <w:i/>
                                  <w:color w:val="000000" w:themeColor="text1"/>
                                  <w:sz w:val="16"/>
                                  <w:szCs w:val="18"/>
                                  <w:lang w:val="id-ID"/>
                                </w:rPr>
                                <w:t>-15</w:t>
                              </w:r>
                            </w:p>
                            <w:p w:rsidR="0038264A" w:rsidRPr="009D4306" w:rsidRDefault="0038264A" w:rsidP="0038264A">
                              <w:pPr>
                                <w:spacing w:after="0" w:line="240" w:lineRule="auto"/>
                                <w:jc w:val="right"/>
                                <w:rPr>
                                  <w:sz w:val="18"/>
                                  <w:szCs w:val="18"/>
                                </w:rPr>
                              </w:pPr>
                              <w:r w:rsidRPr="0038264A">
                                <w:rPr>
                                  <w:rFonts w:ascii="Book Antiqua" w:hAnsi="Book Antiqua"/>
                                  <w:b/>
                                  <w:i/>
                                  <w:color w:val="000000" w:themeColor="text1"/>
                                  <w:sz w:val="16"/>
                                  <w:szCs w:val="18"/>
                                  <w:lang w:val="id-ID"/>
                                </w:rPr>
                                <w:t>P-ISSN: 1693-0061, E-ISSN: 2614-2961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36.75pt;margin-top:-.55pt;width:456pt;height:50.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" fillcolor="white [3212]" stroked="f" strokeweight="1pt">
                  <v:textbox>
                    <w:txbxContent>
                      <w:p w:rsidR="0038264A" w:rsidRPr="0038264A" w:rsidRDefault="0036670D" w:rsidP="0038264A">
                        <w:pPr>
                          <w:spacing w:after="0" w:line="240" w:lineRule="auto"/>
                          <w:jc w:val="right"/>
                          <w:rPr>
                            <w:rFonts w:ascii="Book Antiqua" w:hAnsi="Book Antiqua"/>
                            <w:b/>
                            <w:i/>
                            <w:color w:val="000000" w:themeColor="text1"/>
                            <w:sz w:val="16"/>
                            <w:szCs w:val="18"/>
                          </w:rPr>
                        </w:pPr>
                        <w:r w:rsidRPr="0036670D">
                          <w:rPr>
                            <w:rFonts w:ascii="Book Antiqua" w:hAnsi="Book Antiqua"/>
                            <w:b/>
                            <w:i/>
                            <w:color w:val="000000" w:themeColor="text1"/>
                            <w:sz w:val="16"/>
                            <w:szCs w:val="18"/>
                          </w:rPr>
                          <w:t>Abdullah, “The Application of the Burden of Proof Concept in Indonesia: A Comparative Study”</w:t>
                        </w:r>
                      </w:p>
                      <w:p w:rsidR="0038264A" w:rsidRPr="0038264A" w:rsidRDefault="0038264A" w:rsidP="0038264A">
                        <w:pPr>
                          <w:spacing w:after="0" w:line="240" w:lineRule="auto"/>
                          <w:jc w:val="right"/>
                          <w:rPr>
                            <w:rFonts w:ascii="Book Antiqua" w:hAnsi="Book Antiqua"/>
                            <w:b/>
                            <w:i/>
                            <w:color w:val="000000" w:themeColor="text1"/>
                            <w:sz w:val="16"/>
                            <w:szCs w:val="18"/>
                            <w:lang w:val="id-ID"/>
                          </w:rPr>
                        </w:pPr>
                        <w:r w:rsidRPr="0038264A">
                          <w:rPr>
                            <w:rFonts w:ascii="Book Antiqua" w:hAnsi="Book Antiqua"/>
                            <w:b/>
                            <w:i/>
                            <w:color w:val="000000" w:themeColor="text1"/>
                            <w:sz w:val="16"/>
                            <w:szCs w:val="18"/>
                          </w:rPr>
                          <w:t>SASI,</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27</w:t>
                        </w:r>
                        <w:r w:rsidRPr="0038264A">
                          <w:rPr>
                            <w:rFonts w:ascii="Book Antiqua" w:hAnsi="Book Antiqua"/>
                            <w:b/>
                            <w:i/>
                            <w:color w:val="000000" w:themeColor="text1"/>
                            <w:sz w:val="16"/>
                            <w:szCs w:val="18"/>
                            <w:lang w:val="id-ID"/>
                          </w:rPr>
                          <w:t>(1)</w:t>
                        </w:r>
                        <w:r w:rsidRPr="0038264A">
                          <w:rPr>
                            <w:rFonts w:ascii="Book Antiqua" w:hAnsi="Book Antiqua"/>
                            <w:b/>
                            <w:i/>
                            <w:color w:val="000000" w:themeColor="text1"/>
                            <w:sz w:val="16"/>
                            <w:szCs w:val="18"/>
                          </w:rPr>
                          <w:t xml:space="preserve"> 2022</w:t>
                        </w:r>
                        <w:r w:rsidRPr="0038264A">
                          <w:rPr>
                            <w:rFonts w:ascii="Book Antiqua" w:hAnsi="Book Antiqua"/>
                            <w:b/>
                            <w:i/>
                            <w:color w:val="000000" w:themeColor="text1"/>
                            <w:sz w:val="16"/>
                            <w:szCs w:val="18"/>
                            <w:lang w:val="id-ID"/>
                          </w:rPr>
                          <w:t xml:space="preserve">: </w:t>
                        </w:r>
                        <w:r w:rsidRPr="0038264A">
                          <w:rPr>
                            <w:rFonts w:ascii="Book Antiqua" w:hAnsi="Book Antiqua"/>
                            <w:b/>
                            <w:i/>
                            <w:color w:val="000000" w:themeColor="text1"/>
                            <w:sz w:val="16"/>
                            <w:szCs w:val="18"/>
                          </w:rPr>
                          <w:t>1</w:t>
                        </w:r>
                        <w:r w:rsidRPr="0038264A">
                          <w:rPr>
                            <w:rFonts w:ascii="Book Antiqua" w:hAnsi="Book Antiqua"/>
                            <w:b/>
                            <w:i/>
                            <w:color w:val="000000" w:themeColor="text1"/>
                            <w:sz w:val="16"/>
                            <w:szCs w:val="18"/>
                            <w:lang w:val="id-ID"/>
                          </w:rPr>
                          <w:t>-15</w:t>
                        </w:r>
                      </w:p>
                      <w:p w:rsidR="0038264A" w:rsidRPr="009D4306" w:rsidRDefault="0038264A" w:rsidP="0038264A">
                        <w:pPr>
                          <w:spacing w:after="0" w:line="240" w:lineRule="auto"/>
                          <w:jc w:val="right"/>
                          <w:rPr>
                            <w:sz w:val="18"/>
                            <w:szCs w:val="18"/>
                          </w:rPr>
                        </w:pPr>
                        <w:r w:rsidRPr="0038264A">
                          <w:rPr>
                            <w:rFonts w:ascii="Book Antiqua" w:hAnsi="Book Antiqua"/>
                            <w:b/>
                            <w:i/>
                            <w:color w:val="000000" w:themeColor="text1"/>
                            <w:sz w:val="16"/>
                            <w:szCs w:val="18"/>
                            <w:lang w:val="id-ID"/>
                          </w:rPr>
                          <w:t>P-ISSN: 1693-0061, E-ISSN: 2614-2961</w:t>
                        </w:r>
                      </w:p>
                    </w:txbxContent>
                  </v:textbox>
                </v:shape>
              </w:pict>
            </mc:Fallback>
          </mc:AlternateContent>
        </w:r>
        <w:r w:rsidR="00F505F5" w:rsidRPr="0038264A">
          <w:rPr>
            <w:rFonts w:ascii="Book Antiqua" w:hAnsi="Book Antiqua"/>
            <w:b/>
            <w:color w:val="2F5496" w:themeColor="accent1" w:themeShade="BF"/>
            <w:sz w:val="28"/>
          </w:rPr>
          <w:fldChar w:fldCharType="begin"/>
        </w:r>
        <w:r w:rsidR="00F505F5" w:rsidRPr="0038264A">
          <w:rPr>
            <w:rFonts w:ascii="Book Antiqua" w:hAnsi="Book Antiqua"/>
            <w:b/>
            <w:color w:val="2F5496" w:themeColor="accent1" w:themeShade="BF"/>
            <w:sz w:val="28"/>
          </w:rPr>
          <w:instrText xml:space="preserve"> PAGE   \* MERGEFORMAT </w:instrText>
        </w:r>
        <w:r w:rsidR="00F505F5" w:rsidRPr="0038264A">
          <w:rPr>
            <w:rFonts w:ascii="Book Antiqua" w:hAnsi="Book Antiqua"/>
            <w:b/>
            <w:color w:val="2F5496" w:themeColor="accent1" w:themeShade="BF"/>
            <w:sz w:val="28"/>
          </w:rPr>
          <w:fldChar w:fldCharType="separate"/>
        </w:r>
        <w:r w:rsidR="00F84ED3" w:rsidRPr="00F84ED3">
          <w:rPr>
            <w:rFonts w:ascii="Book Antiqua" w:hAnsi="Book Antiqua"/>
            <w:b/>
            <w:bCs/>
            <w:noProof/>
            <w:color w:val="2F5496" w:themeColor="accent1" w:themeShade="BF"/>
            <w:sz w:val="28"/>
          </w:rPr>
          <w:t>11</w:t>
        </w:r>
        <w:r w:rsidR="00F505F5" w:rsidRPr="0038264A">
          <w:rPr>
            <w:rFonts w:ascii="Book Antiqua" w:hAnsi="Book Antiqua"/>
            <w:b/>
            <w:bCs/>
            <w:noProof/>
            <w:color w:val="2F5496" w:themeColor="accent1" w:themeShade="BF"/>
            <w:sz w:val="28"/>
          </w:rPr>
          <w:fldChar w:fldCharType="end"/>
        </w:r>
        <w:r w:rsidR="00F505F5" w:rsidRPr="0038264A">
          <w:rPr>
            <w:b/>
            <w:bCs/>
            <w:sz w:val="24"/>
          </w:rPr>
          <w:t xml:space="preserve"> </w:t>
        </w:r>
        <w:r w:rsidR="00F505F5">
          <w:rPr>
            <w:b/>
            <w:bCs/>
          </w:rPr>
          <w:t xml:space="preserve">| </w:t>
        </w:r>
        <w:r w:rsidR="00F14211">
          <w:rPr>
            <w:b/>
            <w:bCs/>
          </w:rPr>
          <w:t xml:space="preserve">    </w:t>
        </w:r>
      </w:p>
    </w:sdtContent>
  </w:sdt>
  <w:p w:rsidR="003045E4" w:rsidRPr="00185CD9" w:rsidRDefault="003045E4">
    <w:pPr>
      <w:pStyle w:val="Footer"/>
      <w:rPr>
        <w:rFonts w:asciiTheme="majorHAnsi" w:hAnsiTheme="majorHAnsi" w:cstheme="majorHAnsi"/>
        <w:color w:val="C0000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C34" w:rsidRDefault="00302C34" w:rsidP="00934130">
      <w:pPr>
        <w:spacing w:after="0" w:line="240" w:lineRule="auto"/>
      </w:pPr>
      <w:r>
        <w:separator/>
      </w:r>
    </w:p>
  </w:footnote>
  <w:footnote w:type="continuationSeparator" w:id="0">
    <w:p w:rsidR="00302C34" w:rsidRDefault="00302C34" w:rsidP="00934130">
      <w:pPr>
        <w:spacing w:after="0" w:line="240" w:lineRule="auto"/>
      </w:pPr>
      <w:r>
        <w:continuationSeparator/>
      </w:r>
    </w:p>
  </w:footnote>
  <w:footnote w:id="1">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{"citationItems":[{"id":"ITEM-1","itemData":{"author":[{"dropping-particle":"","family":"Effendy","given":"Marwan","non-dropping-particle":"","parse-names":false,"suffix":""}],"id":"ITEM-1","issued":{"date-parts":[["2012"]]},"number-of-pages":"73","publisher":"Referensi Jakarta","publisher-place":"Jakarta","title":"Sistem Peradilan Pidana Tinjauan Terhadap Beberapa Perkembangan Hukuh Pidana","type":"book"},"uris":["http://www.mendeley.com/documents/?uuid=964fc1a0-0258-4e16-bd0b-f7b1bcb33ea1"]}],"mendeley":{"formattedCitation":"Marwan Effendy, &lt;i&gt;Sistem Peradilan Pidana Tinjauan Terhadap Beberapa Perkembangan Hukuh Pidana&lt;/i&gt; (Jakarta: Referensi Jakarta, 2012).","manualFormatting":"Marwan Effendy, Sistem Peradilan Pidana Tinjauan Terhadap Beberapa Perkembangan Hukuh Pidana (Jakarta: Referensi Jakarta, 2012), p. 23.","plainTextFormattedCitation":"Marwan Effendy, Sistem Peradilan Pidana Tinjauan Terhadap Beberapa Perkembangan Hukuh Pidana (Jakarta: Referensi Jakarta, 2012).","previouslyFormattedCitation":"Marwan Effendy, &lt;i&gt;Sistem Peradilan Pidana Tinjauan Terhadap Beberapa Perkembangan Hukuh Pidana&lt;/i&gt; (Jakarta: Referensi Jakarta, 2012)."},"properties":{"noteIndex":1},"schema":"https://github.com/citation-style-language/schema/raw/master/csl-citation.json"}</w:instrText>
      </w:r>
      <w:r w:rsidRPr="00B63396">
        <w:fldChar w:fldCharType="separate"/>
      </w:r>
      <w:r w:rsidRPr="00B63396">
        <w:rPr>
          <w:noProof/>
        </w:rPr>
        <w:t xml:space="preserve">Marwan Effendy, </w:t>
      </w:r>
      <w:r w:rsidRPr="00B63396">
        <w:rPr>
          <w:i/>
          <w:noProof/>
        </w:rPr>
        <w:t>Sistem Peradilan Pidana Tinjauan Terhadap Beberapa Perkembangan Hukuh Pidana</w:t>
      </w:r>
      <w:r w:rsidRPr="00B63396">
        <w:rPr>
          <w:noProof/>
        </w:rPr>
        <w:t xml:space="preserve"> (Jakarta: Referensi Jakarta, 2012)</w:t>
      </w:r>
      <w:r w:rsidR="005D65B9">
        <w:rPr>
          <w:noProof/>
        </w:rPr>
        <w:t>, p. 23</w:t>
      </w:r>
      <w:r w:rsidRPr="00B63396">
        <w:rPr>
          <w:noProof/>
        </w:rPr>
        <w:t>.</w:t>
      </w:r>
      <w:r w:rsidRPr="00B63396">
        <w:fldChar w:fldCharType="end"/>
      </w:r>
    </w:p>
  </w:footnote>
  <w:footnote w:id="2">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{"citationItems":[{"id":"ITEM-1","itemData":{"author":[{"dropping-particle":"","family":"Munawar","given":"Kukun Abdul Syakur","non-dropping-particle":"","parse-names":false,"suffix":""}],"container-title":"Jurnal Hukum","id":"ITEM-1","issue":"2","issued":{"date-parts":[["2017"]]},"page":"224-245","title":"Pembuktian Terbalik Sebagai Kebijakan Kriminal Dalam Penanganan Tindak Pidana Korupsi","type":"article-journal","volume":"5"},"uris":["http://www.mendeley.com/documents/?uuid=859ee491-f6e5-4598-9e89-b0918789e38a"]}],"mendeley":{"formattedCitation":"Kukun Abdul Syakur Munawar, “Pembuktian Terbalik Sebagai Kebijakan Kriminal Dalam Penanganan Tindak Pidana Korupsi,” &lt;i&gt;Jurnal Hukum&lt;/i&gt; 5, no. 2 (2017): 224–45.","plainTextFormattedCitation":"Kukun Abdul Syakur Munawar, “Pembuktian Terbalik Sebagai Kebijakan Kriminal Dalam Penanganan Tindak Pidana Korupsi,” Jurnal Hukum 5, no. 2 (2017): 224–45.","previouslyFormattedCitation":"Kukun Abdul Syakur Munawar, “Pembuktian Terbalik Sebagai Kebijakan Kriminal Dalam Penanganan Tindak Pidana Korupsi,” &lt;i&gt;Jurnal Hukum&lt;/i&gt; 5, no. 2 (2017): 224–45."},"properties":{"noteIndex":2},"schema":"https://github.com/citation-style-language/schema/raw/master/csl-citation.json"}</w:instrText>
      </w:r>
      <w:r w:rsidRPr="00B63396">
        <w:fldChar w:fldCharType="separate"/>
      </w:r>
      <w:r w:rsidRPr="00B63396">
        <w:rPr>
          <w:noProof/>
        </w:rPr>
        <w:t xml:space="preserve">Kukun Abdul Syakur Munawar, “Pembuktian Terbalik Sebagai Kebijakan Kriminal Dalam Penanganan Tindak Pidana Korupsi,” </w:t>
      </w:r>
      <w:r w:rsidRPr="00B63396">
        <w:rPr>
          <w:i/>
          <w:noProof/>
        </w:rPr>
        <w:t>Jurnal Hukum</w:t>
      </w:r>
      <w:r w:rsidRPr="00B63396">
        <w:rPr>
          <w:noProof/>
        </w:rPr>
        <w:t xml:space="preserve"> 5, no. 2 (2017): 224–45.</w:t>
      </w:r>
      <w:r w:rsidRPr="00B63396">
        <w:fldChar w:fldCharType="end"/>
      </w:r>
    </w:p>
  </w:footnote>
  <w:footnote w:id="3">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{"citationItems":[{"id":"ITEM-1","itemData":{"author":[{"dropping-particle":"","family":"Eddyono","given":"Supriyadi Widodo","non-dropping-particle":"","parse-names":false,"suffix":""}],"container-title":"Legislasi Indonesia","id":"ITEM-1","issue":"2","issued":{"date-parts":[["2013"]]},"page":"267-280","title":"Verification Reversed Imposition And it’s Challenges","type":"article-journal","volume":"8"},"uris":["http://www.mendeley.com/documents/?uuid=5736d2e0-2e82-4c1c-9ac4-057b26239ebd"]}],"mendeley":{"formattedCitation":"Supriyadi Widodo Eddyono, “Verification Reversed Imposition And It’s Challenges,” &lt;i&gt;Legislasi Indonesia&lt;/i&gt; 8, no. 2 (2013): 267–80.","manualFormatting":"Supriyadi Widodo Eddyono, \"Verification Reversed Imposition, and It's Challenges,\" Legislasi Indonesia 8, no. 2 (2013): 267–80.","plainTextFormattedCitation":"Supriyadi Widodo Eddyono, “Verification Reversed Imposition And It’s Challenges,” Legislasi Indonesia 8, no. 2 (2013): 267–80.","previouslyFormattedCitation":"Supriyadi Widodo Eddyono, “Verification Reversed Imposition And It’s Challenges,” &lt;i&gt;Legislasi Indonesia&lt;/i&gt; 8, no. 2 (2013): 267–80."},"properties":{"noteIndex":3},"schema":"https://github.com/citation-style-language/schema/raw/master/csl-citation.json"}</w:instrText>
      </w:r>
      <w:r w:rsidRPr="00B63396">
        <w:fldChar w:fldCharType="separate"/>
      </w:r>
      <w:r w:rsidRPr="00B63396">
        <w:rPr>
          <w:bCs/>
          <w:noProof/>
        </w:rPr>
        <w:t xml:space="preserve">Supriyadi Widodo Eddyono, "Verification Reversed Imposition, and It's Challenges," </w:t>
      </w:r>
      <w:r w:rsidRPr="005D65B9">
        <w:rPr>
          <w:bCs/>
          <w:i/>
          <w:noProof/>
        </w:rPr>
        <w:t>Legislasi Indonesia</w:t>
      </w:r>
      <w:r w:rsidRPr="00B63396">
        <w:rPr>
          <w:bCs/>
          <w:noProof/>
        </w:rPr>
        <w:t xml:space="preserve"> 8, no. 2 (2013): 267–80.</w:t>
      </w:r>
      <w:r w:rsidRPr="00B63396">
        <w:fldChar w:fldCharType="end"/>
      </w:r>
    </w:p>
  </w:footnote>
  <w:footnote w:id="4">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{"citationItems":[{"id":"ITEM-1","itemData":{"author":[{"dropping-particle":"","family":"Hart","given":"Hamilton","non-dropping-particle":"","parse-names":false,"suffix":""}],"container-title":"Buletin of Indonesia Economic Studies","id":"ITEM-1","issue":"1","issued":{"date-parts":[["2001"]]},"page":"65-88","title":"Anti Corruption Strategies in Indonesia","type":"article-journal","volume":"37"},"uris":["http://www.mendeley.com/documents/?uuid=6ae0f19a-65d9-405d-b5b9-35ad8a8bcd5d"]}],"mendeley":{"formattedCitation":"Hamilton Hart, “Anti Corruption Strategies in Indonesia,” &lt;i&gt;Buletin of Indonesia Economic Studies&lt;/i&gt; 37, no. 1 (2001): 65–88.","manualFormatting":"Hamilton Hart, “Anti Corruption Strategies in Indonesia,” Bulletin of Indonesia Economic Studies 37, no. 1 (2001): 65–88.","plainTextFormattedCitation":"Hamilton Hart, “Anti Corruption Strategies in Indonesia,” Buletin of Indonesia Economic Studies 37, no. 1 (2001): 65–88.","previouslyFormattedCitation":"Hamilton Hart, “Anti Corruption Strategies in Indonesia,” &lt;i&gt;Buletin of Indonesia Economic Studies&lt;/i&gt; 37, no. 1 (2001): 65–88."},"properties":{"noteIndex":4},"schema":"https://github.com/citation-style-language/schema/raw/master/csl-citation.json"}</w:instrText>
      </w:r>
      <w:r w:rsidRPr="00B63396">
        <w:fldChar w:fldCharType="separate"/>
      </w:r>
      <w:r w:rsidRPr="00B63396">
        <w:rPr>
          <w:bCs/>
          <w:noProof/>
        </w:rPr>
        <w:t xml:space="preserve">Hamilton Hart, “Anti Corruption Strategies in Indonesia,” </w:t>
      </w:r>
      <w:r w:rsidRPr="005D65B9">
        <w:rPr>
          <w:bCs/>
          <w:i/>
          <w:noProof/>
        </w:rPr>
        <w:t>Bulletin of Indonesia Economic Studies</w:t>
      </w:r>
      <w:r w:rsidRPr="00B63396">
        <w:rPr>
          <w:bCs/>
          <w:noProof/>
        </w:rPr>
        <w:t xml:space="preserve"> 37, no. 1 (2001): 65–88.</w:t>
      </w:r>
      <w:r w:rsidRPr="00B63396">
        <w:fldChar w:fldCharType="end"/>
      </w:r>
    </w:p>
  </w:footnote>
  <w:footnote w:id="5">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{"citationItems":[{"id":"ITEM-1","itemData":{"author":[{"dropping-particle":"","family":"Cees","given":"Schaap","non-dropping-particle":"","parse-names":false,"suffix":""}],"id":"ITEM-1","issued":{"date-parts":[["1998"]]},"number-of-pages":"9","publisher":"Kluwer Law International","publisher-place":"London","title":"Fighting Money Laundering","type":"book"},"uris":["http://www.mendeley.com/documents/?uuid=b3a46830-7f48-4bc2-860b-7d6a04bd31fd"]}],"mendeley":{"formattedCitation":"Schaap Cees, &lt;i&gt;Fighting Money Laundering&lt;/i&gt; (London: Kluwer Law International, 1998).","manualFormatting":"Schaap Cees, Fighting Money Laundering (London: Kluwer Law International, 1998), p. 41.","plainTextFormattedCitation":"Schaap Cees, Fighting Money Laundering (London: Kluwer Law International, 1998).","previouslyFormattedCitation":"Schaap Cees, &lt;i&gt;Fighting Money Laundering&lt;/i&gt; (London: Kluwer Law International, 1998)."},"properties":{"noteIndex":5},"schema":"https://github.com/citation-style-language/schema/raw/master/csl-citation.json"}</w:instrText>
      </w:r>
      <w:r w:rsidRPr="00B63396">
        <w:fldChar w:fldCharType="separate"/>
      </w:r>
      <w:r w:rsidRPr="00B63396">
        <w:rPr>
          <w:noProof/>
        </w:rPr>
        <w:t xml:space="preserve">Schaap Cees, </w:t>
      </w:r>
      <w:r w:rsidRPr="00B63396">
        <w:rPr>
          <w:i/>
          <w:noProof/>
        </w:rPr>
        <w:t>Fighting Money Laundering</w:t>
      </w:r>
      <w:r w:rsidRPr="00B63396">
        <w:rPr>
          <w:noProof/>
        </w:rPr>
        <w:t xml:space="preserve"> (London: Kluwer Law International, 1998)</w:t>
      </w:r>
      <w:r w:rsidR="005D65B9">
        <w:rPr>
          <w:noProof/>
        </w:rPr>
        <w:t>, p. 41</w:t>
      </w:r>
      <w:r w:rsidRPr="00B63396">
        <w:rPr>
          <w:noProof/>
        </w:rPr>
        <w:t>.</w:t>
      </w:r>
      <w:r w:rsidRPr="00B63396">
        <w:fldChar w:fldCharType="end"/>
      </w:r>
    </w:p>
  </w:footnote>
  <w:footnote w:id="6">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AE3093">
        <w:instrText>ADDIN CSL_CITATION {"citationItems":[{"id":"ITEM-1","itemData":{"DOI":"10.1017/CBO9781107415324.004","ISBN":"9788578110796","ISSN":"1098-6596","PMID":"25246403","abstract":"El 18 de octubre de 2019 se detonó en Chile un conjuto de eventos que en pocas semanas cuestionaron, en profundidad, muchas de nuestras certidumbres colectivas. El país se ha visto enfrentado a su más grave crisis social desde hace décadas. Un conjunto heterogéneo de disputas y demandas en desestabilizado el lugar de la economía de mercado; han expresado nuevos anhelos de integración y protección social; han constituido a la violencia, en sus muy dstintas manifestaciones en una realidad de inevitable análisis; han revelado la fuerza de empuje hacia la re-definición de las relaciones entre los individuos y entre estos y las instituciones ¿Cuáles son las razones de la amplitud e intensidad de estos acontecimientos? ¿Cuáles los procesos que les subyacen y anteceden? ¿Bajo qué formas y en qué lugares estos procesos se produjeron? ¿Quiénes fueron sus principales actores? ¿Qué horizontes -todavía inciertos-- se han abierto? ¿Qué nos dicen de la sociedad las formas de politización que han tenido estas demandas? Este libro, resultado de un trabajo colectivo realizado por veintiún investigadoras e investigadoras del Centro Núcleo Milenio Autoridad y Asimetrías de Poder, procura aportar a dar respuesta a estas interrogantes. Ajeno a todo dogmatismo o eclecticismo, asumiendo el riesgo de la interpretación ante sucesos en curso, pero sostenido en largos años de investigación empírica, su objetivo es proporcionar, desde distintas disciplinas de las ciencias sociales, elementos para la comprensión de nuestra historia social.","author":[{"dropping-particle":"","family":"Hatta","given":"Muhammad","non-dropping-particle":"","parse-names":false,"suffix":""}],"container-title":"Unimal Press","id":"ITEM-1","issue":"-","issued":{"date-parts":[["2019"]]},"number-of-pages":"1-476","title":"Kejahatan Luar Biasa: Extra Ordinary Crime","type":"book","volume":"1"},"uris":["http://www.mendeley.com/documents/?uuid=01d73749-0262-4d2d-9675-21177391f126"]}],"mendeley":{"formattedCitation":"Muhammad Hatta, &lt;i&gt;Kejahatan Luar Biasa: Extra Ordinary Crime&lt;/i&gt;, &lt;i&gt;Unimal Press&lt;/i&gt;, vol. 1, 2019, https://doi.org/10.1017/CBO9781107415324.004.","manualFormatting":"Muhammad Hatta, \"Kejahatan Luar Biasa: Extra Ordinary Crime,\" Unimal Press, vol. 1, (2019): 45.","plainTextFormattedCitation":"Muhammad Hatta, Kejahatan Luar Biasa: Extra Ordinary Crime, Unimal Press, vol. 1, 2019, https://doi.org/10.1017/CBO9781107415324.004.","previouslyFormattedCitation":"Muhammad Hatta, &lt;i&gt;Kejahatan Luar Biasa: Extra Ordinary Crime&lt;/i&gt;, &lt;i&gt;Unimal Press&lt;/i&gt;, vol. 1, 2019, https://doi.org/10.1017/CBO9781107415324.004."},"properties":{"noteIndex":6},"schema":"https://github.com/citation-style-language/schema/raw/master/csl-citation.json"}</w:instrText>
      </w:r>
      <w:r w:rsidRPr="00B63396">
        <w:fldChar w:fldCharType="separate"/>
      </w:r>
      <w:r w:rsidR="00EE30CC" w:rsidRPr="00EE30CC">
        <w:rPr>
          <w:noProof/>
        </w:rPr>
        <w:t xml:space="preserve">Muhammad Hatta, "Kejahatan Luar Biasa: Extra Ordinary Crime," </w:t>
      </w:r>
      <w:r w:rsidR="00EE30CC" w:rsidRPr="00EE30CC">
        <w:rPr>
          <w:i/>
          <w:noProof/>
        </w:rPr>
        <w:t>Unimal Press</w:t>
      </w:r>
      <w:r w:rsidR="00EE30CC" w:rsidRPr="00EE30CC">
        <w:rPr>
          <w:noProof/>
        </w:rPr>
        <w:t xml:space="preserve">, vol. 1, </w:t>
      </w:r>
      <w:r w:rsidR="00EE30CC">
        <w:rPr>
          <w:noProof/>
        </w:rPr>
        <w:t>(</w:t>
      </w:r>
      <w:r w:rsidR="00EE30CC" w:rsidRPr="00EE30CC">
        <w:rPr>
          <w:noProof/>
        </w:rPr>
        <w:t>2019</w:t>
      </w:r>
      <w:r w:rsidR="00EE30CC">
        <w:rPr>
          <w:noProof/>
        </w:rPr>
        <w:t>): 45.</w:t>
      </w:r>
      <w:r w:rsidRPr="00B63396">
        <w:fldChar w:fldCharType="end"/>
      </w:r>
    </w:p>
  </w:footnote>
  <w:footnote w:id="7">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AE3093">
        <w:instrText>ADDIN CSL_CITATION {"citationItems":[{"id":"ITEM-1","itemData":{"author":[{"dropping-particle":"","family":"Hiariej","given":"E. O. S","non-dropping-particle":"","parse-names":false,"suffix":""}],"id":"ITEM-1","issued":{"date-parts":[["2012"]]},"number-of-pages":"3","publisher":"Universitas Gadjah Mada","publisher-place":"Yogyakarta","title":"Pembuktian Terbalik dalam Pengembalian Aset Kejahatan Korupsi","type":"book"},"uris":["http://www.mendeley.com/documents/?uuid=ef7a3fa2-0dc8-44f3-adbf-30c26cfa2706"]}],"mendeley":{"formattedCitation":"E. O. S Hiariej, &lt;i&gt;Pembuktian Terbalik Dalam Pengembalian Aset Kejahatan Korupsi&lt;/i&gt; (Yogyakarta: Universitas Gadjah Mada, 2012).","manualFormatting":"E. O. S Hiariej, Pembuktian Terbalik Dalam Pengembalian Aset Kejahatan Korupsi (Yogyakarta: Universitas Gadjah Mada, 2012), p. 45.","plainTextFormattedCitation":"E. O. S Hiariej, Pembuktian Terbalik Dalam Pengembalian Aset Kejahatan Korupsi (Yogyakarta: Universitas Gadjah Mada, 2012).","previouslyFormattedCitation":"E. O. S Hiariej, &lt;i&gt;Pembuktian Terbalik Dalam Pengembalian Aset Kejahatan Korupsi&lt;/i&gt; (Yogyakarta: Universitas Gadjah Mada, 2012)."},"properties":{"noteIndex":7},"schema":"https://github.com/citation-style-language/schema/raw/master/csl-citation.json"}</w:instrText>
      </w:r>
      <w:r w:rsidRPr="00B63396">
        <w:fldChar w:fldCharType="separate"/>
      </w:r>
      <w:r w:rsidR="00EE30CC" w:rsidRPr="00EE30CC">
        <w:rPr>
          <w:noProof/>
        </w:rPr>
        <w:t xml:space="preserve">E. O. S Hiariej, </w:t>
      </w:r>
      <w:r w:rsidR="00EE30CC" w:rsidRPr="00EE30CC">
        <w:rPr>
          <w:i/>
          <w:noProof/>
        </w:rPr>
        <w:t>Pembuktian Terbalik Dalam Pengembalian Aset Kejahatan Korupsi</w:t>
      </w:r>
      <w:r w:rsidR="00EE30CC" w:rsidRPr="00EE30CC">
        <w:rPr>
          <w:noProof/>
        </w:rPr>
        <w:t xml:space="preserve"> (Yogyakarta: Universitas Gadjah Mada, 2012)</w:t>
      </w:r>
      <w:r w:rsidR="00001F3E">
        <w:rPr>
          <w:noProof/>
        </w:rPr>
        <w:t>, p. 45</w:t>
      </w:r>
      <w:r w:rsidR="00EE30CC" w:rsidRPr="00EE30CC">
        <w:rPr>
          <w:noProof/>
        </w:rPr>
        <w:t>.</w:t>
      </w:r>
      <w:r w:rsidRPr="00B63396">
        <w:fldChar w:fldCharType="end"/>
      </w:r>
    </w:p>
  </w:footnote>
  <w:footnote w:id="8">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{"citationItems":[{"id":"ITEM-1","itemData":{"author":[{"dropping-particle":"","family":"Analiansyah","given":"","non-dropping-particle":"","parse-names":false,"suffix":""}],"container-title":"Jurnal Al-Murshalah","id":"ITEM-1","issue":"1","issued":{"date-parts":[["2016"]]},"page":"38-52","title":"Hukum Pembuktian Terbalik dalam Perspektif Hukum Islam","type":"article-journal","volume":"2"},"uris":["http://www.mendeley.com/documents/?uuid=681fa97a-2d83-474f-9989-b0c1758ca209"]}],"mendeley":{"formattedCitation":"Analiansyah, “Hukum Pembuktian Terbalik Dalam Perspektif Hukum Islam,” &lt;i&gt;Jurnal Al-Murshalah&lt;/i&gt; 2, no. 1 (2016): 38–52.","plainTextFormattedCitation":"Analiansyah, “Hukum Pembuktian Terbalik Dalam Perspektif Hukum Islam,” Jurnal Al-Murshalah 2, no. 1 (2016): 38–52.","previouslyFormattedCitation":"Analiansyah, “Hukum Pembuktian Terbalik Dalam Perspektif Hukum Islam,” &lt;i&gt;Jurnal Al-Murshalah&lt;/i&gt; 2, no. 1 (2016): 38–52."},"properties":{"noteIndex":8},"schema":"https://github.com/citation-style-language/schema/raw/master/csl-citation.json"}</w:instrText>
      </w:r>
      <w:r w:rsidRPr="00B63396">
        <w:fldChar w:fldCharType="separate"/>
      </w:r>
      <w:r w:rsidRPr="00B63396">
        <w:rPr>
          <w:noProof/>
        </w:rPr>
        <w:t xml:space="preserve">Analiansyah, “Hukum Pembuktian Terbalik Dalam Perspektif Hukum Islam,” </w:t>
      </w:r>
      <w:r w:rsidRPr="00B63396">
        <w:rPr>
          <w:i/>
          <w:noProof/>
        </w:rPr>
        <w:t>Jurnal Al-Murshalah</w:t>
      </w:r>
      <w:r w:rsidRPr="00B63396">
        <w:rPr>
          <w:noProof/>
        </w:rPr>
        <w:t xml:space="preserve"> 2, no. 1 (2016): 38–52.</w:t>
      </w:r>
      <w:r w:rsidRPr="00B63396">
        <w:fldChar w:fldCharType="end"/>
      </w:r>
    </w:p>
  </w:footnote>
  <w:footnote w:id="9">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{"citationItems":[{"id":"ITEM-1","itemData":{"author":[{"dropping-particle":"","family":"Yaqin","given":"A.","non-dropping-particle":"","parse-names":false,"suffix":""}],"container-title":"Malayan Law Journal SDN BHD","id":"ITEM-1","issued":{"date-parts":[["2007"]]},"page":"10","title":"Legal Research and Writting","type":"article-journal","volume":"1"},"uris":["http://www.mendeley.com/documents/?uuid=597b1d01-7fa7-4b25-8779-851ae99fab41"]}],"mendeley":{"formattedCitation":"A. Yaqin, “Legal Research and Writting,” &lt;i&gt;Malayan Law Journal SDN BHD&lt;/i&gt; 1 (2007): 10.","manualFormatting":"A. Yaqin, \"Legal Research and Writing,\" Malayan Law Journal 1 (2018): 10.","plainTextFormattedCitation":"A. Yaqin, “Legal Research and Writting,” Malayan Law Journal SDN BHD 1 (2007): 10.","previouslyFormattedCitation":"A. Yaqin, “Legal Research and Writting,” &lt;i&gt;Malayan Law Journal SDN BHD&lt;/i&gt; 1 (2007): 10."},"properties":{"noteIndex":9},"schema":"https://github.com/citation-style-language/schema/raw/master/csl-citation.json"}</w:instrText>
      </w:r>
      <w:r w:rsidRPr="00B63396">
        <w:fldChar w:fldCharType="separate"/>
      </w:r>
      <w:r w:rsidRPr="00B63396">
        <w:rPr>
          <w:bCs/>
          <w:noProof/>
        </w:rPr>
        <w:t xml:space="preserve">A. Yaqin, </w:t>
      </w:r>
      <w:r w:rsidR="005D65B9">
        <w:rPr>
          <w:bCs/>
          <w:noProof/>
        </w:rPr>
        <w:t>"</w:t>
      </w:r>
      <w:r w:rsidRPr="00B63396">
        <w:rPr>
          <w:bCs/>
          <w:noProof/>
        </w:rPr>
        <w:t>Legal Research and Writing,</w:t>
      </w:r>
      <w:r w:rsidR="005D65B9">
        <w:rPr>
          <w:bCs/>
          <w:noProof/>
        </w:rPr>
        <w:t>"</w:t>
      </w:r>
      <w:r w:rsidRPr="00B63396">
        <w:rPr>
          <w:bCs/>
          <w:noProof/>
        </w:rPr>
        <w:t xml:space="preserve"> </w:t>
      </w:r>
      <w:r w:rsidRPr="005D65B9">
        <w:rPr>
          <w:bCs/>
          <w:i/>
          <w:noProof/>
        </w:rPr>
        <w:t>Malayan Law Journal</w:t>
      </w:r>
      <w:r w:rsidR="005D65B9">
        <w:rPr>
          <w:bCs/>
          <w:noProof/>
        </w:rPr>
        <w:t xml:space="preserve"> 1 (2018):</w:t>
      </w:r>
      <w:r w:rsidRPr="00B63396">
        <w:rPr>
          <w:bCs/>
          <w:noProof/>
        </w:rPr>
        <w:t xml:space="preserve"> 10.</w:t>
      </w:r>
      <w:r w:rsidRPr="00B63396">
        <w:fldChar w:fldCharType="end"/>
      </w:r>
    </w:p>
  </w:footnote>
  <w:footnote w:id="10">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AE3093">
        <w:instrText>ADDIN CSL_CITATION {"citationItems":[{"id":"ITEM-1","itemData":{"author":[{"dropping-particle":"","family":"Diantha","given":"I Made Pasek","non-dropping-particle":"","parse-names":false,"suffix":""}],"id":"ITEM-1","issued":{"date-parts":[["2017"]]},"number-of-pages":"159","publisher":"Prenanda Media Group","publisher-place":"Jakarta","title":"Metodologi Penelitian Hukum Normatif Dalam Justifikasi Teori Hukum","type":"book"},"uris":["http://www.mendeley.com/documents/?uuid=b2086330-bd88-4bbb-b5f6-738d08f33f04"]}],"mendeley":{"formattedCitation":"I Made Pasek Diantha, &lt;i&gt;Metodologi Penelitian Hukum Normatif Dalam Justifikasi Teori Hukum&lt;/i&gt; (Jakarta: Prenanda Media Group, 2017).","manualFormatting":"I Made Pasek Diantha, Metodologi Penelitian Hukum Normatif Dalam Justifikasi Teori Hukum (Jakarta: Prenanda Media Group, 2017), p. 41.","plainTextFormattedCitation":"I Made Pasek Diantha, Metodologi Penelitian Hukum Normatif Dalam Justifikasi Teori Hukum (Jakarta: Prenanda Media Group, 2017).","previouslyFormattedCitation":"I Made Pasek Diantha, &lt;i&gt;Metodologi Penelitian Hukum Normatif Dalam Justifikasi Teori Hukum&lt;/i&gt; (Jakarta: Prenanda Media Group, 2017)."},"properties":{"noteIndex":10},"schema":"https://github.com/citation-style-language/schema/raw/master/csl-citation.json"}</w:instrText>
      </w:r>
      <w:r w:rsidRPr="00B63396">
        <w:fldChar w:fldCharType="separate"/>
      </w:r>
      <w:r w:rsidR="00EE30CC" w:rsidRPr="00EE30CC">
        <w:rPr>
          <w:noProof/>
        </w:rPr>
        <w:t xml:space="preserve">I Made Pasek Diantha, </w:t>
      </w:r>
      <w:r w:rsidR="00EE30CC" w:rsidRPr="00EE30CC">
        <w:rPr>
          <w:i/>
          <w:noProof/>
        </w:rPr>
        <w:t>Metodologi Penelitian Hukum Normatif Dalam Justifikasi Teori Hukum</w:t>
      </w:r>
      <w:r w:rsidR="00EE30CC" w:rsidRPr="00EE30CC">
        <w:rPr>
          <w:noProof/>
        </w:rPr>
        <w:t xml:space="preserve"> (Jakarta: Prenanda Media Group, 2017)</w:t>
      </w:r>
      <w:r w:rsidR="00001F3E">
        <w:rPr>
          <w:noProof/>
        </w:rPr>
        <w:t>, p. 41</w:t>
      </w:r>
      <w:r w:rsidR="00EE30CC" w:rsidRPr="00EE30CC">
        <w:rPr>
          <w:noProof/>
        </w:rPr>
        <w:t>.</w:t>
      </w:r>
      <w:r w:rsidRPr="00B63396">
        <w:fldChar w:fldCharType="end"/>
      </w:r>
    </w:p>
  </w:footnote>
  <w:footnote w:id="11">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AE3093">
        <w:instrText>ADDIN CSL_CITATION {"citationItems":[{"id":"ITEM-1","itemData":{"author":[{"dropping-particle":"","family":"Ibrahim","given":"Hamid","non-dropping-particle":"","parse-names":false,"suffix":""}],"id":"ITEM-1","issued":{"date-parts":[["1993"]]},"number-of-pages":"163","publisher":"Central Law Book Corporation Sdn. Bhd","publisher-place":"Kuala Lumpur","title":"Law of Evidence","type":"book"},"uris":["http://www.mendeley.com/documents/?uuid=811291e5-0c2e-4796-bc65-6c57052cb2e2","http://www.mendeley.com/documents/?uuid=aa51aafb-50e7-4055-994b-9dc1fc03d73f"]}],"mendeley":{"formattedCitation":"Hamid Ibrahim, &lt;i&gt;Law of Evidence&lt;/i&gt; (Kuala Lumpur: Central Law Book Corporation Sdn. Bhd, 1993).","manualFormatting":"Hamid Ibrahim, Law of Evidence (Kuala Lumpur: Central Law Book Corporation Sdn. Bhd, 1993), p. 95.","plainTextFormattedCitation":"Hamid Ibrahim, Law of Evidence (Kuala Lumpur: Central Law Book Corporation Sdn. Bhd, 1993).","previouslyFormattedCitation":"Hamid Ibrahim, &lt;i&gt;Law of Evidence&lt;/i&gt; (Kuala Lumpur: Central Law Book Corporation Sdn. Bhd, 1993)."},"properties":{"noteIndex":11},"schema":"https://github.com/citation-style-language/schema/raw/master/csl-citation.json"}</w:instrText>
      </w:r>
      <w:r w:rsidRPr="00B63396">
        <w:fldChar w:fldCharType="separate"/>
      </w:r>
      <w:r w:rsidR="00EE30CC" w:rsidRPr="00EE30CC">
        <w:rPr>
          <w:noProof/>
        </w:rPr>
        <w:t xml:space="preserve">Hamid Ibrahim, </w:t>
      </w:r>
      <w:r w:rsidR="00EE30CC" w:rsidRPr="00EE30CC">
        <w:rPr>
          <w:i/>
          <w:noProof/>
        </w:rPr>
        <w:t>Law of Evidence</w:t>
      </w:r>
      <w:r w:rsidR="00EE30CC" w:rsidRPr="00EE30CC">
        <w:rPr>
          <w:noProof/>
        </w:rPr>
        <w:t xml:space="preserve"> (Kuala Lumpur: Central Law Book Corporation Sdn. Bhd, 1993)</w:t>
      </w:r>
      <w:r w:rsidR="00001F3E">
        <w:rPr>
          <w:noProof/>
        </w:rPr>
        <w:t>, p. 95</w:t>
      </w:r>
      <w:r w:rsidR="00EE30CC" w:rsidRPr="00EE30CC">
        <w:rPr>
          <w:noProof/>
        </w:rPr>
        <w:t>.</w:t>
      </w:r>
      <w:r w:rsidRPr="00B63396">
        <w:fldChar w:fldCharType="end"/>
      </w:r>
    </w:p>
  </w:footnote>
  <w:footnote w:id="12">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{"citationItems":[{"id":"ITEM-1","itemData":{"author":[{"dropping-particle":"","family":"Prodjohamidjojo","given":"Martiman","non-dropping-particle":"","parse-names":false,"suffix":""}],"id":"ITEM-1","issued":{"date-parts":[["1984"]]},"number-of-pages":"11","publisher":"Pradnya Paramitha","publisher-place":"Jakarta","title":"Komentar atas KUHAP: Kitab Undang-Undang Hukum Acara Pidana","type":"book"},"uris":["http://www.mendeley.com/documents/?uuid=a21295b4-44d0-4d71-a7ca-92656ac3cb09"]}],"mendeley":{"formattedCitation":"Martiman Prodjohamidjojo, &lt;i&gt;Komentar Atas KUHAP: Kitab Undang-Undang Hukum Acara Pidana&lt;/i&gt; (Jakarta: Pradnya Paramitha, 1984).","manualFormatting":"Martiman Prodjohamidjojo, Komentar Atas KUHAP: Kitab Undang-Undang Hukum Acara Pidana (Jakarta: Pradnya Paramitha, 1984), p. 90.","plainTextFormattedCitation":"Martiman Prodjohamidjojo, Komentar Atas KUHAP: Kitab Undang-Undang Hukum Acara Pidana (Jakarta: Pradnya Paramitha, 1984).","previouslyFormattedCitation":"Martiman Prodjohamidjojo, &lt;i&gt;Komentar Atas KUHAP: Kitab Undang-Undang Hukum Acara Pidana&lt;/i&gt; (Jakarta: Pradnya Paramitha, 1984)."},"properties":{"noteIndex":12},"schema":"https://github.com/citation-style-language/schema/raw/master/csl-citation.json"}</w:instrText>
      </w:r>
      <w:r w:rsidRPr="00B63396">
        <w:fldChar w:fldCharType="separate"/>
      </w:r>
      <w:r w:rsidRPr="00B63396">
        <w:rPr>
          <w:noProof/>
        </w:rPr>
        <w:t xml:space="preserve">Martiman Prodjohamidjojo, </w:t>
      </w:r>
      <w:r w:rsidRPr="00B63396">
        <w:rPr>
          <w:i/>
          <w:noProof/>
        </w:rPr>
        <w:t>Komentar Atas KUHAP: Kitab Undang-Undang Hukum Acara Pidana</w:t>
      </w:r>
      <w:r w:rsidRPr="00B63396">
        <w:rPr>
          <w:noProof/>
        </w:rPr>
        <w:t xml:space="preserve"> (Jakarta: Pradnya Paramitha, 1984)</w:t>
      </w:r>
      <w:r w:rsidR="005D65B9">
        <w:rPr>
          <w:noProof/>
        </w:rPr>
        <w:t>, p. 90</w:t>
      </w:r>
      <w:r w:rsidRPr="00B63396">
        <w:rPr>
          <w:noProof/>
        </w:rPr>
        <w:t>.</w:t>
      </w:r>
      <w:r w:rsidRPr="00B63396">
        <w:fldChar w:fldCharType="end"/>
      </w:r>
    </w:p>
  </w:footnote>
  <w:footnote w:id="13">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Nugroho","given":"Bastianto","non-dropping-particle":"","parse-names":false,"suffix":""}],"container-title":"Yuridika","id":"ITEM-1","issue":"1","issued":{"date-parts":[["2017"]]},"page":"21-25.","title":"Peranan Alat Bukti Dalam Perkara Pidana Dalam Putusan Hakim Menurut KUHAP","type":"article-journal","volume":"32"},"uris":["http://www.mendeley.com/documents/?uuid=d4d29a47-6144-4e11-8faf-9de6af5138fd","http://www.mendeley.com/documents/?uuid=bb99db3d-4398-4dd8-b036-ebd0b93a3490"]}],"mendeley":{"formattedCitation":"Bastianto Nugroho, “Peranan Alat Bukti Dalam Perkara Pidana Dalam Putusan Hakim Menurut KUHAP,” &lt;i&gt;Yuridika&lt;/i&gt; 32, no. 1 (2017): 21-25.","plainTextFormattedCitation":"Bastianto Nugroho, “Peranan Alat Bukti Dalam Perkara Pidana Dalam Putusan Hakim Menurut KUHAP,” Yuridika 32, no. 1 (2017): 21-25.","previouslyFormattedCitation":"Bastianto Nugroho, “Peranan Alat Bukti Dalam Perkara Pidana Dalam Putusan Hakim Menurut KUHAP,” &lt;i&gt;Yuridika&lt;/i&gt; 32, no. 1 (2017): 21-25."},"properties":{"noteIndex":13},"schema":"https://github.com/citation-style-language/schema/raw/master/csl-citation.json"}</w:instrText>
      </w:r>
      <w:r w:rsidRPr="00B63396">
        <w:fldChar w:fldCharType="separate"/>
      </w:r>
      <w:r w:rsidRPr="00B63396">
        <w:rPr>
          <w:noProof/>
        </w:rPr>
        <w:t xml:space="preserve">Bastianto Nugroho, “Peranan Alat Bukti Dalam Perkara Pidana Dalam Putusan Hakim Menurut KUHAP,” </w:t>
      </w:r>
      <w:r w:rsidRPr="00B63396">
        <w:rPr>
          <w:i/>
          <w:noProof/>
        </w:rPr>
        <w:t>Yuridika</w:t>
      </w:r>
      <w:r w:rsidRPr="00B63396">
        <w:rPr>
          <w:noProof/>
        </w:rPr>
        <w:t xml:space="preserve"> 32, no. 1 (2017): 21-25.</w:t>
      </w:r>
      <w:r w:rsidRPr="00B63396">
        <w:fldChar w:fldCharType="end"/>
      </w:r>
    </w:p>
  </w:footnote>
  <w:footnote w:id="14">
    <w:p w:rsidR="00AE3093" w:rsidRDefault="00AE3093" w:rsidP="00AE3093">
      <w:pPr>
        <w:pStyle w:val="FootnoteText"/>
        <w:tabs>
          <w:tab w:val="left" w:pos="540"/>
        </w:tabs>
      </w:pPr>
      <w:r>
        <w:tab/>
      </w:r>
      <w:r>
        <w:rPr>
          <w:rStyle w:val="FootnoteReference"/>
        </w:rPr>
        <w:footnoteRef/>
      </w:r>
      <w:r>
        <w:t xml:space="preserve"> </w:t>
      </w:r>
      <w:r>
        <w:fldChar w:fldCharType="begin" w:fldLock="1"/>
      </w:r>
      <w:r>
        <w:instrText>ADDIN CSL_CITATION {"citationItems":[{"id":"ITEM-1","itemData":{"author":[{"dropping-particle":"","family":"Paul","given":"Augustine","non-dropping-particle":"","parse-names":false,"suffix":""}],"container-title":"Malayan Law Journal","id":"ITEM-1","issued":{"date-parts":[["2003"]]},"page":"540","title":"Evidence-Practice and Procedure","type":"article-journal","volume":"5"},"uris":["http://www.mendeley.com/documents/?uuid=b257187a-a8bb-460f-b9a4-db1329796139"]}],"mendeley":{"formattedCitation":"Augustine Paul, “Evidence-Practice and Procedure,” &lt;i&gt;Malayan Law Journal&lt;/i&gt; 5 (2003): 540.","plainTextFormattedCitation":"Augustine Paul, “Evidence-Practice and Procedure,” Malayan Law Journal 5 (2003): 540.","previouslyFormattedCitation":"Augustine Paul, “Evidence-Practice and Procedure,” &lt;i&gt;Malayan Law Journal&lt;/i&gt; 5 (2003): 540."},"properties":{"noteIndex":14},"schema":"https://github.com/citation-style-language/schema/raw/master/csl-citation.json"}</w:instrText>
      </w:r>
      <w:r>
        <w:fldChar w:fldCharType="separate"/>
      </w:r>
      <w:r w:rsidRPr="00AE3093">
        <w:rPr>
          <w:noProof/>
        </w:rPr>
        <w:t xml:space="preserve">Augustine Paul, “Evidence-Practice and Procedure,” </w:t>
      </w:r>
      <w:r w:rsidRPr="00AE3093">
        <w:rPr>
          <w:i/>
          <w:noProof/>
        </w:rPr>
        <w:t>Malayan Law Journal</w:t>
      </w:r>
      <w:r w:rsidRPr="00AE3093">
        <w:rPr>
          <w:noProof/>
        </w:rPr>
        <w:t xml:space="preserve"> 5 (2003): 540.</w:t>
      </w:r>
      <w:r>
        <w:fldChar w:fldCharType="end"/>
      </w:r>
    </w:p>
  </w:footnote>
  <w:footnote w:id="15">
    <w:p w:rsidR="00AE3093" w:rsidRDefault="00AE3093" w:rsidP="0029592F">
      <w:pPr>
        <w:pStyle w:val="FootnoteText"/>
        <w:tabs>
          <w:tab w:val="left" w:pos="540"/>
        </w:tabs>
        <w:jc w:val="both"/>
      </w:pPr>
      <w:r>
        <w:tab/>
      </w:r>
      <w:r>
        <w:rPr>
          <w:rStyle w:val="FootnoteReference"/>
        </w:rPr>
        <w:footnoteRef/>
      </w:r>
      <w:r>
        <w:t xml:space="preserve"> </w:t>
      </w:r>
      <w:r>
        <w:fldChar w:fldCharType="begin" w:fldLock="1"/>
      </w:r>
      <w:r w:rsidR="0029592F">
        <w:instrText>ADDIN CSL_CITATION {"citationItems":[{"id":"ITEM-1","itemData":{"author":[{"dropping-particle":"","family":"Nugroho","given":"Bastianto","non-dropping-particle":"","parse-names":false,"suffix":""}],"container-title":"Yuridika","id":"ITEM-1","issue":"1","issued":{"date-parts":[["2017"]]},"page":"21-25.","title":"Peranan Alat Bukti Dalam Perkara Pidana Dalam Putusan Hakim Menurut KUHAP","type":"article-journal","volume":"32"},"uris":["http://www.mendeley.com/documents/?uuid=bb99db3d-4398-4dd8-b036-ebd0b93a3490"]}],"mendeley":{"formattedCitation":"Nugroho, “Peranan Alat Bukti Dalam Perkara Pidana Dalam Putusan Hakim Menurut KUHAP.”","manualFormatting":"Nugroho, “Peranan Alat Bukti Dalam Perkara Pidana Dalam Putusan Hakim Menurut KUHAP.\" Yuridika 1, no. 32 (2017): 21-25.","plainTextFormattedCitation":"Nugroho, “Peranan Alat Bukti Dalam Perkara Pidana Dalam Putusan Hakim Menurut KUHAP.”","previouslyFormattedCitation":"Nugroho, “Peranan Alat Bukti Dalam Perkara Pidana Dalam Putusan Hakim Menurut KUHAP.”"},"properties":{"noteIndex":15},"schema":"https://github.com/citation-style-language/schema/raw/master/csl-citation.json"}</w:instrText>
      </w:r>
      <w:r>
        <w:fldChar w:fldCharType="separate"/>
      </w:r>
      <w:r w:rsidRPr="00AE3093">
        <w:rPr>
          <w:noProof/>
        </w:rPr>
        <w:t>Nugroho, “Peranan Alat Bukti Dalam Perkara Pidana Dalam Putusan Hakim Menurut KUHAP.</w:t>
      </w:r>
      <w:r>
        <w:rPr>
          <w:noProof/>
        </w:rPr>
        <w:t xml:space="preserve">" </w:t>
      </w:r>
      <w:r>
        <w:rPr>
          <w:i/>
          <w:noProof/>
        </w:rPr>
        <w:t>Yuridika</w:t>
      </w:r>
      <w:r>
        <w:rPr>
          <w:noProof/>
        </w:rPr>
        <w:t xml:space="preserve"> 1, no. 32 (2017): 21-25.</w:t>
      </w:r>
      <w:r>
        <w:fldChar w:fldCharType="end"/>
      </w:r>
    </w:p>
  </w:footnote>
  <w:footnote w:id="16">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Prints","given":"Darwan","non-dropping-particle":"","parse-names":false,"suffix":""}],"id":"ITEM-1","issued":{"date-parts":[["1998"]]},"number-of-pages":"133","publisher":"Djambatan","publisher-place":"Jakarta","title":"Hukum Acara Pidana Dalam Praktik","type":"book"},"uris":["http://www.mendeley.com/documents/?uuid=4b684dea-0d9e-4df6-89dc-083e1c938aab","http://www.mendeley.com/documents/?uuid=f9181722-3fb1-4119-ba26-e29508147029"]}],"mendeley":{"formattedCitation":"Darwan Prints, &lt;i&gt;Hukum Acara Pidana Dalam Praktik&lt;/i&gt; (Jakarta: Djambatan, 1998).","manualFormatting":"Darwan Prints, Hukum Acara Pidana Dalam Praktik (Jakarta: Djambatan, 1998), p. 45.","plainTextFormattedCitation":"Darwan Prints, Hukum Acara Pidana Dalam Praktik (Jakarta: Djambatan, 1998).","previouslyFormattedCitation":"Darwan Prints, &lt;i&gt;Hukum Acara Pidana Dalam Praktik&lt;/i&gt; (Jakarta: Djambatan, 1998)."},"properties":{"noteIndex":16},"schema":"https://github.com/citation-style-language/schema/raw/master/csl-citation.json"}</w:instrText>
      </w:r>
      <w:r w:rsidRPr="00B63396">
        <w:fldChar w:fldCharType="separate"/>
      </w:r>
      <w:r w:rsidRPr="00B63396">
        <w:rPr>
          <w:noProof/>
        </w:rPr>
        <w:t xml:space="preserve">Darwan Prints, </w:t>
      </w:r>
      <w:r w:rsidRPr="00B63396">
        <w:rPr>
          <w:i/>
          <w:noProof/>
        </w:rPr>
        <w:t>Hukum Acara Pidana Dalam Praktik</w:t>
      </w:r>
      <w:r w:rsidRPr="00B63396">
        <w:rPr>
          <w:noProof/>
        </w:rPr>
        <w:t xml:space="preserve"> (Jakarta: Djambatan, 1998)</w:t>
      </w:r>
      <w:r w:rsidR="0029592F">
        <w:rPr>
          <w:noProof/>
        </w:rPr>
        <w:t>, p. 45</w:t>
      </w:r>
      <w:r w:rsidRPr="00B63396">
        <w:rPr>
          <w:noProof/>
        </w:rPr>
        <w:t>.</w:t>
      </w:r>
      <w:r w:rsidRPr="00B63396">
        <w:fldChar w:fldCharType="end"/>
      </w:r>
    </w:p>
  </w:footnote>
  <w:footnote w:id="17">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Purnomo","given":"Bambang","non-dropping-particle":"","parse-names":false,"suffix":""}],"id":"ITEM-1","issued":{"date-parts":[["2004"]]},"number-of-pages":"39","publisher":"Liberti","publisher-place":"Jogjakarta","title":"Pokok-Pokok Tata Cara Peradilan Indonesia","type":"book"},"uris":["http://www.mendeley.com/documents/?uuid=8bc5d6af-275b-4992-be67-7cd504d292b0","http://www.mendeley.com/documents/?uuid=334f1e33-ed29-4b6c-919d-0926838c7f5a"]}],"mendeley":{"formattedCitation":"Bambang Purnomo, &lt;i&gt;Pokok-Pokok Tata Cara Peradilan Indonesia&lt;/i&gt; (Jogjakarta: Liberti, 2004).","manualFormatting":"Bambang Purnomo, Pokok-Pokok Tata Cara Peradilan Indonesia (Jogjakarta: Liberti, 2004), p. 17.","plainTextFormattedCitation":"Bambang Purnomo, Pokok-Pokok Tata Cara Peradilan Indonesia (Jogjakarta: Liberti, 2004).","previouslyFormattedCitation":"Bambang Purnomo, &lt;i&gt;Pokok-Pokok Tata Cara Peradilan Indonesia&lt;/i&gt; (Jogjakarta: Liberti, 2004)."},"properties":{"noteIndex":17},"schema":"https://github.com/citation-style-language/schema/raw/master/csl-citation.json"}</w:instrText>
      </w:r>
      <w:r w:rsidRPr="00B63396">
        <w:fldChar w:fldCharType="separate"/>
      </w:r>
      <w:r w:rsidRPr="00B63396">
        <w:rPr>
          <w:noProof/>
        </w:rPr>
        <w:t xml:space="preserve">Bambang Purnomo, </w:t>
      </w:r>
      <w:r w:rsidRPr="00B63396">
        <w:rPr>
          <w:i/>
          <w:noProof/>
        </w:rPr>
        <w:t>Pokok-Pokok Tata Cara Peradilan Indonesia</w:t>
      </w:r>
      <w:r w:rsidRPr="00B63396">
        <w:rPr>
          <w:noProof/>
        </w:rPr>
        <w:t xml:space="preserve"> (Jogjakarta: Liberti, 2004)</w:t>
      </w:r>
      <w:r w:rsidR="0029592F">
        <w:rPr>
          <w:noProof/>
        </w:rPr>
        <w:t>, p. 17</w:t>
      </w:r>
      <w:r w:rsidRPr="00B63396">
        <w:rPr>
          <w:noProof/>
        </w:rPr>
        <w:t>.</w:t>
      </w:r>
      <w:r w:rsidRPr="00B63396">
        <w:fldChar w:fldCharType="end"/>
      </w:r>
    </w:p>
  </w:footnote>
  <w:footnote w:id="18">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{"citationItems":[{"id":"ITEM-1","itemData":{"author":[{"dropping-particle":"","family":"Nor","given":"Siti Zalikhah Haji Md","non-dropping-particle":"","parse-names":false,"suffix":""}],"edition":"3","id":"ITEM-1","issued":{"date-parts":[["2006"]]},"number-of-pages":"4","publisher":"Dewan Bahasa dan Pustaka","publisher-place":"Kuala Lumpur","title":"Beberapa Aspek dalam Undang-Undang Keterangan Islam","type":"book"},"uris":["http://www.mendeley.com/documents/?uuid=362af9f4-eaf5-4197-af0a-e289e297897f"]}],"mendeley":{"formattedCitation":"Siti Zalikhah Haji Md Nor, &lt;i&gt;Beberapa Aspek Dalam Undang-Undang Keterangan Islam&lt;/i&gt;, 3rd ed. (Kuala Lumpur: Dewan Bahasa dan Pustaka, 2006).","manualFormatting":"Siti Zalikhah Haji Md Nor, Beberapa Aspek Dalam Undang-Undang Keterangan Islam, 3rd ed. (Kuala Lumpur: Dewan Bahasa dan Pustaka, 2006), p. 67.","plainTextFormattedCitation":"Siti Zalikhah Haji Md Nor, Beberapa Aspek Dalam Undang-Undang Keterangan Islam, 3rd ed. (Kuala Lumpur: Dewan Bahasa dan Pustaka, 2006).","previouslyFormattedCitation":"Siti Zalikhah Haji Md Nor, &lt;i&gt;Beberapa Aspek Dalam Undang-Undang Keterangan Islam&lt;/i&gt;, 3rd ed. (Kuala Lumpur: Dewan Bahasa dan Pustaka, 2006)."},"properties":{"noteIndex":18},"schema":"https://github.com/citation-style-language/schema/raw/master/csl-citation.json"}</w:instrText>
      </w:r>
      <w:r w:rsidRPr="00B63396">
        <w:fldChar w:fldCharType="separate"/>
      </w:r>
      <w:r w:rsidRPr="00B63396">
        <w:rPr>
          <w:noProof/>
        </w:rPr>
        <w:t xml:space="preserve">Siti Zalikhah Haji Md Nor, </w:t>
      </w:r>
      <w:r w:rsidRPr="00B63396">
        <w:rPr>
          <w:i/>
          <w:noProof/>
        </w:rPr>
        <w:t>Beberapa Aspek Dalam Undang-Undang Keterangan Islam</w:t>
      </w:r>
      <w:r w:rsidRPr="00B63396">
        <w:rPr>
          <w:noProof/>
        </w:rPr>
        <w:t>, 3rd ed. (Kuala Lumpur: Dewan Bahasa dan Pustaka, 2006)</w:t>
      </w:r>
      <w:r w:rsidR="0029592F">
        <w:rPr>
          <w:noProof/>
        </w:rPr>
        <w:t>, p. 67</w:t>
      </w:r>
      <w:r w:rsidRPr="00B63396">
        <w:rPr>
          <w:noProof/>
        </w:rPr>
        <w:t>.</w:t>
      </w:r>
      <w:r w:rsidRPr="00B63396">
        <w:fldChar w:fldCharType="end"/>
      </w:r>
    </w:p>
  </w:footnote>
  <w:footnote w:id="19">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{"citationItems":[{"id":"ITEM-1","itemData":{"author":[{"dropping-particle":"","family":"Saad","given":"Zulfakar Ramlee","non-dropping-particle":"","parse-names":false,"suffix":""}],"id":"ITEM-1","issued":{"date-parts":[["2008"]]},"number-of-pages":"123-124","publisher":"Dewan Bahasa dan Pustaka","publisher-place":"Kuala Lumpur","title":"Pembuktian Dalam Kes Jenayah Syariah Malaysia: Isu dan Penyelesaian (Proving Cases in Syariah Courts: Issues and Resolutions)","type":"book"},"uris":["http://www.mendeley.com/documents/?uuid=203fb01a-748a-4cab-8a5f-1a2c01132fec"]}],"mendeley":{"formattedCitation":"Zulfakar Ramlee Saad, &lt;i&gt;Pembuktian Dalam Kes Jenayah Syariah Malaysia: Isu Dan Penyelesaian (Proving Cases in Syariah Courts: Issues and Resolutions)&lt;/i&gt; (Kuala Lumpur: Dewan Bahasa dan Pustaka, 2008).","manualFormatting":"Zulfakar Ramlee Saad, Pembuktian Dalam Kes Jenayah Syariah Malaysia: Isu Dan Penyelesaian (Proving Cases in Syariah Courts: Issues and Resolutions) (Kuala Lumpur: Dewan Bahasa dan Pustaka, 2008), p. 102.","plainTextFormattedCitation":"Zulfakar Ramlee Saad, Pembuktian Dalam Kes Jenayah Syariah Malaysia: Isu Dan Penyelesaian (Proving Cases in Syariah Courts: Issues and Resolutions) (Kuala Lumpur: Dewan Bahasa dan Pustaka, 2008).","previouslyFormattedCitation":"Zulfakar Ramlee Saad, &lt;i&gt;Pembuktian Dalam Kes Jenayah Syariah Malaysia: Isu Dan Penyelesaian (Proving Cases in Syariah Courts: Issues and Resolutions)&lt;/i&gt; (Kuala Lumpur: Dewan Bahasa dan Pustaka, 2008)."},"properties":{"noteIndex":19},"schema":"https://github.com/citation-style-language/schema/raw/master/csl-citation.json"}</w:instrText>
      </w:r>
      <w:r w:rsidRPr="00B63396">
        <w:fldChar w:fldCharType="separate"/>
      </w:r>
      <w:r w:rsidRPr="00B63396">
        <w:rPr>
          <w:noProof/>
        </w:rPr>
        <w:t xml:space="preserve">Zulfakar Ramlee Saad, </w:t>
      </w:r>
      <w:r w:rsidRPr="00B63396">
        <w:rPr>
          <w:i/>
          <w:noProof/>
        </w:rPr>
        <w:t>Pembuktian Dalam Kes Jenayah Syariah Malaysia: Isu Dan Penyelesaian (Proving Cases in Syariah Courts: Issues and Resolutions)</w:t>
      </w:r>
      <w:r w:rsidRPr="00B63396">
        <w:rPr>
          <w:noProof/>
        </w:rPr>
        <w:t xml:space="preserve"> (Kuala Lumpur: Dewan Bahasa dan Pustaka, 2008)</w:t>
      </w:r>
      <w:r w:rsidR="0029592F">
        <w:rPr>
          <w:noProof/>
        </w:rPr>
        <w:t>, p. 102</w:t>
      </w:r>
      <w:r w:rsidRPr="00B63396">
        <w:rPr>
          <w:noProof/>
        </w:rPr>
        <w:t>.</w:t>
      </w:r>
      <w:r w:rsidRPr="00B63396">
        <w:fldChar w:fldCharType="end"/>
      </w:r>
    </w:p>
  </w:footnote>
  <w:footnote w:id="20">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{"citationItems":[{"id":"ITEM-1","itemData":{"author":[{"dropping-particle":"","family":"Byrne","given":"J. A Gabbo David","non-dropping-particle":"","parse-names":false,"suffix":""}],"id":"ITEM-1","issued":{"date-parts":[["1980"]]},"number-of-pages":"79","publisher":"Tien Wah Press","publisher-place":"Singapore","title":"Cross on Evidence","type":"book"},"uris":["http://www.mendeley.com/documents/?uuid=5bf33e48-00ee-4518-9f9e-9bafa041bb77"]}],"mendeley":{"formattedCitation":"J. A Gabbo David Byrne, &lt;i&gt;Cross on Evidence&lt;/i&gt; (Singapore: Tien Wah Press, 1980).","manualFormatting":"J. A Gabbo David Byrne, Cross on Evidence (Singapore: Tien Wah Press, 1980), p. 102.","plainTextFormattedCitation":"J. A Gabbo David Byrne, Cross on Evidence (Singapore: Tien Wah Press, 1980).","previouslyFormattedCitation":"J. A Gabbo David Byrne, &lt;i&gt;Cross on Evidence&lt;/i&gt; (Singapore: Tien Wah Press, 1980)."},"properties":{"noteIndex":20},"schema":"https://github.com/citation-style-language/schema/raw/master/csl-citation.json"}</w:instrText>
      </w:r>
      <w:r w:rsidRPr="00B63396">
        <w:fldChar w:fldCharType="separate"/>
      </w:r>
      <w:r w:rsidRPr="00B63396">
        <w:rPr>
          <w:noProof/>
        </w:rPr>
        <w:t xml:space="preserve">J. A Gabbo David Byrne, </w:t>
      </w:r>
      <w:r w:rsidRPr="00B63396">
        <w:rPr>
          <w:i/>
          <w:noProof/>
        </w:rPr>
        <w:t>Cross on Evidence</w:t>
      </w:r>
      <w:r w:rsidRPr="00B63396">
        <w:rPr>
          <w:noProof/>
        </w:rPr>
        <w:t xml:space="preserve"> (Singapore: Tien Wah Press, 1980)</w:t>
      </w:r>
      <w:r w:rsidR="0029592F">
        <w:rPr>
          <w:noProof/>
        </w:rPr>
        <w:t>, p. 102</w:t>
      </w:r>
      <w:r w:rsidRPr="00B63396">
        <w:rPr>
          <w:noProof/>
        </w:rPr>
        <w:t>.</w:t>
      </w:r>
      <w:r w:rsidRPr="00B63396">
        <w:fldChar w:fldCharType="end"/>
      </w:r>
    </w:p>
  </w:footnote>
  <w:footnote w:id="21">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{"citationItems":[{"id":"ITEM-1","itemData":{"author":[{"dropping-particle":"","family":"Shariff","given":"Ahmad ‘Azam Mohd","non-dropping-particle":"","parse-names":false,"suffix":""}],"container-title":"Jurnal Undang-Undang &amp; Masyarakat","id":"ITEM-1","issued":{"date-parts":[["2011"]]},"page":"1-18","title":"Syariah Prosecution Procedure: Analysis on Legal Provisions under Syariah Criminal Procedure (Federal Territories) Act 1997 and Syariah Criminal Courts (Federal Territories) Act 1997","type":"article-journal","volume":"15"},"uris":["http://www.mendeley.com/documents/?uuid=6a4aba9f-075e-4db9-a116-d395c7eb8a42","http://www.mendeley.com/documents/?uuid=eec23331-5dc2-428c-856f-a866e3c8bf95"]}],"mendeley":{"formattedCitation":"Ahmad ‘Azam Mohd Shariff, “Syariah Prosecution Procedure: Analysis on Legal Provisions under Syariah Criminal Procedure (Federal Territories) Act 1997 and Syariah Criminal Courts (Federal Territories) Act 1997,” &lt;i&gt;Jurnal Undang-Undang &amp; Masyarakat&lt;/i&gt; 15 (2011): 1–18.","plainTextFormattedCitation":"Ahmad ‘Azam Mohd Shariff, “Syariah Prosecution Procedure: Analysis on Legal Provisions under Syariah Criminal Procedure (Federal Territories) Act 1997 and Syariah Criminal Courts (Federal Territories) Act 1997,” Jurnal Undang-Undang &amp; Masyarakat 15 (2011): 1–18.","previouslyFormattedCitation":"Ahmad ‘Azam Mohd Shariff, “Syariah Prosecution Procedure: Analysis on Legal Provisions under Syariah Criminal Procedure (Federal Territories) Act 1997 and Syariah Criminal Courts (Federal Territories) Act 1997,” &lt;i&gt;Jurnal Undang-Undang &amp; Masyarakat&lt;/i&gt; 15 (2011): 1–18."},"properties":{"noteIndex":21},"schema":"https://github.com/citation-style-language/schema/raw/master/csl-citation.json"}</w:instrText>
      </w:r>
      <w:r w:rsidRPr="00B63396">
        <w:fldChar w:fldCharType="separate"/>
      </w:r>
      <w:r w:rsidRPr="00B63396">
        <w:rPr>
          <w:noProof/>
        </w:rPr>
        <w:t xml:space="preserve">Ahmad ‘Azam Mohd Shariff, “Syariah Prosecution Procedure: Analysis on Legal Provisions under Syariah Criminal Procedure (Federal Territories) Act 1997 and Syariah Criminal Courts (Federal Territories) Act 1997,” </w:t>
      </w:r>
      <w:r w:rsidRPr="00B63396">
        <w:rPr>
          <w:i/>
          <w:noProof/>
        </w:rPr>
        <w:t>Jurnal Undang-Undang &amp; Masyarakat</w:t>
      </w:r>
      <w:r w:rsidRPr="00B63396">
        <w:rPr>
          <w:noProof/>
        </w:rPr>
        <w:t xml:space="preserve"> 15 (2011): 1–18.</w:t>
      </w:r>
      <w:r w:rsidRPr="00B63396">
        <w:fldChar w:fldCharType="end"/>
      </w:r>
    </w:p>
  </w:footnote>
  <w:footnote w:id="22">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Hidma","given":"TR.","non-dropping-particle":"","parse-names":false,"suffix":""}],"id":"ITEM-1","issued":{"date-parts":[["2004"]]},"number-of-pages":"2","publisher":"Deventer","publisher-place":"Kluwer","title":"Pitlo Het Nederlands Burgerlijk Recht Deel 7 Bewijs Achtste Druk","type":"book"},"uris":["http://www.mendeley.com/documents/?uuid=e4824508-925e-45f9-9a06-5ec3680fe5db","http://www.mendeley.com/documents/?uuid=d2467736-c6fa-44b0-bb1e-45025f77fc3a"]}],"mendeley":{"formattedCitation":"TR. Hidma, &lt;i&gt;Pitlo Het Nederlands Burgerlijk Recht Deel 7 Bewijs Achtste Druk&lt;/i&gt; (Kluwer: Deventer, 2004).","manualFormatting":"TR. Hidma, Pitlo Het Nederlands Burgerlijk Recht Deel 7 Bewijs Achtste Druk (Kluwer: Deventer, 2004), p. 18.","plainTextFormattedCitation":"TR. Hidma, Pitlo Het Nederlands Burgerlijk Recht Deel 7 Bewijs Achtste Druk (Kluwer: Deventer, 2004).","previouslyFormattedCitation":"TR. Hidma, &lt;i&gt;Pitlo Het Nederlands Burgerlijk Recht Deel 7 Bewijs Achtste Druk&lt;/i&gt; (Kluwer: Deventer, 2004)."},"properties":{"noteIndex":22},"schema":"https://github.com/citation-style-language/schema/raw/master/csl-citation.json"}</w:instrText>
      </w:r>
      <w:r w:rsidRPr="00B63396">
        <w:fldChar w:fldCharType="separate"/>
      </w:r>
      <w:r w:rsidRPr="00B63396">
        <w:rPr>
          <w:noProof/>
        </w:rPr>
        <w:t xml:space="preserve">TR. Hidma, </w:t>
      </w:r>
      <w:r w:rsidRPr="00B63396">
        <w:rPr>
          <w:i/>
          <w:noProof/>
        </w:rPr>
        <w:t>Pitlo Het Nederlands Burgerlijk Recht Deel 7 Bewijs Achtste Druk</w:t>
      </w:r>
      <w:r w:rsidRPr="00B63396">
        <w:rPr>
          <w:noProof/>
        </w:rPr>
        <w:t xml:space="preserve"> (Kluwer: Deventer, 2004)</w:t>
      </w:r>
      <w:r w:rsidR="0029592F">
        <w:rPr>
          <w:noProof/>
        </w:rPr>
        <w:t>, p. 18</w:t>
      </w:r>
      <w:r w:rsidRPr="00B63396">
        <w:rPr>
          <w:noProof/>
        </w:rPr>
        <w:t>.</w:t>
      </w:r>
      <w:r w:rsidRPr="00B63396">
        <w:fldChar w:fldCharType="end"/>
      </w:r>
    </w:p>
  </w:footnote>
  <w:footnote w:id="23">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{"citationItems":[{"id":"ITEM-1","itemData":{"author":[{"dropping-particle":"","family":"Hashim","given":"Ashraf Bin Md.","non-dropping-particle":"","parse-names":false,"suffix":""}],"container-title":"Jumal Syariah","id":"ITEM-1","issue":"2","issued":{"date-parts":[["2001"]]},"page":"19","title":"Tahap Pembuktian Di Dalam Kes-kes Jenayah: Kajian Perbandingan Antara Undang-undang Islam dan Sivil","type":"article-journal","volume":"9"},"uris":["http://www.mendeley.com/documents/?uuid=8d078a64-02c3-4011-8c6c-55e16c183ced","http://www.mendeley.com/documents/?uuid=723ebc76-e7f9-413c-beba-b98f07de81ab"]}],"mendeley":{"formattedCitation":"Ashraf Bin Md. Hashim, “Tahap Pembuktian Di Dalam Kes-Kes Jenayah: Kajian Perbandingan Antara Undang-Undang Islam Dan Sivil,” &lt;i&gt;Jumal Syariah&lt;/i&gt; 9, no. 2 (2001): 19.","plainTextFormattedCitation":"Ashraf Bin Md. Hashim, “Tahap Pembuktian Di Dalam Kes-Kes Jenayah: Kajian Perbandingan Antara Undang-Undang Islam Dan Sivil,” Jumal Syariah 9, no. 2 (2001): 19.","previouslyFormattedCitation":"Ashraf Bin Md. Hashim, “Tahap Pembuktian Di Dalam Kes-Kes Jenayah: Kajian Perbandingan Antara Undang-Undang Islam Dan Sivil,” &lt;i&gt;Jumal Syariah&lt;/i&gt; 9, no. 2 (2001): 19."},"properties":{"noteIndex":23},"schema":"https://github.com/citation-style-language/schema/raw/master/csl-citation.json"}</w:instrText>
      </w:r>
      <w:r w:rsidRPr="00B63396">
        <w:fldChar w:fldCharType="separate"/>
      </w:r>
      <w:r w:rsidRPr="00B63396">
        <w:rPr>
          <w:noProof/>
        </w:rPr>
        <w:t xml:space="preserve">Ashraf Bin Md. Hashim, “Tahap Pembuktian Di Dalam Kes-Kes Jenayah: Kajian Perbandingan Antara Undang-Undang Islam Dan Sivil,” </w:t>
      </w:r>
      <w:r w:rsidRPr="00B63396">
        <w:rPr>
          <w:i/>
          <w:noProof/>
        </w:rPr>
        <w:t>Jumal Syariah</w:t>
      </w:r>
      <w:r w:rsidRPr="00B63396">
        <w:rPr>
          <w:noProof/>
        </w:rPr>
        <w:t xml:space="preserve"> 9, no. 2 (2001): 19.</w:t>
      </w:r>
      <w:r w:rsidRPr="00B63396">
        <w:fldChar w:fldCharType="end"/>
      </w:r>
    </w:p>
  </w:footnote>
  <w:footnote w:id="24">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Noor","given":"Ruzman","non-dropping-particle":"","parse-names":false,"suffix":""},{"dropping-particle":"","family":"Mokhtar","given":"Istajib","non-dropping-particle":"","parse-names":false,"suffix":""}],"container-title":"Jurnal Kanun","id":"ITEM-1","issue":"1","issued":{"date-parts":[["2015"]]},"title":"Ulasan Kes Dari Aspek Pembuktian: Rosmah Binti Suly &amp; Seorang Yang Lain Lwn. Ismail Bin Mohamad &amp; Seorang Yang Lain [JH 32/2, JUN 2011, 223]","type":"article-journal","volume":"26"},"uris":["http://www.mendeley.com/documents/?uuid=c83d678f-857e-48c9-9b9c-d8c8abc25a7f","http://www.mendeley.com/documents/?uuid=c5a7af76-8d85-4a13-8234-2da2e5f2a06e"]}],"mendeley":{"formattedCitation":"Ruzman Noor and Istajib Mokhtar, “Ulasan Kes Dari Aspek Pembuktian: Rosmah Binti Suly &amp; Seorang Yang Lain Lwn. Ismail Bin Mohamad &amp; Seorang Yang Lain [JH 32/2, JUN 2011, 223],” &lt;i&gt;Jurnal Kanun&lt;/i&gt; 26, no. 1 (2015).","plainTextFormattedCitation":"Ruzman Noor and Istajib Mokhtar, “Ulasan Kes Dari Aspek Pembuktian: Rosmah Binti Suly &amp; Seorang Yang Lain Lwn. Ismail Bin Mohamad &amp; Seorang Yang Lain [JH 32/2, JUN 2011, 223],” Jurnal Kanun 26, no. 1 (2015).","previouslyFormattedCitation":"Ruzman Noor and Istajib Mokhtar, “Ulasan Kes Dari Aspek Pembuktian: Rosmah Binti Suly &amp; Seorang Yang Lain Lwn. Ismail Bin Mohamad &amp; Seorang Yang Lain [JH 32/2, JUN 2011, 223],” &lt;i&gt;Jurnal Kanun&lt;/i&gt; 26, no. 1 (2015)."},"properties":{"noteIndex":24},"schema":"https://github.com/citation-style-language/schema/raw/master/csl-citation.json"}</w:instrText>
      </w:r>
      <w:r w:rsidRPr="00B63396">
        <w:fldChar w:fldCharType="separate"/>
      </w:r>
      <w:r w:rsidRPr="00B63396">
        <w:rPr>
          <w:noProof/>
        </w:rPr>
        <w:t xml:space="preserve">Ruzman Noor and Istajib Mokhtar, “Ulasan Kes Dari Aspek Pembuktian: Rosmah Binti Suly &amp; Seorang Yang Lain Lwn. Ismail Bin Mohamad &amp; Seorang Yang Lain [JH 32/2, JUN 2011, 223],” </w:t>
      </w:r>
      <w:r w:rsidRPr="00B63396">
        <w:rPr>
          <w:i/>
          <w:noProof/>
        </w:rPr>
        <w:t>Jurnal Kanun</w:t>
      </w:r>
      <w:r w:rsidRPr="00B63396">
        <w:rPr>
          <w:noProof/>
        </w:rPr>
        <w:t xml:space="preserve"> 26, no. 1 (2015).</w:t>
      </w:r>
      <w:r w:rsidRPr="00B63396">
        <w:fldChar w:fldCharType="end"/>
      </w:r>
    </w:p>
  </w:footnote>
  <w:footnote w:id="25">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Groeschel","given":"Hayt","non-dropping-particle":"","parse-names":false,"suffix":""}],"id":"ITEM-1","issued":{"date-parts":[["1972"]]},"number-of-pages":"32","publisher":"Berwyn","publisher-place":"Physician`s Record Company","title":"Law of Hospital, Physician and Patient","type":"book"},"uris":["http://www.mendeley.com/documents/?uuid=c3c403a2-6943-46d0-add2-eb40ddaf58d2","http://www.mendeley.com/documents/?uuid=f2ce233c-c0f5-4874-8d2c-6e225aaec68e"]}],"mendeley":{"formattedCitation":"Hayt Groeschel, &lt;i&gt;Law of Hospital, Physician and Patient&lt;/i&gt; (Physician`s Record Company: Berwyn, 1972).","manualFormatting":"Hayt Groeschel, Law of Hospital, Physician and Patient (Physician`s Record Company: Berwyn, 1972), p. 67.","plainTextFormattedCitation":"Hayt Groeschel, Law of Hospital, Physician and Patient (Physician`s Record Company: Berwyn, 1972).","previouslyFormattedCitation":"Hayt Groeschel, &lt;i&gt;Law of Hospital, Physician and Patient&lt;/i&gt; (Physician`s Record Company: Berwyn, 1972)."},"properties":{"noteIndex":25},"schema":"https://github.com/citation-style-language/schema/raw/master/csl-citation.json"}</w:instrText>
      </w:r>
      <w:r w:rsidRPr="00B63396">
        <w:fldChar w:fldCharType="separate"/>
      </w:r>
      <w:r w:rsidRPr="00B63396">
        <w:rPr>
          <w:noProof/>
        </w:rPr>
        <w:t xml:space="preserve">Hayt Groeschel, </w:t>
      </w:r>
      <w:r w:rsidRPr="00B63396">
        <w:rPr>
          <w:i/>
          <w:noProof/>
        </w:rPr>
        <w:t>Law of Hospital, Physician and Patient</w:t>
      </w:r>
      <w:r w:rsidRPr="00B63396">
        <w:rPr>
          <w:noProof/>
        </w:rPr>
        <w:t xml:space="preserve"> (Physician`s Record Company: Berwyn, 1972)</w:t>
      </w:r>
      <w:r w:rsidR="0029592F">
        <w:rPr>
          <w:noProof/>
        </w:rPr>
        <w:t>, p. 67</w:t>
      </w:r>
      <w:r w:rsidRPr="00B63396">
        <w:rPr>
          <w:noProof/>
        </w:rPr>
        <w:t>.</w:t>
      </w:r>
      <w:r w:rsidRPr="00B63396">
        <w:fldChar w:fldCharType="end"/>
      </w:r>
    </w:p>
  </w:footnote>
  <w:footnote w:id="26">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{"citationItems":[{"id":"ITEM-1","itemData":{"author":[{"dropping-particle":"","family":"Adji","given":"Indriyanto Seno","non-dropping-particle":"","parse-names":false,"suffix":""}],"id":"ITEM-1","issued":{"date-parts":[["2012"]]},"number-of-pages":"24","publisher":"Diadit Media Press","publisher-place":"Jakarta","title":"Korupsi dan Permasalahannya","type":"book"},"uris":["http://www.mendeley.com/documents/?uuid=a9c91039-3a2a-4f50-beef-798e3c7d983e"]}],"mendeley":{"formattedCitation":"Indriyanto Seno Adji, &lt;i&gt;Korupsi Dan Permasalahannya&lt;/i&gt; (Jakarta: Diadit Media Press, 2012).","manualFormatting":"Indriyanto Seno Adji, Korupsi Dan Permasalahannya (Jakarta: Diadit Media Press, 2012), p. 11.","plainTextFormattedCitation":"Indriyanto Seno Adji, Korupsi Dan Permasalahannya (Jakarta: Diadit Media Press, 2012).","previouslyFormattedCitation":"Indriyanto Seno Adji, &lt;i&gt;Korupsi Dan Permasalahannya&lt;/i&gt; (Jakarta: Diadit Media Press, 2012)."},"properties":{"noteIndex":26},"schema":"https://github.com/citation-style-language/schema/raw/master/csl-citation.json"}</w:instrText>
      </w:r>
      <w:r w:rsidRPr="00B63396">
        <w:fldChar w:fldCharType="separate"/>
      </w:r>
      <w:r w:rsidRPr="00B63396">
        <w:rPr>
          <w:noProof/>
        </w:rPr>
        <w:t xml:space="preserve">Indriyanto Seno Adji, </w:t>
      </w:r>
      <w:r w:rsidRPr="00B63396">
        <w:rPr>
          <w:i/>
          <w:noProof/>
        </w:rPr>
        <w:t>Korupsi Dan Permasalahannya</w:t>
      </w:r>
      <w:r w:rsidRPr="00B63396">
        <w:rPr>
          <w:noProof/>
        </w:rPr>
        <w:t xml:space="preserve"> (Jakarta: Diadit Media Press, 2012)</w:t>
      </w:r>
      <w:r w:rsidR="0029592F">
        <w:rPr>
          <w:noProof/>
        </w:rPr>
        <w:t>, p. 11</w:t>
      </w:r>
      <w:r w:rsidRPr="00B63396">
        <w:rPr>
          <w:noProof/>
        </w:rPr>
        <w:t>.</w:t>
      </w:r>
      <w:r w:rsidRPr="00B63396">
        <w:fldChar w:fldCharType="end"/>
      </w:r>
    </w:p>
  </w:footnote>
  <w:footnote w:id="27">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{"citationItems":[{"id":"ITEM-1","itemData":{"author":[{"dropping-particle":"","family":"Adji","given":"Indriyanto Seno","non-dropping-particle":"","parse-names":false,"suffix":""}],"container-title":"Jurnal Hukum Pro Justitia","id":"ITEM-1","issue":"4","issued":{"date-parts":[["2007"]]},"page":"283-304","title":"Perspektif Perbuatan Melawan Hukum Terhadap Tindak Pidana Korupsi","type":"article-journal","volume":"25"},"uris":["http://www.mendeley.com/documents/?uuid=d7074f6d-1856-4928-9c06-0aed6f3c6824"]}],"mendeley":{"formattedCitation":"Indriyanto Seno Adji, “Perspektif Perbuatan Melawan Hukum Terhadap Tindak Pidana Korupsi,” &lt;i&gt;Jurnal Hukum Pro Justitia&lt;/i&gt; 25, no. 4 (2007): 283–304.","plainTextFormattedCitation":"Indriyanto Seno Adji, “Perspektif Perbuatan Melawan Hukum Terhadap Tindak Pidana Korupsi,” Jurnal Hukum Pro Justitia 25, no. 4 (2007): 283–304.","previouslyFormattedCitation":"Indriyanto Seno Adji, “Perspektif Perbuatan Melawan Hukum Terhadap Tindak Pidana Korupsi,” &lt;i&gt;Jurnal Hukum Pro Justitia&lt;/i&gt; 25, no. 4 (2007): 283–304."},"properties":{"noteIndex":27},"schema":"https://github.com/citation-style-language/schema/raw/master/csl-citation.json"}</w:instrText>
      </w:r>
      <w:r w:rsidRPr="00B63396">
        <w:fldChar w:fldCharType="separate"/>
      </w:r>
      <w:r w:rsidRPr="00B63396">
        <w:rPr>
          <w:noProof/>
        </w:rPr>
        <w:t xml:space="preserve">Indriyanto Seno Adji, “Perspektif Perbuatan Melawan Hukum Terhadap Tindak Pidana Korupsi,” </w:t>
      </w:r>
      <w:r w:rsidRPr="00B63396">
        <w:rPr>
          <w:i/>
          <w:noProof/>
        </w:rPr>
        <w:t>Jurnal Hukum Pro Justitia</w:t>
      </w:r>
      <w:r w:rsidRPr="00B63396">
        <w:rPr>
          <w:noProof/>
        </w:rPr>
        <w:t xml:space="preserve"> 25, no. 4 (2007): 283–304.</w:t>
      </w:r>
      <w:r w:rsidRPr="00B63396">
        <w:fldChar w:fldCharType="end"/>
      </w:r>
    </w:p>
  </w:footnote>
  <w:footnote w:id="28">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Kasim","given":"Shopian","non-dropping-particle":"","parse-names":false,"suffix":""}],"id":"ITEM-1","issued":{"date-parts":[["1998"]]},"number-of-pages":"2","publisher":"Republika","publisher-place":"Jakarta","title":"Money Laundering dan Pembuktian Terbalik","type":"book"},"uris":["http://www.mendeley.com/documents/?uuid=dcb73991-e3ef-443d-b942-bdc2cf8d5cbc","http://www.mendeley.com/documents/?uuid=f2a6b7a2-2929-4606-82f2-6a0063e08ab8"]}],"mendeley":{"formattedCitation":"Shopian Kasim, &lt;i&gt;Money Laundering Dan Pembuktian Terbalik&lt;/i&gt; (Jakarta: Republika, 1998).","manualFormatting":"Shopian Kasim, Money Laundering Dan Pembuktian Terbalik (Jakarta: Republika, 1998). p. 65.","plainTextFormattedCitation":"Shopian Kasim, Money Laundering Dan Pembuktian Terbalik (Jakarta: Republika, 1998).","previouslyFormattedCitation":"Shopian Kasim, &lt;i&gt;Money Laundering Dan Pembuktian Terbalik&lt;/i&gt; (Jakarta: Republika, 1998)."},"properties":{"noteIndex":28},"schema":"https://github.com/citation-style-language/schema/raw/master/csl-citation.json"}</w:instrText>
      </w:r>
      <w:r w:rsidRPr="00B63396">
        <w:fldChar w:fldCharType="separate"/>
      </w:r>
      <w:r w:rsidRPr="00B63396">
        <w:rPr>
          <w:noProof/>
        </w:rPr>
        <w:t xml:space="preserve">Shopian Kasim, </w:t>
      </w:r>
      <w:r w:rsidRPr="00B63396">
        <w:rPr>
          <w:i/>
          <w:noProof/>
        </w:rPr>
        <w:t>Money Laundering Dan Pembuktian Terbalik</w:t>
      </w:r>
      <w:r w:rsidRPr="00B63396">
        <w:rPr>
          <w:noProof/>
        </w:rPr>
        <w:t xml:space="preserve"> (Jakarta: Republika, 1998)</w:t>
      </w:r>
      <w:r w:rsidR="0029592F">
        <w:rPr>
          <w:noProof/>
        </w:rPr>
        <w:t>. p. 65</w:t>
      </w:r>
      <w:r w:rsidRPr="00B63396">
        <w:rPr>
          <w:noProof/>
        </w:rPr>
        <w:t>.</w:t>
      </w:r>
      <w:r w:rsidRPr="00B63396">
        <w:fldChar w:fldCharType="end"/>
      </w:r>
    </w:p>
  </w:footnote>
  <w:footnote w:id="29">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{"citationItems":[{"id":"ITEM-1","itemData":{"author":[{"dropping-particle":"","family":"Pangaribuan","given":"M. P. Luhut","non-dropping-particle":"","parse-names":false,"suffix":""}],"container-title":"Kompas","id":"ITEM-1","issued":{"date-parts":[["2001","4"]]},"page":"1-2","publisher-place":"Jakarta","title":"Sistem Pembuktian Terbalik","type":"article-newspaper"},"uris":["http://www.mendeley.com/documents/?uuid=2f10728c-9b3e-41e0-bd61-a2a572acba1c"]}],"mendeley":{"formattedCitation":"M. P. Luhut Pangaribuan, “Sistem Pembuktian Terbalik,” &lt;i&gt;Kompas&lt;/i&gt;, April 2001.","manualFormatting":"M. P. Luhut Pangaribuan, “Sistem Pembuktian Terbalik,” Kompas, April (2001): 1-2.","plainTextFormattedCitation":"M. P. Luhut Pangaribuan, “Sistem Pembuktian Terbalik,” Kompas, April 2001.","previouslyFormattedCitation":"M. P. Luhut Pangaribuan, “Sistem Pembuktian Terbalik,” &lt;i&gt;Kompas&lt;/i&gt;, April 2001."},"properties":{"noteIndex":29},"schema":"https://github.com/citation-style-language/schema/raw/master/csl-citation.json"}</w:instrText>
      </w:r>
      <w:r w:rsidRPr="00B63396">
        <w:fldChar w:fldCharType="separate"/>
      </w:r>
      <w:r w:rsidRPr="00B63396">
        <w:rPr>
          <w:noProof/>
        </w:rPr>
        <w:t xml:space="preserve">M. P. Luhut Pangaribuan, “Sistem Pembuktian Terbalik,” </w:t>
      </w:r>
      <w:r w:rsidRPr="00B63396">
        <w:rPr>
          <w:i/>
          <w:noProof/>
        </w:rPr>
        <w:t>Kompas</w:t>
      </w:r>
      <w:r w:rsidRPr="00B63396">
        <w:rPr>
          <w:noProof/>
        </w:rPr>
        <w:t xml:space="preserve">, April </w:t>
      </w:r>
      <w:r w:rsidR="0029592F">
        <w:rPr>
          <w:noProof/>
        </w:rPr>
        <w:t>(</w:t>
      </w:r>
      <w:r w:rsidRPr="00B63396">
        <w:rPr>
          <w:noProof/>
        </w:rPr>
        <w:t>2001</w:t>
      </w:r>
      <w:r w:rsidR="0029592F">
        <w:rPr>
          <w:noProof/>
        </w:rPr>
        <w:t>): 1-2</w:t>
      </w:r>
      <w:r w:rsidRPr="00B63396">
        <w:rPr>
          <w:noProof/>
        </w:rPr>
        <w:t>.</w:t>
      </w:r>
      <w:r w:rsidRPr="00B63396">
        <w:fldChar w:fldCharType="end"/>
      </w:r>
    </w:p>
  </w:footnote>
  <w:footnote w:id="30">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{"citationItems":[{"id":"ITEM-1","itemData":{"author":[{"dropping-particle":"","family":"Lumbun","given":"T. Gayus","non-dropping-particle":"","parse-names":false,"suffix":""}],"id":"ITEM-1","issued":{"date-parts":[["2004"]]},"number-of-pages":"130","publisher":"Busines Information Service (BIS)","publisher-place":"Jakarta","title":"Menerobos Goa Hantu Peradilan Indonesia","type":"book"},"uris":["http://www.mendeley.com/documents/?uuid=7cd7c474-cb55-4ec8-861c-d9e4e6192a94"]}],"mendeley":{"formattedCitation":"T. Gayus Lumbun, &lt;i&gt;Menerobos Goa Hantu Peradilan Indonesia&lt;/i&gt; (Jakarta: Busines Information Service (BIS), 2004).","manualFormatting":"T. Gayus Lumbun, Menerobos Goa Hantu Peradilan Indonesia (Jakarta: Busines Information Service (BIS), 2004), p. 8.","plainTextFormattedCitation":"T. Gayus Lumbun, Menerobos Goa Hantu Peradilan Indonesia (Jakarta: Busines Information Service (BIS), 2004).","previouslyFormattedCitation":"T. Gayus Lumbun, &lt;i&gt;Menerobos Goa Hantu Peradilan Indonesia&lt;/i&gt; (Jakarta: Busines Information Service (BIS), 2004)."},"properties":{"noteIndex":30},"schema":"https://github.com/citation-style-language/schema/raw/master/csl-citation.json"}</w:instrText>
      </w:r>
      <w:r w:rsidRPr="00B63396">
        <w:fldChar w:fldCharType="separate"/>
      </w:r>
      <w:r w:rsidRPr="00B63396">
        <w:rPr>
          <w:noProof/>
        </w:rPr>
        <w:t xml:space="preserve">T. Gayus Lumbun, </w:t>
      </w:r>
      <w:r w:rsidRPr="00B63396">
        <w:rPr>
          <w:i/>
          <w:noProof/>
        </w:rPr>
        <w:t>Menerobos Goa Hantu Peradilan Indonesia</w:t>
      </w:r>
      <w:r w:rsidRPr="00B63396">
        <w:rPr>
          <w:noProof/>
        </w:rPr>
        <w:t xml:space="preserve"> (Jakarta: Busines Information Service (BIS), 2004)</w:t>
      </w:r>
      <w:r w:rsidR="0029592F">
        <w:rPr>
          <w:noProof/>
        </w:rPr>
        <w:t>, p. 8</w:t>
      </w:r>
      <w:r w:rsidRPr="00B63396">
        <w:rPr>
          <w:noProof/>
        </w:rPr>
        <w:t>.</w:t>
      </w:r>
      <w:r w:rsidRPr="00B63396">
        <w:fldChar w:fldCharType="end"/>
      </w:r>
    </w:p>
  </w:footnote>
  <w:footnote w:id="31">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{"citationItems":[{"id":"ITEM-1","itemData":{"author":[{"dropping-particle":"","family":"Yazid","given":"Abu","non-dropping-particle":"","parse-names":false,"suffix":""}],"id":"ITEM-1","issued":{"date-parts":[["2015"]]},"number-of-pages":"12","publisher":"Pustaka Pelajar","publisher-place":"Yogyakarta","title":"Fiqh Realitas","type":"book"},"uris":["http://www.mendeley.com/documents/?uuid=bd359112-7863-47c6-a2b2-a45ae8fe7476"]}],"mendeley":{"formattedCitation":"Abu Yazid, &lt;i&gt;Fiqh Realitas&lt;/i&gt; (Yogyakarta: Pustaka Pelajar, 2015).","manualFormatting":"Abu Yazid, Fiqh Realitas (Yogyakarta: Pustaka Pelajar, 2015), p. 115.","plainTextFormattedCitation":"Abu Yazid, Fiqh Realitas (Yogyakarta: Pustaka Pelajar, 2015).","previouslyFormattedCitation":"Abu Yazid, &lt;i&gt;Fiqh Realitas&lt;/i&gt; (Yogyakarta: Pustaka Pelajar, 2015)."},"properties":{"noteIndex":31},"schema":"https://github.com/citation-style-language/schema/raw/master/csl-citation.json"}</w:instrText>
      </w:r>
      <w:r w:rsidRPr="00B63396">
        <w:fldChar w:fldCharType="separate"/>
      </w:r>
      <w:r w:rsidRPr="00B63396">
        <w:rPr>
          <w:noProof/>
        </w:rPr>
        <w:t xml:space="preserve">Abu Yazid, </w:t>
      </w:r>
      <w:r w:rsidRPr="00B63396">
        <w:rPr>
          <w:i/>
          <w:noProof/>
        </w:rPr>
        <w:t>Fiqh Realitas</w:t>
      </w:r>
      <w:r w:rsidRPr="00B63396">
        <w:rPr>
          <w:noProof/>
        </w:rPr>
        <w:t xml:space="preserve"> (Yogyakarta: Pustaka Pelajar, 2015)</w:t>
      </w:r>
      <w:r w:rsidR="0029592F">
        <w:rPr>
          <w:noProof/>
        </w:rPr>
        <w:t>, p. 115</w:t>
      </w:r>
      <w:r w:rsidRPr="00B63396">
        <w:rPr>
          <w:noProof/>
        </w:rPr>
        <w:t>.</w:t>
      </w:r>
      <w:r w:rsidRPr="00B63396">
        <w:fldChar w:fldCharType="end"/>
      </w:r>
    </w:p>
  </w:footnote>
  <w:footnote w:id="32">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EE30CC">
        <w:instrText>ADDIN CSL_CITATION {"citationItems":[{"id":"ITEM-1","itemData":{"author":[{"dropping-particle":"","family":"Rahman","given":"Gazali","non-dropping-particle":"","parse-names":false,"suffix":""}],"container-title":"Tahkim: Jurnal Hukum Dan Syariah","id":"ITEM-1","issue":"2","issued":{"date-parts":[["2019"]]},"page":"235-245","title":"Asas Pembuktian Terbalik Dalam Tindak Pidana Korupsi (Perspektif Hukum Pidana Indonesia Dan Hukum Pidana Islam)","type":"article-journal","volume":"XV"},"uris":["http://www.mendeley.com/documents/?uuid=2b6230e5-39ab-41b1-b8af-f9913e4748c5"]}],"mendeley":{"formattedCitation":"Gazali Rahman, “Asas Pembuktian Terbalik Dalam Tindak Pidana Korupsi (Perspektif Hukum Pidana Indonesia Dan Hukum Pidana Islam),” &lt;i&gt;Tahkim: Jurnal Hukum Dan Syariah&lt;/i&gt; XV, no. 2 (2019): 235–45.","plainTextFormattedCitation":"Gazali Rahman, “Asas Pembuktian Terbalik Dalam Tindak Pidana Korupsi (Perspektif Hukum Pidana Indonesia Dan Hukum Pidana Islam),” Tahkim: Jurnal Hukum Dan Syariah XV, no. 2 (2019): 235–45.","previouslyFormattedCitation":"Gazali Rahman, “Asas Pembuktian Terbalik Dalam Tindak Pidana Korupsi (Perspektif Hukum Pidana Indonesia Dan Hukum Pidana Islam),” &lt;i&gt;Tahkim: Jurnal Hukum Dan Syariah&lt;/i&gt; XV, no. 2 (2019): 235–45."},"properties":{"noteIndex":32},"schema":"https://github.com/citation-style-language/schema/raw/master/csl-citation.json"}</w:instrText>
      </w:r>
      <w:r w:rsidRPr="00B63396">
        <w:fldChar w:fldCharType="separate"/>
      </w:r>
      <w:r w:rsidRPr="00B63396">
        <w:rPr>
          <w:noProof/>
        </w:rPr>
        <w:t xml:space="preserve">Gazali Rahman, “Asas Pembuktian Terbalik Dalam Tindak Pidana Korupsi (Perspektif Hukum Pidana Indonesia Dan Hukum Pidana Islam),” </w:t>
      </w:r>
      <w:r w:rsidRPr="00B63396">
        <w:rPr>
          <w:i/>
          <w:noProof/>
        </w:rPr>
        <w:t>Tahkim: Jurnal Hukum Dan Syariah</w:t>
      </w:r>
      <w:r w:rsidRPr="00B63396">
        <w:rPr>
          <w:noProof/>
        </w:rPr>
        <w:t xml:space="preserve"> XV, no. 2 (2019): 235–45.</w:t>
      </w:r>
      <w:r w:rsidRPr="00B63396">
        <w:fldChar w:fldCharType="end"/>
      </w:r>
    </w:p>
  </w:footnote>
  <w:footnote w:id="33">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{"citationItems":[{"id":"ITEM-1","itemData":{"author":[{"dropping-particle":"","family":"Majelis Ulama Indonesia","given":"","non-dropping-particle":"","parse-names":false,"suffix":""}],"id":"ITEM-1","issued":{"date-parts":[["2011"]]},"number-of-pages":"553-554","publisher":"Erlangga","publisher-place":"Jakarta","title":"Himpunan Fatwa Majelis Ulama Indonesia Sejak 1975","type":"book"},"uris":["http://www.mendeley.com/documents/?uuid=99b6ef69-c65e-4c42-a32e-9a8477dbd42c"]}],"mendeley":{"formattedCitation":"Majelis Ulama Indonesia, &lt;i&gt;Himpunan Fatwa Majelis Ulama Indonesia Sejak 1975&lt;/i&gt; (Jakarta: Erlangga, 2011).","manualFormatting":"Majelis Ulama Indonesia, Himpunan Fatwa Majelis Ulama Indonesia Sejak 1975 (Jakarta: Erlangga, 2011), p. 1-5.","plainTextFormattedCitation":"Majelis Ulama Indonesia, Himpunan Fatwa Majelis Ulama Indonesia Sejak 1975 (Jakarta: Erlangga, 2011).","previouslyFormattedCitation":"Majelis Ulama Indonesia, &lt;i&gt;Himpunan Fatwa Majelis Ulama Indonesia Sejak 1975&lt;/i&gt; (Jakarta: Erlangga, 2011)."},"properties":{"noteIndex":33},"schema":"https://github.com/citation-style-language/schema/raw/master/csl-citation.json"}</w:instrText>
      </w:r>
      <w:r w:rsidRPr="00B63396">
        <w:fldChar w:fldCharType="separate"/>
      </w:r>
      <w:r w:rsidRPr="00B63396">
        <w:rPr>
          <w:noProof/>
        </w:rPr>
        <w:t xml:space="preserve">Majelis Ulama Indonesia, </w:t>
      </w:r>
      <w:r w:rsidRPr="00B63396">
        <w:rPr>
          <w:i/>
          <w:noProof/>
        </w:rPr>
        <w:t>Himpunan Fatwa Majelis Ulama Indonesia Sejak 1975</w:t>
      </w:r>
      <w:r w:rsidRPr="00B63396">
        <w:rPr>
          <w:noProof/>
        </w:rPr>
        <w:t xml:space="preserve"> (Jakarta: Erlangga, 2011)</w:t>
      </w:r>
      <w:r w:rsidR="0029592F">
        <w:rPr>
          <w:noProof/>
        </w:rPr>
        <w:t>, p. 1-5</w:t>
      </w:r>
      <w:r w:rsidRPr="00B63396">
        <w:rPr>
          <w:noProof/>
        </w:rPr>
        <w:t>.</w:t>
      </w:r>
      <w:r w:rsidRPr="00B63396">
        <w:fldChar w:fldCharType="end"/>
      </w:r>
    </w:p>
  </w:footnote>
  <w:footnote w:id="34">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{"citationItems":[{"id":"ITEM-1","itemData":{"author":[{"dropping-particle":"","family":"Anshoruddin","given":"","non-dropping-particle":"","parse-names":false,"suffix":""}],"id":"ITEM-1","issued":{"date-parts":[["2014"]]},"number-of-pages":"14","publisher":"Pustaka Pelajar","publisher-place":"Yogyakarta","title":"Hukum Pembuktian Menurut Hukum Acara Islam dan Hukum Positif","type":"book"},"uris":["http://www.mendeley.com/documents/?uuid=25b64716-7a14-4ee3-8c2c-728d2f722fc5"]}],"mendeley":{"formattedCitation":"Anshoruddin, &lt;i&gt;Hukum Pembuktian Menurut Hukum Acara Islam Dan Hukum Positif&lt;/i&gt; (Yogyakarta: Pustaka Pelajar, 2014).","manualFormatting":"Anshoruddin, Hukum Pembuktian Menurut Hukum Acara Islam Dan Hukum Positif (Yogyakarta: Pustaka Pelajar, 2014), p. 89.","plainTextFormattedCitation":"Anshoruddin, Hukum Pembuktian Menurut Hukum Acara Islam Dan Hukum Positif (Yogyakarta: Pustaka Pelajar, 2014).","previouslyFormattedCitation":"Anshoruddin, &lt;i&gt;Hukum Pembuktian Menurut Hukum Acara Islam Dan Hukum Positif&lt;/i&gt; (Yogyakarta: Pustaka Pelajar, 2014)."},"properties":{"noteIndex":34},"schema":"https://github.com/citation-style-language/schema/raw/master/csl-citation.json"}</w:instrText>
      </w:r>
      <w:r w:rsidRPr="00B63396">
        <w:fldChar w:fldCharType="separate"/>
      </w:r>
      <w:r w:rsidRPr="00B63396">
        <w:rPr>
          <w:noProof/>
        </w:rPr>
        <w:t xml:space="preserve">Anshoruddin, </w:t>
      </w:r>
      <w:r w:rsidRPr="00B63396">
        <w:rPr>
          <w:i/>
          <w:noProof/>
        </w:rPr>
        <w:t>Hukum Pembuktian Menurut Hukum Acara Islam Dan Hukum Positif</w:t>
      </w:r>
      <w:r w:rsidRPr="00B63396">
        <w:rPr>
          <w:noProof/>
        </w:rPr>
        <w:t xml:space="preserve"> (Yogyakarta: Pustaka Pelajar, 2014)</w:t>
      </w:r>
      <w:r w:rsidR="0029592F">
        <w:rPr>
          <w:noProof/>
        </w:rPr>
        <w:t>, p. 89</w:t>
      </w:r>
      <w:r w:rsidRPr="00B63396">
        <w:rPr>
          <w:noProof/>
        </w:rPr>
        <w:t>.</w:t>
      </w:r>
      <w:r w:rsidRPr="00B63396">
        <w:fldChar w:fldCharType="end"/>
      </w:r>
    </w:p>
  </w:footnote>
  <w:footnote w:id="35">
    <w:p w:rsidR="00B63396" w:rsidRPr="00B63396" w:rsidRDefault="00B63396" w:rsidP="00B63396">
      <w:pPr>
        <w:pStyle w:val="FootnoteText"/>
        <w:tabs>
          <w:tab w:val="left" w:pos="540"/>
        </w:tabs>
        <w:jc w:val="both"/>
      </w:pPr>
      <w:r w:rsidRPr="00B63396">
        <w:tab/>
      </w:r>
      <w:r w:rsidRPr="00B63396">
        <w:rPr>
          <w:rStyle w:val="FootnoteReference"/>
        </w:rPr>
        <w:footnoteRef/>
      </w:r>
      <w:r w:rsidRPr="00B63396">
        <w:t xml:space="preserve"> </w:t>
      </w:r>
      <w:r w:rsidRPr="00B63396">
        <w:fldChar w:fldCharType="begin" w:fldLock="1"/>
      </w:r>
      <w:r w:rsidR="0029592F">
        <w:instrText>ADDIN CSL_CITATION {"citationItems":[{"id":"ITEM-1","itemData":{"author":[{"dropping-particle":"","family":"Al-Zarqa","given":"Mustafa Ahmad","non-dropping-particle":"","parse-names":false,"suffix":""}],"edition":"II","id":"ITEM-1","issued":{"date-parts":[["1986"]]},"number-of-pages":"1053","publisher":"Matba’ah Tharban","publisher-place":"Beirut","title":"al-Madkhal al-Fiqhi al-‘Am","type":"book"},"uris":["http://www.mendeley.com/documents/?uuid=c681375d-046d-42e2-b28e-f8854ecf0679"]}],"mendeley":{"formattedCitation":"Mustafa Ahmad Al-Zarqa, &lt;i&gt;Al-Madkhal Al-Fiqhi Al-‘Am&lt;/i&gt;, II (Beirut: Matba’ah Tharban, 1986).","manualFormatting":"Mustafa Ahmad Al-Zarqa, Al-Madkhal Al-Fiqhi Al-‘Am, II (Beirut: Matba’ah Tharban, 1986), p. 1053.","plainTextFormattedCitation":"Mustafa Ahmad Al-Zarqa, Al-Madkhal Al-Fiqhi Al-‘Am, II (Beirut: Matba’ah Tharban, 1986).","previouslyFormattedCitation":"Mustafa Ahmad Al-Zarqa, &lt;i&gt;Al-Madkhal Al-Fiqhi Al-‘Am&lt;/i&gt;, II (Beirut: Matba’ah Tharban, 1986)."},"properties":{"noteIndex":35},"schema":"https://github.com/citation-style-language/schema/raw/master/csl-citation.json"}</w:instrText>
      </w:r>
      <w:r w:rsidRPr="00B63396">
        <w:fldChar w:fldCharType="separate"/>
      </w:r>
      <w:r w:rsidRPr="00B63396">
        <w:rPr>
          <w:noProof/>
        </w:rPr>
        <w:t xml:space="preserve">Mustafa Ahmad Al-Zarqa, </w:t>
      </w:r>
      <w:r w:rsidRPr="00B63396">
        <w:rPr>
          <w:i/>
          <w:noProof/>
        </w:rPr>
        <w:t>Al-Madkhal Al-Fiqhi Al-‘Am</w:t>
      </w:r>
      <w:r w:rsidRPr="00B63396">
        <w:rPr>
          <w:noProof/>
        </w:rPr>
        <w:t>, II (Beirut: Matba’ah Tharban, 1986)</w:t>
      </w:r>
      <w:r w:rsidR="0029592F">
        <w:rPr>
          <w:noProof/>
        </w:rPr>
        <w:t>, p. 1053</w:t>
      </w:r>
      <w:r w:rsidRPr="00B63396">
        <w:rPr>
          <w:noProof/>
        </w:rPr>
        <w:t>.</w:t>
      </w:r>
      <w:r w:rsidRPr="00B63396">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57F" w:rsidRPr="000D479C" w:rsidRDefault="005E4573" w:rsidP="000D479C">
    <w:pPr>
      <w:pStyle w:val="Header"/>
      <w:jc w:val="right"/>
      <w:rPr>
        <w:rFonts w:ascii="Century Gothic" w:hAnsi="Century Gothic" w:cs="Devanagari MT"/>
        <w:color w:val="B00000"/>
        <w:sz w:val="76"/>
      </w:rPr>
    </w:pPr>
    <w:bookmarkStart w:id="3" w:name="_Hlk490921290"/>
    <w:bookmarkStart w:id="4" w:name="_Hlk490921291"/>
    <w:bookmarkStart w:id="5" w:name="_Hlk490921292"/>
    <w:r w:rsidRPr="00384A23">
      <w:rPr>
        <w:rFonts w:ascii="Century Gothic" w:hAnsi="Century Gothic" w:cs="Devanagari MT"/>
        <w:b/>
        <w:noProof/>
        <w:sz w:val="40"/>
        <w:szCs w:val="60"/>
        <w:lang w:bidi="ar-SA"/>
      </w:rPr>
      <mc:AlternateContent>
        <mc:Choice Requires="wps">
          <w:drawing>
            <wp:anchor distT="0" distB="0" distL="114300" distR="114300" simplePos="0" relativeHeight="251666432" behindDoc="0" locked="0" layoutInCell="1" allowOverlap="1" wp14:anchorId="0BF8FBCA" wp14:editId="51A8AA62">
              <wp:simplePos x="0" y="0"/>
              <wp:positionH relativeFrom="column">
                <wp:posOffset>-396240</wp:posOffset>
              </wp:positionH>
              <wp:positionV relativeFrom="paragraph">
                <wp:posOffset>-47625</wp:posOffset>
              </wp:positionV>
              <wp:extent cx="3581400" cy="281940"/>
              <wp:effectExtent l="0" t="0" r="0" b="3810"/>
              <wp:wrapNone/>
              <wp:docPr id="16" name="Rectangle 16"/>
              <wp:cNvGraphicFramePr/>
              <a:graphic xmlns:a="http://schemas.openxmlformats.org/drawingml/2006/main">
                <a:graphicData uri="http://schemas.microsoft.com/office/word/2010/wordprocessingShape">
                  <wps:wsp>
                    <wps:cNvSpPr/>
                    <wps:spPr>
                      <a:xfrm>
                        <a:off x="0" y="0"/>
                        <a:ext cx="3581400" cy="2819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571BD" w:rsidRPr="0026676C" w:rsidRDefault="00446A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 xml:space="preserve">National Accredited in </w:t>
                          </w:r>
                          <w:proofErr w:type="spellStart"/>
                          <w:r>
                            <w:rPr>
                              <w:rFonts w:ascii="Book Antiqua" w:hAnsi="Book Antiqua" w:cs="Helvetica"/>
                              <w:color w:val="000000"/>
                              <w:sz w:val="16"/>
                              <w:shd w:val="clear" w:color="auto" w:fill="FFFFFF"/>
                            </w:rPr>
                            <w:t>Sinta</w:t>
                          </w:r>
                          <w:proofErr w:type="spellEnd"/>
                          <w:r>
                            <w:rPr>
                              <w:rFonts w:ascii="Book Antiqua" w:hAnsi="Book Antiqua" w:cs="Helvetica"/>
                              <w:color w:val="000000"/>
                              <w:sz w:val="16"/>
                              <w:shd w:val="clear" w:color="auto" w:fill="FFFFFF"/>
                            </w:rPr>
                            <w:t xml:space="preserve"> 2 Decree</w:t>
                          </w:r>
                          <w:r w:rsidR="0026676C" w:rsidRPr="0026676C">
                            <w:rPr>
                              <w:rFonts w:ascii="Book Antiqua" w:hAnsi="Book Antiqua" w:cs="Helvetica"/>
                              <w:color w:val="000000"/>
                              <w:sz w:val="16"/>
                              <w:shd w:val="clear" w:color="auto" w:fill="FFFFFF"/>
                            </w:rPr>
                            <w:t xml:space="preserve"> No. </w:t>
                          </w:r>
                          <w:r w:rsidR="0026676C" w:rsidRPr="0026676C">
                            <w:rPr>
                              <w:rFonts w:ascii="Book Antiqua" w:hAnsi="Book Antiqua" w:cs="Helvetica"/>
                              <w:sz w:val="16"/>
                              <w:bdr w:val="none" w:sz="0" w:space="0" w:color="auto" w:frame="1"/>
                              <w:shd w:val="clear" w:color="auto" w:fill="FFFFFF"/>
                            </w:rPr>
                            <w:t>158/E/KPT/2021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8" style="position:absolute;left:0;text-align:left;margin-left:-31.2pt;margin-top:-3.75pt;width:282pt;height:2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" filled="f" stroked="f" strokeweight="1pt">
              <v:textbox>
                <w:txbxContent>
                  <w:p w:rsidR="00D571BD" w:rsidRPr="0026676C" w:rsidRDefault="00446AFC" w:rsidP="009A2E58">
                    <w:pPr>
                      <w:pStyle w:val="Header"/>
                      <w:ind w:left="426"/>
                      <w:rPr>
                        <w:rFonts w:ascii="Book Antiqua" w:hAnsi="Book Antiqua" w:cstheme="majorHAnsi"/>
                        <w:color w:val="2F5496" w:themeColor="accent1" w:themeShade="BF"/>
                        <w:sz w:val="18"/>
                        <w:szCs w:val="12"/>
                      </w:rPr>
                    </w:pPr>
                    <w:r>
                      <w:rPr>
                        <w:rFonts w:ascii="Book Antiqua" w:hAnsi="Book Antiqua" w:cs="Helvetica"/>
                        <w:color w:val="000000"/>
                        <w:sz w:val="16"/>
                        <w:shd w:val="clear" w:color="auto" w:fill="FFFFFF"/>
                      </w:rPr>
                      <w:t xml:space="preserve">National Accredited in </w:t>
                    </w:r>
                    <w:proofErr w:type="spellStart"/>
                    <w:r>
                      <w:rPr>
                        <w:rFonts w:ascii="Book Antiqua" w:hAnsi="Book Antiqua" w:cs="Helvetica"/>
                        <w:color w:val="000000"/>
                        <w:sz w:val="16"/>
                        <w:shd w:val="clear" w:color="auto" w:fill="FFFFFF"/>
                      </w:rPr>
                      <w:t>Sinta</w:t>
                    </w:r>
                    <w:proofErr w:type="spellEnd"/>
                    <w:r>
                      <w:rPr>
                        <w:rFonts w:ascii="Book Antiqua" w:hAnsi="Book Antiqua" w:cs="Helvetica"/>
                        <w:color w:val="000000"/>
                        <w:sz w:val="16"/>
                        <w:shd w:val="clear" w:color="auto" w:fill="FFFFFF"/>
                      </w:rPr>
                      <w:t xml:space="preserve"> 2 Decree</w:t>
                    </w:r>
                    <w:r w:rsidR="0026676C" w:rsidRPr="0026676C">
                      <w:rPr>
                        <w:rFonts w:ascii="Book Antiqua" w:hAnsi="Book Antiqua" w:cs="Helvetica"/>
                        <w:color w:val="000000"/>
                        <w:sz w:val="16"/>
                        <w:shd w:val="clear" w:color="auto" w:fill="FFFFFF"/>
                      </w:rPr>
                      <w:t xml:space="preserve"> No. </w:t>
                    </w:r>
                    <w:r w:rsidR="0026676C" w:rsidRPr="0026676C">
                      <w:rPr>
                        <w:rFonts w:ascii="Book Antiqua" w:hAnsi="Book Antiqua" w:cs="Helvetica"/>
                        <w:sz w:val="16"/>
                        <w:bdr w:val="none" w:sz="0" w:space="0" w:color="auto" w:frame="1"/>
                        <w:shd w:val="clear" w:color="auto" w:fill="FFFFFF"/>
                      </w:rPr>
                      <w:t>158/E/KPT/2021</w:t>
                    </w:r>
                  </w:p>
                </w:txbxContent>
              </v:textbox>
            </v:rect>
          </w:pict>
        </mc:Fallback>
      </mc:AlternateContent>
    </w:r>
    <w:r w:rsidR="0026676C" w:rsidRPr="00384A23">
      <w:rPr>
        <w:noProof/>
        <w:sz w:val="28"/>
        <w:lang w:bidi="ar-SA"/>
      </w:rPr>
      <w:drawing>
        <wp:anchor distT="0" distB="0" distL="114300" distR="114300" simplePos="0" relativeHeight="251668480" behindDoc="0" locked="0" layoutInCell="1" allowOverlap="1" wp14:anchorId="097DA479" wp14:editId="341B6BC2">
          <wp:simplePos x="0" y="0"/>
          <wp:positionH relativeFrom="column">
            <wp:posOffset>-43815</wp:posOffset>
          </wp:positionH>
          <wp:positionV relativeFrom="paragraph">
            <wp:posOffset>-276225</wp:posOffset>
          </wp:positionV>
          <wp:extent cx="877570" cy="308610"/>
          <wp:effectExtent l="0" t="0" r="0" b="0"/>
          <wp:wrapNone/>
          <wp:docPr id="5" name="Picture 5" descr="E:\FileKu\JURNAL FH UNPATTI\Sinta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FH UNPATTI\Sinta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570" cy="30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B4626A" w:rsidRPr="00384A23">
      <w:rPr>
        <w:rFonts w:ascii="Century Gothic" w:hAnsi="Century Gothic" w:cs="Devanagari MT"/>
        <w:b/>
        <w:noProof/>
        <w:sz w:val="40"/>
        <w:szCs w:val="60"/>
        <w:lang w:bidi="ar-SA"/>
      </w:rPr>
      <mc:AlternateContent>
        <mc:Choice Requires="wps">
          <w:drawing>
            <wp:anchor distT="0" distB="0" distL="114300" distR="114300" simplePos="0" relativeHeight="251665408" behindDoc="1" locked="0" layoutInCell="1" allowOverlap="1" wp14:anchorId="44E2F749" wp14:editId="03BAB493">
              <wp:simplePos x="0" y="0"/>
              <wp:positionH relativeFrom="column">
                <wp:posOffset>-1396365</wp:posOffset>
              </wp:positionH>
              <wp:positionV relativeFrom="paragraph">
                <wp:posOffset>152400</wp:posOffset>
              </wp:positionV>
              <wp:extent cx="8267700" cy="2476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67700" cy="247650"/>
                      </a:xfrm>
                      <a:prstGeom prst="rect">
                        <a:avLst/>
                      </a:prstGeom>
                      <a:solidFill>
                        <a:schemeClr val="bg1">
                          <a:lumMod val="85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5F3748E" id="Rectangle 5" o:spid="_x0000_s1026" style="position:absolute;margin-left:-109.95pt;margin-top:12pt;width:651pt;height:1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" fillcolor="#d8d8d8 [2732]" stroked="f">
              <v:path arrowok="t"/>
            </v:rect>
          </w:pict>
        </mc:Fallback>
      </mc:AlternateContent>
    </w:r>
    <w:r w:rsidR="00EB46BA" w:rsidRPr="00384A23">
      <w:rPr>
        <w:rFonts w:ascii="Algerian" w:hAnsi="Algerian"/>
        <w:b/>
        <w:color w:val="2F5496" w:themeColor="accent1" w:themeShade="BF"/>
        <w:sz w:val="56"/>
        <w:szCs w:val="80"/>
      </w:rPr>
      <w:t>SASI</w:t>
    </w:r>
    <w:r w:rsidR="00EF357F" w:rsidRPr="000D479C">
      <w:rPr>
        <w:rFonts w:ascii="Century Gothic" w:hAnsi="Century Gothic" w:cs="Devanagari MT"/>
        <w:sz w:val="48"/>
        <w:szCs w:val="60"/>
      </w:rPr>
      <w:t xml:space="preserve"> </w:t>
    </w:r>
  </w:p>
  <w:p w:rsidR="00D571BD" w:rsidRPr="00EB46BA" w:rsidRDefault="00D571BD" w:rsidP="00AF20D0">
    <w:pPr>
      <w:pStyle w:val="Header"/>
      <w:tabs>
        <w:tab w:val="clear" w:pos="9360"/>
      </w:tabs>
      <w:jc w:val="right"/>
      <w:rPr>
        <w:rFonts w:ascii="Book Antiqua" w:hAnsi="Book Antiqua" w:cstheme="majorHAnsi"/>
        <w:color w:val="000000" w:themeColor="text1"/>
        <w:sz w:val="20"/>
        <w:szCs w:val="20"/>
      </w:rPr>
    </w:pPr>
    <w:r w:rsidRPr="00EB46BA">
      <w:rPr>
        <w:rFonts w:ascii="Book Antiqua" w:hAnsi="Book Antiqua" w:cstheme="majorHAnsi"/>
        <w:color w:val="000000" w:themeColor="text1"/>
        <w:sz w:val="20"/>
        <w:szCs w:val="20"/>
      </w:rPr>
      <w:t>Volume … Issue …, XXXX</w:t>
    </w:r>
  </w:p>
  <w:p w:rsidR="00D571BD" w:rsidRPr="00D571BD" w:rsidRDefault="00302C34" w:rsidP="00AF20D0">
    <w:pPr>
      <w:pStyle w:val="Header"/>
      <w:tabs>
        <w:tab w:val="clear" w:pos="9360"/>
      </w:tabs>
      <w:jc w:val="right"/>
      <w:rPr>
        <w:rFonts w:asciiTheme="majorHAnsi" w:hAnsiTheme="majorHAnsi" w:cstheme="majorHAnsi"/>
        <w:color w:val="000000" w:themeColor="text1"/>
        <w:sz w:val="20"/>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49" type="#_x0000_t75" style="position:absolute;left:0;text-align:left;margin-left:350.55pt;margin-top:11.35pt;width:14.25pt;height:14.25pt;z-index:251672576;visibility:visible;mso-wrap-style:square;mso-position-horizontal-relative:text;mso-position-vertical-relative:text;mso-width-relative:page;mso-height-relative:page">
          <v:imagedata r:id="rId2" o:title="1200px-DOI_logo"/>
        </v:shape>
      </w:pict>
    </w:r>
    <w:r w:rsidR="00D571BD" w:rsidRPr="00EB46BA">
      <w:rPr>
        <w:rFonts w:ascii="Book Antiqua" w:hAnsi="Book Antiqua" w:cstheme="majorHAnsi"/>
        <w:color w:val="000000" w:themeColor="text1"/>
        <w:sz w:val="20"/>
        <w:szCs w:val="20"/>
      </w:rPr>
      <w:t xml:space="preserve">P-ISSN: </w:t>
    </w:r>
    <w:r w:rsidR="00EB46BA" w:rsidRPr="00EB46BA">
      <w:rPr>
        <w:rFonts w:ascii="Book Antiqua" w:hAnsi="Book Antiqua" w:cstheme="majorHAnsi"/>
        <w:color w:val="000000" w:themeColor="text1"/>
        <w:sz w:val="20"/>
        <w:szCs w:val="20"/>
      </w:rPr>
      <w:t>1693-0061</w:t>
    </w:r>
    <w:r w:rsidR="00D571BD" w:rsidRPr="00EB46BA">
      <w:rPr>
        <w:rFonts w:ascii="Book Antiqua" w:hAnsi="Book Antiqua" w:cstheme="majorHAnsi"/>
        <w:color w:val="000000" w:themeColor="text1"/>
        <w:sz w:val="20"/>
        <w:szCs w:val="20"/>
      </w:rPr>
      <w:t xml:space="preserve">, E-ISSN: </w:t>
    </w:r>
    <w:r w:rsidR="00EB46BA" w:rsidRPr="00EB46BA">
      <w:rPr>
        <w:rFonts w:ascii="Book Antiqua" w:hAnsi="Book Antiqua" w:cstheme="majorHAnsi"/>
        <w:color w:val="000000" w:themeColor="text1"/>
        <w:sz w:val="20"/>
        <w:szCs w:val="20"/>
      </w:rPr>
      <w:t>2614-2961</w:t>
    </w:r>
  </w:p>
  <w:p w:rsidR="00B4626A" w:rsidRDefault="00B4626A" w:rsidP="00AF20D0">
    <w:pPr>
      <w:spacing w:after="20"/>
      <w:jc w:val="right"/>
      <w:rPr>
        <w:rStyle w:val="Hyperlink"/>
        <w:rFonts w:ascii="Book Antiqua" w:hAnsi="Book Antiqua"/>
        <w:color w:val="2F5496" w:themeColor="accent1" w:themeShade="BF"/>
        <w:sz w:val="18"/>
        <w:u w:val="none"/>
      </w:rPr>
    </w:pPr>
    <w:r w:rsidRPr="00EB46BA">
      <w:rPr>
        <w:rFonts w:ascii="Book Antiqua" w:hAnsi="Book Antiqua" w:cstheme="majorHAnsi"/>
        <w:color w:val="2F5496" w:themeColor="accent1" w:themeShade="BF"/>
        <w:sz w:val="18"/>
        <w:szCs w:val="12"/>
      </w:rPr>
      <w:t xml:space="preserve">: </w:t>
    </w:r>
    <w:hyperlink r:id="rId3" w:history="1">
      <w:r w:rsidRPr="00EB46BA">
        <w:rPr>
          <w:rStyle w:val="Hyperlink"/>
          <w:rFonts w:ascii="Book Antiqua" w:hAnsi="Book Antiqua" w:cstheme="majorHAnsi"/>
          <w:color w:val="2F5496" w:themeColor="accent1" w:themeShade="BF"/>
          <w:sz w:val="18"/>
          <w:szCs w:val="12"/>
          <w:u w:val="none"/>
        </w:rPr>
        <w:t>10.47268/</w:t>
      </w:r>
      <w:proofErr w:type="spellStart"/>
      <w:r w:rsidRPr="00EB46BA">
        <w:rPr>
          <w:rStyle w:val="Hyperlink"/>
          <w:rFonts w:ascii="Book Antiqua" w:hAnsi="Book Antiqua" w:cstheme="majorHAnsi"/>
          <w:color w:val="2F5496" w:themeColor="accent1" w:themeShade="BF"/>
          <w:sz w:val="18"/>
          <w:szCs w:val="12"/>
          <w:u w:val="none"/>
        </w:rPr>
        <w:t>sasi.</w:t>
      </w:r>
    </w:hyperlink>
    <w:r w:rsidRPr="00EB46BA">
      <w:rPr>
        <w:rStyle w:val="Hyperlink"/>
        <w:rFonts w:ascii="Book Antiqua" w:hAnsi="Book Antiqua" w:cstheme="majorHAnsi"/>
        <w:color w:val="2F5496" w:themeColor="accent1" w:themeShade="BF"/>
        <w:sz w:val="18"/>
        <w:szCs w:val="12"/>
        <w:u w:val="none"/>
      </w:rPr>
      <w:t>vXXXX.</w:t>
    </w:r>
    <w:r>
      <w:rPr>
        <w:rStyle w:val="Hyperlink"/>
        <w:rFonts w:ascii="Book Antiqua" w:hAnsi="Book Antiqua" w:cstheme="majorHAnsi"/>
        <w:color w:val="2F5496" w:themeColor="accent1" w:themeShade="BF"/>
        <w:sz w:val="18"/>
        <w:szCs w:val="12"/>
        <w:u w:val="none"/>
      </w:rPr>
      <w:t>XXXX</w:t>
    </w:r>
    <w:proofErr w:type="spellEnd"/>
    <w:r w:rsidRPr="00EB46BA">
      <w:rPr>
        <w:rFonts w:ascii="Book Antiqua" w:hAnsi="Book Antiqua" w:cstheme="majorHAnsi"/>
        <w:color w:val="2F5496" w:themeColor="accent1" w:themeShade="BF"/>
        <w:sz w:val="18"/>
        <w:szCs w:val="12"/>
      </w:rPr>
      <w:t xml:space="preserve"> </w:t>
    </w:r>
    <w:r w:rsidRPr="008953F1">
      <w:rPr>
        <w:noProof/>
        <w:color w:val="000000" w:themeColor="text1"/>
        <w:lang w:bidi="ar-SA"/>
      </w:rPr>
      <w:drawing>
        <wp:anchor distT="0" distB="0" distL="114300" distR="114300" simplePos="0" relativeHeight="251670528" behindDoc="0" locked="0" layoutInCell="1" allowOverlap="1" wp14:anchorId="224A3CAA" wp14:editId="1505FF75">
          <wp:simplePos x="0" y="0"/>
          <wp:positionH relativeFrom="column">
            <wp:posOffset>5686425</wp:posOffset>
          </wp:positionH>
          <wp:positionV relativeFrom="paragraph">
            <wp:posOffset>159385</wp:posOffset>
          </wp:positionV>
          <wp:extent cx="424180" cy="211455"/>
          <wp:effectExtent l="0" t="0" r="0" b="0"/>
          <wp:wrapNone/>
          <wp:docPr id="6" name="Picture 6" descr="E:\FileKu\Jurnal SASI\Logo Lisensi S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ileKu\Jurnal SASI\Logo Lisensi SASI.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46BA" w:rsidRPr="00B4626A" w:rsidRDefault="00302C34" w:rsidP="00B4626A">
    <w:pPr>
      <w:spacing w:after="20"/>
      <w:ind w:right="707"/>
      <w:jc w:val="right"/>
      <w:rPr>
        <w:rFonts w:ascii="Book Antiqua" w:hAnsi="Book Antiqua"/>
        <w:color w:val="2F5496" w:themeColor="accent1" w:themeShade="BF"/>
        <w:sz w:val="18"/>
      </w:rPr>
    </w:pPr>
    <w:hyperlink r:id="rId5" w:history="1">
      <w:proofErr w:type="spellStart"/>
      <w:r w:rsidR="00EB46BA" w:rsidRPr="004B1F20">
        <w:rPr>
          <w:rStyle w:val="Hyperlink"/>
          <w:rFonts w:ascii="Book Antiqua" w:hAnsi="Book Antiqua"/>
          <w:color w:val="2F5496" w:themeColor="accent1" w:themeShade="BF"/>
          <w:sz w:val="18"/>
          <w:u w:val="none"/>
        </w:rPr>
        <w:t>Lisensi</w:t>
      </w:r>
      <w:proofErr w:type="spellEnd"/>
      <w:r w:rsidR="00EB46BA" w:rsidRPr="004B1F20">
        <w:rPr>
          <w:rStyle w:val="Hyperlink"/>
          <w:rFonts w:ascii="Book Antiqua" w:hAnsi="Book Antiqua"/>
          <w:color w:val="2F5496" w:themeColor="accent1" w:themeShade="BF"/>
          <w:sz w:val="18"/>
          <w:u w:val="none"/>
        </w:rPr>
        <w:t xml:space="preserve"> Creative Commons </w:t>
      </w:r>
      <w:proofErr w:type="spellStart"/>
      <w:r w:rsidR="00EB46BA" w:rsidRPr="004B1F20">
        <w:rPr>
          <w:rStyle w:val="Hyperlink"/>
          <w:rFonts w:ascii="Book Antiqua" w:hAnsi="Book Antiqua"/>
          <w:color w:val="2F5496" w:themeColor="accent1" w:themeShade="BF"/>
          <w:sz w:val="18"/>
          <w:u w:val="none"/>
        </w:rPr>
        <w:t>Atribusi-NonCommercial</w:t>
      </w:r>
      <w:proofErr w:type="spellEnd"/>
      <w:r w:rsidR="00EB46BA" w:rsidRPr="004B1F20">
        <w:rPr>
          <w:rStyle w:val="Hyperlink"/>
          <w:rFonts w:ascii="Book Antiqua" w:hAnsi="Book Antiqua"/>
          <w:color w:val="2F5496" w:themeColor="accent1" w:themeShade="BF"/>
          <w:sz w:val="18"/>
          <w:u w:val="none"/>
        </w:rPr>
        <w:t xml:space="preserve"> 4.0 </w:t>
      </w:r>
      <w:proofErr w:type="spellStart"/>
      <w:r w:rsidR="00EB46BA" w:rsidRPr="004B1F20">
        <w:rPr>
          <w:rStyle w:val="Hyperlink"/>
          <w:rFonts w:ascii="Book Antiqua" w:hAnsi="Book Antiqua"/>
          <w:color w:val="2F5496" w:themeColor="accent1" w:themeShade="BF"/>
          <w:sz w:val="18"/>
          <w:u w:val="none"/>
        </w:rPr>
        <w:t>Internasional</w:t>
      </w:r>
      <w:proofErr w:type="spellEnd"/>
    </w:hyperlink>
    <w:bookmarkEnd w:id="3"/>
    <w:bookmarkEnd w:id="4"/>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6.1pt;height:14.4pt;visibility:visible;mso-wrap-style:square" o:bullet="t">
        <v:imagedata r:id="rId1" o:title="1200px-DOI_logo"/>
      </v:shape>
    </w:pict>
  </w:numPicBullet>
  <w:abstractNum w:abstractNumId="0">
    <w:nsid w:val="FFFFFF1D"/>
    <w:multiLevelType w:val="multilevel"/>
    <w:tmpl w:val="85BAC08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1"/>
    <w:multiLevelType w:val="singleLevel"/>
    <w:tmpl w:val="89D087EE"/>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24228CE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3000CD8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1BE4696E"/>
    <w:lvl w:ilvl="0">
      <w:start w:val="1"/>
      <w:numFmt w:val="bullet"/>
      <w:lvlText w:val=""/>
      <w:lvlJc w:val="left"/>
      <w:pPr>
        <w:tabs>
          <w:tab w:val="num" w:pos="360"/>
        </w:tabs>
        <w:ind w:left="360" w:hanging="360"/>
      </w:pPr>
      <w:rPr>
        <w:rFonts w:ascii="Symbol" w:hAnsi="Symbol" w:hint="default"/>
      </w:rPr>
    </w:lvl>
  </w:abstractNum>
  <w:abstractNum w:abstractNumId="5">
    <w:nsid w:val="012920D2"/>
    <w:multiLevelType w:val="hybridMultilevel"/>
    <w:tmpl w:val="2CDEC096"/>
    <w:lvl w:ilvl="0" w:tplc="E93E8A18">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12938B6"/>
    <w:multiLevelType w:val="hybridMultilevel"/>
    <w:tmpl w:val="CD92F8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893EDE"/>
    <w:multiLevelType w:val="multilevel"/>
    <w:tmpl w:val="283A8E52"/>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8">
    <w:nsid w:val="08F41B5C"/>
    <w:multiLevelType w:val="hybridMultilevel"/>
    <w:tmpl w:val="8D743094"/>
    <w:lvl w:ilvl="0" w:tplc="C58ADC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09498D"/>
    <w:multiLevelType w:val="multilevel"/>
    <w:tmpl w:val="AA089706"/>
    <w:lvl w:ilvl="0">
      <w:start w:val="1"/>
      <w:numFmt w:val="decimal"/>
      <w:lvlText w:val="%1."/>
      <w:lvlJc w:val="left"/>
      <w:pPr>
        <w:ind w:left="720" w:hanging="360"/>
      </w:pPr>
      <w:rPr>
        <w:color w:val="2F5496" w:themeColor="accent1" w:themeShade="BF"/>
        <w:sz w:val="24"/>
      </w:rPr>
    </w:lvl>
    <w:lvl w:ilvl="1">
      <w:start w:val="1"/>
      <w:numFmt w:val="decimal"/>
      <w:isLgl/>
      <w:lvlText w:val="%1.%2"/>
      <w:lvlJc w:val="left"/>
      <w:pPr>
        <w:ind w:left="720" w:hanging="360"/>
      </w:pPr>
      <w:rPr>
        <w:rFonts w:eastAsia="Batang" w:cs="Times New Roman" w:hint="default"/>
        <w:b/>
        <w:color w:val="000000" w:themeColor="text1"/>
        <w:sz w:val="24"/>
      </w:rPr>
    </w:lvl>
    <w:lvl w:ilvl="2">
      <w:start w:val="1"/>
      <w:numFmt w:val="decimal"/>
      <w:isLgl/>
      <w:lvlText w:val="%1.%2.%3"/>
      <w:lvlJc w:val="left"/>
      <w:pPr>
        <w:ind w:left="1080" w:hanging="720"/>
      </w:pPr>
      <w:rPr>
        <w:rFonts w:eastAsia="Batang" w:cs="Times New Roman" w:hint="default"/>
        <w:b/>
      </w:rPr>
    </w:lvl>
    <w:lvl w:ilvl="3">
      <w:start w:val="1"/>
      <w:numFmt w:val="decimal"/>
      <w:isLgl/>
      <w:lvlText w:val="%1.%2.%3.%4"/>
      <w:lvlJc w:val="left"/>
      <w:pPr>
        <w:ind w:left="1440" w:hanging="1080"/>
      </w:pPr>
      <w:rPr>
        <w:rFonts w:eastAsia="Batang" w:cs="Times New Roman" w:hint="default"/>
        <w:b w:val="0"/>
      </w:rPr>
    </w:lvl>
    <w:lvl w:ilvl="4">
      <w:start w:val="1"/>
      <w:numFmt w:val="decimal"/>
      <w:isLgl/>
      <w:lvlText w:val="%1.%2.%3.%4.%5"/>
      <w:lvlJc w:val="left"/>
      <w:pPr>
        <w:ind w:left="1440" w:hanging="1080"/>
      </w:pPr>
      <w:rPr>
        <w:rFonts w:eastAsia="Batang" w:cs="Times New Roman" w:hint="default"/>
        <w:b w:val="0"/>
      </w:rPr>
    </w:lvl>
    <w:lvl w:ilvl="5">
      <w:start w:val="1"/>
      <w:numFmt w:val="decimal"/>
      <w:isLgl/>
      <w:lvlText w:val="%1.%2.%3.%4.%5.%6"/>
      <w:lvlJc w:val="left"/>
      <w:pPr>
        <w:ind w:left="1800" w:hanging="1440"/>
      </w:pPr>
      <w:rPr>
        <w:rFonts w:eastAsia="Batang" w:cs="Times New Roman" w:hint="default"/>
        <w:b w:val="0"/>
      </w:rPr>
    </w:lvl>
    <w:lvl w:ilvl="6">
      <w:start w:val="1"/>
      <w:numFmt w:val="decimal"/>
      <w:isLgl/>
      <w:lvlText w:val="%1.%2.%3.%4.%5.%6.%7"/>
      <w:lvlJc w:val="left"/>
      <w:pPr>
        <w:ind w:left="1800" w:hanging="1440"/>
      </w:pPr>
      <w:rPr>
        <w:rFonts w:eastAsia="Batang" w:cs="Times New Roman" w:hint="default"/>
        <w:b w:val="0"/>
      </w:rPr>
    </w:lvl>
    <w:lvl w:ilvl="7">
      <w:start w:val="1"/>
      <w:numFmt w:val="decimal"/>
      <w:isLgl/>
      <w:lvlText w:val="%1.%2.%3.%4.%5.%6.%7.%8"/>
      <w:lvlJc w:val="left"/>
      <w:pPr>
        <w:ind w:left="2160" w:hanging="1800"/>
      </w:pPr>
      <w:rPr>
        <w:rFonts w:eastAsia="Batang" w:cs="Times New Roman" w:hint="default"/>
        <w:b w:val="0"/>
      </w:rPr>
    </w:lvl>
    <w:lvl w:ilvl="8">
      <w:start w:val="1"/>
      <w:numFmt w:val="decimal"/>
      <w:isLgl/>
      <w:lvlText w:val="%1.%2.%3.%4.%5.%6.%7.%8.%9"/>
      <w:lvlJc w:val="left"/>
      <w:pPr>
        <w:ind w:left="2160" w:hanging="1800"/>
      </w:pPr>
      <w:rPr>
        <w:rFonts w:eastAsia="Batang" w:cs="Times New Roman" w:hint="default"/>
        <w:b w:val="0"/>
      </w:rPr>
    </w:lvl>
  </w:abstractNum>
  <w:abstractNum w:abstractNumId="10">
    <w:nsid w:val="0AF87D46"/>
    <w:multiLevelType w:val="hybridMultilevel"/>
    <w:tmpl w:val="B46649A0"/>
    <w:lvl w:ilvl="0" w:tplc="04090019">
      <w:start w:val="1"/>
      <w:numFmt w:val="lowerLetter"/>
      <w:lvlText w:val="%1."/>
      <w:lvlJc w:val="left"/>
      <w:pPr>
        <w:ind w:left="720" w:hanging="360"/>
      </w:pPr>
    </w:lvl>
    <w:lvl w:ilvl="1" w:tplc="11F6536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C6C0D7B"/>
    <w:multiLevelType w:val="hybridMultilevel"/>
    <w:tmpl w:val="A88EFA2A"/>
    <w:lvl w:ilvl="0" w:tplc="4204F16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443D64"/>
    <w:multiLevelType w:val="hybridMultilevel"/>
    <w:tmpl w:val="CE6A634C"/>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CEC04BD"/>
    <w:multiLevelType w:val="multilevel"/>
    <w:tmpl w:val="D1D430E8"/>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14">
    <w:nsid w:val="2D9905CC"/>
    <w:multiLevelType w:val="hybridMultilevel"/>
    <w:tmpl w:val="02E42A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23444A3"/>
    <w:multiLevelType w:val="hybridMultilevel"/>
    <w:tmpl w:val="E634D950"/>
    <w:lvl w:ilvl="0" w:tplc="C58ADCF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3CA1A52"/>
    <w:multiLevelType w:val="hybridMultilevel"/>
    <w:tmpl w:val="D67040E2"/>
    <w:lvl w:ilvl="0" w:tplc="C58ADCF6">
      <w:start w:val="1"/>
      <w:numFmt w:val="decimal"/>
      <w:lvlText w:val="(%1)"/>
      <w:lvlJc w:val="left"/>
      <w:pPr>
        <w:ind w:left="720" w:hanging="360"/>
      </w:pPr>
      <w:rPr>
        <w:rFonts w:hint="default"/>
      </w:rPr>
    </w:lvl>
    <w:lvl w:ilvl="1" w:tplc="C58ADCF6">
      <w:start w:val="1"/>
      <w:numFmt w:val="decimal"/>
      <w:lvlText w:val="(%2)"/>
      <w:lvlJc w:val="left"/>
      <w:pPr>
        <w:ind w:left="1440" w:hanging="360"/>
      </w:pPr>
      <w:rPr>
        <w:rFonts w:hint="default"/>
      </w:rPr>
    </w:lvl>
    <w:lvl w:ilvl="2" w:tplc="B0064926">
      <w:start w:val="1"/>
      <w:numFmt w:val="low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84726D"/>
    <w:multiLevelType w:val="hybridMultilevel"/>
    <w:tmpl w:val="FC8C0B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8E3FEA"/>
    <w:multiLevelType w:val="hybridMultilevel"/>
    <w:tmpl w:val="589A77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BF5ED5"/>
    <w:multiLevelType w:val="hybridMultilevel"/>
    <w:tmpl w:val="90548236"/>
    <w:lvl w:ilvl="0" w:tplc="C58ADCF6">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4BCC28A7"/>
    <w:multiLevelType w:val="multilevel"/>
    <w:tmpl w:val="E752BD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E281686"/>
    <w:multiLevelType w:val="multilevel"/>
    <w:tmpl w:val="89EA454E"/>
    <w:lvl w:ilvl="0">
      <w:start w:val="1"/>
      <w:numFmt w:val="decimal"/>
      <w:lvlText w:val="%1."/>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1">
      <w:start w:val="1"/>
      <w:numFmt w:val="decimal"/>
      <w:lvlText w:val="%1.%2."/>
      <w:lvlJc w:val="left"/>
      <w:pPr>
        <w:tabs>
          <w:tab w:val="num" w:pos="420"/>
        </w:tabs>
        <w:ind w:left="420" w:hanging="42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2">
      <w:start w:val="1"/>
      <w:numFmt w:val="decimal"/>
      <w:lvlText w:val="%1.%2.%3."/>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3">
      <w:start w:val="1"/>
      <w:numFmt w:val="decimal"/>
      <w:lvlText w:val="%1.%2.%3.%4."/>
      <w:lvlJc w:val="left"/>
      <w:pPr>
        <w:tabs>
          <w:tab w:val="num" w:pos="840"/>
        </w:tabs>
        <w:ind w:left="840" w:hanging="84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4">
      <w:start w:val="1"/>
      <w:numFmt w:val="decimal"/>
      <w:lvlText w:val="%1.%2.%3.%4.%5."/>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5">
      <w:start w:val="1"/>
      <w:numFmt w:val="decimal"/>
      <w:lvlText w:val="%1.%2.%3.%4.%5.%6."/>
      <w:lvlJc w:val="left"/>
      <w:pPr>
        <w:tabs>
          <w:tab w:val="num" w:pos="1260"/>
        </w:tabs>
        <w:ind w:left="1260" w:hanging="126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6">
      <w:start w:val="1"/>
      <w:numFmt w:val="decimal"/>
      <w:lvlText w:val="%1.%2.%3.%4.%5.%6.%7."/>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7">
      <w:start w:val="1"/>
      <w:numFmt w:val="decimal"/>
      <w:lvlText w:val="%1.%2.%3.%4.%5.%6.%7.%8."/>
      <w:lvlJc w:val="left"/>
      <w:pPr>
        <w:tabs>
          <w:tab w:val="num" w:pos="1680"/>
        </w:tabs>
        <w:ind w:left="1680" w:hanging="168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lvl w:ilvl="8">
      <w:start w:val="1"/>
      <w:numFmt w:val="decimal"/>
      <w:lvlText w:val="%1.%2.%3.%4.%5.%6.%7.%8.%9."/>
      <w:lvlJc w:val="left"/>
      <w:pPr>
        <w:tabs>
          <w:tab w:val="num" w:pos="2100"/>
        </w:tabs>
        <w:ind w:left="2100" w:hanging="2100"/>
      </w:pPr>
      <w:rPr>
        <w:rFonts w:ascii="Times New Roman Bold" w:eastAsia="Times New Roman Bold" w:hAnsi="Times New Roman Bold" w:cs="Times New Roman Bold"/>
        <w:b w:val="0"/>
        <w:bCs w:val="0"/>
        <w:i w:val="0"/>
        <w:iCs w:val="0"/>
        <w:caps w:val="0"/>
        <w:smallCaps w:val="0"/>
        <w:strike w:val="0"/>
        <w:dstrike w:val="0"/>
        <w:color w:val="000000"/>
        <w:spacing w:val="0"/>
        <w:kern w:val="0"/>
        <w:position w:val="0"/>
        <w:sz w:val="28"/>
        <w:szCs w:val="28"/>
        <w:u w:val="none" w:color="000000"/>
        <w:vertAlign w:val="baseline"/>
        <w:rtl w:val="0"/>
      </w:rPr>
    </w:lvl>
  </w:abstractNum>
  <w:abstractNum w:abstractNumId="22">
    <w:nsid w:val="58B14A1D"/>
    <w:multiLevelType w:val="multilevel"/>
    <w:tmpl w:val="F5C08014"/>
    <w:lvl w:ilvl="0">
      <w:start w:val="3"/>
      <w:numFmt w:val="decimal"/>
      <w:lvlText w:val="%1"/>
      <w:lvlJc w:val="left"/>
      <w:pPr>
        <w:ind w:left="360" w:hanging="360"/>
      </w:pPr>
      <w:rPr>
        <w:rFonts w:cstheme="majorHAnsi" w:hint="default"/>
        <w:b/>
        <w:color w:val="000000" w:themeColor="text1"/>
      </w:rPr>
    </w:lvl>
    <w:lvl w:ilvl="1">
      <w:start w:val="4"/>
      <w:numFmt w:val="decimal"/>
      <w:lvlText w:val="%1.%2"/>
      <w:lvlJc w:val="left"/>
      <w:pPr>
        <w:ind w:left="1069" w:hanging="360"/>
      </w:pPr>
      <w:rPr>
        <w:rFonts w:cstheme="majorHAnsi" w:hint="default"/>
        <w:b/>
        <w:color w:val="000000" w:themeColor="text1"/>
      </w:rPr>
    </w:lvl>
    <w:lvl w:ilvl="2">
      <w:start w:val="1"/>
      <w:numFmt w:val="decimal"/>
      <w:lvlText w:val="%1.%2.%3"/>
      <w:lvlJc w:val="left"/>
      <w:pPr>
        <w:ind w:left="2138" w:hanging="720"/>
      </w:pPr>
      <w:rPr>
        <w:rFonts w:cstheme="majorHAnsi" w:hint="default"/>
        <w:b/>
        <w:color w:val="000000" w:themeColor="text1"/>
      </w:rPr>
    </w:lvl>
    <w:lvl w:ilvl="3">
      <w:start w:val="1"/>
      <w:numFmt w:val="decimal"/>
      <w:lvlText w:val="%1.%2.%3.%4"/>
      <w:lvlJc w:val="left"/>
      <w:pPr>
        <w:ind w:left="3207" w:hanging="1080"/>
      </w:pPr>
      <w:rPr>
        <w:rFonts w:cstheme="majorHAnsi" w:hint="default"/>
        <w:b/>
        <w:color w:val="000000" w:themeColor="text1"/>
      </w:rPr>
    </w:lvl>
    <w:lvl w:ilvl="4">
      <w:start w:val="1"/>
      <w:numFmt w:val="decimal"/>
      <w:lvlText w:val="%1.%2.%3.%4.%5"/>
      <w:lvlJc w:val="left"/>
      <w:pPr>
        <w:ind w:left="3916" w:hanging="1080"/>
      </w:pPr>
      <w:rPr>
        <w:rFonts w:cstheme="majorHAnsi" w:hint="default"/>
        <w:b/>
        <w:color w:val="000000" w:themeColor="text1"/>
      </w:rPr>
    </w:lvl>
    <w:lvl w:ilvl="5">
      <w:start w:val="1"/>
      <w:numFmt w:val="decimal"/>
      <w:lvlText w:val="%1.%2.%3.%4.%5.%6"/>
      <w:lvlJc w:val="left"/>
      <w:pPr>
        <w:ind w:left="4985" w:hanging="1440"/>
      </w:pPr>
      <w:rPr>
        <w:rFonts w:cstheme="majorHAnsi" w:hint="default"/>
        <w:b/>
        <w:color w:val="000000" w:themeColor="text1"/>
      </w:rPr>
    </w:lvl>
    <w:lvl w:ilvl="6">
      <w:start w:val="1"/>
      <w:numFmt w:val="decimal"/>
      <w:lvlText w:val="%1.%2.%3.%4.%5.%6.%7"/>
      <w:lvlJc w:val="left"/>
      <w:pPr>
        <w:ind w:left="5694" w:hanging="1440"/>
      </w:pPr>
      <w:rPr>
        <w:rFonts w:cstheme="majorHAnsi" w:hint="default"/>
        <w:b/>
        <w:color w:val="000000" w:themeColor="text1"/>
      </w:rPr>
    </w:lvl>
    <w:lvl w:ilvl="7">
      <w:start w:val="1"/>
      <w:numFmt w:val="decimal"/>
      <w:lvlText w:val="%1.%2.%3.%4.%5.%6.%7.%8"/>
      <w:lvlJc w:val="left"/>
      <w:pPr>
        <w:ind w:left="6763" w:hanging="1800"/>
      </w:pPr>
      <w:rPr>
        <w:rFonts w:cstheme="majorHAnsi" w:hint="default"/>
        <w:b/>
        <w:color w:val="000000" w:themeColor="text1"/>
      </w:rPr>
    </w:lvl>
    <w:lvl w:ilvl="8">
      <w:start w:val="1"/>
      <w:numFmt w:val="decimal"/>
      <w:lvlText w:val="%1.%2.%3.%4.%5.%6.%7.%8.%9"/>
      <w:lvlJc w:val="left"/>
      <w:pPr>
        <w:ind w:left="7472" w:hanging="1800"/>
      </w:pPr>
      <w:rPr>
        <w:rFonts w:cstheme="majorHAnsi" w:hint="default"/>
        <w:b/>
        <w:color w:val="000000" w:themeColor="text1"/>
      </w:rPr>
    </w:lvl>
  </w:abstractNum>
  <w:abstractNum w:abstractNumId="23">
    <w:nsid w:val="5AFB2927"/>
    <w:multiLevelType w:val="hybridMultilevel"/>
    <w:tmpl w:val="F21CC790"/>
    <w:lvl w:ilvl="0" w:tplc="04090019">
      <w:start w:val="1"/>
      <w:numFmt w:val="lowerLetter"/>
      <w:lvlText w:val="%1."/>
      <w:lvlJc w:val="left"/>
      <w:pPr>
        <w:ind w:left="720" w:hanging="360"/>
      </w:pPr>
    </w:lvl>
    <w:lvl w:ilvl="1" w:tplc="C58ADCF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2A229C"/>
    <w:multiLevelType w:val="multilevel"/>
    <w:tmpl w:val="DF2AE0EC"/>
    <w:styleLink w:val="List0"/>
    <w:lvl w:ilvl="0">
      <w:start w:val="1"/>
      <w:numFmt w:val="decimal"/>
      <w:lvlText w:val="%1."/>
      <w:lvlJc w:val="left"/>
      <w:rPr>
        <w:position w:val="0"/>
        <w:rtl w:val="0"/>
        <w:lang w:val="en-US"/>
      </w:rPr>
    </w:lvl>
    <w:lvl w:ilvl="1">
      <w:start w:val="1"/>
      <w:numFmt w:val="decimal"/>
      <w:lvlText w:val="%1.%2."/>
      <w:lvlJc w:val="left"/>
      <w:rPr>
        <w:position w:val="0"/>
        <w:rtl w:val="0"/>
        <w:lang w:val="en-US"/>
      </w:rPr>
    </w:lvl>
    <w:lvl w:ilvl="2">
      <w:start w:val="1"/>
      <w:numFmt w:val="decimal"/>
      <w:lvlText w:val="%1.%2.%3."/>
      <w:lvlJc w:val="left"/>
      <w:rPr>
        <w:position w:val="0"/>
        <w:rtl w:val="0"/>
        <w:lang w:val="en-US"/>
      </w:rPr>
    </w:lvl>
    <w:lvl w:ilvl="3">
      <w:start w:val="1"/>
      <w:numFmt w:val="decimal"/>
      <w:lvlText w:val="%1.%2.%3.%4."/>
      <w:lvlJc w:val="left"/>
      <w:rPr>
        <w:position w:val="0"/>
        <w:rtl w:val="0"/>
        <w:lang w:val="en-US"/>
      </w:rPr>
    </w:lvl>
    <w:lvl w:ilvl="4">
      <w:start w:val="1"/>
      <w:numFmt w:val="decimal"/>
      <w:lvlText w:val="%1.%2.%3.%4.%5."/>
      <w:lvlJc w:val="left"/>
      <w:rPr>
        <w:position w:val="0"/>
        <w:rtl w:val="0"/>
        <w:lang w:val="en-US"/>
      </w:rPr>
    </w:lvl>
    <w:lvl w:ilvl="5">
      <w:start w:val="1"/>
      <w:numFmt w:val="decimal"/>
      <w:lvlText w:val="%1.%2.%3.%4.%5.%6."/>
      <w:lvlJc w:val="left"/>
      <w:rPr>
        <w:position w:val="0"/>
        <w:rtl w:val="0"/>
        <w:lang w:val="en-US"/>
      </w:rPr>
    </w:lvl>
    <w:lvl w:ilvl="6">
      <w:start w:val="1"/>
      <w:numFmt w:val="decimal"/>
      <w:lvlText w:val="%1.%2.%3.%4.%5.%6.%7."/>
      <w:lvlJc w:val="left"/>
      <w:rPr>
        <w:position w:val="0"/>
        <w:rtl w:val="0"/>
        <w:lang w:val="en-US"/>
      </w:rPr>
    </w:lvl>
    <w:lvl w:ilvl="7">
      <w:start w:val="1"/>
      <w:numFmt w:val="decimal"/>
      <w:lvlText w:val="%1.%2.%3.%4.%5.%6.%7.%8."/>
      <w:lvlJc w:val="left"/>
      <w:rPr>
        <w:position w:val="0"/>
        <w:rtl w:val="0"/>
        <w:lang w:val="en-US"/>
      </w:rPr>
    </w:lvl>
    <w:lvl w:ilvl="8">
      <w:start w:val="1"/>
      <w:numFmt w:val="decimal"/>
      <w:lvlText w:val="%1.%2.%3.%4.%5.%6.%7.%8.%9."/>
      <w:lvlJc w:val="left"/>
      <w:rPr>
        <w:position w:val="0"/>
        <w:rtl w:val="0"/>
        <w:lang w:val="en-US"/>
      </w:rPr>
    </w:lvl>
  </w:abstractNum>
  <w:abstractNum w:abstractNumId="25">
    <w:nsid w:val="5DA66C83"/>
    <w:multiLevelType w:val="hybridMultilevel"/>
    <w:tmpl w:val="BB9CF6EE"/>
    <w:lvl w:ilvl="0" w:tplc="DAC0A5D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nsid w:val="5FB14558"/>
    <w:multiLevelType w:val="hybridMultilevel"/>
    <w:tmpl w:val="1A2C8956"/>
    <w:lvl w:ilvl="0" w:tplc="AEB835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FC313B8"/>
    <w:multiLevelType w:val="hybridMultilevel"/>
    <w:tmpl w:val="DCCE626A"/>
    <w:lvl w:ilvl="0" w:tplc="C5CCB4E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21"/>
  </w:num>
  <w:num w:numId="3">
    <w:abstractNumId w:val="7"/>
  </w:num>
  <w:num w:numId="4">
    <w:abstractNumId w:val="13"/>
  </w:num>
  <w:num w:numId="5">
    <w:abstractNumId w:val="24"/>
  </w:num>
  <w:num w:numId="6">
    <w:abstractNumId w:val="0"/>
  </w:num>
  <w:num w:numId="7">
    <w:abstractNumId w:val="4"/>
  </w:num>
  <w:num w:numId="8">
    <w:abstractNumId w:val="3"/>
  </w:num>
  <w:num w:numId="9">
    <w:abstractNumId w:val="2"/>
  </w:num>
  <w:num w:numId="10">
    <w:abstractNumId w:val="1"/>
  </w:num>
  <w:num w:numId="11">
    <w:abstractNumId w:val="6"/>
  </w:num>
  <w:num w:numId="12">
    <w:abstractNumId w:val="14"/>
  </w:num>
  <w:num w:numId="13">
    <w:abstractNumId w:val="26"/>
  </w:num>
  <w:num w:numId="14">
    <w:abstractNumId w:val="25"/>
  </w:num>
  <w:num w:numId="15">
    <w:abstractNumId w:val="12"/>
  </w:num>
  <w:num w:numId="16">
    <w:abstractNumId w:val="19"/>
  </w:num>
  <w:num w:numId="17">
    <w:abstractNumId w:val="5"/>
  </w:num>
  <w:num w:numId="18">
    <w:abstractNumId w:val="9"/>
  </w:num>
  <w:num w:numId="19">
    <w:abstractNumId w:val="27"/>
  </w:num>
  <w:num w:numId="20">
    <w:abstractNumId w:val="10"/>
  </w:num>
  <w:num w:numId="21">
    <w:abstractNumId w:val="11"/>
  </w:num>
  <w:num w:numId="22">
    <w:abstractNumId w:val="15"/>
  </w:num>
  <w:num w:numId="23">
    <w:abstractNumId w:val="16"/>
  </w:num>
  <w:num w:numId="24">
    <w:abstractNumId w:val="8"/>
  </w:num>
  <w:num w:numId="25">
    <w:abstractNumId w:val="23"/>
  </w:num>
  <w:num w:numId="26">
    <w:abstractNumId w:val="22"/>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attachedTemplate r:id="rId1"/>
  <w:defaultTabStop w:val="720"/>
  <w:evenAndOddHeaders/>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7773"/>
    <w:rsid w:val="00001F3E"/>
    <w:rsid w:val="00003122"/>
    <w:rsid w:val="00003C43"/>
    <w:rsid w:val="00005A2E"/>
    <w:rsid w:val="0001120B"/>
    <w:rsid w:val="00014A2C"/>
    <w:rsid w:val="00023880"/>
    <w:rsid w:val="00023DA6"/>
    <w:rsid w:val="00046A90"/>
    <w:rsid w:val="00046AF5"/>
    <w:rsid w:val="00050546"/>
    <w:rsid w:val="0005128B"/>
    <w:rsid w:val="00052E06"/>
    <w:rsid w:val="000554A5"/>
    <w:rsid w:val="00063C82"/>
    <w:rsid w:val="000715EA"/>
    <w:rsid w:val="000775E8"/>
    <w:rsid w:val="000822BD"/>
    <w:rsid w:val="00087494"/>
    <w:rsid w:val="0009788A"/>
    <w:rsid w:val="000A05AE"/>
    <w:rsid w:val="000A091C"/>
    <w:rsid w:val="000A5878"/>
    <w:rsid w:val="000B09AB"/>
    <w:rsid w:val="000B14BF"/>
    <w:rsid w:val="000B1CE8"/>
    <w:rsid w:val="000B3752"/>
    <w:rsid w:val="000B5F04"/>
    <w:rsid w:val="000C5F58"/>
    <w:rsid w:val="000C62F7"/>
    <w:rsid w:val="000D29BA"/>
    <w:rsid w:val="000D41BE"/>
    <w:rsid w:val="000D479C"/>
    <w:rsid w:val="000D6448"/>
    <w:rsid w:val="000E018D"/>
    <w:rsid w:val="000E6D81"/>
    <w:rsid w:val="000F3B4F"/>
    <w:rsid w:val="000F4488"/>
    <w:rsid w:val="000F7008"/>
    <w:rsid w:val="0010788E"/>
    <w:rsid w:val="001161B0"/>
    <w:rsid w:val="00116CDD"/>
    <w:rsid w:val="00123CDB"/>
    <w:rsid w:val="001242D9"/>
    <w:rsid w:val="00124D8C"/>
    <w:rsid w:val="00136A1D"/>
    <w:rsid w:val="00141AEB"/>
    <w:rsid w:val="00141B61"/>
    <w:rsid w:val="0014772F"/>
    <w:rsid w:val="001520B9"/>
    <w:rsid w:val="001539AC"/>
    <w:rsid w:val="00167CC3"/>
    <w:rsid w:val="001720AE"/>
    <w:rsid w:val="00177044"/>
    <w:rsid w:val="00184949"/>
    <w:rsid w:val="00185CD9"/>
    <w:rsid w:val="001A42EB"/>
    <w:rsid w:val="001A55CA"/>
    <w:rsid w:val="001A6FE1"/>
    <w:rsid w:val="001B027D"/>
    <w:rsid w:val="001B4FFE"/>
    <w:rsid w:val="001B7BE7"/>
    <w:rsid w:val="001C13EC"/>
    <w:rsid w:val="001D204F"/>
    <w:rsid w:val="001E0B40"/>
    <w:rsid w:val="001F2BA3"/>
    <w:rsid w:val="001F73E9"/>
    <w:rsid w:val="00200DA7"/>
    <w:rsid w:val="00201A60"/>
    <w:rsid w:val="00203F76"/>
    <w:rsid w:val="00204D8C"/>
    <w:rsid w:val="0020773C"/>
    <w:rsid w:val="002119FE"/>
    <w:rsid w:val="00213215"/>
    <w:rsid w:val="00213935"/>
    <w:rsid w:val="00215AA9"/>
    <w:rsid w:val="00222ABB"/>
    <w:rsid w:val="0022358B"/>
    <w:rsid w:val="00223602"/>
    <w:rsid w:val="0023165A"/>
    <w:rsid w:val="002424C8"/>
    <w:rsid w:val="00244694"/>
    <w:rsid w:val="00247B6A"/>
    <w:rsid w:val="0025070C"/>
    <w:rsid w:val="00251F9C"/>
    <w:rsid w:val="00256527"/>
    <w:rsid w:val="0025739B"/>
    <w:rsid w:val="0026676C"/>
    <w:rsid w:val="00284DA6"/>
    <w:rsid w:val="002903F0"/>
    <w:rsid w:val="00292DF3"/>
    <w:rsid w:val="0029509B"/>
    <w:rsid w:val="0029592F"/>
    <w:rsid w:val="00297E00"/>
    <w:rsid w:val="002B0C1A"/>
    <w:rsid w:val="002B6553"/>
    <w:rsid w:val="002C01AB"/>
    <w:rsid w:val="002C02F0"/>
    <w:rsid w:val="002C65DB"/>
    <w:rsid w:val="002D252C"/>
    <w:rsid w:val="002E4144"/>
    <w:rsid w:val="002F15D6"/>
    <w:rsid w:val="002F2A28"/>
    <w:rsid w:val="002F4EAC"/>
    <w:rsid w:val="002F7873"/>
    <w:rsid w:val="003028A1"/>
    <w:rsid w:val="00302AAA"/>
    <w:rsid w:val="00302C34"/>
    <w:rsid w:val="00303BA8"/>
    <w:rsid w:val="003045E4"/>
    <w:rsid w:val="00307758"/>
    <w:rsid w:val="00311B81"/>
    <w:rsid w:val="0031227B"/>
    <w:rsid w:val="00322CC7"/>
    <w:rsid w:val="00323A6E"/>
    <w:rsid w:val="0032739E"/>
    <w:rsid w:val="003317B7"/>
    <w:rsid w:val="00332D4B"/>
    <w:rsid w:val="00334F9D"/>
    <w:rsid w:val="00337CB5"/>
    <w:rsid w:val="00342C78"/>
    <w:rsid w:val="00351324"/>
    <w:rsid w:val="0035446F"/>
    <w:rsid w:val="0035562C"/>
    <w:rsid w:val="00363A61"/>
    <w:rsid w:val="0036504F"/>
    <w:rsid w:val="0036670D"/>
    <w:rsid w:val="00374F43"/>
    <w:rsid w:val="00375CC0"/>
    <w:rsid w:val="00375FE4"/>
    <w:rsid w:val="00380B77"/>
    <w:rsid w:val="00381694"/>
    <w:rsid w:val="00381D74"/>
    <w:rsid w:val="0038264A"/>
    <w:rsid w:val="003844F8"/>
    <w:rsid w:val="00384A23"/>
    <w:rsid w:val="00385250"/>
    <w:rsid w:val="00385623"/>
    <w:rsid w:val="00385B3D"/>
    <w:rsid w:val="00394924"/>
    <w:rsid w:val="003962B0"/>
    <w:rsid w:val="003A0113"/>
    <w:rsid w:val="003A0FB5"/>
    <w:rsid w:val="003B6B36"/>
    <w:rsid w:val="003B7F17"/>
    <w:rsid w:val="003C34DF"/>
    <w:rsid w:val="003C6CE2"/>
    <w:rsid w:val="003D3F19"/>
    <w:rsid w:val="003D70E2"/>
    <w:rsid w:val="003E1887"/>
    <w:rsid w:val="003E5D47"/>
    <w:rsid w:val="003E62C7"/>
    <w:rsid w:val="003F35CB"/>
    <w:rsid w:val="003F3EE6"/>
    <w:rsid w:val="0040054B"/>
    <w:rsid w:val="004021A6"/>
    <w:rsid w:val="00405FC2"/>
    <w:rsid w:val="00410C32"/>
    <w:rsid w:val="00411302"/>
    <w:rsid w:val="0041449D"/>
    <w:rsid w:val="00414A05"/>
    <w:rsid w:val="00420F09"/>
    <w:rsid w:val="004218C6"/>
    <w:rsid w:val="00424F59"/>
    <w:rsid w:val="0042782F"/>
    <w:rsid w:val="004344BE"/>
    <w:rsid w:val="004369F4"/>
    <w:rsid w:val="00440F28"/>
    <w:rsid w:val="00446AFC"/>
    <w:rsid w:val="00450DBC"/>
    <w:rsid w:val="0045607A"/>
    <w:rsid w:val="0046034D"/>
    <w:rsid w:val="00461F3D"/>
    <w:rsid w:val="00465420"/>
    <w:rsid w:val="00465841"/>
    <w:rsid w:val="00473181"/>
    <w:rsid w:val="0047374A"/>
    <w:rsid w:val="0047619A"/>
    <w:rsid w:val="0048351B"/>
    <w:rsid w:val="00484C66"/>
    <w:rsid w:val="00487496"/>
    <w:rsid w:val="004902FB"/>
    <w:rsid w:val="004A66B4"/>
    <w:rsid w:val="004B0527"/>
    <w:rsid w:val="004B0D01"/>
    <w:rsid w:val="004B1F20"/>
    <w:rsid w:val="004C1DE7"/>
    <w:rsid w:val="004C26B9"/>
    <w:rsid w:val="004D3400"/>
    <w:rsid w:val="004D6FAE"/>
    <w:rsid w:val="00501798"/>
    <w:rsid w:val="0050336D"/>
    <w:rsid w:val="00503FAE"/>
    <w:rsid w:val="005105AC"/>
    <w:rsid w:val="00521EA6"/>
    <w:rsid w:val="005242C5"/>
    <w:rsid w:val="00526541"/>
    <w:rsid w:val="005270E6"/>
    <w:rsid w:val="0053356F"/>
    <w:rsid w:val="005425A6"/>
    <w:rsid w:val="00544531"/>
    <w:rsid w:val="005458E3"/>
    <w:rsid w:val="00566C4D"/>
    <w:rsid w:val="00570E3D"/>
    <w:rsid w:val="005767DA"/>
    <w:rsid w:val="0058474D"/>
    <w:rsid w:val="00585EE9"/>
    <w:rsid w:val="005878E8"/>
    <w:rsid w:val="00591AE2"/>
    <w:rsid w:val="00594198"/>
    <w:rsid w:val="00597B07"/>
    <w:rsid w:val="005A08C9"/>
    <w:rsid w:val="005A6549"/>
    <w:rsid w:val="005B7C97"/>
    <w:rsid w:val="005C5C9C"/>
    <w:rsid w:val="005D205A"/>
    <w:rsid w:val="005D316F"/>
    <w:rsid w:val="005D65B9"/>
    <w:rsid w:val="005D6A36"/>
    <w:rsid w:val="005E4573"/>
    <w:rsid w:val="005E53BC"/>
    <w:rsid w:val="005F2A78"/>
    <w:rsid w:val="005F5543"/>
    <w:rsid w:val="00601209"/>
    <w:rsid w:val="0060246F"/>
    <w:rsid w:val="00606089"/>
    <w:rsid w:val="00613923"/>
    <w:rsid w:val="00613B80"/>
    <w:rsid w:val="00620ABC"/>
    <w:rsid w:val="00622843"/>
    <w:rsid w:val="00622AEE"/>
    <w:rsid w:val="00624D16"/>
    <w:rsid w:val="0063023C"/>
    <w:rsid w:val="00630AD4"/>
    <w:rsid w:val="00643BF3"/>
    <w:rsid w:val="00645A53"/>
    <w:rsid w:val="006520AB"/>
    <w:rsid w:val="00654158"/>
    <w:rsid w:val="006629B3"/>
    <w:rsid w:val="00663DC7"/>
    <w:rsid w:val="00667E24"/>
    <w:rsid w:val="00680AA0"/>
    <w:rsid w:val="00685074"/>
    <w:rsid w:val="00693A54"/>
    <w:rsid w:val="006940A8"/>
    <w:rsid w:val="00694633"/>
    <w:rsid w:val="006A5313"/>
    <w:rsid w:val="006A7CFB"/>
    <w:rsid w:val="006B11D6"/>
    <w:rsid w:val="006B65A2"/>
    <w:rsid w:val="006B7DF4"/>
    <w:rsid w:val="006C41A2"/>
    <w:rsid w:val="006C4CB2"/>
    <w:rsid w:val="006C56C8"/>
    <w:rsid w:val="006D0D57"/>
    <w:rsid w:val="006D2787"/>
    <w:rsid w:val="006D72BA"/>
    <w:rsid w:val="006E0F53"/>
    <w:rsid w:val="006E4CA1"/>
    <w:rsid w:val="006E6514"/>
    <w:rsid w:val="006E718A"/>
    <w:rsid w:val="006F24E2"/>
    <w:rsid w:val="00702E17"/>
    <w:rsid w:val="00705CA5"/>
    <w:rsid w:val="00713165"/>
    <w:rsid w:val="0071604D"/>
    <w:rsid w:val="00717018"/>
    <w:rsid w:val="00717391"/>
    <w:rsid w:val="00723814"/>
    <w:rsid w:val="00730927"/>
    <w:rsid w:val="007326F3"/>
    <w:rsid w:val="00740136"/>
    <w:rsid w:val="00752701"/>
    <w:rsid w:val="0075523B"/>
    <w:rsid w:val="00761299"/>
    <w:rsid w:val="00764503"/>
    <w:rsid w:val="00770909"/>
    <w:rsid w:val="007811FE"/>
    <w:rsid w:val="00783571"/>
    <w:rsid w:val="007855DD"/>
    <w:rsid w:val="00785A79"/>
    <w:rsid w:val="007872A9"/>
    <w:rsid w:val="00787978"/>
    <w:rsid w:val="00787E5C"/>
    <w:rsid w:val="0079118D"/>
    <w:rsid w:val="007916B7"/>
    <w:rsid w:val="00792095"/>
    <w:rsid w:val="007922F9"/>
    <w:rsid w:val="00793043"/>
    <w:rsid w:val="00796396"/>
    <w:rsid w:val="007A1886"/>
    <w:rsid w:val="007A5CA5"/>
    <w:rsid w:val="007B0722"/>
    <w:rsid w:val="007B2B10"/>
    <w:rsid w:val="007B38C2"/>
    <w:rsid w:val="007B6169"/>
    <w:rsid w:val="007C216D"/>
    <w:rsid w:val="007C24AB"/>
    <w:rsid w:val="007C3937"/>
    <w:rsid w:val="007C6644"/>
    <w:rsid w:val="007C70F8"/>
    <w:rsid w:val="007D17F8"/>
    <w:rsid w:val="007D23AE"/>
    <w:rsid w:val="007D5770"/>
    <w:rsid w:val="007E163D"/>
    <w:rsid w:val="007E78AA"/>
    <w:rsid w:val="007F1550"/>
    <w:rsid w:val="007F5BFF"/>
    <w:rsid w:val="008134DE"/>
    <w:rsid w:val="00820DAF"/>
    <w:rsid w:val="008231E2"/>
    <w:rsid w:val="008315D7"/>
    <w:rsid w:val="00832D3F"/>
    <w:rsid w:val="00840805"/>
    <w:rsid w:val="0084140D"/>
    <w:rsid w:val="00846CB2"/>
    <w:rsid w:val="00853D94"/>
    <w:rsid w:val="0085433C"/>
    <w:rsid w:val="0085517E"/>
    <w:rsid w:val="0085741A"/>
    <w:rsid w:val="00862B71"/>
    <w:rsid w:val="00864789"/>
    <w:rsid w:val="00867951"/>
    <w:rsid w:val="00873B54"/>
    <w:rsid w:val="00881666"/>
    <w:rsid w:val="00884C1F"/>
    <w:rsid w:val="00886166"/>
    <w:rsid w:val="008936AE"/>
    <w:rsid w:val="00893C20"/>
    <w:rsid w:val="0089533E"/>
    <w:rsid w:val="008A0E02"/>
    <w:rsid w:val="008A35A3"/>
    <w:rsid w:val="008B5150"/>
    <w:rsid w:val="008B55B8"/>
    <w:rsid w:val="008B5D51"/>
    <w:rsid w:val="008B6079"/>
    <w:rsid w:val="008C42E8"/>
    <w:rsid w:val="008D2F11"/>
    <w:rsid w:val="008E6270"/>
    <w:rsid w:val="008E7385"/>
    <w:rsid w:val="008E7C43"/>
    <w:rsid w:val="008F1860"/>
    <w:rsid w:val="008F2DE5"/>
    <w:rsid w:val="008F6AD8"/>
    <w:rsid w:val="009001C8"/>
    <w:rsid w:val="00900C57"/>
    <w:rsid w:val="00911ABD"/>
    <w:rsid w:val="00916825"/>
    <w:rsid w:val="0091723D"/>
    <w:rsid w:val="00923DF9"/>
    <w:rsid w:val="00925D4D"/>
    <w:rsid w:val="00927804"/>
    <w:rsid w:val="00932498"/>
    <w:rsid w:val="0093286C"/>
    <w:rsid w:val="00934130"/>
    <w:rsid w:val="00934385"/>
    <w:rsid w:val="00935655"/>
    <w:rsid w:val="00946D79"/>
    <w:rsid w:val="009538EB"/>
    <w:rsid w:val="00954C5B"/>
    <w:rsid w:val="00954CC1"/>
    <w:rsid w:val="00956651"/>
    <w:rsid w:val="009649F5"/>
    <w:rsid w:val="00965143"/>
    <w:rsid w:val="009671ED"/>
    <w:rsid w:val="00971E13"/>
    <w:rsid w:val="00972AB1"/>
    <w:rsid w:val="00972E25"/>
    <w:rsid w:val="00983212"/>
    <w:rsid w:val="009840F8"/>
    <w:rsid w:val="009900A2"/>
    <w:rsid w:val="00991217"/>
    <w:rsid w:val="00994A9F"/>
    <w:rsid w:val="00996760"/>
    <w:rsid w:val="009A2E58"/>
    <w:rsid w:val="009B07E0"/>
    <w:rsid w:val="009B0E19"/>
    <w:rsid w:val="009B586D"/>
    <w:rsid w:val="009C00D6"/>
    <w:rsid w:val="009C3462"/>
    <w:rsid w:val="009C756F"/>
    <w:rsid w:val="009D187D"/>
    <w:rsid w:val="009D5489"/>
    <w:rsid w:val="009E1086"/>
    <w:rsid w:val="009E4910"/>
    <w:rsid w:val="009E6FFA"/>
    <w:rsid w:val="009F25DA"/>
    <w:rsid w:val="009F4E05"/>
    <w:rsid w:val="00A00C6D"/>
    <w:rsid w:val="00A018D9"/>
    <w:rsid w:val="00A07F33"/>
    <w:rsid w:val="00A12DDC"/>
    <w:rsid w:val="00A15029"/>
    <w:rsid w:val="00A30694"/>
    <w:rsid w:val="00A341DC"/>
    <w:rsid w:val="00A34FD4"/>
    <w:rsid w:val="00A350E6"/>
    <w:rsid w:val="00A355A1"/>
    <w:rsid w:val="00A4291B"/>
    <w:rsid w:val="00A57BBC"/>
    <w:rsid w:val="00A601F0"/>
    <w:rsid w:val="00A64982"/>
    <w:rsid w:val="00A81BFA"/>
    <w:rsid w:val="00A84BDE"/>
    <w:rsid w:val="00A85FBA"/>
    <w:rsid w:val="00A93A6E"/>
    <w:rsid w:val="00A94285"/>
    <w:rsid w:val="00A947DF"/>
    <w:rsid w:val="00AA17B4"/>
    <w:rsid w:val="00AA1A42"/>
    <w:rsid w:val="00AA71C4"/>
    <w:rsid w:val="00AB395C"/>
    <w:rsid w:val="00AB3E19"/>
    <w:rsid w:val="00AB6E89"/>
    <w:rsid w:val="00AC017F"/>
    <w:rsid w:val="00AC6E2E"/>
    <w:rsid w:val="00AE0369"/>
    <w:rsid w:val="00AE0A5E"/>
    <w:rsid w:val="00AE3093"/>
    <w:rsid w:val="00AE44B2"/>
    <w:rsid w:val="00AF1307"/>
    <w:rsid w:val="00AF20D0"/>
    <w:rsid w:val="00AF2E6D"/>
    <w:rsid w:val="00AF45B3"/>
    <w:rsid w:val="00AF4C7B"/>
    <w:rsid w:val="00B00767"/>
    <w:rsid w:val="00B01B42"/>
    <w:rsid w:val="00B03490"/>
    <w:rsid w:val="00B15D99"/>
    <w:rsid w:val="00B20AE2"/>
    <w:rsid w:val="00B211FB"/>
    <w:rsid w:val="00B27A6A"/>
    <w:rsid w:val="00B310CC"/>
    <w:rsid w:val="00B31F1B"/>
    <w:rsid w:val="00B322EB"/>
    <w:rsid w:val="00B33F01"/>
    <w:rsid w:val="00B41D4F"/>
    <w:rsid w:val="00B4626A"/>
    <w:rsid w:val="00B468F5"/>
    <w:rsid w:val="00B51127"/>
    <w:rsid w:val="00B544EB"/>
    <w:rsid w:val="00B54585"/>
    <w:rsid w:val="00B55168"/>
    <w:rsid w:val="00B561E6"/>
    <w:rsid w:val="00B63396"/>
    <w:rsid w:val="00B63600"/>
    <w:rsid w:val="00B66E85"/>
    <w:rsid w:val="00B70955"/>
    <w:rsid w:val="00B72BBC"/>
    <w:rsid w:val="00B73B77"/>
    <w:rsid w:val="00B7604B"/>
    <w:rsid w:val="00B76F87"/>
    <w:rsid w:val="00B81674"/>
    <w:rsid w:val="00B85F52"/>
    <w:rsid w:val="00B940BC"/>
    <w:rsid w:val="00B96F32"/>
    <w:rsid w:val="00BA66CC"/>
    <w:rsid w:val="00BA7FA9"/>
    <w:rsid w:val="00BC1226"/>
    <w:rsid w:val="00BC3AF0"/>
    <w:rsid w:val="00BC46E1"/>
    <w:rsid w:val="00BF366D"/>
    <w:rsid w:val="00BF4739"/>
    <w:rsid w:val="00C0529B"/>
    <w:rsid w:val="00C05EEA"/>
    <w:rsid w:val="00C0667C"/>
    <w:rsid w:val="00C1367B"/>
    <w:rsid w:val="00C223DA"/>
    <w:rsid w:val="00C30873"/>
    <w:rsid w:val="00C34485"/>
    <w:rsid w:val="00C37A21"/>
    <w:rsid w:val="00C37AC1"/>
    <w:rsid w:val="00C43AB2"/>
    <w:rsid w:val="00C50E91"/>
    <w:rsid w:val="00C6023D"/>
    <w:rsid w:val="00C626DB"/>
    <w:rsid w:val="00C63A86"/>
    <w:rsid w:val="00C71B1D"/>
    <w:rsid w:val="00C72977"/>
    <w:rsid w:val="00C76AB6"/>
    <w:rsid w:val="00C85CDA"/>
    <w:rsid w:val="00C879E7"/>
    <w:rsid w:val="00C90F41"/>
    <w:rsid w:val="00C92ADD"/>
    <w:rsid w:val="00C96BD0"/>
    <w:rsid w:val="00C97246"/>
    <w:rsid w:val="00CA3468"/>
    <w:rsid w:val="00CA47C1"/>
    <w:rsid w:val="00CA64E6"/>
    <w:rsid w:val="00CB19BE"/>
    <w:rsid w:val="00CB3F24"/>
    <w:rsid w:val="00CB3F97"/>
    <w:rsid w:val="00CC2C92"/>
    <w:rsid w:val="00CE1163"/>
    <w:rsid w:val="00CE3571"/>
    <w:rsid w:val="00CF1AB1"/>
    <w:rsid w:val="00D021FB"/>
    <w:rsid w:val="00D067DD"/>
    <w:rsid w:val="00D1021B"/>
    <w:rsid w:val="00D26AC0"/>
    <w:rsid w:val="00D34927"/>
    <w:rsid w:val="00D35BE1"/>
    <w:rsid w:val="00D35CCA"/>
    <w:rsid w:val="00D372C4"/>
    <w:rsid w:val="00D41AF6"/>
    <w:rsid w:val="00D44E17"/>
    <w:rsid w:val="00D50F76"/>
    <w:rsid w:val="00D52B5F"/>
    <w:rsid w:val="00D5381E"/>
    <w:rsid w:val="00D571BD"/>
    <w:rsid w:val="00D7217F"/>
    <w:rsid w:val="00D77BBE"/>
    <w:rsid w:val="00D815C4"/>
    <w:rsid w:val="00D87DA2"/>
    <w:rsid w:val="00D921B7"/>
    <w:rsid w:val="00D950D2"/>
    <w:rsid w:val="00D96084"/>
    <w:rsid w:val="00D962C2"/>
    <w:rsid w:val="00D97188"/>
    <w:rsid w:val="00D976FC"/>
    <w:rsid w:val="00DA4B6A"/>
    <w:rsid w:val="00DB2A2F"/>
    <w:rsid w:val="00DC293C"/>
    <w:rsid w:val="00DC2EA0"/>
    <w:rsid w:val="00DC61EA"/>
    <w:rsid w:val="00DD7B12"/>
    <w:rsid w:val="00DE233D"/>
    <w:rsid w:val="00DE3CDB"/>
    <w:rsid w:val="00DF0E65"/>
    <w:rsid w:val="00DF126A"/>
    <w:rsid w:val="00DF7785"/>
    <w:rsid w:val="00E05A73"/>
    <w:rsid w:val="00E067BD"/>
    <w:rsid w:val="00E07E37"/>
    <w:rsid w:val="00E17D65"/>
    <w:rsid w:val="00E2583E"/>
    <w:rsid w:val="00E34FAC"/>
    <w:rsid w:val="00E37C5D"/>
    <w:rsid w:val="00E42395"/>
    <w:rsid w:val="00E54694"/>
    <w:rsid w:val="00E54E28"/>
    <w:rsid w:val="00E55074"/>
    <w:rsid w:val="00E56FA1"/>
    <w:rsid w:val="00E71049"/>
    <w:rsid w:val="00E754EB"/>
    <w:rsid w:val="00E76685"/>
    <w:rsid w:val="00E77F00"/>
    <w:rsid w:val="00E822E0"/>
    <w:rsid w:val="00E9032F"/>
    <w:rsid w:val="00EA63B5"/>
    <w:rsid w:val="00EA684F"/>
    <w:rsid w:val="00EA7773"/>
    <w:rsid w:val="00EB0E10"/>
    <w:rsid w:val="00EB14D6"/>
    <w:rsid w:val="00EB46BA"/>
    <w:rsid w:val="00EB6864"/>
    <w:rsid w:val="00EC610A"/>
    <w:rsid w:val="00ED00F7"/>
    <w:rsid w:val="00ED3A3F"/>
    <w:rsid w:val="00ED5C56"/>
    <w:rsid w:val="00ED74BD"/>
    <w:rsid w:val="00EE0A92"/>
    <w:rsid w:val="00EE30CC"/>
    <w:rsid w:val="00EE3327"/>
    <w:rsid w:val="00EF0E1A"/>
    <w:rsid w:val="00EF26FE"/>
    <w:rsid w:val="00EF297A"/>
    <w:rsid w:val="00EF357F"/>
    <w:rsid w:val="00EF6CAC"/>
    <w:rsid w:val="00F005E2"/>
    <w:rsid w:val="00F02D26"/>
    <w:rsid w:val="00F03107"/>
    <w:rsid w:val="00F049D3"/>
    <w:rsid w:val="00F061E1"/>
    <w:rsid w:val="00F14211"/>
    <w:rsid w:val="00F14EDE"/>
    <w:rsid w:val="00F25CC6"/>
    <w:rsid w:val="00F34468"/>
    <w:rsid w:val="00F35C49"/>
    <w:rsid w:val="00F47F06"/>
    <w:rsid w:val="00F505F5"/>
    <w:rsid w:val="00F5480D"/>
    <w:rsid w:val="00F553F0"/>
    <w:rsid w:val="00F5692C"/>
    <w:rsid w:val="00F70D71"/>
    <w:rsid w:val="00F7535E"/>
    <w:rsid w:val="00F774C4"/>
    <w:rsid w:val="00F808B8"/>
    <w:rsid w:val="00F84226"/>
    <w:rsid w:val="00F84ED3"/>
    <w:rsid w:val="00FA0B62"/>
    <w:rsid w:val="00FA1981"/>
    <w:rsid w:val="00FA77AA"/>
    <w:rsid w:val="00FB3E87"/>
    <w:rsid w:val="00FC3C56"/>
    <w:rsid w:val="00FC68CF"/>
    <w:rsid w:val="00FC7368"/>
    <w:rsid w:val="00FC7AE1"/>
    <w:rsid w:val="00FD0140"/>
    <w:rsid w:val="00FE5251"/>
    <w:rsid w:val="00FE6814"/>
    <w:rsid w:val="00FF6EA4"/>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aliases w:val="fr"/>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ID"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C4D"/>
    <w:pPr>
      <w:spacing w:after="200" w:line="276" w:lineRule="auto"/>
    </w:pPr>
    <w:rPr>
      <w:sz w:val="22"/>
      <w:szCs w:val="28"/>
      <w:lang w:val="en-US" w:bidi="bn-IN"/>
    </w:rPr>
  </w:style>
  <w:style w:type="paragraph" w:styleId="Heading1">
    <w:name w:val="heading 1"/>
    <w:next w:val="Normal"/>
    <w:link w:val="Heading1Char"/>
    <w:qFormat/>
    <w:rsid w:val="00ED3A3F"/>
    <w:pPr>
      <w:keepNext/>
      <w:keepLines/>
      <w:pBdr>
        <w:top w:val="nil"/>
        <w:left w:val="nil"/>
        <w:bottom w:val="nil"/>
        <w:right w:val="nil"/>
        <w:between w:val="nil"/>
        <w:bar w:val="nil"/>
      </w:pBdr>
      <w:spacing w:before="240" w:after="120" w:line="360" w:lineRule="auto"/>
      <w:outlineLvl w:val="0"/>
    </w:pPr>
    <w:rPr>
      <w:rFonts w:ascii="Times New Roman Bold" w:eastAsia="Times New Roman Bold" w:hAnsi="Times New Roman Bold" w:cs="Times New Roman Bold"/>
      <w:color w:val="000000"/>
      <w:sz w:val="28"/>
      <w:szCs w:val="28"/>
      <w:u w:color="000000"/>
      <w:bdr w:val="nil"/>
      <w:lang w:val="en-US" w:eastAsia="fi-FI"/>
    </w:rPr>
  </w:style>
  <w:style w:type="paragraph" w:styleId="Heading2">
    <w:name w:val="heading 2"/>
    <w:next w:val="Normal"/>
    <w:link w:val="Heading2Char"/>
    <w:qFormat/>
    <w:rsid w:val="00ED3A3F"/>
    <w:pPr>
      <w:keepNext/>
      <w:keepLines/>
      <w:pBdr>
        <w:top w:val="nil"/>
        <w:left w:val="nil"/>
        <w:bottom w:val="nil"/>
        <w:right w:val="nil"/>
        <w:between w:val="nil"/>
        <w:bar w:val="nil"/>
      </w:pBdr>
      <w:spacing w:before="40" w:after="120" w:line="360" w:lineRule="auto"/>
      <w:outlineLvl w:val="1"/>
    </w:pPr>
    <w:rPr>
      <w:rFonts w:ascii="Times New Roman Bold" w:eastAsia="Times New Roman Bold" w:hAnsi="Times New Roman Bold" w:cs="Times New Roman Bold"/>
      <w:color w:val="000000"/>
      <w:sz w:val="24"/>
      <w:szCs w:val="24"/>
      <w:u w:color="000000"/>
      <w:bdr w:val="nil"/>
      <w:lang w:val="en-US" w:eastAsia="fi-FI"/>
    </w:rPr>
  </w:style>
  <w:style w:type="paragraph" w:styleId="Heading3">
    <w:name w:val="heading 3"/>
    <w:next w:val="Normal"/>
    <w:link w:val="Heading3Char"/>
    <w:qFormat/>
    <w:rsid w:val="00ED3A3F"/>
    <w:pPr>
      <w:keepNext/>
      <w:keepLines/>
      <w:pBdr>
        <w:top w:val="nil"/>
        <w:left w:val="nil"/>
        <w:bottom w:val="nil"/>
        <w:right w:val="nil"/>
        <w:between w:val="nil"/>
        <w:bar w:val="nil"/>
      </w:pBdr>
      <w:spacing w:before="40" w:after="120" w:line="360" w:lineRule="auto"/>
      <w:outlineLvl w:val="2"/>
    </w:pPr>
    <w:rPr>
      <w:rFonts w:ascii="Times New Roman" w:eastAsia="Times New Roman" w:hAnsi="Times New Roman"/>
      <w:color w:val="000000"/>
      <w:sz w:val="24"/>
      <w:szCs w:val="24"/>
      <w:u w:color="000000"/>
      <w:bdr w:val="nil"/>
      <w:lang w:val="en-US" w:eastAsia="fi-FI"/>
    </w:rPr>
  </w:style>
  <w:style w:type="paragraph" w:styleId="Heading4">
    <w:name w:val="heading 4"/>
    <w:basedOn w:val="Normal"/>
    <w:next w:val="Normal"/>
    <w:link w:val="Heading4Char"/>
    <w:uiPriority w:val="9"/>
    <w:unhideWhenUsed/>
    <w:qFormat/>
    <w:rsid w:val="00ED3A3F"/>
    <w:pPr>
      <w:keepNext/>
      <w:keepLines/>
      <w:pBdr>
        <w:top w:val="nil"/>
        <w:left w:val="nil"/>
        <w:bottom w:val="nil"/>
        <w:right w:val="nil"/>
        <w:between w:val="nil"/>
        <w:bar w:val="nil"/>
      </w:pBdr>
      <w:spacing w:before="200" w:after="0" w:line="360" w:lineRule="auto"/>
      <w:outlineLvl w:val="3"/>
    </w:pPr>
    <w:rPr>
      <w:rFonts w:ascii="Times New Roman" w:eastAsia="Times New Roman" w:hAnsi="Times New Roman"/>
      <w:bCs/>
      <w:iCs/>
      <w:sz w:val="24"/>
      <w:szCs w:val="24"/>
      <w:u w:color="000000"/>
      <w:bdr w:val="nil"/>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har,Footnote Text Char1 Char,Footnote Text Char Char1 Char,Footnote Text Char1 Char Char Char,Footnote Text Char Char1 Char Char Char,Footnote Text Char Char2 Char,Footnote Text Char1 Char1,Char Char Char Char,Char Char Char Char Char"/>
    <w:basedOn w:val="Normal"/>
    <w:link w:val="FootnoteTextChar"/>
    <w:uiPriority w:val="99"/>
    <w:qFormat/>
    <w:rsid w:val="00934130"/>
    <w:pPr>
      <w:spacing w:after="0" w:line="240" w:lineRule="auto"/>
    </w:pPr>
    <w:rPr>
      <w:rFonts w:ascii="Times New Roman" w:eastAsia="SimSun" w:hAnsi="Times New Roman"/>
      <w:sz w:val="20"/>
      <w:szCs w:val="20"/>
      <w:lang w:eastAsia="zh-CN" w:bidi="ar-SA"/>
    </w:rPr>
  </w:style>
  <w:style w:type="character" w:customStyle="1" w:styleId="FootnoteTextChar">
    <w:name w:val="Footnote Text Char"/>
    <w:aliases w:val="Char Char,Footnote Text Char1 Char Char,Footnote Text Char Char1 Char Char,Footnote Text Char1 Char Char Char Char,Footnote Text Char Char1 Char Char Char Char,Footnote Text Char Char2 Char Char,Footnote Text Char1 Char1 Char"/>
    <w:link w:val="FootnoteText"/>
    <w:uiPriority w:val="99"/>
    <w:qFormat/>
    <w:rsid w:val="00934130"/>
    <w:rPr>
      <w:rFonts w:ascii="Times New Roman" w:eastAsia="SimSun" w:hAnsi="Times New Roman" w:cs="Times New Roman"/>
      <w:sz w:val="20"/>
      <w:szCs w:val="20"/>
      <w:lang w:eastAsia="zh-CN" w:bidi="ar-SA"/>
    </w:rPr>
  </w:style>
  <w:style w:type="character" w:styleId="FootnoteReference">
    <w:name w:val="footnote reference"/>
    <w:aliases w:val="fr"/>
    <w:uiPriority w:val="99"/>
    <w:qFormat/>
    <w:rsid w:val="00934130"/>
    <w:rPr>
      <w:vertAlign w:val="superscript"/>
    </w:rPr>
  </w:style>
  <w:style w:type="paragraph" w:styleId="ListParagraph">
    <w:name w:val="List Paragraph"/>
    <w:basedOn w:val="Normal"/>
    <w:uiPriority w:val="99"/>
    <w:qFormat/>
    <w:rsid w:val="00C37A21"/>
    <w:pPr>
      <w:ind w:left="720"/>
      <w:contextualSpacing/>
    </w:pPr>
  </w:style>
  <w:style w:type="paragraph" w:styleId="BalloonText">
    <w:name w:val="Balloon Text"/>
    <w:basedOn w:val="Normal"/>
    <w:link w:val="BalloonTextChar"/>
    <w:uiPriority w:val="99"/>
    <w:semiHidden/>
    <w:unhideWhenUsed/>
    <w:rsid w:val="00643BF3"/>
    <w:pPr>
      <w:spacing w:after="0" w:line="240" w:lineRule="auto"/>
    </w:pPr>
    <w:rPr>
      <w:rFonts w:ascii="Tahoma" w:hAnsi="Tahoma" w:cs="Tahoma"/>
      <w:sz w:val="16"/>
      <w:szCs w:val="20"/>
    </w:rPr>
  </w:style>
  <w:style w:type="character" w:customStyle="1" w:styleId="BalloonTextChar">
    <w:name w:val="Balloon Text Char"/>
    <w:link w:val="BalloonText"/>
    <w:uiPriority w:val="99"/>
    <w:semiHidden/>
    <w:rsid w:val="00643BF3"/>
    <w:rPr>
      <w:rFonts w:ascii="Tahoma" w:hAnsi="Tahoma" w:cs="Tahoma"/>
      <w:sz w:val="16"/>
      <w:szCs w:val="20"/>
    </w:rPr>
  </w:style>
  <w:style w:type="paragraph" w:styleId="Bibliography">
    <w:name w:val="Bibliography"/>
    <w:basedOn w:val="Normal"/>
    <w:next w:val="Normal"/>
    <w:uiPriority w:val="37"/>
    <w:unhideWhenUsed/>
    <w:rsid w:val="00D44E17"/>
  </w:style>
  <w:style w:type="paragraph" w:styleId="NoSpacing">
    <w:name w:val="No Spacing"/>
    <w:uiPriority w:val="1"/>
    <w:qFormat/>
    <w:rsid w:val="001A55CA"/>
    <w:pPr>
      <w:jc w:val="both"/>
    </w:pPr>
    <w:rPr>
      <w:sz w:val="22"/>
      <w:szCs w:val="22"/>
      <w:lang w:val="en-US"/>
    </w:rPr>
  </w:style>
  <w:style w:type="paragraph" w:styleId="Header">
    <w:name w:val="header"/>
    <w:basedOn w:val="Normal"/>
    <w:link w:val="HeaderChar"/>
    <w:uiPriority w:val="99"/>
    <w:unhideWhenUsed/>
    <w:rsid w:val="00A00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0C6D"/>
  </w:style>
  <w:style w:type="paragraph" w:styleId="Footer">
    <w:name w:val="footer"/>
    <w:basedOn w:val="Normal"/>
    <w:link w:val="FooterChar"/>
    <w:uiPriority w:val="99"/>
    <w:unhideWhenUsed/>
    <w:rsid w:val="00A00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0C6D"/>
  </w:style>
  <w:style w:type="paragraph" w:styleId="EndnoteText">
    <w:name w:val="endnote text"/>
    <w:basedOn w:val="Normal"/>
    <w:link w:val="EndnoteTextChar"/>
    <w:uiPriority w:val="99"/>
    <w:semiHidden/>
    <w:unhideWhenUsed/>
    <w:rsid w:val="007811FE"/>
    <w:pPr>
      <w:spacing w:after="0" w:line="240" w:lineRule="auto"/>
    </w:pPr>
    <w:rPr>
      <w:sz w:val="20"/>
      <w:szCs w:val="25"/>
    </w:rPr>
  </w:style>
  <w:style w:type="character" w:customStyle="1" w:styleId="EndnoteTextChar">
    <w:name w:val="Endnote Text Char"/>
    <w:link w:val="EndnoteText"/>
    <w:uiPriority w:val="99"/>
    <w:semiHidden/>
    <w:rsid w:val="007811FE"/>
    <w:rPr>
      <w:sz w:val="20"/>
      <w:szCs w:val="25"/>
    </w:rPr>
  </w:style>
  <w:style w:type="character" w:styleId="EndnoteReference">
    <w:name w:val="endnote reference"/>
    <w:uiPriority w:val="99"/>
    <w:semiHidden/>
    <w:unhideWhenUsed/>
    <w:rsid w:val="007811FE"/>
    <w:rPr>
      <w:vertAlign w:val="superscript"/>
    </w:rPr>
  </w:style>
  <w:style w:type="character" w:styleId="Hyperlink">
    <w:name w:val="Hyperlink"/>
    <w:uiPriority w:val="99"/>
    <w:unhideWhenUsed/>
    <w:rsid w:val="00A07F33"/>
    <w:rPr>
      <w:color w:val="0000FF"/>
      <w:u w:val="single"/>
    </w:rPr>
  </w:style>
  <w:style w:type="paragraph" w:customStyle="1" w:styleId="Default">
    <w:name w:val="Default"/>
    <w:rsid w:val="00A07F33"/>
    <w:pPr>
      <w:autoSpaceDE w:val="0"/>
      <w:autoSpaceDN w:val="0"/>
      <w:adjustRightInd w:val="0"/>
    </w:pPr>
    <w:rPr>
      <w:rFonts w:ascii="Times New Roman" w:hAnsi="Times New Roman"/>
      <w:color w:val="000000"/>
      <w:sz w:val="24"/>
      <w:szCs w:val="24"/>
      <w:lang w:val="en-US" w:bidi="bn-IN"/>
    </w:rPr>
  </w:style>
  <w:style w:type="paragraph" w:customStyle="1" w:styleId="Style1">
    <w:name w:val="Style1"/>
    <w:basedOn w:val="NoSpacing"/>
    <w:link w:val="Style1Char"/>
    <w:qFormat/>
    <w:rsid w:val="00C76AB6"/>
    <w:pPr>
      <w:jc w:val="left"/>
    </w:pPr>
    <w:rPr>
      <w:rFonts w:cs="Vrinda"/>
    </w:rPr>
  </w:style>
  <w:style w:type="character" w:customStyle="1" w:styleId="Style1Char">
    <w:name w:val="Style1 Char"/>
    <w:link w:val="Style1"/>
    <w:rsid w:val="00C76AB6"/>
    <w:rPr>
      <w:rFonts w:ascii="Calibri" w:eastAsia="Calibri" w:hAnsi="Calibri" w:cs="Vrinda"/>
      <w:szCs w:val="22"/>
      <w:lang w:bidi="ar-SA"/>
    </w:rPr>
  </w:style>
  <w:style w:type="paragraph" w:styleId="BodyText2">
    <w:name w:val="Body Text 2"/>
    <w:basedOn w:val="Normal"/>
    <w:link w:val="BodyText2Char"/>
    <w:semiHidden/>
    <w:rsid w:val="00FC7AE1"/>
    <w:pPr>
      <w:tabs>
        <w:tab w:val="left" w:pos="748"/>
      </w:tabs>
      <w:spacing w:after="0" w:line="360" w:lineRule="auto"/>
    </w:pPr>
    <w:rPr>
      <w:rFonts w:ascii="Times New Roman" w:eastAsia="Times New Roman" w:hAnsi="Times New Roman"/>
      <w:sz w:val="26"/>
      <w:szCs w:val="20"/>
      <w:lang w:bidi="ar-SA"/>
    </w:rPr>
  </w:style>
  <w:style w:type="character" w:customStyle="1" w:styleId="BodyText2Char">
    <w:name w:val="Body Text 2 Char"/>
    <w:link w:val="BodyText2"/>
    <w:semiHidden/>
    <w:rsid w:val="00FC7AE1"/>
    <w:rPr>
      <w:rFonts w:ascii="Times New Roman" w:eastAsia="Times New Roman" w:hAnsi="Times New Roman" w:cs="Times New Roman"/>
      <w:sz w:val="26"/>
      <w:szCs w:val="20"/>
      <w:lang w:bidi="ar-SA"/>
    </w:rPr>
  </w:style>
  <w:style w:type="character" w:styleId="CommentReference">
    <w:name w:val="annotation reference"/>
    <w:uiPriority w:val="99"/>
    <w:semiHidden/>
    <w:unhideWhenUsed/>
    <w:rsid w:val="000F3B4F"/>
    <w:rPr>
      <w:sz w:val="16"/>
      <w:szCs w:val="16"/>
    </w:rPr>
  </w:style>
  <w:style w:type="paragraph" w:styleId="CommentText">
    <w:name w:val="annotation text"/>
    <w:basedOn w:val="Normal"/>
    <w:link w:val="CommentTextChar"/>
    <w:uiPriority w:val="99"/>
    <w:unhideWhenUsed/>
    <w:rsid w:val="000F3B4F"/>
    <w:pPr>
      <w:spacing w:line="240" w:lineRule="auto"/>
    </w:pPr>
    <w:rPr>
      <w:sz w:val="20"/>
      <w:szCs w:val="25"/>
    </w:rPr>
  </w:style>
  <w:style w:type="character" w:customStyle="1" w:styleId="CommentTextChar">
    <w:name w:val="Comment Text Char"/>
    <w:link w:val="CommentText"/>
    <w:uiPriority w:val="99"/>
    <w:rsid w:val="000F3B4F"/>
    <w:rPr>
      <w:sz w:val="20"/>
      <w:szCs w:val="25"/>
    </w:rPr>
  </w:style>
  <w:style w:type="paragraph" w:styleId="CommentSubject">
    <w:name w:val="annotation subject"/>
    <w:basedOn w:val="CommentText"/>
    <w:next w:val="CommentText"/>
    <w:link w:val="CommentSubjectChar"/>
    <w:uiPriority w:val="99"/>
    <w:semiHidden/>
    <w:unhideWhenUsed/>
    <w:rsid w:val="000F3B4F"/>
    <w:rPr>
      <w:b/>
      <w:bCs/>
    </w:rPr>
  </w:style>
  <w:style w:type="character" w:customStyle="1" w:styleId="CommentSubjectChar">
    <w:name w:val="Comment Subject Char"/>
    <w:link w:val="CommentSubject"/>
    <w:uiPriority w:val="99"/>
    <w:semiHidden/>
    <w:rsid w:val="000F3B4F"/>
    <w:rPr>
      <w:b/>
      <w:bCs/>
      <w:sz w:val="20"/>
      <w:szCs w:val="25"/>
    </w:rPr>
  </w:style>
  <w:style w:type="character" w:customStyle="1" w:styleId="apple-converted-space">
    <w:name w:val="apple-converted-space"/>
    <w:basedOn w:val="DefaultParagraphFont"/>
    <w:rsid w:val="00323A6E"/>
  </w:style>
  <w:style w:type="character" w:customStyle="1" w:styleId="Mention">
    <w:name w:val="Mention"/>
    <w:uiPriority w:val="99"/>
    <w:semiHidden/>
    <w:unhideWhenUsed/>
    <w:rsid w:val="0035562C"/>
    <w:rPr>
      <w:color w:val="2B579A"/>
      <w:shd w:val="clear" w:color="auto" w:fill="E6E6E6"/>
    </w:rPr>
  </w:style>
  <w:style w:type="character" w:customStyle="1" w:styleId="UnresolvedMention">
    <w:name w:val="Unresolved Mention"/>
    <w:uiPriority w:val="99"/>
    <w:semiHidden/>
    <w:unhideWhenUsed/>
    <w:rsid w:val="00AC017F"/>
    <w:rPr>
      <w:color w:val="808080"/>
      <w:shd w:val="clear" w:color="auto" w:fill="E6E6E6"/>
    </w:rPr>
  </w:style>
  <w:style w:type="character" w:customStyle="1" w:styleId="Heading1Char">
    <w:name w:val="Heading 1 Char"/>
    <w:link w:val="Heading1"/>
    <w:rsid w:val="00ED3A3F"/>
    <w:rPr>
      <w:rFonts w:ascii="Times New Roman Bold" w:eastAsia="Times New Roman Bold" w:hAnsi="Times New Roman Bold" w:cs="Times New Roman Bold"/>
      <w:color w:val="000000"/>
      <w:sz w:val="28"/>
      <w:u w:color="000000"/>
      <w:bdr w:val="nil"/>
      <w:lang w:eastAsia="fi-FI" w:bidi="ar-SA"/>
    </w:rPr>
  </w:style>
  <w:style w:type="character" w:customStyle="1" w:styleId="Heading2Char">
    <w:name w:val="Heading 2 Char"/>
    <w:link w:val="Heading2"/>
    <w:rsid w:val="00ED3A3F"/>
    <w:rPr>
      <w:rFonts w:ascii="Times New Roman Bold" w:eastAsia="Times New Roman Bold" w:hAnsi="Times New Roman Bold" w:cs="Times New Roman Bold"/>
      <w:color w:val="000000"/>
      <w:sz w:val="24"/>
      <w:szCs w:val="24"/>
      <w:u w:color="000000"/>
      <w:bdr w:val="nil"/>
      <w:lang w:eastAsia="fi-FI" w:bidi="ar-SA"/>
    </w:rPr>
  </w:style>
  <w:style w:type="character" w:customStyle="1" w:styleId="Heading3Char">
    <w:name w:val="Heading 3 Char"/>
    <w:link w:val="Heading3"/>
    <w:rsid w:val="00ED3A3F"/>
    <w:rPr>
      <w:rFonts w:ascii="Times New Roman" w:eastAsia="Times New Roman" w:hAnsi="Times New Roman" w:cs="Times New Roman"/>
      <w:color w:val="000000"/>
      <w:sz w:val="24"/>
      <w:szCs w:val="24"/>
      <w:u w:color="000000"/>
      <w:bdr w:val="nil"/>
      <w:lang w:eastAsia="fi-FI" w:bidi="ar-SA"/>
    </w:rPr>
  </w:style>
  <w:style w:type="character" w:customStyle="1" w:styleId="Heading4Char">
    <w:name w:val="Heading 4 Char"/>
    <w:link w:val="Heading4"/>
    <w:uiPriority w:val="9"/>
    <w:rsid w:val="00ED3A3F"/>
    <w:rPr>
      <w:rFonts w:ascii="Times New Roman" w:eastAsia="Times New Roman" w:hAnsi="Times New Roman" w:cs="Times New Roman"/>
      <w:bCs/>
      <w:iCs/>
      <w:sz w:val="24"/>
      <w:szCs w:val="24"/>
      <w:u w:color="000000"/>
      <w:bdr w:val="nil"/>
      <w:lang w:bidi="ar-SA"/>
    </w:rPr>
  </w:style>
  <w:style w:type="table" w:customStyle="1" w:styleId="TableNormal1">
    <w:name w:val="Table Normal1"/>
    <w:rsid w:val="00ED3A3F"/>
    <w:pPr>
      <w:pBdr>
        <w:top w:val="nil"/>
        <w:left w:val="nil"/>
        <w:bottom w:val="nil"/>
        <w:right w:val="nil"/>
        <w:between w:val="nil"/>
        <w:bar w:val="nil"/>
      </w:pBdr>
    </w:pPr>
    <w:rPr>
      <w:rFonts w:ascii="Times New Roman" w:eastAsia="Arial Unicode MS" w:hAnsi="Times New Roman"/>
      <w:sz w:val="24"/>
      <w:szCs w:val="24"/>
      <w:bdr w:val="nil"/>
      <w:lang w:val="fi-FI" w:eastAsia="fi-FI"/>
    </w:rPr>
    <w:tblPr>
      <w:tblInd w:w="0" w:type="dxa"/>
      <w:tblCellMar>
        <w:top w:w="0" w:type="dxa"/>
        <w:left w:w="0" w:type="dxa"/>
        <w:bottom w:w="0" w:type="dxa"/>
        <w:right w:w="0" w:type="dxa"/>
      </w:tblCellMar>
    </w:tblPr>
  </w:style>
  <w:style w:type="paragraph" w:customStyle="1" w:styleId="Yl-jaalaotsake">
    <w:name w:val="Ylä- ja alaotsake"/>
    <w:rsid w:val="00ED3A3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val="fi-FI" w:eastAsia="fi-FI"/>
    </w:rPr>
  </w:style>
  <w:style w:type="paragraph" w:styleId="TOCHeading">
    <w:name w:val="TOC Heading"/>
    <w:next w:val="Normal"/>
    <w:uiPriority w:val="39"/>
    <w:qFormat/>
    <w:rsid w:val="00ED3A3F"/>
    <w:pPr>
      <w:keepNext/>
      <w:keepLines/>
      <w:pBdr>
        <w:top w:val="nil"/>
        <w:left w:val="nil"/>
        <w:bottom w:val="nil"/>
        <w:right w:val="nil"/>
        <w:between w:val="nil"/>
        <w:bar w:val="nil"/>
      </w:pBdr>
      <w:spacing w:before="240" w:after="120" w:line="259" w:lineRule="auto"/>
    </w:pPr>
    <w:rPr>
      <w:rFonts w:ascii="Calibri Light" w:eastAsia="Calibri Light" w:hAnsi="Calibri Light" w:cs="Calibri Light"/>
      <w:color w:val="2E74B5"/>
      <w:sz w:val="32"/>
      <w:szCs w:val="32"/>
      <w:u w:color="2E74B5"/>
      <w:bdr w:val="nil"/>
      <w:lang w:val="en-US" w:eastAsia="fi-FI"/>
    </w:rPr>
  </w:style>
  <w:style w:type="paragraph" w:customStyle="1" w:styleId="TOC11">
    <w:name w:val="TOC 1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en-US" w:eastAsia="fi-FI"/>
    </w:rPr>
  </w:style>
  <w:style w:type="paragraph" w:customStyle="1" w:styleId="TOC21">
    <w:name w:val="TOC 21"/>
    <w:rsid w:val="00ED3A3F"/>
    <w:pPr>
      <w:pBdr>
        <w:top w:val="nil"/>
        <w:left w:val="nil"/>
        <w:bottom w:val="nil"/>
        <w:right w:val="nil"/>
        <w:between w:val="nil"/>
        <w:bar w:val="nil"/>
      </w:pBdr>
      <w:tabs>
        <w:tab w:val="right" w:pos="9044"/>
      </w:tabs>
      <w:spacing w:after="100" w:line="360" w:lineRule="auto"/>
    </w:pPr>
    <w:rPr>
      <w:rFonts w:ascii="Times New Roman Bold" w:eastAsia="Times New Roman Bold" w:hAnsi="Times New Roman Bold" w:cs="Times New Roman Bold"/>
      <w:color w:val="000000"/>
      <w:sz w:val="28"/>
      <w:szCs w:val="28"/>
      <w:u w:color="000000"/>
      <w:bdr w:val="nil"/>
      <w:lang w:val="fi-FI" w:eastAsia="fi-FI"/>
    </w:rPr>
  </w:style>
  <w:style w:type="paragraph" w:customStyle="1" w:styleId="TOC31">
    <w:name w:val="TOC 31"/>
    <w:rsid w:val="00ED3A3F"/>
    <w:pPr>
      <w:pBdr>
        <w:top w:val="nil"/>
        <w:left w:val="nil"/>
        <w:bottom w:val="nil"/>
        <w:right w:val="nil"/>
        <w:between w:val="nil"/>
        <w:bar w:val="nil"/>
      </w:pBdr>
      <w:tabs>
        <w:tab w:val="right" w:pos="9044"/>
      </w:tabs>
      <w:spacing w:after="100" w:line="360" w:lineRule="auto"/>
      <w:ind w:left="480"/>
    </w:pPr>
    <w:rPr>
      <w:rFonts w:ascii="Times New Roman" w:eastAsia="Times New Roman" w:hAnsi="Times New Roman"/>
      <w:color w:val="000000"/>
      <w:sz w:val="24"/>
      <w:szCs w:val="24"/>
      <w:u w:color="000000"/>
      <w:bdr w:val="nil"/>
      <w:lang w:val="en-US" w:eastAsia="fi-FI"/>
    </w:rPr>
  </w:style>
  <w:style w:type="numbering" w:customStyle="1" w:styleId="List0">
    <w:name w:val="List 0"/>
    <w:basedOn w:val="Tuotutyyli1"/>
    <w:rsid w:val="00ED3A3F"/>
    <w:pPr>
      <w:numPr>
        <w:numId w:val="5"/>
      </w:numPr>
    </w:pPr>
  </w:style>
  <w:style w:type="numbering" w:customStyle="1" w:styleId="Tuotutyyli1">
    <w:name w:val="Tuotu tyyli: 1"/>
    <w:rsid w:val="00ED3A3F"/>
  </w:style>
  <w:style w:type="character" w:customStyle="1" w:styleId="Linkki">
    <w:name w:val="Linkki"/>
    <w:rsid w:val="00ED3A3F"/>
    <w:rPr>
      <w:color w:val="0563C1"/>
      <w:u w:val="single" w:color="0563C1"/>
    </w:rPr>
  </w:style>
  <w:style w:type="character" w:customStyle="1" w:styleId="Hyperlink0">
    <w:name w:val="Hyperlink.0"/>
    <w:rsid w:val="00ED3A3F"/>
    <w:rPr>
      <w:color w:val="0563C1"/>
      <w:sz w:val="22"/>
      <w:szCs w:val="22"/>
      <w:u w:val="single" w:color="0563C1"/>
      <w:lang w:val="en-US"/>
    </w:rPr>
  </w:style>
  <w:style w:type="character" w:customStyle="1" w:styleId="Hyperlink1">
    <w:name w:val="Hyperlink.1"/>
    <w:rsid w:val="00ED3A3F"/>
    <w:rPr>
      <w:color w:val="0563C1"/>
      <w:sz w:val="22"/>
      <w:szCs w:val="22"/>
      <w:u w:val="single" w:color="0563C1"/>
    </w:rPr>
  </w:style>
  <w:style w:type="character" w:customStyle="1" w:styleId="Hyperlink2">
    <w:name w:val="Hyperlink.2"/>
    <w:rsid w:val="00ED3A3F"/>
    <w:rPr>
      <w:color w:val="0563C1"/>
      <w:u w:val="single" w:color="0563C1"/>
      <w:lang w:val="en-US"/>
    </w:rPr>
  </w:style>
  <w:style w:type="paragraph" w:styleId="TOC1">
    <w:name w:val="toc 1"/>
    <w:basedOn w:val="Normal"/>
    <w:next w:val="Normal"/>
    <w:autoRedefine/>
    <w:uiPriority w:val="39"/>
    <w:unhideWhenUsed/>
    <w:rsid w:val="00ED3A3F"/>
    <w:pPr>
      <w:pBdr>
        <w:top w:val="nil"/>
        <w:left w:val="nil"/>
        <w:bottom w:val="nil"/>
        <w:right w:val="nil"/>
        <w:between w:val="nil"/>
        <w:bar w:val="nil"/>
      </w:pBdr>
      <w:spacing w:before="120" w:after="0" w:line="360" w:lineRule="auto"/>
    </w:pPr>
    <w:rPr>
      <w:rFonts w:eastAsia="Arial Unicode MS" w:cs="Arial Unicode MS"/>
      <w:b/>
      <w:caps/>
      <w:color w:val="000000"/>
      <w:szCs w:val="22"/>
      <w:u w:color="000000"/>
      <w:bdr w:val="nil"/>
      <w:lang w:bidi="ar-SA"/>
    </w:rPr>
  </w:style>
  <w:style w:type="paragraph" w:styleId="TOC2">
    <w:name w:val="toc 2"/>
    <w:basedOn w:val="Normal"/>
    <w:next w:val="Normal"/>
    <w:autoRedefine/>
    <w:uiPriority w:val="39"/>
    <w:unhideWhenUsed/>
    <w:rsid w:val="00ED3A3F"/>
    <w:pPr>
      <w:pBdr>
        <w:top w:val="nil"/>
        <w:left w:val="nil"/>
        <w:bottom w:val="nil"/>
        <w:right w:val="nil"/>
        <w:between w:val="nil"/>
        <w:bar w:val="nil"/>
      </w:pBdr>
      <w:tabs>
        <w:tab w:val="right" w:leader="dot" w:pos="9054"/>
      </w:tabs>
      <w:spacing w:after="0" w:line="360" w:lineRule="auto"/>
      <w:ind w:left="240"/>
    </w:pPr>
    <w:rPr>
      <w:rFonts w:eastAsia="Arial Unicode MS" w:cs="Arial Unicode MS"/>
      <w:smallCaps/>
      <w:noProof/>
      <w:color w:val="000000"/>
      <w:szCs w:val="22"/>
      <w:u w:color="000000"/>
      <w:bdr w:val="nil"/>
      <w:lang w:bidi="ar-SA"/>
    </w:rPr>
  </w:style>
  <w:style w:type="paragraph" w:styleId="TOC3">
    <w:name w:val="toc 3"/>
    <w:basedOn w:val="Normal"/>
    <w:next w:val="Normal"/>
    <w:autoRedefine/>
    <w:uiPriority w:val="39"/>
    <w:unhideWhenUsed/>
    <w:rsid w:val="00ED3A3F"/>
    <w:pPr>
      <w:pBdr>
        <w:top w:val="nil"/>
        <w:left w:val="nil"/>
        <w:bottom w:val="nil"/>
        <w:right w:val="nil"/>
        <w:between w:val="nil"/>
        <w:bar w:val="nil"/>
      </w:pBdr>
      <w:spacing w:after="0" w:line="360" w:lineRule="auto"/>
      <w:ind w:left="480"/>
    </w:pPr>
    <w:rPr>
      <w:rFonts w:eastAsia="Arial Unicode MS" w:cs="Arial Unicode MS"/>
      <w:i/>
      <w:color w:val="000000"/>
      <w:szCs w:val="22"/>
      <w:u w:color="000000"/>
      <w:bdr w:val="nil"/>
      <w:lang w:bidi="ar-SA"/>
    </w:rPr>
  </w:style>
  <w:style w:type="paragraph" w:styleId="TOC4">
    <w:name w:val="toc 4"/>
    <w:basedOn w:val="Normal"/>
    <w:next w:val="Normal"/>
    <w:autoRedefine/>
    <w:uiPriority w:val="39"/>
    <w:semiHidden/>
    <w:unhideWhenUsed/>
    <w:rsid w:val="00ED3A3F"/>
    <w:pPr>
      <w:pBdr>
        <w:top w:val="nil"/>
        <w:left w:val="nil"/>
        <w:bottom w:val="nil"/>
        <w:right w:val="nil"/>
        <w:between w:val="nil"/>
        <w:bar w:val="nil"/>
      </w:pBdr>
      <w:spacing w:after="0" w:line="360" w:lineRule="auto"/>
      <w:ind w:left="720"/>
    </w:pPr>
    <w:rPr>
      <w:rFonts w:eastAsia="Arial Unicode MS" w:cs="Arial Unicode MS"/>
      <w:color w:val="000000"/>
      <w:sz w:val="18"/>
      <w:szCs w:val="18"/>
      <w:u w:color="000000"/>
      <w:bdr w:val="nil"/>
      <w:lang w:bidi="ar-SA"/>
    </w:rPr>
  </w:style>
  <w:style w:type="paragraph" w:styleId="TOC5">
    <w:name w:val="toc 5"/>
    <w:basedOn w:val="Normal"/>
    <w:next w:val="Normal"/>
    <w:autoRedefine/>
    <w:uiPriority w:val="39"/>
    <w:semiHidden/>
    <w:unhideWhenUsed/>
    <w:rsid w:val="00ED3A3F"/>
    <w:pPr>
      <w:pBdr>
        <w:top w:val="nil"/>
        <w:left w:val="nil"/>
        <w:bottom w:val="nil"/>
        <w:right w:val="nil"/>
        <w:between w:val="nil"/>
        <w:bar w:val="nil"/>
      </w:pBdr>
      <w:spacing w:after="0" w:line="360" w:lineRule="auto"/>
      <w:ind w:left="960"/>
    </w:pPr>
    <w:rPr>
      <w:rFonts w:eastAsia="Arial Unicode MS" w:cs="Arial Unicode MS"/>
      <w:color w:val="000000"/>
      <w:sz w:val="18"/>
      <w:szCs w:val="18"/>
      <w:u w:color="000000"/>
      <w:bdr w:val="nil"/>
      <w:lang w:bidi="ar-SA"/>
    </w:rPr>
  </w:style>
  <w:style w:type="paragraph" w:styleId="TOC6">
    <w:name w:val="toc 6"/>
    <w:basedOn w:val="Normal"/>
    <w:next w:val="Normal"/>
    <w:autoRedefine/>
    <w:uiPriority w:val="39"/>
    <w:semiHidden/>
    <w:unhideWhenUsed/>
    <w:rsid w:val="00ED3A3F"/>
    <w:pPr>
      <w:pBdr>
        <w:top w:val="nil"/>
        <w:left w:val="nil"/>
        <w:bottom w:val="nil"/>
        <w:right w:val="nil"/>
        <w:between w:val="nil"/>
        <w:bar w:val="nil"/>
      </w:pBdr>
      <w:spacing w:after="0" w:line="360" w:lineRule="auto"/>
      <w:ind w:left="1200"/>
    </w:pPr>
    <w:rPr>
      <w:rFonts w:eastAsia="Arial Unicode MS" w:cs="Arial Unicode MS"/>
      <w:color w:val="000000"/>
      <w:sz w:val="18"/>
      <w:szCs w:val="18"/>
      <w:u w:color="000000"/>
      <w:bdr w:val="nil"/>
      <w:lang w:bidi="ar-SA"/>
    </w:rPr>
  </w:style>
  <w:style w:type="paragraph" w:styleId="TOC7">
    <w:name w:val="toc 7"/>
    <w:basedOn w:val="Normal"/>
    <w:next w:val="Normal"/>
    <w:autoRedefine/>
    <w:uiPriority w:val="39"/>
    <w:semiHidden/>
    <w:unhideWhenUsed/>
    <w:rsid w:val="00ED3A3F"/>
    <w:pPr>
      <w:pBdr>
        <w:top w:val="nil"/>
        <w:left w:val="nil"/>
        <w:bottom w:val="nil"/>
        <w:right w:val="nil"/>
        <w:between w:val="nil"/>
        <w:bar w:val="nil"/>
      </w:pBdr>
      <w:spacing w:after="0" w:line="360" w:lineRule="auto"/>
      <w:ind w:left="1440"/>
    </w:pPr>
    <w:rPr>
      <w:rFonts w:eastAsia="Arial Unicode MS" w:cs="Arial Unicode MS"/>
      <w:color w:val="000000"/>
      <w:sz w:val="18"/>
      <w:szCs w:val="18"/>
      <w:u w:color="000000"/>
      <w:bdr w:val="nil"/>
      <w:lang w:bidi="ar-SA"/>
    </w:rPr>
  </w:style>
  <w:style w:type="paragraph" w:styleId="TOC8">
    <w:name w:val="toc 8"/>
    <w:basedOn w:val="Normal"/>
    <w:next w:val="Normal"/>
    <w:autoRedefine/>
    <w:uiPriority w:val="39"/>
    <w:semiHidden/>
    <w:unhideWhenUsed/>
    <w:rsid w:val="00ED3A3F"/>
    <w:pPr>
      <w:pBdr>
        <w:top w:val="nil"/>
        <w:left w:val="nil"/>
        <w:bottom w:val="nil"/>
        <w:right w:val="nil"/>
        <w:between w:val="nil"/>
        <w:bar w:val="nil"/>
      </w:pBdr>
      <w:spacing w:after="0" w:line="360" w:lineRule="auto"/>
      <w:ind w:left="1680"/>
    </w:pPr>
    <w:rPr>
      <w:rFonts w:eastAsia="Arial Unicode MS" w:cs="Arial Unicode MS"/>
      <w:color w:val="000000"/>
      <w:sz w:val="18"/>
      <w:szCs w:val="18"/>
      <w:u w:color="000000"/>
      <w:bdr w:val="nil"/>
      <w:lang w:bidi="ar-SA"/>
    </w:rPr>
  </w:style>
  <w:style w:type="paragraph" w:styleId="TOC9">
    <w:name w:val="toc 9"/>
    <w:basedOn w:val="Normal"/>
    <w:next w:val="Normal"/>
    <w:autoRedefine/>
    <w:uiPriority w:val="39"/>
    <w:semiHidden/>
    <w:unhideWhenUsed/>
    <w:rsid w:val="00ED3A3F"/>
    <w:pPr>
      <w:pBdr>
        <w:top w:val="nil"/>
        <w:left w:val="nil"/>
        <w:bottom w:val="nil"/>
        <w:right w:val="nil"/>
        <w:between w:val="nil"/>
        <w:bar w:val="nil"/>
      </w:pBdr>
      <w:spacing w:after="0" w:line="360" w:lineRule="auto"/>
      <w:ind w:left="1920"/>
    </w:pPr>
    <w:rPr>
      <w:rFonts w:eastAsia="Arial Unicode MS" w:cs="Arial Unicode MS"/>
      <w:color w:val="000000"/>
      <w:sz w:val="18"/>
      <w:szCs w:val="18"/>
      <w:u w:color="000000"/>
      <w:bdr w:val="nil"/>
      <w:lang w:bidi="ar-SA"/>
    </w:rPr>
  </w:style>
  <w:style w:type="paragraph" w:customStyle="1" w:styleId="Alaviite">
    <w:name w:val="Alaviite"/>
    <w:rsid w:val="00ED3A3F"/>
    <w:pPr>
      <w:pBdr>
        <w:top w:val="nil"/>
        <w:left w:val="nil"/>
        <w:bottom w:val="nil"/>
        <w:right w:val="nil"/>
        <w:between w:val="nil"/>
        <w:bar w:val="nil"/>
      </w:pBdr>
    </w:pPr>
    <w:rPr>
      <w:rFonts w:ascii="Helvetica" w:eastAsia="Helvetica" w:hAnsi="Helvetica" w:cs="Helvetica"/>
      <w:color w:val="000000"/>
      <w:sz w:val="22"/>
      <w:szCs w:val="22"/>
      <w:u w:color="000000"/>
      <w:bdr w:val="nil"/>
      <w:lang w:val="fi-FI" w:eastAsia="fi-FI"/>
    </w:rPr>
  </w:style>
  <w:style w:type="paragraph" w:styleId="Title">
    <w:name w:val="Title"/>
    <w:basedOn w:val="Normal"/>
    <w:next w:val="Normal"/>
    <w:link w:val="TitleChar"/>
    <w:uiPriority w:val="10"/>
    <w:qFormat/>
    <w:rsid w:val="00ED3A3F"/>
    <w:pPr>
      <w:pBdr>
        <w:top w:val="nil"/>
        <w:left w:val="nil"/>
        <w:bottom w:val="single" w:sz="8" w:space="4" w:color="4F81BD"/>
        <w:right w:val="nil"/>
        <w:between w:val="nil"/>
        <w:bar w:val="nil"/>
      </w:pBdr>
      <w:spacing w:after="300" w:line="240" w:lineRule="auto"/>
      <w:contextualSpacing/>
    </w:pPr>
    <w:rPr>
      <w:rFonts w:ascii="Cambria" w:eastAsia="Times New Roman" w:hAnsi="Cambria"/>
      <w:color w:val="17365D"/>
      <w:spacing w:val="5"/>
      <w:kern w:val="28"/>
      <w:sz w:val="52"/>
      <w:szCs w:val="52"/>
      <w:u w:color="000000"/>
      <w:bdr w:val="nil"/>
      <w:lang w:bidi="ar-SA"/>
    </w:rPr>
  </w:style>
  <w:style w:type="character" w:customStyle="1" w:styleId="TitleChar">
    <w:name w:val="Title Char"/>
    <w:link w:val="Title"/>
    <w:uiPriority w:val="10"/>
    <w:rsid w:val="00ED3A3F"/>
    <w:rPr>
      <w:rFonts w:ascii="Cambria" w:eastAsia="Times New Roman" w:hAnsi="Cambria" w:cs="Times New Roman"/>
      <w:color w:val="17365D"/>
      <w:spacing w:val="5"/>
      <w:kern w:val="28"/>
      <w:sz w:val="52"/>
      <w:szCs w:val="52"/>
      <w:u w:color="000000"/>
      <w:bdr w:val="nil"/>
      <w:lang w:bidi="ar-SA"/>
    </w:rPr>
  </w:style>
  <w:style w:type="paragraph" w:customStyle="1" w:styleId="Tyyli1">
    <w:name w:val="Tyyli1"/>
    <w:basedOn w:val="Heading2"/>
    <w:rsid w:val="00ED3A3F"/>
    <w:rPr>
      <w:b/>
    </w:rPr>
  </w:style>
  <w:style w:type="paragraph" w:customStyle="1" w:styleId="Heading21">
    <w:name w:val="Heading 21"/>
    <w:basedOn w:val="Heading2"/>
    <w:qFormat/>
    <w:rsid w:val="00ED3A3F"/>
    <w:rPr>
      <w:b/>
    </w:rPr>
  </w:style>
  <w:style w:type="paragraph" w:customStyle="1" w:styleId="LeiptekstiA">
    <w:name w:val="Leipäteksti A"/>
    <w:rsid w:val="00ED3A3F"/>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lang w:val="en-US" w:eastAsia="fi-FI"/>
    </w:rPr>
  </w:style>
  <w:style w:type="character" w:styleId="FollowedHyperlink">
    <w:name w:val="FollowedHyperlink"/>
    <w:uiPriority w:val="99"/>
    <w:semiHidden/>
    <w:unhideWhenUsed/>
    <w:rsid w:val="00ED3A3F"/>
    <w:rPr>
      <w:color w:val="800080"/>
      <w:u w:val="single"/>
    </w:rPr>
  </w:style>
  <w:style w:type="paragraph" w:styleId="Revision">
    <w:name w:val="Revision"/>
    <w:hidden/>
    <w:uiPriority w:val="99"/>
    <w:semiHidden/>
    <w:rsid w:val="00ED3A3F"/>
    <w:rPr>
      <w:rFonts w:ascii="Times New Roman" w:eastAsia="Arial Unicode MS" w:hAnsi="Arial Unicode MS" w:cs="Arial Unicode MS"/>
      <w:color w:val="000000"/>
      <w:sz w:val="24"/>
      <w:szCs w:val="24"/>
      <w:u w:color="000000"/>
      <w:bdr w:val="nil"/>
      <w:lang w:val="en-US"/>
    </w:rPr>
  </w:style>
  <w:style w:type="character" w:customStyle="1" w:styleId="allowtextselection">
    <w:name w:val="allowtextselection"/>
    <w:basedOn w:val="DefaultParagraphFont"/>
    <w:rsid w:val="00ED3A3F"/>
  </w:style>
  <w:style w:type="table" w:styleId="TableGrid">
    <w:name w:val="Table Grid"/>
    <w:basedOn w:val="TableNormal"/>
    <w:uiPriority w:val="59"/>
    <w:rsid w:val="00363A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363A61"/>
    <w:rPr>
      <w:color w:val="808080"/>
    </w:rPr>
  </w:style>
  <w:style w:type="character" w:styleId="Emphasis">
    <w:name w:val="Emphasis"/>
    <w:uiPriority w:val="20"/>
    <w:qFormat/>
    <w:rsid w:val="003045E4"/>
    <w:rPr>
      <w:i/>
      <w:iCs/>
    </w:rPr>
  </w:style>
  <w:style w:type="character" w:customStyle="1" w:styleId="hps">
    <w:name w:val="hps"/>
    <w:rsid w:val="007B6169"/>
  </w:style>
  <w:style w:type="paragraph" w:styleId="IntenseQuote">
    <w:name w:val="Intense Quote"/>
    <w:basedOn w:val="Normal"/>
    <w:next w:val="Normal"/>
    <w:link w:val="IntenseQuoteChar"/>
    <w:uiPriority w:val="30"/>
    <w:qFormat/>
    <w:rsid w:val="00AC6E2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6E2E"/>
    <w:rPr>
      <w:i/>
      <w:iCs/>
      <w:color w:val="4472C4" w:themeColor="accent1"/>
      <w:sz w:val="22"/>
      <w:szCs w:val="28"/>
      <w:lang w:val="en-US" w:bidi="bn-IN"/>
    </w:rPr>
  </w:style>
  <w:style w:type="paragraph" w:styleId="NormalWeb">
    <w:name w:val="Normal (Web)"/>
    <w:basedOn w:val="Normal"/>
    <w:uiPriority w:val="99"/>
    <w:semiHidden/>
    <w:unhideWhenUsed/>
    <w:rsid w:val="00124D8C"/>
    <w:pPr>
      <w:spacing w:before="100" w:beforeAutospacing="1" w:after="100" w:afterAutospacing="1" w:line="240" w:lineRule="auto"/>
    </w:pPr>
    <w:rPr>
      <w:rFonts w:ascii="Times New Roman" w:eastAsia="Times New Roman" w:hAnsi="Times New Roman"/>
      <w:sz w:val="24"/>
      <w:szCs w:val="24"/>
      <w:lang w:val="en-ID"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61186">
      <w:bodyDiv w:val="1"/>
      <w:marLeft w:val="0"/>
      <w:marRight w:val="0"/>
      <w:marTop w:val="0"/>
      <w:marBottom w:val="0"/>
      <w:divBdr>
        <w:top w:val="none" w:sz="0" w:space="0" w:color="auto"/>
        <w:left w:val="none" w:sz="0" w:space="0" w:color="auto"/>
        <w:bottom w:val="none" w:sz="0" w:space="0" w:color="auto"/>
        <w:right w:val="none" w:sz="0" w:space="0" w:color="auto"/>
      </w:divBdr>
      <w:divsChild>
        <w:div w:id="1292830714">
          <w:marLeft w:val="0"/>
          <w:marRight w:val="0"/>
          <w:marTop w:val="0"/>
          <w:marBottom w:val="0"/>
          <w:divBdr>
            <w:top w:val="none" w:sz="0" w:space="0" w:color="auto"/>
            <w:left w:val="none" w:sz="0" w:space="0" w:color="auto"/>
            <w:bottom w:val="none" w:sz="0" w:space="0" w:color="auto"/>
            <w:right w:val="none" w:sz="0" w:space="0" w:color="auto"/>
          </w:divBdr>
          <w:divsChild>
            <w:div w:id="1927955673">
              <w:marLeft w:val="0"/>
              <w:marRight w:val="0"/>
              <w:marTop w:val="0"/>
              <w:marBottom w:val="0"/>
              <w:divBdr>
                <w:top w:val="none" w:sz="0" w:space="0" w:color="auto"/>
                <w:left w:val="none" w:sz="0" w:space="0" w:color="auto"/>
                <w:bottom w:val="none" w:sz="0" w:space="0" w:color="auto"/>
                <w:right w:val="none" w:sz="0" w:space="0" w:color="auto"/>
              </w:divBdr>
              <w:divsChild>
                <w:div w:id="1777140042">
                  <w:marLeft w:val="0"/>
                  <w:marRight w:val="0"/>
                  <w:marTop w:val="0"/>
                  <w:marBottom w:val="0"/>
                  <w:divBdr>
                    <w:top w:val="none" w:sz="0" w:space="0" w:color="auto"/>
                    <w:left w:val="none" w:sz="0" w:space="0" w:color="auto"/>
                    <w:bottom w:val="none" w:sz="0" w:space="0" w:color="auto"/>
                    <w:right w:val="none" w:sz="0" w:space="0" w:color="auto"/>
                  </w:divBdr>
                  <w:divsChild>
                    <w:div w:id="176641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58975">
      <w:bodyDiv w:val="1"/>
      <w:marLeft w:val="0"/>
      <w:marRight w:val="0"/>
      <w:marTop w:val="0"/>
      <w:marBottom w:val="0"/>
      <w:divBdr>
        <w:top w:val="none" w:sz="0" w:space="0" w:color="auto"/>
        <w:left w:val="none" w:sz="0" w:space="0" w:color="auto"/>
        <w:bottom w:val="none" w:sz="0" w:space="0" w:color="auto"/>
        <w:right w:val="none" w:sz="0" w:space="0" w:color="auto"/>
      </w:divBdr>
    </w:div>
    <w:div w:id="481963962">
      <w:bodyDiv w:val="1"/>
      <w:marLeft w:val="0"/>
      <w:marRight w:val="0"/>
      <w:marTop w:val="0"/>
      <w:marBottom w:val="0"/>
      <w:divBdr>
        <w:top w:val="none" w:sz="0" w:space="0" w:color="auto"/>
        <w:left w:val="none" w:sz="0" w:space="0" w:color="auto"/>
        <w:bottom w:val="none" w:sz="0" w:space="0" w:color="auto"/>
        <w:right w:val="none" w:sz="0" w:space="0" w:color="auto"/>
      </w:divBdr>
    </w:div>
    <w:div w:id="597058855">
      <w:bodyDiv w:val="1"/>
      <w:marLeft w:val="0"/>
      <w:marRight w:val="0"/>
      <w:marTop w:val="0"/>
      <w:marBottom w:val="0"/>
      <w:divBdr>
        <w:top w:val="none" w:sz="0" w:space="0" w:color="auto"/>
        <w:left w:val="none" w:sz="0" w:space="0" w:color="auto"/>
        <w:bottom w:val="none" w:sz="0" w:space="0" w:color="auto"/>
        <w:right w:val="none" w:sz="0" w:space="0" w:color="auto"/>
      </w:divBdr>
      <w:divsChild>
        <w:div w:id="548961309">
          <w:marLeft w:val="0"/>
          <w:marRight w:val="0"/>
          <w:marTop w:val="0"/>
          <w:marBottom w:val="0"/>
          <w:divBdr>
            <w:top w:val="none" w:sz="0" w:space="0" w:color="auto"/>
            <w:left w:val="none" w:sz="0" w:space="0" w:color="auto"/>
            <w:bottom w:val="none" w:sz="0" w:space="0" w:color="auto"/>
            <w:right w:val="none" w:sz="0" w:space="0" w:color="auto"/>
          </w:divBdr>
          <w:divsChild>
            <w:div w:id="1445346472">
              <w:marLeft w:val="0"/>
              <w:marRight w:val="0"/>
              <w:marTop w:val="0"/>
              <w:marBottom w:val="0"/>
              <w:divBdr>
                <w:top w:val="none" w:sz="0" w:space="0" w:color="auto"/>
                <w:left w:val="none" w:sz="0" w:space="0" w:color="auto"/>
                <w:bottom w:val="none" w:sz="0" w:space="0" w:color="auto"/>
                <w:right w:val="none" w:sz="0" w:space="0" w:color="auto"/>
              </w:divBdr>
              <w:divsChild>
                <w:div w:id="1600062800">
                  <w:marLeft w:val="0"/>
                  <w:marRight w:val="0"/>
                  <w:marTop w:val="0"/>
                  <w:marBottom w:val="0"/>
                  <w:divBdr>
                    <w:top w:val="none" w:sz="0" w:space="0" w:color="auto"/>
                    <w:left w:val="none" w:sz="0" w:space="0" w:color="auto"/>
                    <w:bottom w:val="none" w:sz="0" w:space="0" w:color="auto"/>
                    <w:right w:val="none" w:sz="0" w:space="0" w:color="auto"/>
                  </w:divBdr>
                  <w:divsChild>
                    <w:div w:id="162380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098139">
      <w:bodyDiv w:val="1"/>
      <w:marLeft w:val="0"/>
      <w:marRight w:val="0"/>
      <w:marTop w:val="0"/>
      <w:marBottom w:val="0"/>
      <w:divBdr>
        <w:top w:val="none" w:sz="0" w:space="0" w:color="auto"/>
        <w:left w:val="none" w:sz="0" w:space="0" w:color="auto"/>
        <w:bottom w:val="none" w:sz="0" w:space="0" w:color="auto"/>
        <w:right w:val="none" w:sz="0" w:space="0" w:color="auto"/>
      </w:divBdr>
    </w:div>
    <w:div w:id="1074163934">
      <w:bodyDiv w:val="1"/>
      <w:marLeft w:val="0"/>
      <w:marRight w:val="0"/>
      <w:marTop w:val="0"/>
      <w:marBottom w:val="0"/>
      <w:divBdr>
        <w:top w:val="none" w:sz="0" w:space="0" w:color="auto"/>
        <w:left w:val="none" w:sz="0" w:space="0" w:color="auto"/>
        <w:bottom w:val="none" w:sz="0" w:space="0" w:color="auto"/>
        <w:right w:val="none" w:sz="0" w:space="0" w:color="auto"/>
      </w:divBdr>
      <w:divsChild>
        <w:div w:id="1281492353">
          <w:marLeft w:val="0"/>
          <w:marRight w:val="0"/>
          <w:marTop w:val="0"/>
          <w:marBottom w:val="0"/>
          <w:divBdr>
            <w:top w:val="none" w:sz="0" w:space="0" w:color="auto"/>
            <w:left w:val="none" w:sz="0" w:space="0" w:color="auto"/>
            <w:bottom w:val="none" w:sz="0" w:space="0" w:color="auto"/>
            <w:right w:val="none" w:sz="0" w:space="0" w:color="auto"/>
          </w:divBdr>
          <w:divsChild>
            <w:div w:id="1560045193">
              <w:marLeft w:val="0"/>
              <w:marRight w:val="0"/>
              <w:marTop w:val="0"/>
              <w:marBottom w:val="0"/>
              <w:divBdr>
                <w:top w:val="none" w:sz="0" w:space="0" w:color="auto"/>
                <w:left w:val="none" w:sz="0" w:space="0" w:color="auto"/>
                <w:bottom w:val="none" w:sz="0" w:space="0" w:color="auto"/>
                <w:right w:val="none" w:sz="0" w:space="0" w:color="auto"/>
              </w:divBdr>
              <w:divsChild>
                <w:div w:id="152640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7412">
      <w:bodyDiv w:val="1"/>
      <w:marLeft w:val="0"/>
      <w:marRight w:val="0"/>
      <w:marTop w:val="0"/>
      <w:marBottom w:val="0"/>
      <w:divBdr>
        <w:top w:val="none" w:sz="0" w:space="0" w:color="auto"/>
        <w:left w:val="none" w:sz="0" w:space="0" w:color="auto"/>
        <w:bottom w:val="none" w:sz="0" w:space="0" w:color="auto"/>
        <w:right w:val="none" w:sz="0" w:space="0" w:color="auto"/>
      </w:divBdr>
    </w:div>
    <w:div w:id="1130900475">
      <w:bodyDiv w:val="1"/>
      <w:marLeft w:val="0"/>
      <w:marRight w:val="0"/>
      <w:marTop w:val="0"/>
      <w:marBottom w:val="0"/>
      <w:divBdr>
        <w:top w:val="none" w:sz="0" w:space="0" w:color="auto"/>
        <w:left w:val="none" w:sz="0" w:space="0" w:color="auto"/>
        <w:bottom w:val="none" w:sz="0" w:space="0" w:color="auto"/>
        <w:right w:val="none" w:sz="0" w:space="0" w:color="auto"/>
      </w:divBdr>
    </w:div>
    <w:div w:id="1534151970">
      <w:bodyDiv w:val="1"/>
      <w:marLeft w:val="0"/>
      <w:marRight w:val="0"/>
      <w:marTop w:val="0"/>
      <w:marBottom w:val="0"/>
      <w:divBdr>
        <w:top w:val="none" w:sz="0" w:space="0" w:color="auto"/>
        <w:left w:val="none" w:sz="0" w:space="0" w:color="auto"/>
        <w:bottom w:val="none" w:sz="0" w:space="0" w:color="auto"/>
        <w:right w:val="none" w:sz="0" w:space="0" w:color="auto"/>
      </w:divBdr>
      <w:divsChild>
        <w:div w:id="1064068756">
          <w:marLeft w:val="0"/>
          <w:marRight w:val="0"/>
          <w:marTop w:val="0"/>
          <w:marBottom w:val="0"/>
          <w:divBdr>
            <w:top w:val="none" w:sz="0" w:space="0" w:color="auto"/>
            <w:left w:val="none" w:sz="0" w:space="0" w:color="auto"/>
            <w:bottom w:val="none" w:sz="0" w:space="0" w:color="auto"/>
            <w:right w:val="none" w:sz="0" w:space="0" w:color="auto"/>
          </w:divBdr>
          <w:divsChild>
            <w:div w:id="204952046">
              <w:marLeft w:val="0"/>
              <w:marRight w:val="0"/>
              <w:marTop w:val="0"/>
              <w:marBottom w:val="0"/>
              <w:divBdr>
                <w:top w:val="none" w:sz="0" w:space="0" w:color="auto"/>
                <w:left w:val="none" w:sz="0" w:space="0" w:color="auto"/>
                <w:bottom w:val="none" w:sz="0" w:space="0" w:color="auto"/>
                <w:right w:val="none" w:sz="0" w:space="0" w:color="auto"/>
              </w:divBdr>
              <w:divsChild>
                <w:div w:id="1535461248">
                  <w:marLeft w:val="0"/>
                  <w:marRight w:val="0"/>
                  <w:marTop w:val="0"/>
                  <w:marBottom w:val="0"/>
                  <w:divBdr>
                    <w:top w:val="none" w:sz="0" w:space="0" w:color="auto"/>
                    <w:left w:val="none" w:sz="0" w:space="0" w:color="auto"/>
                    <w:bottom w:val="none" w:sz="0" w:space="0" w:color="auto"/>
                    <w:right w:val="none" w:sz="0" w:space="0" w:color="auto"/>
                  </w:divBdr>
                  <w:divsChild>
                    <w:div w:id="18750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bdullahimumali@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hyperlink" Target="http://crossmark.crossref.org/dialog/?doi=10.47268/sasi.v26i3.247&amp;domain=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https://doi.org/10.47268/sasi.v27i4.679" TargetMode="External"/><Relationship Id="rId2" Type="http://schemas.openxmlformats.org/officeDocument/2006/relationships/image" Target="media/image1.png"/><Relationship Id="rId1" Type="http://schemas.openxmlformats.org/officeDocument/2006/relationships/image" Target="media/image4.jpeg"/><Relationship Id="rId5" Type="http://schemas.openxmlformats.org/officeDocument/2006/relationships/hyperlink" Target="http://creativecommons.org/licenses/by-nc/4.0/"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uchtar\Downloads\%5bHALREV%5d%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b:Source>
    <b:Tag>Ber00</b:Tag>
    <b:SourceType>BookSection</b:SourceType>
    <b:Guid>{074EDD78-A5C3-48B2-B236-383D59B89D92}</b:Guid>
    <b:Author>
      <b:Author>
        <b:NameList>
          <b:Person>
            <b:Last>Bernard</b:Last>
            <b:First>Miriam</b:First>
          </b:Person>
          <b:Person>
            <b:Last>Chambers</b:Last>
            <b:First>Pat</b:First>
          </b:Person>
          <b:Person>
            <b:Last>Granville</b:Last>
            <b:First>Gillian</b:First>
          </b:Person>
        </b:NameList>
      </b:Author>
      <b:BookAuthor>
        <b:NameList>
          <b:Person>
            <b:Last>Bernard</b:Last>
            <b:First>Miriam</b:First>
          </b:Person>
          <b:Person>
            <b:Last>Phillips</b:Last>
            <b:First>Judith</b:First>
          </b:Person>
          <b:Person>
            <b:Last>Machin</b:Last>
            <b:First>Linda</b:First>
          </b:Person>
          <b:Person>
            <b:Last>Davies</b:Last>
            <b:First>Harding</b:First>
            <b:Middle>Val</b:Middle>
          </b:Person>
        </b:NameList>
      </b:BookAuthor>
    </b:Author>
    <b:Title>Women ageing:changing identities, challenging myths</b:Title>
    <b:Year>2000</b:Year>
    <b:City>London</b:City>
    <b:Publisher>Routledge</b:Publisher>
    <b:Medium>English</b:Medium>
    <b:BookTitle>Women Ageing Changing identities, challenging myths</b:BookTitle>
    <b:Pages>10</b:Pages>
    <b:RefOrder>1</b:RefOrder>
  </b:Source>
  <b:Source>
    <b:Tag>Mac82</b:Tag>
    <b:SourceType>JournalArticle</b:SourceType>
    <b:Guid>{A04D5D95-6A36-4469-8A94-CFA5D98CC478}</b:Guid>
    <b:Author>
      <b:Author>
        <b:NameList>
          <b:Person>
            <b:Last>Mackinnon</b:Last>
            <b:First>Catherine</b:First>
            <b:Middle>A.</b:Middle>
          </b:Person>
        </b:NameList>
      </b:Author>
    </b:Author>
    <b:Title>Feminism, Marxism, Method, and the State: An Agenda for Theory</b:Title>
    <b:Year>(Spring, 1982),</b:Year>
    <b:Pages>515-544</b:Pages>
    <b:Medium>English</b:Medium>
    <b:JournalName>Signs, Vol. 7, No. 3, Feminist Theory,The University of Chicago Press</b:JournalName>
    <b:RefOrder>2</b:RefOrder>
  </b:Source>
  <b:Source>
    <b:Tag>Bab15</b:Tag>
    <b:SourceType>JournalArticle</b:SourceType>
    <b:Guid>{D7818DEC-1975-4049-96DB-EDC84D8E21B9}</b:Guid>
    <b:Author>
      <b:Author>
        <b:NameList>
          <b:Person>
            <b:Last>Babatunde</b:Last>
            <b:First>Ekundayo</b:First>
            <b:Middle>B.</b:Middle>
          </b:Person>
          <b:Person>
            <b:Last>Durowaiye</b:Last>
            <b:First>Babatunde</b:First>
            <b:Middle>E.</b:Middle>
          </b:Person>
        </b:NameList>
      </b:Author>
    </b:Author>
    <b:Title>The Conception of ‘Sex’ and ‘Gender’ as Background to Inequities Faced by Women</b:Title>
    <b:JournalName>The Journal of Pan African Studies, vol.7, no. 8,</b:JournalName>
    <b:Year>March 2015</b:Year>
    <b:Pages>64-79</b:Pages>
    <b:Medium>English</b:Medium>
    <b:RefOrder>3</b:RefOrder>
  </b:Source>
  <b:Source>
    <b:Tag>ARE93</b:Tag>
    <b:SourceType>Report</b:SourceType>
    <b:Guid>{7C6689E9-E502-4217-8732-EAD69E8A0E47}</b:Guid>
    <b:Author>
      <b:Author>
        <b:NameList>
          <b:Person>
            <b:Last>A/RES/48/104</b:Last>
          </b:Person>
        </b:NameList>
      </b:Author>
    </b:Author>
    <b:Title>Declaration on the Elimination of Violence against Women</b:Title>
    <b:Year>1993</b:Year>
    <b:Publisher>http://www.un.org/documents/ga/res/48/a48r104.htm, Accessed on 17/03.16</b:Publisher>
    <b:Medium>english</b:Medium>
    <b:RefOrder>4</b:RefOrder>
  </b:Source>
  <b:Source>
    <b:Tag>Coo05</b:Tag>
    <b:SourceType>JournalArticle</b:SourceType>
    <b:Guid>{C2D0B74F-DD05-45C0-8B9E-E4F33532057B}</b:Guid>
    <b:Author>
      <b:Author>
        <b:NameList>
          <b:Person>
            <b:Last>Coomarswamy</b:Last>
            <b:First>Radhika</b:First>
          </b:Person>
        </b:NameList>
      </b:Author>
    </b:Author>
    <b:Title>Human Security and Gender Violence</b:Title>
    <b:Year>Oct. 29 - Nov. 4, 2005</b:Year>
    <b:Medium>english</b:Medium>
    <b:JournalName>Economic and Political Weekly, Vol. 40, No. 44/45</b:JournalName>
    <b:Pages>4729-4736</b:Pages>
    <b:RefOrder>5</b:RefOrder>
  </b:Source>
  <b:Source>
    <b:Tag>Cen12</b:Tag>
    <b:SourceType>Report</b:SourceType>
    <b:Guid>{4CD79B8B-C2F5-4380-B2B6-3EC51EB0306F}</b:Guid>
    <b:Author>
      <b:Author>
        <b:Corporate>Center forPolicy Research (CPR) at the Maxwell School of Syracuse University</b:Corporate>
      </b:Author>
    </b:Author>
    <b:Title>Quality of Life for All Ages, By Design, A conversation with Patricia Moore</b:Title>
    <b:Year>No. 46/2012</b:Year>
    <b:Medium>English</b:Medium>
    <b:Publisher>S y r a c u s e U n i v e r s i t y, Maxwell School of Citizenship and Public Affairs | Center for Policy Researchhttps://www.maxwell.syr.edu/uploadedFiles/cpr/publications/cpr_policy_briefs/Moore2011_policy_brief-Final.pdf, Accessed, 24/03/2016</b:Publisher>
    <b:ThesisType>Policy Brief</b:ThesisType>
    <b:RefOrder>6</b:RefOrder>
  </b:Source>
  <b:Source>
    <b:Tag>Kha</b:Tag>
    <b:SourceType>Report</b:SourceType>
    <b:Guid>{BADC8CFE-C8B1-4927-BC76-835F654EF7AD}</b:Guid>
    <b:Title>Khatoon Nisa v. State of U.P. and Ors.</b:Title>
    <b:Author>
      <b:Author>
        <b:NameList>
          <b:Person>
            <b:Last>SCALE</b:Last>
          </b:Person>
        </b:NameList>
      </b:Author>
    </b:Author>
    <b:Year>2002 (6) SCALE 165</b:Year>
    <b:RefOrder>10</b:RefOrder>
  </b:Source>
  <b:Source>
    <b:Tag>Dan</b:Tag>
    <b:SourceType>Report</b:SourceType>
    <b:Guid>{E4753FB6-D49F-41B9-BC4B-0717DCDAD58E}</b:Guid>
    <b:Title>Danial Latifi and another v. Union of India</b:Title>
    <b:Author>
      <b:Author>
        <b:NameList>
          <b:Person>
            <b:Last>SCC</b:Last>
          </b:Person>
        </b:NameList>
      </b:Author>
    </b:Author>
    <b:Year>(2001) 7 SCC 740</b:Year>
    <b:RefOrder>9</b:RefOrder>
  </b:Source>
  <b:Source>
    <b:Tag>SCC556</b:Tag>
    <b:SourceType>Report</b:SourceType>
    <b:Guid>{7530B880-249C-49FA-BAA2-F0C3B4960D5F}</b:Guid>
    <b:Title>Mohd. Ahmed Khan vs Shah Bano Begum And Ors</b:Title>
    <b:Year>1985 SCC (2) 556</b:Year>
    <b:Author>
      <b:Author>
        <b:NameList>
          <b:Person>
            <b:Last>SCC</b:Last>
          </b:Person>
        </b:NameList>
      </b:Author>
    </b:Author>
    <b:RefOrder>8</b:RefOrder>
  </b:Source>
  <b:Source>
    <b:Tag>www12</b:Tag>
    <b:SourceType>Report</b:SourceType>
    <b:Guid>{6225C023-4DCF-40A7-A05F-089A2E150F35}</b:Guid>
    <b:Author>
      <b:Author>
        <b:NameList>
          <b:Person>
            <b:Last>www.judis.nic.in</b:Last>
          </b:Person>
        </b:NameList>
      </b:Author>
    </b:Author>
    <b:Title>Shamim Bano vs Asraf Khan</b:Title>
    <b:Year>CRIMINAL APPEAL NO.820 OF 2014 (Arising out of S.L.P. (Criminal) No. 4377 of 2012)</b:Year>
    <b:RefOrder>11</b:RefOrder>
  </b:Source>
  <b:Source>
    <b:Tag>Hof13</b:Tag>
    <b:SourceType>ArticleInAPeriodical</b:SourceType>
    <b:Guid>{6FC922C7-9816-40D4-8AD1-20279AB72A82}</b:Guid>
    <b:Author>
      <b:Author>
        <b:NameList>
          <b:Person>
            <b:Last>Hoffman</b:Last>
          </b:Person>
        </b:NameList>
      </b:Author>
    </b:Author>
    <b:Title>Wathful eye in nursing homes</b:Title>
    <b:Year>2013</b:Year>
    <b:Medium>English</b:Medium>
    <b:PeriodicalTitle>New York Times &amp; http://well.blogs.nytimes.com/2013/11/18/watchful-eye-in-nursing-homes/?_r=0, Accessed on 26th March, 2016</b:PeriodicalTitle>
    <b:Month>November</b:Month>
    <b:Day>18th at 4:31 PM</b:Day>
    <b:RefOrder>7</b:RefOrder>
  </b:Source>
</b:Sources>
</file>

<file path=customXml/itemProps1.xml><?xml version="1.0" encoding="utf-8"?>
<ds:datastoreItem xmlns:ds="http://schemas.openxmlformats.org/officeDocument/2006/customXml" ds:itemID="{6506F35C-4D3F-4549-86CF-B90BF81DC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[HALREV] TEMPLATE 2021</Template>
  <TotalTime>127</TotalTime>
  <Pages>12</Pages>
  <Words>5388</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36028</CharactersWithSpaces>
  <SharedDoc>false</SharedDoc>
  <HLinks>
    <vt:vector size="36" baseType="variant">
      <vt:variant>
        <vt:i4>2490476</vt:i4>
      </vt:variant>
      <vt:variant>
        <vt:i4>12</vt:i4>
      </vt:variant>
      <vt:variant>
        <vt:i4>0</vt:i4>
      </vt:variant>
      <vt:variant>
        <vt:i4>5</vt:i4>
      </vt:variant>
      <vt:variant>
        <vt:lpwstr>http://www.bbc.co.uk/indonesia/berita_indonesia/2012/12/121205_noken</vt:lpwstr>
      </vt:variant>
      <vt:variant>
        <vt:lpwstr/>
      </vt:variant>
      <vt:variant>
        <vt:i4>2424875</vt:i4>
      </vt:variant>
      <vt:variant>
        <vt:i4>9</vt:i4>
      </vt:variant>
      <vt:variant>
        <vt:i4>0</vt:i4>
      </vt:variant>
      <vt:variant>
        <vt:i4>5</vt:i4>
      </vt:variant>
      <vt:variant>
        <vt:lpwstr>http://dx.doi.org/10. 20956/halrev.v1n1.212</vt:lpwstr>
      </vt:variant>
      <vt:variant>
        <vt:lpwstr/>
      </vt:variant>
      <vt:variant>
        <vt:i4>7667718</vt:i4>
      </vt:variant>
      <vt:variant>
        <vt:i4>6</vt:i4>
      </vt:variant>
      <vt:variant>
        <vt:i4>0</vt:i4>
      </vt:variant>
      <vt:variant>
        <vt:i4>5</vt:i4>
      </vt:variant>
      <vt:variant>
        <vt:lpwstr>mailto:ahsanyunus@unhas.ac.id</vt:lpwstr>
      </vt:variant>
      <vt:variant>
        <vt:lpwstr/>
      </vt:variant>
      <vt:variant>
        <vt:i4>8126475</vt:i4>
      </vt:variant>
      <vt:variant>
        <vt:i4>3</vt:i4>
      </vt:variant>
      <vt:variant>
        <vt:i4>0</vt:i4>
      </vt:variant>
      <vt:variant>
        <vt:i4>5</vt:i4>
      </vt:variant>
      <vt:variant>
        <vt:lpwstr>mailto:aarne.puisto@gmail.com</vt:lpwstr>
      </vt:variant>
      <vt:variant>
        <vt:lpwstr/>
      </vt:variant>
      <vt:variant>
        <vt:i4>1048617</vt:i4>
      </vt:variant>
      <vt:variant>
        <vt:i4>0</vt:i4>
      </vt:variant>
      <vt:variant>
        <vt:i4>0</vt:i4>
      </vt:variant>
      <vt:variant>
        <vt:i4>5</vt:i4>
      </vt:variant>
      <vt:variant>
        <vt:lpwstr>mailto:irwansyahrawydharma@yahoo.com</vt:lpwstr>
      </vt:variant>
      <vt:variant>
        <vt:lpwstr/>
      </vt:variant>
      <vt:variant>
        <vt:i4>2424875</vt:i4>
      </vt:variant>
      <vt:variant>
        <vt:i4>0</vt:i4>
      </vt:variant>
      <vt:variant>
        <vt:i4>0</vt:i4>
      </vt:variant>
      <vt:variant>
        <vt:i4>5</vt:i4>
      </vt:variant>
      <vt:variant>
        <vt:lpwstr>http://dx.doi.org/10. 20956/halrev.v1n1.212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dc:creator>
  <cp:lastModifiedBy>ACER</cp:lastModifiedBy>
  <cp:revision>12</cp:revision>
  <cp:lastPrinted>2022-02-09T13:22:00Z</cp:lastPrinted>
  <dcterms:created xsi:type="dcterms:W3CDTF">2022-07-22T16:57:00Z</dcterms:created>
  <dcterms:modified xsi:type="dcterms:W3CDTF">2022-07-24T19:49:00Z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f6713fc7-c890-3437-ad50-96a8466b5a4a</vt:lpwstr>
  </property>
  <property fmtid="{D5CDD505-2E9C-101B-9397-08002B2CF9AE}" pid="4" name="Mendeley Citation Style_1">
    <vt:lpwstr>http://www.zotero.org/styles/chicago-fullnote-bibliography</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