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FCF3"/>
  <w:body>
    <w:p w:rsidR="004B1F20" w:rsidRDefault="004B1F20" w:rsidP="003A0113">
      <w:pPr>
        <w:pStyle w:val="Heading3"/>
        <w:spacing w:before="0" w:after="0" w:line="240" w:lineRule="auto"/>
        <w:jc w:val="both"/>
        <w:rPr>
          <w:rStyle w:val="Heading1Char"/>
          <w:rFonts w:asciiTheme="majorHAnsi" w:hAnsiTheme="majorHAnsi" w:cstheme="majorHAnsi"/>
          <w:b/>
          <w:sz w:val="36"/>
          <w:lang w:val="id-ID"/>
        </w:rPr>
      </w:pPr>
      <w:bookmarkStart w:id="0" w:name="_Toc292564709"/>
      <w:bookmarkStart w:id="1" w:name="_Toc1"/>
    </w:p>
    <w:p w:rsidR="00AF20D0" w:rsidRPr="00AF20D0" w:rsidRDefault="00B619BB" w:rsidP="004B1F20">
      <w:pPr>
        <w:pStyle w:val="ListParagraph"/>
        <w:spacing w:after="0" w:line="240" w:lineRule="auto"/>
        <w:ind w:left="0"/>
        <w:contextualSpacing w:val="0"/>
        <w:rPr>
          <w:rFonts w:ascii="Book Antiqua" w:hAnsi="Book Antiqua" w:cs="Calibri"/>
          <w:b/>
          <w:iCs/>
          <w:color w:val="000000" w:themeColor="text1"/>
          <w:sz w:val="28"/>
        </w:rPr>
      </w:pPr>
      <w:r w:rsidRPr="00B619BB">
        <w:rPr>
          <w:rFonts w:ascii="Book Antiqua" w:hAnsi="Book Antiqua" w:cs="Calibri"/>
          <w:b/>
          <w:iCs/>
          <w:color w:val="000000" w:themeColor="text1"/>
          <w:sz w:val="32"/>
        </w:rPr>
        <w:t xml:space="preserve">CRIME SETTLEMENT OF </w:t>
      </w:r>
      <w:r w:rsidR="006E7C55" w:rsidRPr="006E7C55">
        <w:rPr>
          <w:rFonts w:ascii="Book Antiqua" w:hAnsi="Book Antiqua" w:cs="Calibri"/>
          <w:b/>
          <w:i/>
          <w:iCs/>
          <w:color w:val="000000" w:themeColor="text1"/>
          <w:sz w:val="32"/>
        </w:rPr>
        <w:t>KHALWAT</w:t>
      </w:r>
      <w:r w:rsidRPr="00B619BB">
        <w:rPr>
          <w:rFonts w:ascii="Book Antiqua" w:hAnsi="Book Antiqua" w:cs="Calibri"/>
          <w:b/>
          <w:iCs/>
          <w:color w:val="000000" w:themeColor="text1"/>
          <w:sz w:val="32"/>
        </w:rPr>
        <w:t xml:space="preserve"> IN ACEH</w:t>
      </w:r>
    </w:p>
    <w:p w:rsidR="00AF20D0" w:rsidRDefault="00AF20D0" w:rsidP="004B1F20">
      <w:pPr>
        <w:pStyle w:val="ListParagraph"/>
        <w:spacing w:after="0" w:line="240" w:lineRule="auto"/>
        <w:ind w:left="0"/>
        <w:contextualSpacing w:val="0"/>
        <w:rPr>
          <w:rFonts w:ascii="Book Antiqua" w:hAnsi="Book Antiqua" w:cs="Calibri"/>
          <w:b/>
          <w:iCs/>
          <w:color w:val="000000" w:themeColor="text1"/>
          <w:sz w:val="28"/>
        </w:rPr>
      </w:pPr>
    </w:p>
    <w:p w:rsidR="004B1F20" w:rsidRPr="00E873C0" w:rsidRDefault="00AE617A" w:rsidP="004B1F20">
      <w:pPr>
        <w:spacing w:after="0" w:line="240" w:lineRule="auto"/>
        <w:rPr>
          <w:rFonts w:ascii="Book Antiqua" w:hAnsi="Book Antiqua"/>
          <w:b/>
          <w:bCs/>
          <w:sz w:val="24"/>
          <w:szCs w:val="24"/>
          <w:vertAlign w:val="superscript"/>
        </w:rPr>
      </w:pPr>
      <w:r w:rsidRPr="00AE617A">
        <w:rPr>
          <w:rFonts w:ascii="Book Antiqua" w:hAnsi="Book Antiqua"/>
          <w:b/>
          <w:bCs/>
          <w:sz w:val="24"/>
          <w:szCs w:val="24"/>
        </w:rPr>
        <w:t>Mahdi Abdullah Syihab</w:t>
      </w:r>
      <w:r>
        <w:rPr>
          <w:rFonts w:ascii="Book Antiqua" w:hAnsi="Book Antiqua"/>
          <w:b/>
          <w:bCs/>
          <w:sz w:val="24"/>
          <w:szCs w:val="24"/>
          <w:vertAlign w:val="superscript"/>
        </w:rPr>
        <w:t>1</w:t>
      </w:r>
      <w:r w:rsidRPr="00AE617A">
        <w:rPr>
          <w:rFonts w:ascii="Book Antiqua" w:hAnsi="Book Antiqua"/>
          <w:b/>
          <w:bCs/>
          <w:sz w:val="24"/>
          <w:szCs w:val="24"/>
        </w:rPr>
        <w:t xml:space="preserve"> *</w:t>
      </w:r>
    </w:p>
    <w:p w:rsidR="004B1F20" w:rsidRPr="00BD6EB6" w:rsidRDefault="004B1F20" w:rsidP="004B1F20">
      <w:pPr>
        <w:spacing w:after="0" w:line="240" w:lineRule="auto"/>
        <w:rPr>
          <w:rFonts w:ascii="Book Antiqua" w:hAnsi="Book Antiqua"/>
          <w:b/>
          <w:bCs/>
          <w:szCs w:val="22"/>
          <w:lang w:val="es-CO"/>
        </w:rPr>
      </w:pPr>
    </w:p>
    <w:p w:rsidR="004B1F20" w:rsidRDefault="00446AFC" w:rsidP="00AE617A">
      <w:pPr>
        <w:spacing w:after="0" w:line="360" w:lineRule="auto"/>
        <w:rPr>
          <w:rFonts w:ascii="Book Antiqua" w:hAnsi="Book Antiqua"/>
          <w:bCs/>
          <w:szCs w:val="24"/>
        </w:rPr>
      </w:pPr>
      <w:r w:rsidRPr="001D6CFF">
        <w:rPr>
          <w:bCs/>
          <w:i/>
          <w:iCs/>
          <w:noProof/>
          <w:color w:val="000000" w:themeColor="text1"/>
          <w:lang w:bidi="ar-SA"/>
        </w:rPr>
        <w:drawing>
          <wp:anchor distT="0" distB="0" distL="114300" distR="114300" simplePos="0" relativeHeight="251660288" behindDoc="1" locked="0" layoutInCell="1" allowOverlap="1" wp14:anchorId="1FB574E4" wp14:editId="0F521EAB">
            <wp:simplePos x="0" y="0"/>
            <wp:positionH relativeFrom="margin">
              <wp:posOffset>5722620</wp:posOffset>
            </wp:positionH>
            <wp:positionV relativeFrom="paragraph">
              <wp:posOffset>67310</wp:posOffset>
            </wp:positionV>
            <wp:extent cx="426720" cy="445770"/>
            <wp:effectExtent l="0" t="0" r="0" b="0"/>
            <wp:wrapNone/>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6720" cy="445770"/>
                    </a:xfrm>
                    <a:prstGeom prst="rect">
                      <a:avLst/>
                    </a:prstGeom>
                  </pic:spPr>
                </pic:pic>
              </a:graphicData>
            </a:graphic>
            <wp14:sizeRelH relativeFrom="page">
              <wp14:pctWidth>0</wp14:pctWidth>
            </wp14:sizeRelH>
            <wp14:sizeRelV relativeFrom="page">
              <wp14:pctHeight>0</wp14:pctHeight>
            </wp14:sizeRelV>
          </wp:anchor>
        </w:drawing>
      </w:r>
      <w:proofErr w:type="gramStart"/>
      <w:r w:rsidR="00AE617A">
        <w:rPr>
          <w:rFonts w:ascii="Book Antiqua" w:hAnsi="Book Antiqua"/>
          <w:bCs/>
          <w:szCs w:val="24"/>
          <w:vertAlign w:val="superscript"/>
        </w:rPr>
        <w:t>1</w:t>
      </w:r>
      <w:r w:rsidR="00AE617A" w:rsidRPr="008D798C">
        <w:rPr>
          <w:rFonts w:ascii="Book Antiqua" w:hAnsi="Book Antiqua"/>
          <w:bCs/>
          <w:szCs w:val="24"/>
        </w:rPr>
        <w:t xml:space="preserve">Faculty of Sharia, </w:t>
      </w:r>
      <w:proofErr w:type="spellStart"/>
      <w:r w:rsidR="00AE617A" w:rsidRPr="008D798C">
        <w:rPr>
          <w:rFonts w:ascii="Book Antiqua" w:hAnsi="Book Antiqua"/>
          <w:bCs/>
          <w:szCs w:val="24"/>
        </w:rPr>
        <w:t>Institut</w:t>
      </w:r>
      <w:proofErr w:type="spellEnd"/>
      <w:r w:rsidR="00AE617A" w:rsidRPr="008D798C">
        <w:rPr>
          <w:rFonts w:ascii="Book Antiqua" w:hAnsi="Book Antiqua"/>
          <w:bCs/>
          <w:szCs w:val="24"/>
        </w:rPr>
        <w:t xml:space="preserve"> Agama Islam </w:t>
      </w:r>
      <w:proofErr w:type="spellStart"/>
      <w:r w:rsidR="00AE617A" w:rsidRPr="008D798C">
        <w:rPr>
          <w:rFonts w:ascii="Book Antiqua" w:hAnsi="Book Antiqua"/>
          <w:bCs/>
          <w:szCs w:val="24"/>
        </w:rPr>
        <w:t>Negeri</w:t>
      </w:r>
      <w:proofErr w:type="spellEnd"/>
      <w:r w:rsidR="00AE617A" w:rsidRPr="008D798C">
        <w:rPr>
          <w:rFonts w:ascii="Book Antiqua" w:hAnsi="Book Antiqua"/>
          <w:bCs/>
          <w:szCs w:val="24"/>
        </w:rPr>
        <w:t xml:space="preserve"> (IAIN) </w:t>
      </w:r>
      <w:proofErr w:type="spellStart"/>
      <w:r w:rsidR="00AE617A" w:rsidRPr="008D798C">
        <w:rPr>
          <w:rFonts w:ascii="Book Antiqua" w:hAnsi="Book Antiqua"/>
          <w:bCs/>
          <w:szCs w:val="24"/>
        </w:rPr>
        <w:t>Lhokseumawe</w:t>
      </w:r>
      <w:proofErr w:type="spellEnd"/>
      <w:r w:rsidR="00AE617A" w:rsidRPr="008D798C">
        <w:rPr>
          <w:rFonts w:ascii="Book Antiqua" w:hAnsi="Book Antiqua"/>
          <w:bCs/>
          <w:szCs w:val="24"/>
        </w:rPr>
        <w:t>, Aceh Province</w:t>
      </w:r>
      <w:r w:rsidR="00AE617A" w:rsidRPr="00F14211">
        <w:rPr>
          <w:rFonts w:ascii="Book Antiqua" w:hAnsi="Book Antiqua"/>
          <w:bCs/>
          <w:szCs w:val="24"/>
        </w:rPr>
        <w:t>.</w:t>
      </w:r>
      <w:proofErr w:type="gramEnd"/>
    </w:p>
    <w:p w:rsidR="009001C8" w:rsidRPr="00023DA6" w:rsidRDefault="004B1F20" w:rsidP="00023DA6">
      <w:pPr>
        <w:spacing w:after="0" w:line="240" w:lineRule="auto"/>
        <w:rPr>
          <w:rStyle w:val="Hyperlink"/>
          <w:rFonts w:ascii="Book Antiqua" w:hAnsi="Book Antiqua"/>
          <w:bCs/>
          <w:color w:val="000000" w:themeColor="text1"/>
          <w:szCs w:val="24"/>
          <w:u w:val="none"/>
        </w:rPr>
      </w:pPr>
      <w:r>
        <w:rPr>
          <w:rFonts w:ascii="Book Antiqua" w:hAnsi="Book Antiqua"/>
          <w:bCs/>
          <w:sz w:val="18"/>
          <w:szCs w:val="24"/>
        </w:rPr>
        <w:t xml:space="preserve"> </w:t>
      </w:r>
      <w:r w:rsidRPr="001F3E8E">
        <w:rPr>
          <w:rFonts w:ascii="Book Antiqua" w:hAnsi="Book Antiqua"/>
          <w:bCs/>
          <w:i/>
          <w:iCs/>
          <w:noProof/>
          <w:color w:val="000000" w:themeColor="text1"/>
          <w:lang w:bidi="ar-SA"/>
        </w:rPr>
        <w:drawing>
          <wp:anchor distT="0" distB="0" distL="114300" distR="114300" simplePos="0" relativeHeight="251661312" behindDoc="0" locked="0" layoutInCell="1" allowOverlap="1" wp14:anchorId="5C6F3B0E" wp14:editId="323981BC">
            <wp:simplePos x="0" y="0"/>
            <wp:positionH relativeFrom="column">
              <wp:posOffset>0</wp:posOffset>
            </wp:positionH>
            <wp:positionV relativeFrom="paragraph">
              <wp:posOffset>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sz w:val="18"/>
          <w:szCs w:val="24"/>
        </w:rPr>
        <w:t xml:space="preserve">       </w:t>
      </w:r>
      <w:r w:rsidRPr="00F14211">
        <w:rPr>
          <w:rFonts w:ascii="Book Antiqua" w:hAnsi="Book Antiqua"/>
          <w:bCs/>
          <w:szCs w:val="24"/>
        </w:rPr>
        <w:t>:</w:t>
      </w:r>
      <w:r w:rsidRPr="00F14211">
        <w:rPr>
          <w:rFonts w:ascii="Book Antiqua" w:hAnsi="Book Antiqua"/>
          <w:bCs/>
          <w:szCs w:val="24"/>
          <w:vertAlign w:val="superscript"/>
        </w:rPr>
        <w:t xml:space="preserve"> </w:t>
      </w:r>
      <w:r w:rsidR="00AE617A" w:rsidRPr="00AE617A">
        <w:rPr>
          <w:rStyle w:val="Hyperlink"/>
          <w:rFonts w:ascii="Book Antiqua" w:hAnsi="Book Antiqua"/>
          <w:color w:val="000000" w:themeColor="text1"/>
          <w:sz w:val="20"/>
          <w:u w:val="none"/>
        </w:rPr>
        <w:t>syihab_69@yahoo.co.id</w:t>
      </w:r>
    </w:p>
    <w:p w:rsidR="00023DA6" w:rsidRPr="00023DA6" w:rsidRDefault="00023DA6" w:rsidP="00023DA6">
      <w:pPr>
        <w:spacing w:after="0" w:line="240" w:lineRule="auto"/>
        <w:ind w:left="426"/>
        <w:rPr>
          <w:rFonts w:ascii="Book Antiqua" w:hAnsi="Book Antiqua"/>
          <w:bCs/>
          <w:szCs w:val="24"/>
          <w:vertAlign w:val="superscript"/>
        </w:rPr>
      </w:pPr>
      <w:r w:rsidRPr="00023DA6">
        <w:rPr>
          <w:rFonts w:ascii="Book Antiqua" w:hAnsi="Book Antiqua"/>
          <w:bCs/>
          <w:sz w:val="20"/>
          <w:szCs w:val="24"/>
        </w:rPr>
        <w:t>Corresponding Author</w:t>
      </w:r>
      <w:r w:rsidRPr="00023DA6">
        <w:rPr>
          <w:rFonts w:ascii="Book Antiqua" w:hAnsi="Book Antiqua"/>
          <w:bCs/>
          <w:sz w:val="20"/>
          <w:szCs w:val="24"/>
          <w:vertAlign w:val="superscript"/>
        </w:rPr>
        <w:t>*</w:t>
      </w:r>
    </w:p>
    <w:tbl>
      <w:tblPr>
        <w:tblW w:w="9639" w:type="dxa"/>
        <w:tblLayout w:type="fixed"/>
        <w:tblLook w:val="04A0" w:firstRow="1" w:lastRow="0" w:firstColumn="1" w:lastColumn="0" w:noHBand="0" w:noVBand="1"/>
      </w:tblPr>
      <w:tblGrid>
        <w:gridCol w:w="2694"/>
        <w:gridCol w:w="96"/>
        <w:gridCol w:w="338"/>
        <w:gridCol w:w="2401"/>
        <w:gridCol w:w="4110"/>
      </w:tblGrid>
      <w:tr w:rsidR="004B1F20" w:rsidRPr="00123036" w:rsidTr="004B1F20">
        <w:tc>
          <w:tcPr>
            <w:tcW w:w="2694" w:type="dxa"/>
            <w:tcBorders>
              <w:bottom w:val="single" w:sz="4" w:space="0" w:color="auto"/>
            </w:tcBorders>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Subm</w:t>
            </w:r>
            <w:r w:rsidR="00DF0E65" w:rsidRPr="00DF0E65">
              <w:rPr>
                <w:rFonts w:ascii="Book Antiqua" w:hAnsi="Book Antiqua"/>
                <w:bCs/>
                <w:i/>
                <w:iCs/>
                <w:color w:val="000000"/>
                <w:sz w:val="20"/>
                <w:szCs w:val="24"/>
              </w:rPr>
              <w:t>itted</w:t>
            </w:r>
            <w:r w:rsidR="004B1F20" w:rsidRPr="00DF0E65">
              <w:rPr>
                <w:rFonts w:ascii="Book Antiqua" w:hAnsi="Book Antiqua"/>
                <w:bCs/>
                <w:i/>
                <w:iCs/>
                <w:color w:val="000000"/>
                <w:sz w:val="20"/>
                <w:szCs w:val="24"/>
              </w:rPr>
              <w:t>:</w:t>
            </w:r>
          </w:p>
        </w:tc>
        <w:tc>
          <w:tcPr>
            <w:tcW w:w="2835" w:type="dxa"/>
            <w:gridSpan w:val="3"/>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lang w:val="id-ID"/>
              </w:rPr>
            </w:pPr>
            <w:r w:rsidRPr="00DF0E65">
              <w:rPr>
                <w:rFonts w:ascii="Book Antiqua" w:hAnsi="Book Antiqua"/>
                <w:bCs/>
                <w:i/>
                <w:iCs/>
                <w:color w:val="000000"/>
                <w:sz w:val="20"/>
                <w:szCs w:val="24"/>
              </w:rPr>
              <w:t>Revised</w:t>
            </w:r>
            <w:r w:rsidR="004B1F20" w:rsidRPr="00DF0E65">
              <w:rPr>
                <w:rFonts w:ascii="Book Antiqua" w:hAnsi="Book Antiqua"/>
                <w:bCs/>
                <w:i/>
                <w:iCs/>
                <w:color w:val="000000"/>
                <w:sz w:val="20"/>
                <w:szCs w:val="24"/>
              </w:rPr>
              <w:t>:</w:t>
            </w:r>
          </w:p>
        </w:tc>
        <w:tc>
          <w:tcPr>
            <w:tcW w:w="4110" w:type="dxa"/>
            <w:tcBorders>
              <w:bottom w:val="single" w:sz="4" w:space="0" w:color="auto"/>
            </w:tcBorders>
            <w:shd w:val="clear" w:color="auto" w:fill="D0CECE" w:themeFill="background2" w:themeFillShade="E6"/>
          </w:tcPr>
          <w:p w:rsidR="004B1F20" w:rsidRPr="00DF0E65" w:rsidRDefault="00DF0E65"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Published</w:t>
            </w:r>
            <w:r w:rsidR="004B1F20" w:rsidRPr="00DF0E65">
              <w:rPr>
                <w:rFonts w:ascii="Book Antiqua" w:hAnsi="Book Antiqua"/>
                <w:bCs/>
                <w:i/>
                <w:iCs/>
                <w:color w:val="000000"/>
                <w:sz w:val="20"/>
                <w:szCs w:val="24"/>
              </w:rPr>
              <w:t>:</w:t>
            </w:r>
          </w:p>
        </w:tc>
      </w:tr>
      <w:tr w:rsidR="004B1F20" w:rsidRPr="00123036" w:rsidTr="00F505F5">
        <w:tc>
          <w:tcPr>
            <w:tcW w:w="2790"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Pr>
                <w:rFonts w:ascii="Book Antiqua" w:hAnsi="Book Antiqua"/>
                <w:b/>
                <w:bCs/>
                <w:i/>
                <w:iCs/>
                <w:color w:val="000000"/>
                <w:szCs w:val="24"/>
                <w:lang w:val="id-ID"/>
              </w:rPr>
              <w:t>Article</w:t>
            </w:r>
            <w:r w:rsidRPr="001D295E">
              <w:rPr>
                <w:rFonts w:ascii="Book Antiqua" w:hAnsi="Book Antiqua"/>
                <w:b/>
                <w:bCs/>
                <w:i/>
                <w:iCs/>
                <w:color w:val="000000"/>
                <w:szCs w:val="24"/>
                <w:lang w:val="id-ID"/>
              </w:rPr>
              <w:t xml:space="preserve"> Info</w:t>
            </w:r>
          </w:p>
        </w:tc>
        <w:tc>
          <w:tcPr>
            <w:tcW w:w="338" w:type="dxa"/>
          </w:tcPr>
          <w:p w:rsidR="004B1F20" w:rsidRPr="001D295E" w:rsidRDefault="004B1F20" w:rsidP="004B1F20">
            <w:pPr>
              <w:spacing w:after="0" w:line="240" w:lineRule="auto"/>
              <w:rPr>
                <w:rFonts w:ascii="Book Antiqua" w:hAnsi="Book Antiqua"/>
                <w:b/>
                <w:bCs/>
                <w:i/>
                <w:iCs/>
                <w:color w:val="000000"/>
                <w:szCs w:val="24"/>
                <w:lang w:val="id-ID"/>
              </w:rPr>
            </w:pPr>
          </w:p>
        </w:tc>
        <w:tc>
          <w:tcPr>
            <w:tcW w:w="6511"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sidRPr="001D295E">
              <w:rPr>
                <w:rFonts w:ascii="Book Antiqua" w:hAnsi="Book Antiqua"/>
                <w:b/>
                <w:bCs/>
                <w:i/>
                <w:iCs/>
                <w:color w:val="000000"/>
                <w:szCs w:val="24"/>
                <w:lang w:val="id-ID"/>
              </w:rPr>
              <w:t>Abstract</w:t>
            </w:r>
          </w:p>
        </w:tc>
      </w:tr>
      <w:tr w:rsidR="00F505F5" w:rsidRPr="00DB3F2B" w:rsidTr="00F505F5">
        <w:trPr>
          <w:trHeight w:val="2551"/>
        </w:trPr>
        <w:tc>
          <w:tcPr>
            <w:tcW w:w="2790" w:type="dxa"/>
            <w:gridSpan w:val="2"/>
            <w:vMerge w:val="restart"/>
            <w:shd w:val="clear" w:color="auto" w:fill="B4C6E7" w:themeFill="accent1" w:themeFillTint="66"/>
          </w:tcPr>
          <w:p w:rsidR="00F505F5" w:rsidRPr="00DB3F2B" w:rsidRDefault="00F505F5" w:rsidP="004B1F20">
            <w:pPr>
              <w:tabs>
                <w:tab w:val="left" w:pos="330"/>
              </w:tabs>
              <w:spacing w:after="0" w:line="240" w:lineRule="auto"/>
              <w:rPr>
                <w:rFonts w:ascii="Book Antiqua" w:hAnsi="Book Antiqua"/>
                <w:b/>
                <w:bCs/>
                <w:i/>
                <w:iCs/>
                <w:color w:val="000000"/>
                <w:lang w:val="id-ID"/>
              </w:rPr>
            </w:pPr>
          </w:p>
          <w:p w:rsidR="00F505F5" w:rsidRPr="00276F68" w:rsidRDefault="00F505F5" w:rsidP="004B1F20">
            <w:pPr>
              <w:tabs>
                <w:tab w:val="left" w:pos="330"/>
              </w:tabs>
              <w:spacing w:after="0" w:line="240" w:lineRule="auto"/>
              <w:rPr>
                <w:rFonts w:ascii="Book Antiqua" w:hAnsi="Book Antiqua"/>
                <w:b/>
                <w:bCs/>
                <w:i/>
                <w:iCs/>
                <w:color w:val="000000" w:themeColor="text1"/>
                <w:lang w:val="id-ID"/>
              </w:rPr>
            </w:pPr>
            <w:r w:rsidRPr="00276F68">
              <w:rPr>
                <w:rFonts w:ascii="Book Antiqua" w:hAnsi="Book Antiqua"/>
                <w:b/>
                <w:bCs/>
                <w:i/>
                <w:iCs/>
                <w:color w:val="000000" w:themeColor="text1"/>
                <w:lang w:val="id-ID"/>
              </w:rPr>
              <w:t>Keywords:</w:t>
            </w:r>
          </w:p>
          <w:p w:rsidR="00F505F5" w:rsidRDefault="00B619BB" w:rsidP="004B1F20">
            <w:pPr>
              <w:tabs>
                <w:tab w:val="left" w:pos="330"/>
              </w:tabs>
              <w:spacing w:after="0" w:line="240" w:lineRule="auto"/>
              <w:rPr>
                <w:rFonts w:ascii="Book Antiqua" w:hAnsi="Book Antiqua"/>
                <w:i/>
              </w:rPr>
            </w:pPr>
            <w:r w:rsidRPr="00B619BB">
              <w:rPr>
                <w:rFonts w:ascii="Book Antiqua" w:hAnsi="Book Antiqua"/>
                <w:i/>
              </w:rPr>
              <w:t>settlement; application; criminal act; seclusion; Aceh</w:t>
            </w: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Pr="003E3D3C" w:rsidRDefault="00F505F5" w:rsidP="004B1F20">
            <w:pPr>
              <w:tabs>
                <w:tab w:val="left" w:pos="330"/>
              </w:tabs>
              <w:spacing w:after="0" w:line="240" w:lineRule="auto"/>
              <w:rPr>
                <w:rFonts w:ascii="Book Antiqua" w:hAnsi="Book Antiqua"/>
                <w:bCs/>
                <w:i/>
                <w:iCs/>
                <w:color w:val="000000"/>
              </w:rPr>
            </w:pPr>
          </w:p>
        </w:tc>
        <w:tc>
          <w:tcPr>
            <w:tcW w:w="338" w:type="dxa"/>
          </w:tcPr>
          <w:p w:rsidR="00F505F5" w:rsidRPr="00DB3F2B" w:rsidRDefault="00F505F5" w:rsidP="004B1F20">
            <w:pPr>
              <w:spacing w:after="0" w:line="240" w:lineRule="auto"/>
              <w:jc w:val="both"/>
              <w:rPr>
                <w:rFonts w:ascii="Book Antiqua" w:hAnsi="Book Antiqua"/>
                <w:i/>
                <w:sz w:val="24"/>
                <w:szCs w:val="24"/>
                <w:lang w:val="id-ID"/>
              </w:rPr>
            </w:pPr>
          </w:p>
        </w:tc>
        <w:tc>
          <w:tcPr>
            <w:tcW w:w="6511" w:type="dxa"/>
            <w:gridSpan w:val="2"/>
            <w:vMerge w:val="restart"/>
            <w:tcBorders>
              <w:top w:val="single" w:sz="4" w:space="0" w:color="auto"/>
              <w:bottom w:val="single" w:sz="4" w:space="0" w:color="auto"/>
            </w:tcBorders>
            <w:shd w:val="clear" w:color="auto" w:fill="auto"/>
          </w:tcPr>
          <w:p w:rsidR="00F505F5" w:rsidRPr="00F505F5" w:rsidRDefault="00461F3D" w:rsidP="004B1F20">
            <w:pPr>
              <w:spacing w:after="0" w:line="240" w:lineRule="auto"/>
              <w:ind w:right="-108"/>
              <w:jc w:val="both"/>
              <w:rPr>
                <w:rFonts w:ascii="Book Antiqua" w:hAnsi="Book Antiqua"/>
                <w:b/>
                <w:i/>
              </w:rPr>
            </w:pPr>
            <w:r>
              <w:rPr>
                <w:rFonts w:ascii="Book Antiqua" w:hAnsi="Book Antiqua"/>
                <w:b/>
                <w:i/>
                <w:color w:val="2F5496" w:themeColor="accent1" w:themeShade="BF"/>
              </w:rPr>
              <w:t>Introductio</w:t>
            </w:r>
            <w:r w:rsidR="00F505F5" w:rsidRPr="00F505F5">
              <w:rPr>
                <w:rFonts w:ascii="Book Antiqua" w:hAnsi="Book Antiqua"/>
                <w:b/>
                <w:i/>
                <w:color w:val="2F5496" w:themeColor="accent1" w:themeShade="BF"/>
              </w:rPr>
              <w:t xml:space="preserve">n: </w:t>
            </w:r>
            <w:proofErr w:type="spellStart"/>
            <w:r w:rsidR="006E7C55" w:rsidRPr="006E7C55">
              <w:rPr>
                <w:rFonts w:ascii="Book Antiqua" w:hAnsi="Book Antiqua"/>
                <w:i/>
              </w:rPr>
              <w:t>Khalwat</w:t>
            </w:r>
            <w:proofErr w:type="spellEnd"/>
            <w:r w:rsidR="00B619BB" w:rsidRPr="00B619BB">
              <w:rPr>
                <w:rFonts w:ascii="Book Antiqua" w:hAnsi="Book Antiqua"/>
                <w:i/>
              </w:rPr>
              <w:t xml:space="preserve"> (Seclusion) is a despicable act that violates Islamic law because it leads to adultery. However, </w:t>
            </w:r>
            <w:proofErr w:type="spellStart"/>
            <w:r w:rsidR="00B619BB" w:rsidRPr="00B619BB">
              <w:rPr>
                <w:rFonts w:ascii="Book Antiqua" w:hAnsi="Book Antiqua"/>
                <w:i/>
              </w:rPr>
              <w:t>Qanun</w:t>
            </w:r>
            <w:proofErr w:type="spellEnd"/>
            <w:r w:rsidR="00B619BB" w:rsidRPr="00B619BB">
              <w:rPr>
                <w:rFonts w:ascii="Book Antiqua" w:hAnsi="Book Antiqua"/>
                <w:i/>
              </w:rPr>
              <w:t xml:space="preserve"> No. 6 of 2014 concerning </w:t>
            </w:r>
            <w:proofErr w:type="spellStart"/>
            <w:r w:rsidR="006E7C55" w:rsidRPr="006E7C55">
              <w:rPr>
                <w:rFonts w:ascii="Book Antiqua" w:hAnsi="Book Antiqua"/>
                <w:i/>
              </w:rPr>
              <w:t>Jinayat</w:t>
            </w:r>
            <w:proofErr w:type="spellEnd"/>
            <w:r w:rsidR="00B619BB" w:rsidRPr="00B619BB">
              <w:rPr>
                <w:rFonts w:ascii="Book Antiqua" w:hAnsi="Book Antiqua"/>
                <w:i/>
              </w:rPr>
              <w:t xml:space="preserve"> Law stipulates that the settlement of </w:t>
            </w:r>
            <w:proofErr w:type="spellStart"/>
            <w:r w:rsidR="006E7C55" w:rsidRPr="006E7C55">
              <w:rPr>
                <w:rFonts w:ascii="Book Antiqua" w:hAnsi="Book Antiqua"/>
                <w:i/>
              </w:rPr>
              <w:t>khalwat</w:t>
            </w:r>
            <w:proofErr w:type="spellEnd"/>
            <w:r w:rsidR="00B619BB" w:rsidRPr="00B619BB">
              <w:rPr>
                <w:rFonts w:ascii="Book Antiqua" w:hAnsi="Book Antiqua"/>
                <w:i/>
              </w:rPr>
              <w:t xml:space="preserve"> must go first through the Customary Court so that the punishment applied is not Islamic law punishment, such as </w:t>
            </w:r>
            <w:proofErr w:type="spellStart"/>
            <w:r w:rsidR="00B619BB" w:rsidRPr="00B619BB">
              <w:rPr>
                <w:rFonts w:ascii="Book Antiqua" w:hAnsi="Book Antiqua"/>
                <w:i/>
              </w:rPr>
              <w:t>ta`zir</w:t>
            </w:r>
            <w:proofErr w:type="spellEnd"/>
            <w:r w:rsidR="00B619BB" w:rsidRPr="00B619BB">
              <w:rPr>
                <w:rFonts w:ascii="Book Antiqua" w:hAnsi="Book Antiqua"/>
                <w:i/>
              </w:rPr>
              <w:t>, but customary punishment</w:t>
            </w:r>
            <w:r w:rsidR="00B619BB">
              <w:rPr>
                <w:rFonts w:ascii="Book Antiqua" w:hAnsi="Book Antiqua"/>
                <w:i/>
              </w:rPr>
              <w:t>.</w:t>
            </w:r>
          </w:p>
          <w:p w:rsidR="00F505F5" w:rsidRPr="00F505F5" w:rsidRDefault="00F505F5" w:rsidP="004B1F20">
            <w:pPr>
              <w:spacing w:after="0" w:line="240" w:lineRule="auto"/>
              <w:ind w:right="-108"/>
              <w:jc w:val="both"/>
              <w:rPr>
                <w:rFonts w:ascii="Book Antiqua" w:hAnsi="Book Antiqua"/>
                <w:bCs/>
                <w:i/>
              </w:rPr>
            </w:pPr>
            <w:r w:rsidRPr="00F505F5">
              <w:rPr>
                <w:rFonts w:ascii="Book Antiqua" w:hAnsi="Book Antiqua"/>
                <w:b/>
                <w:i/>
                <w:color w:val="2F5496" w:themeColor="accent1" w:themeShade="BF"/>
              </w:rPr>
              <w:t>Purposes of the Research</w:t>
            </w:r>
            <w:r w:rsidRPr="00F505F5">
              <w:rPr>
                <w:rFonts w:ascii="Book Antiqua" w:hAnsi="Book Antiqua"/>
                <w:b/>
                <w:bCs/>
                <w:i/>
                <w:color w:val="2F5496" w:themeColor="accent1" w:themeShade="BF"/>
              </w:rPr>
              <w:t xml:space="preserve">: </w:t>
            </w:r>
            <w:r w:rsidRPr="00F505F5">
              <w:rPr>
                <w:rFonts w:ascii="Book Antiqua" w:hAnsi="Book Antiqua"/>
                <w:b/>
                <w:bCs/>
                <w:i/>
              </w:rPr>
              <w:t xml:space="preserve"> </w:t>
            </w:r>
            <w:r w:rsidR="00B619BB" w:rsidRPr="00B619BB">
              <w:rPr>
                <w:rFonts w:ascii="Book Antiqua" w:hAnsi="Book Antiqua"/>
                <w:i/>
              </w:rPr>
              <w:t>This study aims to analyze the mechanism for resolving the crime of seclusion in Aceh</w:t>
            </w:r>
            <w:r w:rsidR="00B619BB">
              <w:rPr>
                <w:rFonts w:ascii="Book Antiqua" w:hAnsi="Book Antiqua"/>
                <w:i/>
              </w:rPr>
              <w:t>.</w:t>
            </w:r>
          </w:p>
          <w:p w:rsidR="00F505F5" w:rsidRPr="00F505F5" w:rsidRDefault="00F505F5" w:rsidP="004B1F20">
            <w:pPr>
              <w:spacing w:after="0" w:line="240" w:lineRule="auto"/>
              <w:ind w:right="-108"/>
              <w:jc w:val="both"/>
              <w:rPr>
                <w:rFonts w:ascii="Book Antiqua" w:hAnsi="Book Antiqua"/>
                <w:bCs/>
                <w:i/>
              </w:rPr>
            </w:pPr>
            <w:r w:rsidRPr="00F505F5">
              <w:rPr>
                <w:rFonts w:ascii="Book Antiqua" w:hAnsi="Book Antiqua"/>
                <w:b/>
                <w:i/>
                <w:color w:val="2F5496" w:themeColor="accent1" w:themeShade="BF"/>
              </w:rPr>
              <w:t>Methods of the Research</w:t>
            </w:r>
            <w:r w:rsidRPr="00F505F5">
              <w:rPr>
                <w:rFonts w:ascii="Book Antiqua" w:hAnsi="Book Antiqua"/>
                <w:b/>
                <w:bCs/>
                <w:i/>
                <w:color w:val="2F5496" w:themeColor="accent1" w:themeShade="BF"/>
              </w:rPr>
              <w:t xml:space="preserve">: </w:t>
            </w:r>
            <w:r w:rsidR="00B619BB" w:rsidRPr="00B619BB">
              <w:rPr>
                <w:rFonts w:ascii="Book Antiqua" w:hAnsi="Book Antiqua"/>
                <w:i/>
              </w:rPr>
              <w:t>This is normative/doctrinal research using a statutory approach and a comparative approach.</w:t>
            </w:r>
          </w:p>
          <w:p w:rsidR="00E71049" w:rsidRPr="00F70D71" w:rsidRDefault="00E71049" w:rsidP="004B1F20">
            <w:pPr>
              <w:spacing w:after="0" w:line="240" w:lineRule="auto"/>
              <w:ind w:right="-76"/>
              <w:jc w:val="both"/>
              <w:rPr>
                <w:rFonts w:ascii="Book Antiqua" w:hAnsi="Book Antiqua"/>
                <w:bCs/>
                <w:i/>
              </w:rPr>
            </w:pPr>
            <w:r>
              <w:rPr>
                <w:rFonts w:ascii="Book Antiqua" w:hAnsi="Book Antiqua"/>
                <w:b/>
                <w:i/>
                <w:color w:val="2F5496" w:themeColor="accent1" w:themeShade="BF"/>
              </w:rPr>
              <w:t>Results / Main Findings</w:t>
            </w:r>
            <w:r w:rsidR="00F70D71">
              <w:rPr>
                <w:rFonts w:ascii="Book Antiqua" w:hAnsi="Book Antiqua"/>
                <w:b/>
                <w:i/>
                <w:color w:val="2F5496" w:themeColor="accent1" w:themeShade="BF"/>
              </w:rPr>
              <w:t xml:space="preserve"> / </w:t>
            </w:r>
            <w:r w:rsidR="00F70D71" w:rsidRPr="00E71049">
              <w:rPr>
                <w:rFonts w:ascii="Book Antiqua" w:hAnsi="Book Antiqua"/>
                <w:b/>
                <w:i/>
                <w:color w:val="2F5496" w:themeColor="accent1" w:themeShade="BF"/>
              </w:rPr>
              <w:t>Novelty/Originality</w:t>
            </w:r>
            <w:r>
              <w:rPr>
                <w:rFonts w:ascii="Book Antiqua" w:hAnsi="Book Antiqua"/>
                <w:b/>
                <w:i/>
                <w:color w:val="2F5496" w:themeColor="accent1" w:themeShade="BF"/>
              </w:rPr>
              <w:t xml:space="preserve"> </w:t>
            </w:r>
            <w:r w:rsidR="00F505F5" w:rsidRPr="00F505F5">
              <w:rPr>
                <w:rFonts w:ascii="Book Antiqua" w:hAnsi="Book Antiqua"/>
                <w:b/>
                <w:i/>
                <w:color w:val="2F5496" w:themeColor="accent1" w:themeShade="BF"/>
              </w:rPr>
              <w:t>of the Research</w:t>
            </w:r>
            <w:r w:rsidR="00F505F5" w:rsidRPr="00F505F5">
              <w:rPr>
                <w:rFonts w:ascii="Book Antiqua" w:hAnsi="Book Antiqua"/>
                <w:b/>
                <w:bCs/>
                <w:i/>
                <w:color w:val="2F5496" w:themeColor="accent1" w:themeShade="BF"/>
              </w:rPr>
              <w:t>:</w:t>
            </w:r>
            <w:r w:rsidR="00F505F5" w:rsidRPr="00F505F5">
              <w:rPr>
                <w:rFonts w:ascii="Book Antiqua" w:hAnsi="Book Antiqua"/>
                <w:b/>
                <w:bCs/>
                <w:i/>
              </w:rPr>
              <w:t xml:space="preserve"> </w:t>
            </w:r>
            <w:proofErr w:type="spellStart"/>
            <w:r w:rsidR="006E7C55" w:rsidRPr="006E7C55">
              <w:rPr>
                <w:rFonts w:ascii="Book Antiqua" w:hAnsi="Book Antiqua"/>
                <w:i/>
                <w:color w:val="000000" w:themeColor="text1"/>
              </w:rPr>
              <w:t>Khalwat</w:t>
            </w:r>
            <w:proofErr w:type="spellEnd"/>
            <w:r w:rsidR="00B619BB" w:rsidRPr="00B619BB">
              <w:rPr>
                <w:rFonts w:ascii="Book Antiqua" w:hAnsi="Book Antiqua"/>
                <w:i/>
                <w:color w:val="000000" w:themeColor="text1"/>
              </w:rPr>
              <w:t xml:space="preserve"> is a crime (</w:t>
            </w:r>
            <w:proofErr w:type="spellStart"/>
            <w:r w:rsidR="006E7C55" w:rsidRPr="006E7C55">
              <w:rPr>
                <w:rFonts w:ascii="Book Antiqua" w:hAnsi="Book Antiqua"/>
                <w:i/>
                <w:color w:val="000000" w:themeColor="text1"/>
              </w:rPr>
              <w:t>jarimah</w:t>
            </w:r>
            <w:proofErr w:type="spellEnd"/>
            <w:r w:rsidR="00B619BB" w:rsidRPr="00B619BB">
              <w:rPr>
                <w:rFonts w:ascii="Book Antiqua" w:hAnsi="Book Antiqua"/>
                <w:i/>
                <w:color w:val="000000" w:themeColor="text1"/>
              </w:rPr>
              <w:t xml:space="preserve">) that violates Islamic law and it is categorized into </w:t>
            </w:r>
            <w:proofErr w:type="spellStart"/>
            <w:r w:rsidR="006E7C55" w:rsidRPr="006E7C55">
              <w:rPr>
                <w:rFonts w:ascii="Book Antiqua" w:hAnsi="Book Antiqua"/>
                <w:i/>
                <w:color w:val="000000" w:themeColor="text1"/>
              </w:rPr>
              <w:t>jarimah</w:t>
            </w:r>
            <w:proofErr w:type="spellEnd"/>
            <w:r w:rsidR="00B619BB" w:rsidRPr="00B619BB">
              <w:rPr>
                <w:rFonts w:ascii="Book Antiqua" w:hAnsi="Book Antiqua"/>
                <w:i/>
                <w:color w:val="000000" w:themeColor="text1"/>
              </w:rPr>
              <w:t xml:space="preserve"> </w:t>
            </w:r>
            <w:proofErr w:type="spellStart"/>
            <w:r w:rsidR="00B619BB" w:rsidRPr="00B619BB">
              <w:rPr>
                <w:rFonts w:ascii="Book Antiqua" w:hAnsi="Book Antiqua"/>
                <w:i/>
                <w:color w:val="000000" w:themeColor="text1"/>
              </w:rPr>
              <w:t>ta`zir</w:t>
            </w:r>
            <w:proofErr w:type="spellEnd"/>
            <w:r w:rsidR="00B619BB" w:rsidRPr="00B619BB">
              <w:rPr>
                <w:rFonts w:ascii="Book Antiqua" w:hAnsi="Book Antiqua"/>
                <w:i/>
                <w:color w:val="000000" w:themeColor="text1"/>
              </w:rPr>
              <w:t xml:space="preserve">. Settlement of </w:t>
            </w:r>
            <w:proofErr w:type="spellStart"/>
            <w:r w:rsidR="006E7C55" w:rsidRPr="006E7C55">
              <w:rPr>
                <w:rFonts w:ascii="Book Antiqua" w:hAnsi="Book Antiqua"/>
                <w:i/>
                <w:color w:val="000000" w:themeColor="text1"/>
              </w:rPr>
              <w:t>jarimah</w:t>
            </w:r>
            <w:proofErr w:type="spellEnd"/>
            <w:r w:rsidR="00B619BB" w:rsidRPr="00B619BB">
              <w:rPr>
                <w:rFonts w:ascii="Book Antiqua" w:hAnsi="Book Antiqua"/>
                <w:i/>
                <w:color w:val="000000" w:themeColor="text1"/>
              </w:rPr>
              <w:t xml:space="preserve"> seclusion can be carried out by litigation through the </w:t>
            </w:r>
            <w:proofErr w:type="spellStart"/>
            <w:r w:rsidR="00B619BB" w:rsidRPr="00B619BB">
              <w:rPr>
                <w:rFonts w:ascii="Book Antiqua" w:hAnsi="Book Antiqua"/>
                <w:i/>
                <w:color w:val="000000" w:themeColor="text1"/>
              </w:rPr>
              <w:t>Syar'iyah</w:t>
            </w:r>
            <w:proofErr w:type="spellEnd"/>
            <w:r w:rsidR="00B619BB" w:rsidRPr="00B619BB">
              <w:rPr>
                <w:rFonts w:ascii="Book Antiqua" w:hAnsi="Book Antiqua"/>
                <w:i/>
                <w:color w:val="000000" w:themeColor="text1"/>
              </w:rPr>
              <w:t xml:space="preserve"> Court and the settlement goes to customary courts. However, Article 24 of </w:t>
            </w:r>
            <w:proofErr w:type="spellStart"/>
            <w:r w:rsidR="00B619BB" w:rsidRPr="00B619BB">
              <w:rPr>
                <w:rFonts w:ascii="Book Antiqua" w:hAnsi="Book Antiqua"/>
                <w:i/>
                <w:color w:val="000000" w:themeColor="text1"/>
              </w:rPr>
              <w:t>Qanun</w:t>
            </w:r>
            <w:proofErr w:type="spellEnd"/>
            <w:r w:rsidR="00B619BB" w:rsidRPr="00B619BB">
              <w:rPr>
                <w:rFonts w:ascii="Book Antiqua" w:hAnsi="Book Antiqua"/>
                <w:i/>
                <w:color w:val="000000" w:themeColor="text1"/>
              </w:rPr>
              <w:t xml:space="preserve"> Number 6 of 2014 concerning </w:t>
            </w:r>
            <w:proofErr w:type="spellStart"/>
            <w:r w:rsidR="006E7C55" w:rsidRPr="006E7C55">
              <w:rPr>
                <w:rFonts w:ascii="Book Antiqua" w:hAnsi="Book Antiqua"/>
                <w:i/>
                <w:color w:val="000000" w:themeColor="text1"/>
              </w:rPr>
              <w:t>Jinayat</w:t>
            </w:r>
            <w:proofErr w:type="spellEnd"/>
            <w:r w:rsidR="00B619BB" w:rsidRPr="00B619BB">
              <w:rPr>
                <w:rFonts w:ascii="Book Antiqua" w:hAnsi="Book Antiqua"/>
                <w:i/>
                <w:color w:val="000000" w:themeColor="text1"/>
              </w:rPr>
              <w:t xml:space="preserve"> </w:t>
            </w:r>
            <w:proofErr w:type="gramStart"/>
            <w:r w:rsidR="00B619BB" w:rsidRPr="00B619BB">
              <w:rPr>
                <w:rFonts w:ascii="Book Antiqua" w:hAnsi="Book Antiqua"/>
                <w:i/>
                <w:color w:val="000000" w:themeColor="text1"/>
              </w:rPr>
              <w:t>Law,</w:t>
            </w:r>
            <w:proofErr w:type="gramEnd"/>
            <w:r w:rsidR="00B619BB" w:rsidRPr="00B619BB">
              <w:rPr>
                <w:rFonts w:ascii="Book Antiqua" w:hAnsi="Book Antiqua"/>
                <w:i/>
                <w:color w:val="000000" w:themeColor="text1"/>
              </w:rPr>
              <w:t xml:space="preserve"> stipulates that the settlement of criminal acts of seclusion must first be through customary courts. The settlement mechanism for </w:t>
            </w:r>
            <w:proofErr w:type="spellStart"/>
            <w:r w:rsidR="006E7C55" w:rsidRPr="006E7C55">
              <w:rPr>
                <w:rFonts w:ascii="Book Antiqua" w:hAnsi="Book Antiqua"/>
                <w:i/>
                <w:color w:val="000000" w:themeColor="text1"/>
              </w:rPr>
              <w:t>khalwat</w:t>
            </w:r>
            <w:proofErr w:type="spellEnd"/>
            <w:r w:rsidR="00B619BB" w:rsidRPr="00B619BB">
              <w:rPr>
                <w:rFonts w:ascii="Book Antiqua" w:hAnsi="Book Antiqua"/>
                <w:i/>
                <w:color w:val="000000" w:themeColor="text1"/>
              </w:rPr>
              <w:t xml:space="preserve"> is first resolved through customary courts using a deliberation-consensus approach like village meetings, it is usually called </w:t>
            </w:r>
            <w:proofErr w:type="spellStart"/>
            <w:r w:rsidR="00B619BB" w:rsidRPr="00B619BB">
              <w:rPr>
                <w:rFonts w:ascii="Book Antiqua" w:hAnsi="Book Antiqua"/>
                <w:i/>
                <w:color w:val="000000" w:themeColor="text1"/>
              </w:rPr>
              <w:t>Gampong</w:t>
            </w:r>
            <w:proofErr w:type="spellEnd"/>
            <w:r w:rsidR="00B619BB" w:rsidRPr="00B619BB">
              <w:rPr>
                <w:rFonts w:ascii="Book Antiqua" w:hAnsi="Book Antiqua"/>
                <w:i/>
                <w:color w:val="000000" w:themeColor="text1"/>
              </w:rPr>
              <w:t xml:space="preserve"> Customary Meetings (RAG) by executing customary punishments such as penalties of paying fines, feasting, bathing, and the </w:t>
            </w:r>
            <w:proofErr w:type="spellStart"/>
            <w:r w:rsidR="006E7C55" w:rsidRPr="006E7C55">
              <w:rPr>
                <w:rFonts w:ascii="Book Antiqua" w:hAnsi="Book Antiqua"/>
                <w:i/>
                <w:color w:val="000000" w:themeColor="text1"/>
              </w:rPr>
              <w:t>khalwat</w:t>
            </w:r>
            <w:proofErr w:type="spellEnd"/>
            <w:r w:rsidR="00B619BB" w:rsidRPr="00B619BB">
              <w:rPr>
                <w:rFonts w:ascii="Book Antiqua" w:hAnsi="Book Antiqua"/>
                <w:i/>
                <w:color w:val="000000" w:themeColor="text1"/>
              </w:rPr>
              <w:t xml:space="preserve"> couple is forced to get married. The consideration of implementing customary punishment is to solve the case more effectively and efficiently and in return can raise the level of trust and community compliance</w:t>
            </w:r>
            <w:r w:rsidR="00B619BB">
              <w:rPr>
                <w:rFonts w:ascii="Book Antiqua" w:hAnsi="Book Antiqua"/>
                <w:i/>
                <w:color w:val="000000" w:themeColor="text1"/>
              </w:rPr>
              <w:t>.</w:t>
            </w:r>
          </w:p>
        </w:tc>
      </w:tr>
      <w:tr w:rsidR="00F505F5" w:rsidRPr="00DB3F2B" w:rsidTr="00F505F5">
        <w:trPr>
          <w:trHeight w:val="292"/>
        </w:trPr>
        <w:tc>
          <w:tcPr>
            <w:tcW w:w="2790" w:type="dxa"/>
            <w:gridSpan w:val="2"/>
            <w:vMerge/>
            <w:tcBorders>
              <w:bottom w:val="single" w:sz="4" w:space="0" w:color="auto"/>
            </w:tcBorders>
            <w:shd w:val="clear" w:color="auto" w:fill="8EAADB" w:themeFill="accent1" w:themeFillTint="99"/>
          </w:tcPr>
          <w:p w:rsidR="00F505F5" w:rsidRPr="00DB3F2B" w:rsidRDefault="00F505F5" w:rsidP="00EC3AAF">
            <w:pPr>
              <w:rPr>
                <w:rFonts w:ascii="Book Antiqua" w:hAnsi="Book Antiqua"/>
                <w:b/>
                <w:bCs/>
                <w:i/>
                <w:iCs/>
                <w:color w:val="000000"/>
                <w:lang w:val="id-ID"/>
              </w:rPr>
            </w:pPr>
          </w:p>
        </w:tc>
        <w:tc>
          <w:tcPr>
            <w:tcW w:w="338" w:type="dxa"/>
          </w:tcPr>
          <w:p w:rsidR="00F505F5" w:rsidRPr="00DB3F2B" w:rsidRDefault="00F505F5" w:rsidP="00EC3AAF">
            <w:pPr>
              <w:rPr>
                <w:rFonts w:ascii="Book Antiqua" w:hAnsi="Book Antiqua"/>
                <w:b/>
                <w:bCs/>
                <w:i/>
                <w:iCs/>
                <w:color w:val="000000"/>
                <w:sz w:val="24"/>
                <w:szCs w:val="24"/>
                <w:lang w:val="id-ID"/>
              </w:rPr>
            </w:pPr>
          </w:p>
        </w:tc>
        <w:tc>
          <w:tcPr>
            <w:tcW w:w="6511" w:type="dxa"/>
            <w:gridSpan w:val="2"/>
            <w:vMerge/>
            <w:tcBorders>
              <w:bottom w:val="single" w:sz="4" w:space="0" w:color="auto"/>
            </w:tcBorders>
            <w:shd w:val="clear" w:color="auto" w:fill="FBE4D5" w:themeFill="accent2" w:themeFillTint="33"/>
          </w:tcPr>
          <w:p w:rsidR="00F505F5" w:rsidRPr="00DB3F2B" w:rsidRDefault="00F505F5" w:rsidP="00EC3AAF">
            <w:pPr>
              <w:rPr>
                <w:rFonts w:ascii="Book Antiqua" w:hAnsi="Book Antiqua"/>
                <w:b/>
                <w:bCs/>
                <w:i/>
                <w:iCs/>
                <w:color w:val="000000"/>
                <w:sz w:val="24"/>
                <w:szCs w:val="24"/>
                <w:lang w:val="id-ID"/>
              </w:rPr>
            </w:pPr>
          </w:p>
        </w:tc>
      </w:tr>
    </w:tbl>
    <w:p w:rsidR="004B1F20" w:rsidRPr="00D01483" w:rsidRDefault="004B1F20" w:rsidP="00AA1A42">
      <w:pPr>
        <w:spacing w:after="120" w:line="240" w:lineRule="auto"/>
        <w:jc w:val="both"/>
        <w:rPr>
          <w:rFonts w:ascii="Book Antiqua" w:hAnsi="Book Antiqua"/>
          <w:b/>
          <w:bCs/>
          <w:i/>
          <w:iCs/>
          <w:color w:val="FFC000" w:themeColor="accent4"/>
          <w:sz w:val="24"/>
          <w:szCs w:val="24"/>
          <w:lang w:val="id-ID"/>
        </w:rPr>
      </w:pPr>
    </w:p>
    <w:p w:rsidR="004B1F20" w:rsidRPr="00436951" w:rsidRDefault="004B1F20" w:rsidP="004B1F20">
      <w:pPr>
        <w:numPr>
          <w:ilvl w:val="0"/>
          <w:numId w:val="18"/>
        </w:numPr>
        <w:spacing w:after="120" w:line="240" w:lineRule="auto"/>
        <w:ind w:left="284" w:hanging="284"/>
        <w:rPr>
          <w:rFonts w:ascii="Book Antiqua" w:hAnsi="Book Antiqua"/>
          <w:b/>
          <w:bCs/>
          <w:color w:val="4472C4" w:themeColor="accent1"/>
          <w:sz w:val="24"/>
          <w:szCs w:val="22"/>
          <w:lang w:val="id-ID"/>
        </w:rPr>
      </w:pPr>
      <w:r w:rsidRPr="00436951">
        <w:rPr>
          <w:rFonts w:ascii="Book Antiqua" w:hAnsi="Book Antiqua"/>
          <w:b/>
          <w:bCs/>
          <w:color w:val="2F5496" w:themeColor="accent1" w:themeShade="BF"/>
          <w:sz w:val="24"/>
          <w:szCs w:val="24"/>
        </w:rPr>
        <w:t>INTRODUCTION</w:t>
      </w:r>
      <w:r w:rsidRPr="00436951">
        <w:rPr>
          <w:rFonts w:ascii="Book Antiqua" w:hAnsi="Book Antiqua"/>
          <w:b/>
          <w:bCs/>
          <w:color w:val="4472C4" w:themeColor="accent1"/>
          <w:sz w:val="24"/>
          <w:szCs w:val="22"/>
          <w:lang w:val="id-ID"/>
        </w:rPr>
        <w:t xml:space="preserve"> </w:t>
      </w:r>
    </w:p>
    <w:p w:rsidR="00B619BB" w:rsidRPr="00B619BB" w:rsidRDefault="00B619BB" w:rsidP="00B619BB">
      <w:pPr>
        <w:spacing w:after="120" w:line="240" w:lineRule="auto"/>
        <w:jc w:val="both"/>
        <w:rPr>
          <w:rFonts w:ascii="Book Antiqua" w:hAnsi="Book Antiqua" w:cstheme="majorHAnsi"/>
          <w:sz w:val="24"/>
          <w:szCs w:val="24"/>
        </w:rPr>
      </w:pPr>
      <w:r w:rsidRPr="00B619BB">
        <w:rPr>
          <w:rFonts w:ascii="Book Antiqua" w:hAnsi="Book Antiqua" w:cstheme="majorHAnsi"/>
          <w:sz w:val="24"/>
          <w:szCs w:val="24"/>
        </w:rPr>
        <w:t>Aceh is a provinc</w:t>
      </w:r>
      <w:r w:rsidR="008771B1">
        <w:rPr>
          <w:rFonts w:ascii="Book Antiqua" w:hAnsi="Book Antiqua" w:cstheme="majorHAnsi"/>
          <w:sz w:val="24"/>
          <w:szCs w:val="24"/>
        </w:rPr>
        <w:t xml:space="preserve">e with a </w:t>
      </w:r>
      <w:proofErr w:type="spellStart"/>
      <w:proofErr w:type="gramStart"/>
      <w:r w:rsidR="008771B1">
        <w:rPr>
          <w:rFonts w:ascii="Book Antiqua" w:hAnsi="Book Antiqua" w:cstheme="majorHAnsi"/>
          <w:sz w:val="24"/>
          <w:szCs w:val="24"/>
        </w:rPr>
        <w:t>m</w:t>
      </w:r>
      <w:r w:rsidRPr="00B619BB">
        <w:rPr>
          <w:rFonts w:ascii="Book Antiqua" w:hAnsi="Book Antiqua" w:cstheme="majorHAnsi"/>
          <w:sz w:val="24"/>
          <w:szCs w:val="24"/>
        </w:rPr>
        <w:t>uslim</w:t>
      </w:r>
      <w:proofErr w:type="spellEnd"/>
      <w:proofErr w:type="gramEnd"/>
      <w:r w:rsidRPr="00B619BB">
        <w:rPr>
          <w:rFonts w:ascii="Book Antiqua" w:hAnsi="Book Antiqua" w:cstheme="majorHAnsi"/>
          <w:sz w:val="24"/>
          <w:szCs w:val="24"/>
        </w:rPr>
        <w:t xml:space="preserve"> majority population with devoted Islamic nuances of customs. Based on Law no. 44 of 1999 concerning the Privileges of Aceh and Law Number 11 of 2006 concerning the Government of Aceh, Aceh is given special rights in the form of special autonomy to implement Islamic law purely (</w:t>
      </w:r>
      <w:proofErr w:type="spellStart"/>
      <w:r w:rsidRPr="008771B1">
        <w:rPr>
          <w:rFonts w:ascii="Book Antiqua" w:hAnsi="Book Antiqua" w:cstheme="majorHAnsi"/>
          <w:i/>
          <w:sz w:val="24"/>
          <w:szCs w:val="24"/>
        </w:rPr>
        <w:t>kaffah</w:t>
      </w:r>
      <w:proofErr w:type="spellEnd"/>
      <w:r w:rsidRPr="00B619BB">
        <w:rPr>
          <w:rFonts w:ascii="Book Antiqua" w:hAnsi="Book Antiqua" w:cstheme="majorHAnsi"/>
          <w:sz w:val="24"/>
          <w:szCs w:val="24"/>
        </w:rPr>
        <w:t xml:space="preserve">). On the other hand, the privilege of Aceh is not only merely implementing Islamic law, but the central government also provides privileges for Aceh in the field of customs so that customary law is used as </w:t>
      </w:r>
      <w:r w:rsidRPr="00B619BB">
        <w:rPr>
          <w:rFonts w:ascii="Book Antiqua" w:hAnsi="Book Antiqua" w:cstheme="majorHAnsi"/>
          <w:sz w:val="24"/>
          <w:szCs w:val="24"/>
        </w:rPr>
        <w:lastRenderedPageBreak/>
        <w:t>the legal basis for resolving disputes and violations of Islamic law committed by Acehnese people.</w:t>
      </w:r>
      <w:r w:rsidR="00000B22">
        <w:rPr>
          <w:rStyle w:val="FootnoteReference"/>
          <w:rFonts w:ascii="Book Antiqua" w:hAnsi="Book Antiqua" w:cstheme="majorHAnsi"/>
          <w:sz w:val="24"/>
          <w:szCs w:val="24"/>
        </w:rPr>
        <w:footnoteReference w:id="1"/>
      </w:r>
    </w:p>
    <w:p w:rsidR="00B619BB" w:rsidRPr="00B619BB" w:rsidRDefault="00B619BB" w:rsidP="00B619BB">
      <w:pPr>
        <w:spacing w:after="120" w:line="240" w:lineRule="auto"/>
        <w:jc w:val="both"/>
        <w:rPr>
          <w:rFonts w:ascii="Book Antiqua" w:hAnsi="Book Antiqua" w:cstheme="majorHAnsi"/>
          <w:sz w:val="24"/>
          <w:szCs w:val="24"/>
        </w:rPr>
      </w:pPr>
      <w:r w:rsidRPr="00B619BB">
        <w:rPr>
          <w:rFonts w:ascii="Book Antiqua" w:hAnsi="Book Antiqua" w:cstheme="majorHAnsi"/>
          <w:sz w:val="24"/>
          <w:szCs w:val="24"/>
        </w:rPr>
        <w:t xml:space="preserve">It is obviously stated that every law or legislation has its sanctions or penalties. Similarly, Islamic law and customary law in Aceh have them also. Anyone who violates these two norms, the perpetrator will be punished according to the crime or violation committed. However, before the perpetrators of the crimes get punished, the actions of the perpetrators will be tried under the jurisdiction of the </w:t>
      </w:r>
      <w:proofErr w:type="spellStart"/>
      <w:r w:rsidRPr="00B619BB">
        <w:rPr>
          <w:rFonts w:ascii="Book Antiqua" w:hAnsi="Book Antiqua" w:cstheme="majorHAnsi"/>
          <w:sz w:val="24"/>
          <w:szCs w:val="24"/>
        </w:rPr>
        <w:t>Syar'iyah</w:t>
      </w:r>
      <w:proofErr w:type="spellEnd"/>
      <w:r w:rsidRPr="00B619BB">
        <w:rPr>
          <w:rFonts w:ascii="Book Antiqua" w:hAnsi="Book Antiqua" w:cstheme="majorHAnsi"/>
          <w:sz w:val="24"/>
          <w:szCs w:val="24"/>
        </w:rPr>
        <w:t xml:space="preserve"> Court.</w:t>
      </w:r>
      <w:r w:rsidR="00000B22">
        <w:rPr>
          <w:rStyle w:val="FootnoteReference"/>
          <w:rFonts w:ascii="Book Antiqua" w:hAnsi="Book Antiqua" w:cstheme="majorHAnsi"/>
          <w:sz w:val="24"/>
          <w:szCs w:val="24"/>
        </w:rPr>
        <w:footnoteReference w:id="2"/>
      </w:r>
      <w:r w:rsidRPr="00B619BB">
        <w:rPr>
          <w:rFonts w:ascii="Book Antiqua" w:hAnsi="Book Antiqua" w:cstheme="majorHAnsi"/>
          <w:sz w:val="24"/>
          <w:szCs w:val="24"/>
        </w:rPr>
        <w:t xml:space="preserve"> However, there are still violations of Islamic law in Aceh which are resolved through customary law in order to maintain brotherly relations or friendship by using a deliberation and peace approach.</w:t>
      </w:r>
    </w:p>
    <w:p w:rsidR="00B619BB" w:rsidRPr="00B619BB" w:rsidRDefault="00B619BB" w:rsidP="00B619BB">
      <w:pPr>
        <w:spacing w:after="120" w:line="240" w:lineRule="auto"/>
        <w:jc w:val="both"/>
        <w:rPr>
          <w:rFonts w:ascii="Book Antiqua" w:hAnsi="Book Antiqua" w:cstheme="majorHAnsi"/>
          <w:sz w:val="24"/>
          <w:szCs w:val="24"/>
        </w:rPr>
      </w:pPr>
      <w:r w:rsidRPr="00B619BB">
        <w:rPr>
          <w:rFonts w:ascii="Book Antiqua" w:hAnsi="Book Antiqua" w:cstheme="majorHAnsi"/>
          <w:sz w:val="24"/>
          <w:szCs w:val="24"/>
        </w:rPr>
        <w:t>One of the criminal acts (</w:t>
      </w:r>
      <w:proofErr w:type="spellStart"/>
      <w:r w:rsidR="006E7C55" w:rsidRPr="006E7C55">
        <w:rPr>
          <w:rFonts w:ascii="Book Antiqua" w:hAnsi="Book Antiqua" w:cstheme="majorHAnsi"/>
          <w:i/>
          <w:sz w:val="24"/>
          <w:szCs w:val="24"/>
        </w:rPr>
        <w:t>jarimah</w:t>
      </w:r>
      <w:proofErr w:type="spellEnd"/>
      <w:r w:rsidRPr="00B619BB">
        <w:rPr>
          <w:rFonts w:ascii="Book Antiqua" w:hAnsi="Book Antiqua" w:cstheme="majorHAnsi"/>
          <w:sz w:val="24"/>
          <w:szCs w:val="24"/>
        </w:rPr>
        <w:t xml:space="preserve">) that is resolved through the mechanism of customary law is the crime of seclusion. </w:t>
      </w:r>
      <w:proofErr w:type="spellStart"/>
      <w:r w:rsidR="006E7C55" w:rsidRPr="006E7C55">
        <w:rPr>
          <w:rFonts w:ascii="Book Antiqua" w:hAnsi="Book Antiqua" w:cstheme="majorHAnsi"/>
          <w:i/>
          <w:sz w:val="24"/>
          <w:szCs w:val="24"/>
        </w:rPr>
        <w:t>Jarimah</w:t>
      </w:r>
      <w:proofErr w:type="spellEnd"/>
      <w:r w:rsidRPr="00B619BB">
        <w:rPr>
          <w:rFonts w:ascii="Book Antiqua" w:hAnsi="Book Antiqua" w:cstheme="majorHAnsi"/>
          <w:sz w:val="24"/>
          <w:szCs w:val="24"/>
        </w:rPr>
        <w:t xml:space="preserve"> seclusion is a disgraceful act where a man and a woman who do not have a </w:t>
      </w:r>
      <w:proofErr w:type="spellStart"/>
      <w:r w:rsidR="006E7C55" w:rsidRPr="006E7C55">
        <w:rPr>
          <w:rFonts w:ascii="Book Antiqua" w:hAnsi="Book Antiqua" w:cstheme="majorHAnsi"/>
          <w:i/>
          <w:sz w:val="24"/>
          <w:szCs w:val="24"/>
        </w:rPr>
        <w:t>mahram</w:t>
      </w:r>
      <w:proofErr w:type="spellEnd"/>
      <w:r w:rsidRPr="00B619BB">
        <w:rPr>
          <w:rFonts w:ascii="Book Antiqua" w:hAnsi="Book Antiqua" w:cstheme="majorHAnsi"/>
          <w:sz w:val="24"/>
          <w:szCs w:val="24"/>
        </w:rPr>
        <w:t xml:space="preserve"> relationship are secluded themselves in a quiet place or a hidden place that provides an opportunity to do adultery. Article 24 of </w:t>
      </w:r>
      <w:proofErr w:type="spellStart"/>
      <w:r w:rsidRPr="00B619BB">
        <w:rPr>
          <w:rFonts w:ascii="Book Antiqua" w:hAnsi="Book Antiqua" w:cstheme="majorHAnsi"/>
          <w:sz w:val="24"/>
          <w:szCs w:val="24"/>
        </w:rPr>
        <w:t>Qanun</w:t>
      </w:r>
      <w:proofErr w:type="spellEnd"/>
      <w:r w:rsidRPr="00B619BB">
        <w:rPr>
          <w:rFonts w:ascii="Book Antiqua" w:hAnsi="Book Antiqua" w:cstheme="majorHAnsi"/>
          <w:sz w:val="24"/>
          <w:szCs w:val="24"/>
        </w:rPr>
        <w:t xml:space="preserve"> Number 6 of 2014 concerning </w:t>
      </w:r>
      <w:proofErr w:type="spellStart"/>
      <w:r w:rsidR="006E7C55" w:rsidRPr="006E7C55">
        <w:rPr>
          <w:rFonts w:ascii="Book Antiqua" w:hAnsi="Book Antiqua" w:cstheme="majorHAnsi"/>
          <w:i/>
          <w:sz w:val="24"/>
          <w:szCs w:val="24"/>
        </w:rPr>
        <w:t>Jinayat</w:t>
      </w:r>
      <w:proofErr w:type="spellEnd"/>
      <w:r w:rsidRPr="00B619BB">
        <w:rPr>
          <w:rFonts w:ascii="Book Antiqua" w:hAnsi="Book Antiqua" w:cstheme="majorHAnsi"/>
          <w:sz w:val="24"/>
          <w:szCs w:val="24"/>
        </w:rPr>
        <w:t xml:space="preserve"> Law stipulates that the</w:t>
      </w:r>
      <w:r w:rsidR="008771B1" w:rsidRPr="006E7C55">
        <w:rPr>
          <w:rFonts w:ascii="Book Antiqua" w:hAnsi="Book Antiqua" w:cstheme="majorHAnsi"/>
          <w:i/>
          <w:sz w:val="24"/>
          <w:szCs w:val="24"/>
        </w:rPr>
        <w:t xml:space="preserve"> </w:t>
      </w:r>
      <w:proofErr w:type="spellStart"/>
      <w:r w:rsidR="006E7C55" w:rsidRPr="006E7C55">
        <w:rPr>
          <w:rFonts w:ascii="Book Antiqua" w:hAnsi="Book Antiqua" w:cstheme="majorHAnsi"/>
          <w:i/>
          <w:sz w:val="24"/>
          <w:szCs w:val="24"/>
        </w:rPr>
        <w:t>khalwat</w:t>
      </w:r>
      <w:proofErr w:type="spellEnd"/>
      <w:r w:rsidRPr="00B619BB">
        <w:rPr>
          <w:rFonts w:ascii="Book Antiqua" w:hAnsi="Book Antiqua" w:cstheme="majorHAnsi"/>
          <w:sz w:val="24"/>
          <w:szCs w:val="24"/>
        </w:rPr>
        <w:t xml:space="preserve"> </w:t>
      </w:r>
      <w:r w:rsidR="00DF43AC">
        <w:rPr>
          <w:rFonts w:ascii="Book Antiqua" w:hAnsi="Book Antiqua" w:cstheme="majorHAnsi"/>
          <w:sz w:val="24"/>
          <w:szCs w:val="24"/>
        </w:rPr>
        <w:t>(</w:t>
      </w:r>
      <w:r w:rsidR="00DF43AC" w:rsidRPr="00DF43AC">
        <w:rPr>
          <w:rFonts w:ascii="Book Antiqua" w:hAnsi="Book Antiqua" w:cstheme="majorHAnsi"/>
          <w:sz w:val="24"/>
          <w:szCs w:val="24"/>
        </w:rPr>
        <w:t>seclusion</w:t>
      </w:r>
      <w:r w:rsidR="00DF43AC">
        <w:rPr>
          <w:rFonts w:ascii="Book Antiqua" w:hAnsi="Book Antiqua" w:cstheme="majorHAnsi"/>
          <w:sz w:val="24"/>
          <w:szCs w:val="24"/>
        </w:rPr>
        <w:t xml:space="preserve">) </w:t>
      </w:r>
      <w:r w:rsidRPr="00B619BB">
        <w:rPr>
          <w:rFonts w:ascii="Book Antiqua" w:hAnsi="Book Antiqua" w:cstheme="majorHAnsi"/>
          <w:sz w:val="24"/>
          <w:szCs w:val="24"/>
        </w:rPr>
        <w:t>as the a</w:t>
      </w:r>
      <w:r w:rsidR="00DF43AC">
        <w:rPr>
          <w:rFonts w:ascii="Book Antiqua" w:hAnsi="Book Antiqua" w:cstheme="majorHAnsi"/>
          <w:sz w:val="24"/>
          <w:szCs w:val="24"/>
        </w:rPr>
        <w:t>uthority of the customary court</w:t>
      </w:r>
      <w:r w:rsidRPr="00B619BB">
        <w:rPr>
          <w:rFonts w:ascii="Book Antiqua" w:hAnsi="Book Antiqua" w:cstheme="majorHAnsi"/>
          <w:sz w:val="24"/>
          <w:szCs w:val="24"/>
        </w:rPr>
        <w:t xml:space="preserve"> is settled according to the provisions of the Aceh </w:t>
      </w:r>
      <w:proofErr w:type="spellStart"/>
      <w:r w:rsidRPr="00B619BB">
        <w:rPr>
          <w:rFonts w:ascii="Book Antiqua" w:hAnsi="Book Antiqua" w:cstheme="majorHAnsi"/>
          <w:sz w:val="24"/>
          <w:szCs w:val="24"/>
        </w:rPr>
        <w:t>Qanun</w:t>
      </w:r>
      <w:proofErr w:type="spellEnd"/>
      <w:r w:rsidRPr="00B619BB">
        <w:rPr>
          <w:rFonts w:ascii="Book Antiqua" w:hAnsi="Book Antiqua" w:cstheme="majorHAnsi"/>
          <w:sz w:val="24"/>
          <w:szCs w:val="24"/>
        </w:rPr>
        <w:t xml:space="preserve"> concerning the development of customary life and customs and/or other laws and regulations regarding customs.</w:t>
      </w:r>
    </w:p>
    <w:p w:rsidR="00B619BB" w:rsidRPr="00B619BB" w:rsidRDefault="00B619BB" w:rsidP="00B619BB">
      <w:pPr>
        <w:spacing w:after="120" w:line="240" w:lineRule="auto"/>
        <w:jc w:val="both"/>
        <w:rPr>
          <w:rFonts w:ascii="Book Antiqua" w:hAnsi="Book Antiqua" w:cstheme="majorHAnsi"/>
          <w:sz w:val="24"/>
          <w:szCs w:val="24"/>
        </w:rPr>
      </w:pPr>
      <w:r w:rsidRPr="00B619BB">
        <w:rPr>
          <w:rFonts w:ascii="Book Antiqua" w:hAnsi="Book Antiqua" w:cstheme="majorHAnsi"/>
          <w:sz w:val="24"/>
          <w:szCs w:val="24"/>
        </w:rPr>
        <w:t xml:space="preserve">To follow up on the above provisions, Aceh government issued Aceh </w:t>
      </w:r>
      <w:proofErr w:type="spellStart"/>
      <w:r w:rsidRPr="00B619BB">
        <w:rPr>
          <w:rFonts w:ascii="Book Antiqua" w:hAnsi="Book Antiqua" w:cstheme="majorHAnsi"/>
          <w:sz w:val="24"/>
          <w:szCs w:val="24"/>
        </w:rPr>
        <w:t>Qanun</w:t>
      </w:r>
      <w:proofErr w:type="spellEnd"/>
      <w:r w:rsidRPr="00B619BB">
        <w:rPr>
          <w:rFonts w:ascii="Book Antiqua" w:hAnsi="Book Antiqua" w:cstheme="majorHAnsi"/>
          <w:sz w:val="24"/>
          <w:szCs w:val="24"/>
        </w:rPr>
        <w:t xml:space="preserve"> No. 9 of 2008 concerning Guidance in Customary and Customary Life which stipulates that the village/</w:t>
      </w:r>
      <w:proofErr w:type="spellStart"/>
      <w:r w:rsidRPr="00DF43AC">
        <w:rPr>
          <w:rFonts w:ascii="Book Antiqua" w:hAnsi="Book Antiqua" w:cstheme="majorHAnsi"/>
          <w:i/>
          <w:sz w:val="24"/>
          <w:szCs w:val="24"/>
        </w:rPr>
        <w:t>gampong</w:t>
      </w:r>
      <w:proofErr w:type="spellEnd"/>
      <w:r w:rsidRPr="00B619BB">
        <w:rPr>
          <w:rFonts w:ascii="Book Antiqua" w:hAnsi="Book Antiqua" w:cstheme="majorHAnsi"/>
          <w:sz w:val="24"/>
          <w:szCs w:val="24"/>
        </w:rPr>
        <w:t xml:space="preserve"> through the Customary Court/</w:t>
      </w:r>
      <w:proofErr w:type="spellStart"/>
      <w:r w:rsidRPr="00DF43AC">
        <w:rPr>
          <w:rFonts w:ascii="Book Antiqua" w:hAnsi="Book Antiqua" w:cstheme="majorHAnsi"/>
          <w:i/>
          <w:sz w:val="24"/>
          <w:szCs w:val="24"/>
        </w:rPr>
        <w:t>gampong</w:t>
      </w:r>
      <w:proofErr w:type="spellEnd"/>
      <w:r w:rsidRPr="00B619BB">
        <w:rPr>
          <w:rFonts w:ascii="Book Antiqua" w:hAnsi="Book Antiqua" w:cstheme="majorHAnsi"/>
          <w:sz w:val="24"/>
          <w:szCs w:val="24"/>
        </w:rPr>
        <w:t xml:space="preserve"> Court that has the authority to resolve disputes or criminal acts, such as:</w:t>
      </w:r>
    </w:p>
    <w:p w:rsidR="00B619BB" w:rsidRPr="00B619BB" w:rsidRDefault="00B619BB" w:rsidP="00B619BB">
      <w:pPr>
        <w:pStyle w:val="ListParagraph"/>
        <w:numPr>
          <w:ilvl w:val="0"/>
          <w:numId w:val="21"/>
        </w:numPr>
        <w:spacing w:after="120" w:line="240" w:lineRule="auto"/>
        <w:ind w:left="360"/>
        <w:jc w:val="both"/>
        <w:rPr>
          <w:rFonts w:ascii="Book Antiqua" w:hAnsi="Book Antiqua" w:cstheme="majorHAnsi"/>
          <w:sz w:val="24"/>
          <w:szCs w:val="24"/>
        </w:rPr>
      </w:pPr>
      <w:r w:rsidRPr="00B619BB">
        <w:rPr>
          <w:rFonts w:ascii="Book Antiqua" w:hAnsi="Book Antiqua" w:cstheme="majorHAnsi"/>
          <w:sz w:val="24"/>
          <w:szCs w:val="24"/>
        </w:rPr>
        <w:t>Disputes on customary space include:</w:t>
      </w:r>
    </w:p>
    <w:p w:rsidR="00B619BB" w:rsidRPr="00B619BB" w:rsidRDefault="00B619BB" w:rsidP="00B619BB">
      <w:pPr>
        <w:pStyle w:val="ListParagraph"/>
        <w:numPr>
          <w:ilvl w:val="1"/>
          <w:numId w:val="22"/>
        </w:numPr>
        <w:spacing w:after="120" w:line="240" w:lineRule="auto"/>
        <w:ind w:left="720"/>
        <w:jc w:val="both"/>
        <w:rPr>
          <w:rFonts w:ascii="Book Antiqua" w:hAnsi="Book Antiqua" w:cstheme="majorHAnsi"/>
          <w:sz w:val="24"/>
          <w:szCs w:val="24"/>
        </w:rPr>
      </w:pPr>
      <w:r w:rsidRPr="00B619BB">
        <w:rPr>
          <w:rFonts w:ascii="Book Antiqua" w:hAnsi="Book Antiqua" w:cstheme="majorHAnsi"/>
          <w:sz w:val="24"/>
          <w:szCs w:val="24"/>
        </w:rPr>
        <w:t>Disputes in the household;</w:t>
      </w:r>
    </w:p>
    <w:p w:rsidR="00B619BB" w:rsidRPr="00B619BB" w:rsidRDefault="00B619BB" w:rsidP="00B619BB">
      <w:pPr>
        <w:pStyle w:val="ListParagraph"/>
        <w:numPr>
          <w:ilvl w:val="1"/>
          <w:numId w:val="22"/>
        </w:numPr>
        <w:spacing w:after="120" w:line="240" w:lineRule="auto"/>
        <w:ind w:left="720"/>
        <w:jc w:val="both"/>
        <w:rPr>
          <w:rFonts w:ascii="Book Antiqua" w:hAnsi="Book Antiqua" w:cstheme="majorHAnsi"/>
          <w:sz w:val="24"/>
          <w:szCs w:val="24"/>
        </w:rPr>
      </w:pPr>
      <w:r w:rsidRPr="00B619BB">
        <w:rPr>
          <w:rFonts w:ascii="Book Antiqua" w:hAnsi="Book Antiqua" w:cstheme="majorHAnsi"/>
          <w:sz w:val="24"/>
          <w:szCs w:val="24"/>
        </w:rPr>
        <w:t xml:space="preserve">Disputes between families relating to </w:t>
      </w:r>
      <w:proofErr w:type="spellStart"/>
      <w:r w:rsidRPr="00DF43AC">
        <w:rPr>
          <w:rFonts w:ascii="Book Antiqua" w:hAnsi="Book Antiqua" w:cstheme="majorHAnsi"/>
          <w:i/>
          <w:sz w:val="24"/>
          <w:szCs w:val="24"/>
        </w:rPr>
        <w:t>faraid</w:t>
      </w:r>
      <w:proofErr w:type="spellEnd"/>
      <w:r w:rsidRPr="00B619BB">
        <w:rPr>
          <w:rFonts w:ascii="Book Antiqua" w:hAnsi="Book Antiqua" w:cstheme="majorHAnsi"/>
          <w:sz w:val="24"/>
          <w:szCs w:val="24"/>
        </w:rPr>
        <w:t>;</w:t>
      </w:r>
    </w:p>
    <w:p w:rsidR="00B619BB" w:rsidRPr="00B619BB" w:rsidRDefault="00B619BB" w:rsidP="00B619BB">
      <w:pPr>
        <w:pStyle w:val="ListParagraph"/>
        <w:numPr>
          <w:ilvl w:val="1"/>
          <w:numId w:val="22"/>
        </w:numPr>
        <w:spacing w:after="120" w:line="240" w:lineRule="auto"/>
        <w:ind w:left="720"/>
        <w:jc w:val="both"/>
        <w:rPr>
          <w:rFonts w:ascii="Book Antiqua" w:hAnsi="Book Antiqua" w:cstheme="majorHAnsi"/>
          <w:sz w:val="24"/>
          <w:szCs w:val="24"/>
        </w:rPr>
      </w:pPr>
      <w:r w:rsidRPr="00B619BB">
        <w:rPr>
          <w:rFonts w:ascii="Book Antiqua" w:hAnsi="Book Antiqua" w:cstheme="majorHAnsi"/>
          <w:sz w:val="24"/>
          <w:szCs w:val="24"/>
        </w:rPr>
        <w:t>Disputes between residents;</w:t>
      </w:r>
    </w:p>
    <w:p w:rsidR="00B619BB" w:rsidRPr="00B619BB" w:rsidRDefault="00B619BB" w:rsidP="00B619BB">
      <w:pPr>
        <w:pStyle w:val="ListParagraph"/>
        <w:numPr>
          <w:ilvl w:val="1"/>
          <w:numId w:val="22"/>
        </w:numPr>
        <w:spacing w:after="120" w:line="240" w:lineRule="auto"/>
        <w:ind w:left="720"/>
        <w:jc w:val="both"/>
        <w:rPr>
          <w:rFonts w:ascii="Book Antiqua" w:hAnsi="Book Antiqua" w:cstheme="majorHAnsi"/>
          <w:sz w:val="24"/>
          <w:szCs w:val="24"/>
        </w:rPr>
      </w:pPr>
      <w:r w:rsidRPr="00B619BB">
        <w:rPr>
          <w:rFonts w:ascii="Book Antiqua" w:hAnsi="Book Antiqua" w:cstheme="majorHAnsi"/>
          <w:sz w:val="24"/>
          <w:szCs w:val="24"/>
        </w:rPr>
        <w:t>Seclusion/lewd;</w:t>
      </w:r>
    </w:p>
    <w:p w:rsidR="00B619BB" w:rsidRPr="00B619BB" w:rsidRDefault="00B619BB" w:rsidP="00B619BB">
      <w:pPr>
        <w:pStyle w:val="ListParagraph"/>
        <w:numPr>
          <w:ilvl w:val="1"/>
          <w:numId w:val="22"/>
        </w:numPr>
        <w:spacing w:after="120" w:line="240" w:lineRule="auto"/>
        <w:ind w:left="720"/>
        <w:jc w:val="both"/>
        <w:rPr>
          <w:rFonts w:ascii="Book Antiqua" w:hAnsi="Book Antiqua" w:cstheme="majorHAnsi"/>
          <w:sz w:val="24"/>
          <w:szCs w:val="24"/>
        </w:rPr>
      </w:pPr>
      <w:r w:rsidRPr="00B619BB">
        <w:rPr>
          <w:rFonts w:ascii="Book Antiqua" w:hAnsi="Book Antiqua" w:cstheme="majorHAnsi"/>
          <w:sz w:val="24"/>
          <w:szCs w:val="24"/>
        </w:rPr>
        <w:t>Disputes over property rights;</w:t>
      </w:r>
    </w:p>
    <w:p w:rsidR="00B619BB" w:rsidRPr="00B619BB" w:rsidRDefault="00B619BB" w:rsidP="00B619BB">
      <w:pPr>
        <w:pStyle w:val="ListParagraph"/>
        <w:numPr>
          <w:ilvl w:val="1"/>
          <w:numId w:val="22"/>
        </w:numPr>
        <w:spacing w:after="120" w:line="240" w:lineRule="auto"/>
        <w:ind w:left="720"/>
        <w:jc w:val="both"/>
        <w:rPr>
          <w:rFonts w:ascii="Book Antiqua" w:hAnsi="Book Antiqua" w:cstheme="majorHAnsi"/>
          <w:sz w:val="24"/>
          <w:szCs w:val="24"/>
        </w:rPr>
      </w:pPr>
      <w:r w:rsidRPr="00B619BB">
        <w:rPr>
          <w:rFonts w:ascii="Book Antiqua" w:hAnsi="Book Antiqua" w:cstheme="majorHAnsi"/>
          <w:sz w:val="24"/>
          <w:szCs w:val="24"/>
        </w:rPr>
        <w:t>Theft in the family (minor theft);</w:t>
      </w:r>
    </w:p>
    <w:p w:rsidR="00B619BB" w:rsidRPr="00B619BB" w:rsidRDefault="00B619BB" w:rsidP="00B619BB">
      <w:pPr>
        <w:pStyle w:val="ListParagraph"/>
        <w:numPr>
          <w:ilvl w:val="1"/>
          <w:numId w:val="22"/>
        </w:numPr>
        <w:spacing w:after="120" w:line="240" w:lineRule="auto"/>
        <w:ind w:left="720"/>
        <w:jc w:val="both"/>
        <w:rPr>
          <w:rFonts w:ascii="Book Antiqua" w:hAnsi="Book Antiqua" w:cstheme="majorHAnsi"/>
          <w:sz w:val="24"/>
          <w:szCs w:val="24"/>
        </w:rPr>
      </w:pPr>
      <w:proofErr w:type="spellStart"/>
      <w:r w:rsidRPr="00DF43AC">
        <w:rPr>
          <w:rFonts w:ascii="Book Antiqua" w:hAnsi="Book Antiqua" w:cstheme="majorHAnsi"/>
          <w:i/>
          <w:sz w:val="24"/>
          <w:szCs w:val="24"/>
        </w:rPr>
        <w:t>Seuhareukat</w:t>
      </w:r>
      <w:proofErr w:type="spellEnd"/>
      <w:r w:rsidRPr="00B619BB">
        <w:rPr>
          <w:rFonts w:ascii="Book Antiqua" w:hAnsi="Book Antiqua" w:cstheme="majorHAnsi"/>
          <w:sz w:val="24"/>
          <w:szCs w:val="24"/>
        </w:rPr>
        <w:t xml:space="preserve"> property disputes;</w:t>
      </w:r>
    </w:p>
    <w:p w:rsidR="00B619BB" w:rsidRPr="00B619BB" w:rsidRDefault="00B619BB" w:rsidP="00B619BB">
      <w:pPr>
        <w:pStyle w:val="ListParagraph"/>
        <w:numPr>
          <w:ilvl w:val="1"/>
          <w:numId w:val="22"/>
        </w:numPr>
        <w:spacing w:after="120" w:line="240" w:lineRule="auto"/>
        <w:ind w:left="720"/>
        <w:jc w:val="both"/>
        <w:rPr>
          <w:rFonts w:ascii="Book Antiqua" w:hAnsi="Book Antiqua" w:cstheme="majorHAnsi"/>
          <w:sz w:val="24"/>
          <w:szCs w:val="24"/>
        </w:rPr>
      </w:pPr>
      <w:r w:rsidRPr="00B619BB">
        <w:rPr>
          <w:rFonts w:ascii="Book Antiqua" w:hAnsi="Book Antiqua" w:cstheme="majorHAnsi"/>
          <w:sz w:val="24"/>
          <w:szCs w:val="24"/>
        </w:rPr>
        <w:t>Minor theft;</w:t>
      </w:r>
    </w:p>
    <w:p w:rsidR="00B619BB" w:rsidRPr="00B619BB" w:rsidRDefault="00B619BB" w:rsidP="00B619BB">
      <w:pPr>
        <w:pStyle w:val="ListParagraph"/>
        <w:numPr>
          <w:ilvl w:val="1"/>
          <w:numId w:val="22"/>
        </w:numPr>
        <w:spacing w:after="120" w:line="240" w:lineRule="auto"/>
        <w:ind w:left="720"/>
        <w:jc w:val="both"/>
        <w:rPr>
          <w:rFonts w:ascii="Book Antiqua" w:hAnsi="Book Antiqua" w:cstheme="majorHAnsi"/>
          <w:sz w:val="24"/>
          <w:szCs w:val="24"/>
        </w:rPr>
      </w:pPr>
      <w:r w:rsidRPr="00B619BB">
        <w:rPr>
          <w:rFonts w:ascii="Book Antiqua" w:hAnsi="Book Antiqua" w:cstheme="majorHAnsi"/>
          <w:sz w:val="24"/>
          <w:szCs w:val="24"/>
        </w:rPr>
        <w:t>Theft of stocks/pets;</w:t>
      </w:r>
    </w:p>
    <w:p w:rsidR="00B619BB" w:rsidRPr="00B619BB" w:rsidRDefault="00B619BB" w:rsidP="00B619BB">
      <w:pPr>
        <w:pStyle w:val="ListParagraph"/>
        <w:numPr>
          <w:ilvl w:val="1"/>
          <w:numId w:val="22"/>
        </w:numPr>
        <w:spacing w:after="120" w:line="240" w:lineRule="auto"/>
        <w:ind w:left="720"/>
        <w:jc w:val="both"/>
        <w:rPr>
          <w:rFonts w:ascii="Book Antiqua" w:hAnsi="Book Antiqua" w:cstheme="majorHAnsi"/>
          <w:sz w:val="24"/>
          <w:szCs w:val="24"/>
        </w:rPr>
      </w:pPr>
      <w:r w:rsidRPr="00B619BB">
        <w:rPr>
          <w:rFonts w:ascii="Book Antiqua" w:hAnsi="Book Antiqua" w:cstheme="majorHAnsi"/>
          <w:sz w:val="24"/>
          <w:szCs w:val="24"/>
        </w:rPr>
        <w:t>Violation of customs regarding livestock, agriculture, and forestry</w:t>
      </w:r>
    </w:p>
    <w:p w:rsidR="00B619BB" w:rsidRPr="00B619BB" w:rsidRDefault="00B619BB" w:rsidP="00B619BB">
      <w:pPr>
        <w:pStyle w:val="ListParagraph"/>
        <w:numPr>
          <w:ilvl w:val="1"/>
          <w:numId w:val="22"/>
        </w:numPr>
        <w:spacing w:after="120" w:line="240" w:lineRule="auto"/>
        <w:ind w:left="720"/>
        <w:jc w:val="both"/>
        <w:rPr>
          <w:rFonts w:ascii="Book Antiqua" w:hAnsi="Book Antiqua" w:cstheme="majorHAnsi"/>
          <w:sz w:val="24"/>
          <w:szCs w:val="24"/>
        </w:rPr>
      </w:pPr>
      <w:r w:rsidRPr="00B619BB">
        <w:rPr>
          <w:rFonts w:ascii="Book Antiqua" w:hAnsi="Book Antiqua" w:cstheme="majorHAnsi"/>
          <w:sz w:val="24"/>
          <w:szCs w:val="24"/>
        </w:rPr>
        <w:t>Disputes at sea;</w:t>
      </w:r>
    </w:p>
    <w:p w:rsidR="00B619BB" w:rsidRPr="00B619BB" w:rsidRDefault="00B619BB" w:rsidP="00B619BB">
      <w:pPr>
        <w:pStyle w:val="ListParagraph"/>
        <w:numPr>
          <w:ilvl w:val="1"/>
          <w:numId w:val="22"/>
        </w:numPr>
        <w:spacing w:after="120" w:line="240" w:lineRule="auto"/>
        <w:ind w:left="720"/>
        <w:jc w:val="both"/>
        <w:rPr>
          <w:rFonts w:ascii="Book Antiqua" w:hAnsi="Book Antiqua" w:cstheme="majorHAnsi"/>
          <w:sz w:val="24"/>
          <w:szCs w:val="24"/>
        </w:rPr>
      </w:pPr>
      <w:r w:rsidRPr="00B619BB">
        <w:rPr>
          <w:rFonts w:ascii="Book Antiqua" w:hAnsi="Book Antiqua" w:cstheme="majorHAnsi"/>
          <w:sz w:val="24"/>
          <w:szCs w:val="24"/>
        </w:rPr>
        <w:t>Disputes in the market;</w:t>
      </w:r>
    </w:p>
    <w:p w:rsidR="00B619BB" w:rsidRPr="00B619BB" w:rsidRDefault="00B619BB" w:rsidP="00B619BB">
      <w:pPr>
        <w:pStyle w:val="ListParagraph"/>
        <w:numPr>
          <w:ilvl w:val="1"/>
          <w:numId w:val="22"/>
        </w:numPr>
        <w:spacing w:after="120" w:line="240" w:lineRule="auto"/>
        <w:ind w:left="720"/>
        <w:jc w:val="both"/>
        <w:rPr>
          <w:rFonts w:ascii="Book Antiqua" w:hAnsi="Book Antiqua" w:cstheme="majorHAnsi"/>
          <w:sz w:val="24"/>
          <w:szCs w:val="24"/>
        </w:rPr>
      </w:pPr>
      <w:r w:rsidRPr="00B619BB">
        <w:rPr>
          <w:rFonts w:ascii="Book Antiqua" w:hAnsi="Book Antiqua" w:cstheme="majorHAnsi"/>
          <w:sz w:val="24"/>
          <w:szCs w:val="24"/>
        </w:rPr>
        <w:t>Mild abuse;</w:t>
      </w:r>
    </w:p>
    <w:p w:rsidR="00B619BB" w:rsidRPr="00B619BB" w:rsidRDefault="00B619BB" w:rsidP="00B619BB">
      <w:pPr>
        <w:pStyle w:val="ListParagraph"/>
        <w:numPr>
          <w:ilvl w:val="1"/>
          <w:numId w:val="22"/>
        </w:numPr>
        <w:spacing w:after="120" w:line="240" w:lineRule="auto"/>
        <w:ind w:left="720"/>
        <w:jc w:val="both"/>
        <w:rPr>
          <w:rFonts w:ascii="Book Antiqua" w:hAnsi="Book Antiqua" w:cstheme="majorHAnsi"/>
          <w:sz w:val="24"/>
          <w:szCs w:val="24"/>
        </w:rPr>
      </w:pPr>
      <w:r w:rsidRPr="00B619BB">
        <w:rPr>
          <w:rFonts w:ascii="Book Antiqua" w:hAnsi="Book Antiqua" w:cstheme="majorHAnsi"/>
          <w:sz w:val="24"/>
          <w:szCs w:val="24"/>
        </w:rPr>
        <w:t>Forest burning (on a mild scale that harms indigenous communities);</w:t>
      </w:r>
    </w:p>
    <w:p w:rsidR="00B619BB" w:rsidRPr="00B619BB" w:rsidRDefault="00B619BB" w:rsidP="00B619BB">
      <w:pPr>
        <w:pStyle w:val="ListParagraph"/>
        <w:numPr>
          <w:ilvl w:val="1"/>
          <w:numId w:val="22"/>
        </w:numPr>
        <w:spacing w:after="120" w:line="240" w:lineRule="auto"/>
        <w:ind w:left="720"/>
        <w:jc w:val="both"/>
        <w:rPr>
          <w:rFonts w:ascii="Book Antiqua" w:hAnsi="Book Antiqua" w:cstheme="majorHAnsi"/>
          <w:sz w:val="24"/>
          <w:szCs w:val="24"/>
        </w:rPr>
      </w:pPr>
      <w:r w:rsidRPr="00B619BB">
        <w:rPr>
          <w:rFonts w:ascii="Book Antiqua" w:hAnsi="Book Antiqua" w:cstheme="majorHAnsi"/>
          <w:sz w:val="24"/>
          <w:szCs w:val="24"/>
        </w:rPr>
        <w:t>Harassment, slander, sedition, and defamation;</w:t>
      </w:r>
    </w:p>
    <w:p w:rsidR="00B619BB" w:rsidRPr="00B619BB" w:rsidRDefault="00B619BB" w:rsidP="00B619BB">
      <w:pPr>
        <w:pStyle w:val="ListParagraph"/>
        <w:numPr>
          <w:ilvl w:val="1"/>
          <w:numId w:val="22"/>
        </w:numPr>
        <w:spacing w:after="120" w:line="240" w:lineRule="auto"/>
        <w:ind w:left="720"/>
        <w:jc w:val="both"/>
        <w:rPr>
          <w:rFonts w:ascii="Book Antiqua" w:hAnsi="Book Antiqua" w:cstheme="majorHAnsi"/>
          <w:sz w:val="24"/>
          <w:szCs w:val="24"/>
        </w:rPr>
      </w:pPr>
      <w:r w:rsidRPr="00B619BB">
        <w:rPr>
          <w:rFonts w:ascii="Book Antiqua" w:hAnsi="Book Antiqua" w:cstheme="majorHAnsi"/>
          <w:sz w:val="24"/>
          <w:szCs w:val="24"/>
        </w:rPr>
        <w:t>Environmental pollution (mild scale);</w:t>
      </w:r>
    </w:p>
    <w:p w:rsidR="00B619BB" w:rsidRPr="00B619BB" w:rsidRDefault="00B619BB" w:rsidP="00B619BB">
      <w:pPr>
        <w:pStyle w:val="ListParagraph"/>
        <w:numPr>
          <w:ilvl w:val="1"/>
          <w:numId w:val="22"/>
        </w:numPr>
        <w:spacing w:after="120" w:line="240" w:lineRule="auto"/>
        <w:ind w:left="720"/>
        <w:jc w:val="both"/>
        <w:rPr>
          <w:rFonts w:ascii="Book Antiqua" w:hAnsi="Book Antiqua" w:cstheme="majorHAnsi"/>
          <w:sz w:val="24"/>
          <w:szCs w:val="24"/>
        </w:rPr>
      </w:pPr>
      <w:r w:rsidRPr="00B619BB">
        <w:rPr>
          <w:rFonts w:ascii="Book Antiqua" w:hAnsi="Book Antiqua" w:cstheme="majorHAnsi"/>
          <w:sz w:val="24"/>
          <w:szCs w:val="24"/>
        </w:rPr>
        <w:t>Threatening threats (depending on the type of threat) and,</w:t>
      </w:r>
    </w:p>
    <w:p w:rsidR="00B619BB" w:rsidRPr="00B619BB" w:rsidRDefault="00B619BB" w:rsidP="00B619BB">
      <w:pPr>
        <w:pStyle w:val="ListParagraph"/>
        <w:numPr>
          <w:ilvl w:val="1"/>
          <w:numId w:val="22"/>
        </w:numPr>
        <w:spacing w:after="120" w:line="240" w:lineRule="auto"/>
        <w:ind w:left="720"/>
        <w:jc w:val="both"/>
        <w:rPr>
          <w:rFonts w:ascii="Book Antiqua" w:hAnsi="Book Antiqua" w:cstheme="majorHAnsi"/>
          <w:sz w:val="24"/>
          <w:szCs w:val="24"/>
        </w:rPr>
      </w:pPr>
      <w:r w:rsidRPr="00B619BB">
        <w:rPr>
          <w:rFonts w:ascii="Book Antiqua" w:hAnsi="Book Antiqua" w:cstheme="majorHAnsi"/>
          <w:sz w:val="24"/>
          <w:szCs w:val="24"/>
        </w:rPr>
        <w:t>Other disputes that violate customs.</w:t>
      </w:r>
    </w:p>
    <w:p w:rsidR="00B619BB" w:rsidRPr="00B619BB" w:rsidRDefault="00B619BB" w:rsidP="00B619BB">
      <w:pPr>
        <w:pStyle w:val="ListParagraph"/>
        <w:numPr>
          <w:ilvl w:val="0"/>
          <w:numId w:val="21"/>
        </w:numPr>
        <w:spacing w:after="120" w:line="240" w:lineRule="auto"/>
        <w:ind w:left="360"/>
        <w:jc w:val="both"/>
        <w:rPr>
          <w:rFonts w:ascii="Book Antiqua" w:hAnsi="Book Antiqua" w:cstheme="majorHAnsi"/>
          <w:sz w:val="24"/>
          <w:szCs w:val="24"/>
        </w:rPr>
      </w:pPr>
      <w:r w:rsidRPr="00B619BB">
        <w:rPr>
          <w:rFonts w:ascii="Book Antiqua" w:hAnsi="Book Antiqua" w:cstheme="majorHAnsi"/>
          <w:sz w:val="24"/>
          <w:szCs w:val="24"/>
        </w:rPr>
        <w:t>Resolve the dispute on customs and customs as regulated in Article 13 in paragraph (1), it is resolved in stages.</w:t>
      </w:r>
    </w:p>
    <w:p w:rsidR="00B619BB" w:rsidRPr="00B619BB" w:rsidRDefault="00B619BB" w:rsidP="00B619BB">
      <w:pPr>
        <w:pStyle w:val="ListParagraph"/>
        <w:numPr>
          <w:ilvl w:val="0"/>
          <w:numId w:val="21"/>
        </w:numPr>
        <w:spacing w:after="120" w:line="240" w:lineRule="auto"/>
        <w:ind w:left="360"/>
        <w:jc w:val="both"/>
        <w:rPr>
          <w:rFonts w:ascii="Book Antiqua" w:hAnsi="Book Antiqua" w:cstheme="majorHAnsi"/>
          <w:sz w:val="24"/>
          <w:szCs w:val="24"/>
        </w:rPr>
      </w:pPr>
      <w:r w:rsidRPr="00B619BB">
        <w:rPr>
          <w:rFonts w:ascii="Book Antiqua" w:hAnsi="Book Antiqua" w:cstheme="majorHAnsi"/>
          <w:sz w:val="24"/>
          <w:szCs w:val="24"/>
        </w:rPr>
        <w:lastRenderedPageBreak/>
        <w:t xml:space="preserve">Law enforcers provide opportunities/opportunities so that disputes that occur can be resolved in the </w:t>
      </w:r>
      <w:r w:rsidR="00DF43AC">
        <w:rPr>
          <w:rFonts w:ascii="Book Antiqua" w:hAnsi="Book Antiqua" w:cstheme="majorHAnsi"/>
          <w:sz w:val="24"/>
          <w:szCs w:val="24"/>
        </w:rPr>
        <w:t>village</w:t>
      </w:r>
      <w:r w:rsidRPr="00B619BB">
        <w:rPr>
          <w:rFonts w:ascii="Book Antiqua" w:hAnsi="Book Antiqua" w:cstheme="majorHAnsi"/>
          <w:sz w:val="24"/>
          <w:szCs w:val="24"/>
        </w:rPr>
        <w:t xml:space="preserve">, if they cannot be resolved in the </w:t>
      </w:r>
      <w:r w:rsidR="00DF43AC">
        <w:rPr>
          <w:rFonts w:ascii="Book Antiqua" w:hAnsi="Book Antiqua" w:cstheme="majorHAnsi"/>
          <w:sz w:val="24"/>
          <w:szCs w:val="24"/>
        </w:rPr>
        <w:t>village</w:t>
      </w:r>
      <w:r w:rsidRPr="00B619BB">
        <w:rPr>
          <w:rFonts w:ascii="Book Antiqua" w:hAnsi="Book Antiqua" w:cstheme="majorHAnsi"/>
          <w:sz w:val="24"/>
          <w:szCs w:val="24"/>
        </w:rPr>
        <w:t>, they will be transferred to the next legal level.</w:t>
      </w:r>
    </w:p>
    <w:p w:rsidR="00B619BB" w:rsidRPr="00B619BB" w:rsidRDefault="00B619BB" w:rsidP="00B619BB">
      <w:pPr>
        <w:spacing w:after="120" w:line="240" w:lineRule="auto"/>
        <w:jc w:val="both"/>
        <w:rPr>
          <w:rFonts w:ascii="Book Antiqua" w:hAnsi="Book Antiqua" w:cstheme="majorHAnsi"/>
          <w:sz w:val="24"/>
          <w:szCs w:val="24"/>
        </w:rPr>
      </w:pPr>
      <w:r w:rsidRPr="00B619BB">
        <w:rPr>
          <w:rFonts w:ascii="Book Antiqua" w:hAnsi="Book Antiqua" w:cstheme="majorHAnsi"/>
          <w:sz w:val="24"/>
          <w:szCs w:val="24"/>
        </w:rPr>
        <w:t xml:space="preserve">The consequence of resolving cases of </w:t>
      </w:r>
      <w:proofErr w:type="spellStart"/>
      <w:r w:rsidR="006E7C55" w:rsidRPr="006E7C55">
        <w:rPr>
          <w:rFonts w:ascii="Book Antiqua" w:hAnsi="Book Antiqua" w:cstheme="majorHAnsi"/>
          <w:i/>
          <w:sz w:val="24"/>
          <w:szCs w:val="24"/>
        </w:rPr>
        <w:t>khalwat</w:t>
      </w:r>
      <w:proofErr w:type="spellEnd"/>
      <w:r w:rsidRPr="00B619BB">
        <w:rPr>
          <w:rFonts w:ascii="Book Antiqua" w:hAnsi="Book Antiqua" w:cstheme="majorHAnsi"/>
          <w:sz w:val="24"/>
          <w:szCs w:val="24"/>
        </w:rPr>
        <w:t xml:space="preserve"> through customary courts in the village is the application of punishment. The punishment (</w:t>
      </w:r>
      <w:r w:rsidRPr="006E7C55">
        <w:rPr>
          <w:rFonts w:ascii="Book Antiqua" w:hAnsi="Book Antiqua" w:cstheme="majorHAnsi"/>
          <w:i/>
          <w:sz w:val="24"/>
          <w:szCs w:val="24"/>
        </w:rPr>
        <w:t>'</w:t>
      </w:r>
      <w:proofErr w:type="spellStart"/>
      <w:r w:rsidRPr="006E7C55">
        <w:rPr>
          <w:rFonts w:ascii="Book Antiqua" w:hAnsi="Book Antiqua" w:cstheme="majorHAnsi"/>
          <w:i/>
          <w:sz w:val="24"/>
          <w:szCs w:val="24"/>
        </w:rPr>
        <w:t>uqubat</w:t>
      </w:r>
      <w:proofErr w:type="spellEnd"/>
      <w:r w:rsidRPr="00B619BB">
        <w:rPr>
          <w:rFonts w:ascii="Book Antiqua" w:hAnsi="Book Antiqua" w:cstheme="majorHAnsi"/>
          <w:sz w:val="24"/>
          <w:szCs w:val="24"/>
        </w:rPr>
        <w:t>) contained in Islamic law and customary law is certainly different.</w:t>
      </w:r>
      <w:r w:rsidR="00185CF4">
        <w:rPr>
          <w:rStyle w:val="FootnoteReference"/>
          <w:rFonts w:ascii="Book Antiqua" w:hAnsi="Book Antiqua" w:cstheme="majorHAnsi"/>
          <w:sz w:val="24"/>
          <w:szCs w:val="24"/>
        </w:rPr>
        <w:footnoteReference w:id="3"/>
      </w:r>
      <w:r w:rsidRPr="00B619BB">
        <w:rPr>
          <w:rFonts w:ascii="Book Antiqua" w:hAnsi="Book Antiqua" w:cstheme="majorHAnsi"/>
          <w:sz w:val="24"/>
          <w:szCs w:val="24"/>
        </w:rPr>
        <w:t xml:space="preserve"> The punishments imposed by Islamic law for violators of the </w:t>
      </w:r>
      <w:proofErr w:type="spellStart"/>
      <w:r w:rsidRPr="00B619BB">
        <w:rPr>
          <w:rFonts w:ascii="Book Antiqua" w:hAnsi="Book Antiqua" w:cstheme="majorHAnsi"/>
          <w:sz w:val="24"/>
          <w:szCs w:val="24"/>
        </w:rPr>
        <w:t>Qanun</w:t>
      </w:r>
      <w:proofErr w:type="spellEnd"/>
      <w:r w:rsidRPr="00B619BB">
        <w:rPr>
          <w:rFonts w:ascii="Book Antiqua" w:hAnsi="Book Antiqua" w:cstheme="majorHAnsi"/>
          <w:sz w:val="24"/>
          <w:szCs w:val="24"/>
        </w:rPr>
        <w:t xml:space="preserve"> are generally in the form of lashes, fines, and imprisonment. This can be seen in Article 23 of </w:t>
      </w:r>
      <w:proofErr w:type="spellStart"/>
      <w:r w:rsidRPr="00B619BB">
        <w:rPr>
          <w:rFonts w:ascii="Book Antiqua" w:hAnsi="Book Antiqua" w:cstheme="majorHAnsi"/>
          <w:sz w:val="24"/>
          <w:szCs w:val="24"/>
        </w:rPr>
        <w:t>Qanun</w:t>
      </w:r>
      <w:proofErr w:type="spellEnd"/>
      <w:r w:rsidRPr="00B619BB">
        <w:rPr>
          <w:rFonts w:ascii="Book Antiqua" w:hAnsi="Book Antiqua" w:cstheme="majorHAnsi"/>
          <w:sz w:val="24"/>
          <w:szCs w:val="24"/>
        </w:rPr>
        <w:t xml:space="preserve"> Number 6 of 2014 concerning </w:t>
      </w:r>
      <w:proofErr w:type="spellStart"/>
      <w:r w:rsidR="006E7C55" w:rsidRPr="006E7C55">
        <w:rPr>
          <w:rFonts w:ascii="Book Antiqua" w:hAnsi="Book Antiqua" w:cstheme="majorHAnsi"/>
          <w:i/>
          <w:sz w:val="24"/>
          <w:szCs w:val="24"/>
        </w:rPr>
        <w:t>Jinayat</w:t>
      </w:r>
      <w:proofErr w:type="spellEnd"/>
      <w:r w:rsidRPr="00B619BB">
        <w:rPr>
          <w:rFonts w:ascii="Book Antiqua" w:hAnsi="Book Antiqua" w:cstheme="majorHAnsi"/>
          <w:sz w:val="24"/>
          <w:szCs w:val="24"/>
        </w:rPr>
        <w:t xml:space="preserve"> Law which stipulates that any person who intentionally commits </w:t>
      </w:r>
      <w:proofErr w:type="spellStart"/>
      <w:r w:rsidR="006E7C55" w:rsidRPr="006E7C55">
        <w:rPr>
          <w:rFonts w:ascii="Book Antiqua" w:hAnsi="Book Antiqua" w:cstheme="majorHAnsi"/>
          <w:i/>
          <w:sz w:val="24"/>
          <w:szCs w:val="24"/>
        </w:rPr>
        <w:t>khalwat</w:t>
      </w:r>
      <w:proofErr w:type="spellEnd"/>
      <w:r w:rsidRPr="00B619BB">
        <w:rPr>
          <w:rFonts w:ascii="Book Antiqua" w:hAnsi="Book Antiqua" w:cstheme="majorHAnsi"/>
          <w:sz w:val="24"/>
          <w:szCs w:val="24"/>
        </w:rPr>
        <w:t xml:space="preserve"> is threatened with '</w:t>
      </w:r>
      <w:proofErr w:type="spellStart"/>
      <w:r w:rsidRPr="00B619BB">
        <w:rPr>
          <w:rFonts w:ascii="Book Antiqua" w:hAnsi="Book Antiqua" w:cstheme="majorHAnsi"/>
          <w:sz w:val="24"/>
          <w:szCs w:val="24"/>
        </w:rPr>
        <w:t>Uqubat</w:t>
      </w:r>
      <w:proofErr w:type="spellEnd"/>
      <w:r w:rsidRPr="00B619BB">
        <w:rPr>
          <w:rFonts w:ascii="Book Antiqua" w:hAnsi="Book Antiqua" w:cstheme="majorHAnsi"/>
          <w:sz w:val="24"/>
          <w:szCs w:val="24"/>
        </w:rPr>
        <w:t xml:space="preserve"> </w:t>
      </w:r>
      <w:proofErr w:type="spellStart"/>
      <w:r w:rsidRPr="00B619BB">
        <w:rPr>
          <w:rFonts w:ascii="Book Antiqua" w:hAnsi="Book Antiqua" w:cstheme="majorHAnsi"/>
          <w:sz w:val="24"/>
          <w:szCs w:val="24"/>
        </w:rPr>
        <w:t>Ta'zir</w:t>
      </w:r>
      <w:proofErr w:type="spellEnd"/>
      <w:r w:rsidRPr="00B619BB">
        <w:rPr>
          <w:rFonts w:ascii="Book Antiqua" w:hAnsi="Book Antiqua" w:cstheme="majorHAnsi"/>
          <w:sz w:val="24"/>
          <w:szCs w:val="24"/>
        </w:rPr>
        <w:t xml:space="preserve"> lashes for a maximum of 10 (ten) times or a fine of a maximum of 100 (one hundred) grams. </w:t>
      </w:r>
      <w:proofErr w:type="gramStart"/>
      <w:r w:rsidRPr="00B619BB">
        <w:rPr>
          <w:rFonts w:ascii="Book Antiqua" w:hAnsi="Book Antiqua" w:cstheme="majorHAnsi"/>
          <w:sz w:val="24"/>
          <w:szCs w:val="24"/>
        </w:rPr>
        <w:t>pure</w:t>
      </w:r>
      <w:proofErr w:type="gramEnd"/>
      <w:r w:rsidRPr="00B619BB">
        <w:rPr>
          <w:rFonts w:ascii="Book Antiqua" w:hAnsi="Book Antiqua" w:cstheme="majorHAnsi"/>
          <w:sz w:val="24"/>
          <w:szCs w:val="24"/>
        </w:rPr>
        <w:t xml:space="preserve"> gold or imprisonment for a maximum of 10 (ten) months. When the punishment is through customary courts, the criminal act of </w:t>
      </w:r>
      <w:proofErr w:type="spellStart"/>
      <w:r w:rsidR="006E7C55" w:rsidRPr="006E7C55">
        <w:rPr>
          <w:rFonts w:ascii="Book Antiqua" w:hAnsi="Book Antiqua" w:cstheme="majorHAnsi"/>
          <w:i/>
          <w:sz w:val="24"/>
          <w:szCs w:val="24"/>
        </w:rPr>
        <w:t>khalwat</w:t>
      </w:r>
      <w:proofErr w:type="spellEnd"/>
      <w:r w:rsidRPr="00B619BB">
        <w:rPr>
          <w:rFonts w:ascii="Book Antiqua" w:hAnsi="Book Antiqua" w:cstheme="majorHAnsi"/>
          <w:sz w:val="24"/>
          <w:szCs w:val="24"/>
        </w:rPr>
        <w:t xml:space="preserve"> applies the punishment of exile, fines, feasting, bathing, or the </w:t>
      </w:r>
      <w:proofErr w:type="spellStart"/>
      <w:r w:rsidR="006E7C55" w:rsidRPr="006E7C55">
        <w:rPr>
          <w:rFonts w:ascii="Book Antiqua" w:hAnsi="Book Antiqua" w:cstheme="majorHAnsi"/>
          <w:i/>
          <w:sz w:val="24"/>
          <w:szCs w:val="24"/>
        </w:rPr>
        <w:t>khalwat</w:t>
      </w:r>
      <w:proofErr w:type="spellEnd"/>
      <w:r w:rsidRPr="00B619BB">
        <w:rPr>
          <w:rFonts w:ascii="Book Antiqua" w:hAnsi="Book Antiqua" w:cstheme="majorHAnsi"/>
          <w:sz w:val="24"/>
          <w:szCs w:val="24"/>
        </w:rPr>
        <w:t xml:space="preserve"> couple is forced to get married and so on, according to their respective region’s policy.</w:t>
      </w:r>
      <w:r w:rsidR="00710561">
        <w:rPr>
          <w:rStyle w:val="FootnoteReference"/>
          <w:rFonts w:ascii="Book Antiqua" w:hAnsi="Book Antiqua" w:cstheme="majorHAnsi"/>
          <w:sz w:val="24"/>
          <w:szCs w:val="24"/>
        </w:rPr>
        <w:footnoteReference w:id="4"/>
      </w:r>
    </w:p>
    <w:p w:rsidR="004B1F20" w:rsidRDefault="00B619BB" w:rsidP="00B619BB">
      <w:pPr>
        <w:spacing w:after="120" w:line="240" w:lineRule="auto"/>
        <w:jc w:val="both"/>
        <w:rPr>
          <w:rFonts w:ascii="Book Antiqua" w:hAnsi="Book Antiqua" w:cstheme="majorHAnsi"/>
          <w:sz w:val="24"/>
          <w:szCs w:val="24"/>
          <w:lang w:val="en-GB"/>
        </w:rPr>
      </w:pPr>
      <w:r w:rsidRPr="00B619BB">
        <w:rPr>
          <w:rFonts w:ascii="Book Antiqua" w:hAnsi="Book Antiqua" w:cstheme="majorHAnsi"/>
          <w:sz w:val="24"/>
          <w:szCs w:val="24"/>
        </w:rPr>
        <w:t xml:space="preserve">The dualism of the mechanism for resolving the crime of </w:t>
      </w:r>
      <w:proofErr w:type="spellStart"/>
      <w:r w:rsidR="006E7C55" w:rsidRPr="006E7C55">
        <w:rPr>
          <w:rFonts w:ascii="Book Antiqua" w:hAnsi="Book Antiqua" w:cstheme="majorHAnsi"/>
          <w:i/>
          <w:sz w:val="24"/>
          <w:szCs w:val="24"/>
        </w:rPr>
        <w:t>khalwat</w:t>
      </w:r>
      <w:proofErr w:type="spellEnd"/>
      <w:r w:rsidRPr="00B619BB">
        <w:rPr>
          <w:rFonts w:ascii="Book Antiqua" w:hAnsi="Book Antiqua" w:cstheme="majorHAnsi"/>
          <w:sz w:val="24"/>
          <w:szCs w:val="24"/>
        </w:rPr>
        <w:t xml:space="preserve"> has caused a controversy in the community because in practice all reports from the community and even those who are caught red-handed are reported to the police on the grounds that the case must first be resolved through customary courts in the village. If the customary court is unable to resolve the case, the case will only be resolved through a formal legal mechanism under the authority of the </w:t>
      </w:r>
      <w:proofErr w:type="spellStart"/>
      <w:r w:rsidRPr="00B619BB">
        <w:rPr>
          <w:rFonts w:ascii="Book Antiqua" w:hAnsi="Book Antiqua" w:cstheme="majorHAnsi"/>
          <w:sz w:val="24"/>
          <w:szCs w:val="24"/>
        </w:rPr>
        <w:t>Syar'iyah</w:t>
      </w:r>
      <w:proofErr w:type="spellEnd"/>
      <w:r w:rsidRPr="00B619BB">
        <w:rPr>
          <w:rFonts w:ascii="Book Antiqua" w:hAnsi="Book Antiqua" w:cstheme="majorHAnsi"/>
          <w:sz w:val="24"/>
          <w:szCs w:val="24"/>
        </w:rPr>
        <w:t xml:space="preserve"> Court. Therefore, this study will analyze the settlement of the criminal act of seclusion in Aceh.</w:t>
      </w:r>
    </w:p>
    <w:p w:rsidR="00AF20D0" w:rsidRPr="00B63277" w:rsidRDefault="00AF20D0" w:rsidP="00B619BB">
      <w:pPr>
        <w:spacing w:after="120" w:line="240" w:lineRule="auto"/>
        <w:jc w:val="both"/>
        <w:rPr>
          <w:sz w:val="24"/>
          <w:szCs w:val="24"/>
        </w:rPr>
      </w:pPr>
    </w:p>
    <w:p w:rsidR="004B1F20" w:rsidRPr="00436951" w:rsidRDefault="004B1F20" w:rsidP="00AF20D0">
      <w:pPr>
        <w:numPr>
          <w:ilvl w:val="0"/>
          <w:numId w:val="18"/>
        </w:numPr>
        <w:spacing w:after="120" w:line="240" w:lineRule="auto"/>
        <w:ind w:left="284" w:hanging="284"/>
        <w:rPr>
          <w:rFonts w:ascii="Book Antiqua" w:hAnsi="Book Antiqua"/>
          <w:b/>
          <w:bCs/>
          <w:color w:val="4472C4" w:themeColor="accent1"/>
          <w:sz w:val="28"/>
          <w:szCs w:val="22"/>
          <w:lang w:val="id-ID"/>
        </w:rPr>
      </w:pPr>
      <w:r w:rsidRPr="00436951">
        <w:rPr>
          <w:rFonts w:ascii="Book Antiqua" w:hAnsi="Book Antiqua"/>
          <w:b/>
          <w:color w:val="2F5496" w:themeColor="accent1" w:themeShade="BF"/>
          <w:sz w:val="24"/>
          <w:szCs w:val="24"/>
        </w:rPr>
        <w:t>METHOD</w:t>
      </w:r>
    </w:p>
    <w:p w:rsidR="00B619BB" w:rsidRPr="00B619BB" w:rsidRDefault="00B619BB" w:rsidP="00B619BB">
      <w:pPr>
        <w:spacing w:after="120" w:line="240" w:lineRule="auto"/>
        <w:jc w:val="both"/>
        <w:rPr>
          <w:rFonts w:ascii="Book Antiqua" w:hAnsi="Book Antiqua" w:cstheme="majorHAnsi"/>
          <w:sz w:val="24"/>
          <w:szCs w:val="24"/>
          <w:lang w:val="id-ID"/>
        </w:rPr>
      </w:pPr>
      <w:r w:rsidRPr="00B619BB">
        <w:rPr>
          <w:rFonts w:ascii="Book Antiqua" w:hAnsi="Book Antiqua" w:cstheme="majorHAnsi"/>
          <w:sz w:val="24"/>
          <w:szCs w:val="24"/>
          <w:lang w:val="id-ID"/>
        </w:rPr>
        <w:t>This type of research is legalistic, doctrinal/normative. According to Rowe, normative research aims to find, explain, study, analyze and systematically present facts, principles, concepts, theories, and certain laws so as to find new knowledge and ideas to be suggeste</w:t>
      </w:r>
      <w:r w:rsidR="00185CF4">
        <w:rPr>
          <w:rFonts w:ascii="Book Antiqua" w:hAnsi="Book Antiqua" w:cstheme="majorHAnsi"/>
          <w:sz w:val="24"/>
          <w:szCs w:val="24"/>
          <w:lang w:val="id-ID"/>
        </w:rPr>
        <w:t>d for renewal</w:t>
      </w:r>
      <w:r w:rsidRPr="00B619BB">
        <w:rPr>
          <w:rFonts w:ascii="Book Antiqua" w:hAnsi="Book Antiqua" w:cstheme="majorHAnsi"/>
          <w:sz w:val="24"/>
          <w:szCs w:val="24"/>
          <w:lang w:val="id-ID"/>
        </w:rPr>
        <w:t>.</w:t>
      </w:r>
      <w:r w:rsidR="00185CF4">
        <w:rPr>
          <w:rStyle w:val="FootnoteReference"/>
          <w:rFonts w:ascii="Book Antiqua" w:hAnsi="Book Antiqua" w:cstheme="majorHAnsi"/>
          <w:sz w:val="24"/>
          <w:szCs w:val="24"/>
        </w:rPr>
        <w:footnoteReference w:id="5"/>
      </w:r>
      <w:r w:rsidRPr="00B619BB">
        <w:rPr>
          <w:rFonts w:ascii="Book Antiqua" w:hAnsi="Book Antiqua" w:cstheme="majorHAnsi"/>
          <w:sz w:val="24"/>
          <w:szCs w:val="24"/>
          <w:lang w:val="id-ID"/>
        </w:rPr>
        <w:t xml:space="preserve"> In this study, all documents, references, facts, theories, doctrines, and laws related to health will be reviewed, especially those relating to the settlement of criminal acts (</w:t>
      </w:r>
      <w:r w:rsidR="006E7C55" w:rsidRPr="006E7C55">
        <w:rPr>
          <w:rFonts w:ascii="Book Antiqua" w:hAnsi="Book Antiqua" w:cstheme="majorHAnsi"/>
          <w:i/>
          <w:sz w:val="24"/>
          <w:szCs w:val="24"/>
          <w:lang w:val="id-ID"/>
        </w:rPr>
        <w:t>jarimah</w:t>
      </w:r>
      <w:r w:rsidRPr="00B619BB">
        <w:rPr>
          <w:rFonts w:ascii="Book Antiqua" w:hAnsi="Book Antiqua" w:cstheme="majorHAnsi"/>
          <w:sz w:val="24"/>
          <w:szCs w:val="24"/>
          <w:lang w:val="id-ID"/>
        </w:rPr>
        <w:t xml:space="preserve">) </w:t>
      </w:r>
      <w:r w:rsidR="006E7C55" w:rsidRPr="006E7C55">
        <w:rPr>
          <w:rFonts w:ascii="Book Antiqua" w:hAnsi="Book Antiqua" w:cstheme="majorHAnsi"/>
          <w:i/>
          <w:sz w:val="24"/>
          <w:szCs w:val="24"/>
          <w:lang w:val="id-ID"/>
        </w:rPr>
        <w:t>khalwat</w:t>
      </w:r>
      <w:r w:rsidRPr="00B619BB">
        <w:rPr>
          <w:rFonts w:ascii="Book Antiqua" w:hAnsi="Book Antiqua" w:cstheme="majorHAnsi"/>
          <w:sz w:val="24"/>
          <w:szCs w:val="24"/>
          <w:lang w:val="id-ID"/>
        </w:rPr>
        <w:t xml:space="preserve"> in Aceh.</w:t>
      </w:r>
    </w:p>
    <w:p w:rsidR="004B1F20" w:rsidRDefault="00B619BB" w:rsidP="00B619BB">
      <w:pPr>
        <w:spacing w:after="120" w:line="240" w:lineRule="auto"/>
        <w:jc w:val="both"/>
        <w:rPr>
          <w:rFonts w:ascii="Book Antiqua" w:hAnsi="Book Antiqua" w:cstheme="majorHAnsi"/>
          <w:sz w:val="24"/>
          <w:szCs w:val="24"/>
        </w:rPr>
      </w:pPr>
      <w:r w:rsidRPr="00B619BB">
        <w:rPr>
          <w:rFonts w:ascii="Book Antiqua" w:hAnsi="Book Antiqua" w:cstheme="majorHAnsi"/>
          <w:sz w:val="24"/>
          <w:szCs w:val="24"/>
          <w:lang w:val="id-ID"/>
        </w:rPr>
        <w:t>The approach used in legal research generally uses several approaches such as the concept approach, the statute approach, the historical approach to law, the case analysis approach, and the compa</w:t>
      </w:r>
      <w:r w:rsidR="00185CF4">
        <w:rPr>
          <w:rFonts w:ascii="Book Antiqua" w:hAnsi="Book Antiqua" w:cstheme="majorHAnsi"/>
          <w:sz w:val="24"/>
          <w:szCs w:val="24"/>
          <w:lang w:val="id-ID"/>
        </w:rPr>
        <w:t>rative approach.</w:t>
      </w:r>
      <w:r w:rsidR="00185CF4">
        <w:rPr>
          <w:rStyle w:val="FootnoteReference"/>
          <w:rFonts w:ascii="Book Antiqua" w:hAnsi="Book Antiqua" w:cstheme="majorHAnsi"/>
          <w:sz w:val="24"/>
          <w:szCs w:val="24"/>
        </w:rPr>
        <w:footnoteReference w:id="6"/>
      </w:r>
      <w:r w:rsidRPr="00B619BB">
        <w:rPr>
          <w:rFonts w:ascii="Book Antiqua" w:hAnsi="Book Antiqua" w:cstheme="majorHAnsi"/>
          <w:sz w:val="24"/>
          <w:szCs w:val="24"/>
          <w:lang w:val="id-ID"/>
        </w:rPr>
        <w:t xml:space="preserve"> However, this study only uses a legal or legal approach (statute approach) and a comparative approach to law (comparative approach) because this study more or less compares the settlement mechanism of Islamic criminal law with customary criminal law in Aceh.</w:t>
      </w:r>
    </w:p>
    <w:p w:rsidR="00AF20D0" w:rsidRDefault="00AF20D0" w:rsidP="00AF20D0">
      <w:pPr>
        <w:spacing w:after="0" w:line="240" w:lineRule="auto"/>
        <w:jc w:val="both"/>
        <w:rPr>
          <w:rFonts w:ascii="Book Antiqua" w:hAnsi="Book Antiqua" w:cs="Calibri"/>
          <w:color w:val="333333"/>
        </w:rPr>
      </w:pPr>
    </w:p>
    <w:p w:rsidR="00710561" w:rsidRDefault="00710561" w:rsidP="00AF20D0">
      <w:pPr>
        <w:spacing w:after="0" w:line="240" w:lineRule="auto"/>
        <w:jc w:val="both"/>
        <w:rPr>
          <w:rFonts w:ascii="Book Antiqua" w:hAnsi="Book Antiqua" w:cs="Calibri"/>
          <w:color w:val="333333"/>
        </w:rPr>
      </w:pPr>
    </w:p>
    <w:p w:rsidR="00710561" w:rsidRDefault="00710561" w:rsidP="00AF20D0">
      <w:pPr>
        <w:spacing w:after="0" w:line="240" w:lineRule="auto"/>
        <w:jc w:val="both"/>
        <w:rPr>
          <w:rFonts w:ascii="Book Antiqua" w:hAnsi="Book Antiqua" w:cs="Calibri"/>
          <w:color w:val="333333"/>
        </w:rPr>
      </w:pPr>
    </w:p>
    <w:p w:rsidR="00710561" w:rsidRPr="00B63277" w:rsidRDefault="00710561" w:rsidP="00AF20D0">
      <w:pPr>
        <w:spacing w:after="0" w:line="240" w:lineRule="auto"/>
        <w:jc w:val="both"/>
        <w:rPr>
          <w:rFonts w:ascii="Book Antiqua" w:hAnsi="Book Antiqua" w:cs="Calibri"/>
          <w:color w:val="333333"/>
        </w:rPr>
      </w:pPr>
    </w:p>
    <w:p w:rsidR="004B1F20" w:rsidRDefault="004B1F20" w:rsidP="00B619BB">
      <w:pPr>
        <w:numPr>
          <w:ilvl w:val="0"/>
          <w:numId w:val="18"/>
        </w:numPr>
        <w:spacing w:after="120" w:line="240" w:lineRule="auto"/>
        <w:ind w:left="284" w:hanging="284"/>
        <w:rPr>
          <w:rFonts w:ascii="Book Antiqua" w:hAnsi="Book Antiqua"/>
          <w:b/>
          <w:color w:val="2F5496" w:themeColor="accent1" w:themeShade="BF"/>
          <w:sz w:val="24"/>
          <w:szCs w:val="24"/>
        </w:rPr>
      </w:pPr>
      <w:r w:rsidRPr="00B63277">
        <w:rPr>
          <w:rFonts w:ascii="Book Antiqua" w:hAnsi="Book Antiqua"/>
          <w:b/>
          <w:color w:val="2F5496" w:themeColor="accent1" w:themeShade="BF"/>
          <w:sz w:val="24"/>
          <w:szCs w:val="24"/>
        </w:rPr>
        <w:lastRenderedPageBreak/>
        <w:t>RESULTS AND DISCUSSION</w:t>
      </w:r>
    </w:p>
    <w:p w:rsidR="00B619BB" w:rsidRPr="00B619BB" w:rsidRDefault="00B619BB" w:rsidP="00B619BB">
      <w:pPr>
        <w:pStyle w:val="ListParagraph"/>
        <w:numPr>
          <w:ilvl w:val="1"/>
          <w:numId w:val="18"/>
        </w:numPr>
        <w:spacing w:after="120" w:line="240" w:lineRule="auto"/>
        <w:ind w:left="360"/>
        <w:rPr>
          <w:rFonts w:ascii="Book Antiqua" w:hAnsi="Book Antiqua"/>
          <w:b/>
          <w:color w:val="000000" w:themeColor="text1"/>
          <w:sz w:val="24"/>
          <w:szCs w:val="24"/>
        </w:rPr>
      </w:pPr>
      <w:r w:rsidRPr="00B619BB">
        <w:rPr>
          <w:rFonts w:ascii="Times New Roman" w:hAnsi="Times New Roman"/>
          <w:color w:val="000000" w:themeColor="text1"/>
          <w:sz w:val="24"/>
          <w:szCs w:val="24"/>
        </w:rPr>
        <w:t xml:space="preserve">Interpretation of </w:t>
      </w:r>
      <w:proofErr w:type="spellStart"/>
      <w:r w:rsidR="006E7C55" w:rsidRPr="006E7C55">
        <w:rPr>
          <w:rFonts w:ascii="Times New Roman" w:hAnsi="Times New Roman"/>
          <w:i/>
          <w:color w:val="000000" w:themeColor="text1"/>
          <w:sz w:val="24"/>
          <w:szCs w:val="24"/>
        </w:rPr>
        <w:t>Khalwat</w:t>
      </w:r>
      <w:proofErr w:type="spellEnd"/>
    </w:p>
    <w:p w:rsidR="00B619BB" w:rsidRPr="00B619BB" w:rsidRDefault="00B619BB" w:rsidP="00B619BB">
      <w:pPr>
        <w:spacing w:after="120" w:line="240" w:lineRule="auto"/>
        <w:jc w:val="both"/>
        <w:rPr>
          <w:rFonts w:ascii="Book Antiqua" w:hAnsi="Book Antiqua"/>
          <w:sz w:val="24"/>
          <w:szCs w:val="24"/>
        </w:rPr>
      </w:pPr>
      <w:r w:rsidRPr="00B619BB">
        <w:rPr>
          <w:rFonts w:ascii="Book Antiqua" w:hAnsi="Book Antiqua"/>
          <w:sz w:val="24"/>
          <w:szCs w:val="24"/>
        </w:rPr>
        <w:t xml:space="preserve">One of the sins forbidden in Islam is committing </w:t>
      </w:r>
      <w:proofErr w:type="spellStart"/>
      <w:r w:rsidR="006E7C55" w:rsidRPr="006E7C55">
        <w:rPr>
          <w:rFonts w:ascii="Book Antiqua" w:hAnsi="Book Antiqua"/>
          <w:i/>
          <w:sz w:val="24"/>
          <w:szCs w:val="24"/>
        </w:rPr>
        <w:t>jinayat</w:t>
      </w:r>
      <w:proofErr w:type="spellEnd"/>
      <w:r w:rsidRPr="00B619BB">
        <w:rPr>
          <w:rFonts w:ascii="Book Antiqua" w:hAnsi="Book Antiqua"/>
          <w:sz w:val="24"/>
          <w:szCs w:val="24"/>
        </w:rPr>
        <w:t xml:space="preserve"> fornication and something that is closer to adultery, namely seclusion that becomes </w:t>
      </w:r>
      <w:proofErr w:type="spellStart"/>
      <w:r w:rsidRPr="006E7C55">
        <w:rPr>
          <w:rFonts w:ascii="Book Antiqua" w:hAnsi="Book Antiqua"/>
          <w:i/>
          <w:sz w:val="24"/>
          <w:szCs w:val="24"/>
        </w:rPr>
        <w:t>washilah</w:t>
      </w:r>
      <w:proofErr w:type="spellEnd"/>
      <w:r w:rsidRPr="00B619BB">
        <w:rPr>
          <w:rFonts w:ascii="Book Antiqua" w:hAnsi="Book Antiqua"/>
          <w:sz w:val="24"/>
          <w:szCs w:val="24"/>
        </w:rPr>
        <w:t xml:space="preserve"> or an opportunity for adultery to occur. This indicates that the act of adultery occurs due to other acts that cause adultery, </w:t>
      </w:r>
      <w:proofErr w:type="gramStart"/>
      <w:r w:rsidRPr="00B619BB">
        <w:rPr>
          <w:rFonts w:ascii="Book Antiqua" w:hAnsi="Book Antiqua"/>
          <w:sz w:val="24"/>
          <w:szCs w:val="24"/>
        </w:rPr>
        <w:t>then</w:t>
      </w:r>
      <w:proofErr w:type="gramEnd"/>
      <w:r w:rsidRPr="00B619BB">
        <w:rPr>
          <w:rFonts w:ascii="Book Antiqua" w:hAnsi="Book Antiqua"/>
          <w:sz w:val="24"/>
          <w:szCs w:val="24"/>
        </w:rPr>
        <w:t xml:space="preserve"> </w:t>
      </w:r>
      <w:proofErr w:type="spellStart"/>
      <w:r w:rsidR="006E7C55" w:rsidRPr="006E7C55">
        <w:rPr>
          <w:rFonts w:ascii="Book Antiqua" w:hAnsi="Book Antiqua"/>
          <w:i/>
          <w:sz w:val="24"/>
          <w:szCs w:val="24"/>
        </w:rPr>
        <w:t>khalwat</w:t>
      </w:r>
      <w:proofErr w:type="spellEnd"/>
      <w:r w:rsidR="00DF43AC">
        <w:rPr>
          <w:rFonts w:ascii="Book Antiqua" w:hAnsi="Book Antiqua"/>
          <w:sz w:val="24"/>
          <w:szCs w:val="24"/>
        </w:rPr>
        <w:t xml:space="preserve"> </w:t>
      </w:r>
      <w:r w:rsidRPr="00B619BB">
        <w:rPr>
          <w:rFonts w:ascii="Book Antiqua" w:hAnsi="Book Antiqua"/>
          <w:sz w:val="24"/>
          <w:szCs w:val="24"/>
        </w:rPr>
        <w:t xml:space="preserve">is also one of the </w:t>
      </w:r>
      <w:proofErr w:type="spellStart"/>
      <w:r w:rsidR="006E7C55" w:rsidRPr="006E7C55">
        <w:rPr>
          <w:rFonts w:ascii="Book Antiqua" w:hAnsi="Book Antiqua"/>
          <w:i/>
          <w:sz w:val="24"/>
          <w:szCs w:val="24"/>
        </w:rPr>
        <w:t>jarimah</w:t>
      </w:r>
      <w:proofErr w:type="spellEnd"/>
      <w:r w:rsidRPr="00B619BB">
        <w:rPr>
          <w:rFonts w:ascii="Book Antiqua" w:hAnsi="Book Antiqua"/>
          <w:sz w:val="24"/>
          <w:szCs w:val="24"/>
        </w:rPr>
        <w:t xml:space="preserve"> (criminal acts) and is threatened with </w:t>
      </w:r>
      <w:r w:rsidRPr="006E7C55">
        <w:rPr>
          <w:rFonts w:ascii="Book Antiqua" w:hAnsi="Book Antiqua"/>
          <w:i/>
          <w:sz w:val="24"/>
          <w:szCs w:val="24"/>
        </w:rPr>
        <w:t>'</w:t>
      </w:r>
      <w:proofErr w:type="spellStart"/>
      <w:r w:rsidRPr="006E7C55">
        <w:rPr>
          <w:rFonts w:ascii="Book Antiqua" w:hAnsi="Book Antiqua"/>
          <w:i/>
          <w:sz w:val="24"/>
          <w:szCs w:val="24"/>
        </w:rPr>
        <w:t>uqubat</w:t>
      </w:r>
      <w:proofErr w:type="spellEnd"/>
      <w:r w:rsidRPr="006E7C55">
        <w:rPr>
          <w:rFonts w:ascii="Book Antiqua" w:hAnsi="Book Antiqua"/>
          <w:i/>
          <w:sz w:val="24"/>
          <w:szCs w:val="24"/>
        </w:rPr>
        <w:t xml:space="preserve"> </w:t>
      </w:r>
      <w:proofErr w:type="spellStart"/>
      <w:r w:rsidRPr="006E7C55">
        <w:rPr>
          <w:rFonts w:ascii="Book Antiqua" w:hAnsi="Book Antiqua"/>
          <w:i/>
          <w:sz w:val="24"/>
          <w:szCs w:val="24"/>
        </w:rPr>
        <w:t>ta'zir</w:t>
      </w:r>
      <w:proofErr w:type="spellEnd"/>
      <w:r w:rsidRPr="00B619BB">
        <w:rPr>
          <w:rFonts w:ascii="Book Antiqua" w:hAnsi="Book Antiqua"/>
          <w:sz w:val="24"/>
          <w:szCs w:val="24"/>
        </w:rPr>
        <w:t>.</w:t>
      </w:r>
      <w:r w:rsidR="001A0270" w:rsidRPr="001A0270">
        <w:rPr>
          <w:rStyle w:val="FootnoteReference"/>
          <w:rFonts w:ascii="Book Antiqua" w:hAnsi="Book Antiqua"/>
          <w:i/>
          <w:sz w:val="24"/>
          <w:szCs w:val="24"/>
        </w:rPr>
        <w:footnoteReference w:id="7"/>
      </w:r>
      <w:r w:rsidRPr="001A0270">
        <w:rPr>
          <w:rFonts w:ascii="Book Antiqua" w:hAnsi="Book Antiqua"/>
          <w:i/>
          <w:sz w:val="24"/>
          <w:szCs w:val="24"/>
        </w:rPr>
        <w:t xml:space="preserve"> </w:t>
      </w:r>
      <w:r w:rsidRPr="00B619BB">
        <w:rPr>
          <w:rFonts w:ascii="Book Antiqua" w:hAnsi="Book Antiqua"/>
          <w:sz w:val="24"/>
          <w:szCs w:val="24"/>
        </w:rPr>
        <w:t>Seclusion is prohibited in Islam because this act can plunge people into adultery, namely having sex outside of a legal marriage.</w:t>
      </w:r>
      <w:r w:rsidR="001A0270">
        <w:rPr>
          <w:rStyle w:val="FootnoteReference"/>
          <w:rFonts w:ascii="Book Antiqua" w:hAnsi="Book Antiqua"/>
          <w:sz w:val="24"/>
          <w:szCs w:val="24"/>
        </w:rPr>
        <w:footnoteReference w:id="8"/>
      </w:r>
    </w:p>
    <w:p w:rsidR="00B619BB" w:rsidRPr="00B619BB" w:rsidRDefault="00B619BB" w:rsidP="00B619BB">
      <w:pPr>
        <w:spacing w:after="120" w:line="240" w:lineRule="auto"/>
        <w:jc w:val="both"/>
        <w:rPr>
          <w:rFonts w:ascii="Book Antiqua" w:hAnsi="Book Antiqua"/>
          <w:sz w:val="24"/>
          <w:szCs w:val="24"/>
        </w:rPr>
      </w:pPr>
      <w:r w:rsidRPr="00B619BB">
        <w:rPr>
          <w:rFonts w:ascii="Book Antiqua" w:hAnsi="Book Antiqua"/>
          <w:sz w:val="24"/>
          <w:szCs w:val="24"/>
        </w:rPr>
        <w:t xml:space="preserve">In Qur'an, Allah Almighty says “...and do not approach adultery; Indeed, adultery is a heinous act. </w:t>
      </w:r>
      <w:proofErr w:type="gramStart"/>
      <w:r w:rsidRPr="00B619BB">
        <w:rPr>
          <w:rFonts w:ascii="Book Antiqua" w:hAnsi="Book Antiqua"/>
          <w:sz w:val="24"/>
          <w:szCs w:val="24"/>
        </w:rPr>
        <w:t>and</w:t>
      </w:r>
      <w:proofErr w:type="gramEnd"/>
      <w:r w:rsidRPr="00B619BB">
        <w:rPr>
          <w:rFonts w:ascii="Book Antiqua" w:hAnsi="Book Antiqua"/>
          <w:sz w:val="24"/>
          <w:szCs w:val="24"/>
        </w:rPr>
        <w:t xml:space="preserve"> a bad way</w:t>
      </w:r>
      <w:r w:rsidR="001A0270">
        <w:rPr>
          <w:rFonts w:ascii="Book Antiqua" w:hAnsi="Book Antiqua"/>
          <w:sz w:val="24"/>
          <w:szCs w:val="24"/>
        </w:rPr>
        <w:t xml:space="preserve"> </w:t>
      </w:r>
      <w:r w:rsidR="001A0270" w:rsidRPr="001A0270">
        <w:rPr>
          <w:rFonts w:ascii="Book Antiqua" w:hAnsi="Book Antiqua"/>
          <w:sz w:val="24"/>
          <w:szCs w:val="24"/>
        </w:rPr>
        <w:t>(</w:t>
      </w:r>
      <w:r w:rsidR="001A0270" w:rsidRPr="001A0270">
        <w:rPr>
          <w:rFonts w:ascii="Book Antiqua" w:hAnsi="Book Antiqua"/>
          <w:bCs/>
          <w:color w:val="202124"/>
          <w:sz w:val="24"/>
          <w:szCs w:val="24"/>
          <w:shd w:val="clear" w:color="auto" w:fill="FFFFFF"/>
        </w:rPr>
        <w:t>QS. Al-</w:t>
      </w:r>
      <w:proofErr w:type="spellStart"/>
      <w:r w:rsidR="001A0270" w:rsidRPr="001A0270">
        <w:rPr>
          <w:rFonts w:ascii="Book Antiqua" w:hAnsi="Book Antiqua"/>
          <w:bCs/>
          <w:color w:val="202124"/>
          <w:sz w:val="24"/>
          <w:szCs w:val="24"/>
          <w:shd w:val="clear" w:color="auto" w:fill="FFFFFF"/>
        </w:rPr>
        <w:t>Israa</w:t>
      </w:r>
      <w:proofErr w:type="spellEnd"/>
      <w:r w:rsidR="001A0270" w:rsidRPr="001A0270">
        <w:rPr>
          <w:rFonts w:ascii="Book Antiqua" w:hAnsi="Book Antiqua"/>
          <w:bCs/>
          <w:color w:val="202124"/>
          <w:sz w:val="24"/>
          <w:szCs w:val="24"/>
          <w:shd w:val="clear" w:color="auto" w:fill="FFFFFF"/>
        </w:rPr>
        <w:t xml:space="preserve">' </w:t>
      </w:r>
      <w:proofErr w:type="gramStart"/>
      <w:r w:rsidR="001A0270" w:rsidRPr="001A0270">
        <w:rPr>
          <w:rFonts w:ascii="Book Antiqua" w:hAnsi="Book Antiqua"/>
          <w:bCs/>
          <w:color w:val="202124"/>
          <w:sz w:val="24"/>
          <w:szCs w:val="24"/>
          <w:shd w:val="clear" w:color="auto" w:fill="FFFFFF"/>
        </w:rPr>
        <w:t>17</w:t>
      </w:r>
      <w:r w:rsidR="001A0270">
        <w:rPr>
          <w:rFonts w:ascii="Book Antiqua" w:hAnsi="Book Antiqua"/>
          <w:bCs/>
          <w:color w:val="202124"/>
          <w:sz w:val="24"/>
          <w:szCs w:val="24"/>
          <w:shd w:val="clear" w:color="auto" w:fill="FFFFFF"/>
        </w:rPr>
        <w:t xml:space="preserve"> </w:t>
      </w:r>
      <w:r w:rsidR="001A0270" w:rsidRPr="001A0270">
        <w:rPr>
          <w:rFonts w:ascii="Book Antiqua" w:hAnsi="Book Antiqua"/>
          <w:bCs/>
          <w:color w:val="202124"/>
          <w:sz w:val="24"/>
          <w:szCs w:val="24"/>
          <w:shd w:val="clear" w:color="auto" w:fill="FFFFFF"/>
        </w:rPr>
        <w:t>:</w:t>
      </w:r>
      <w:proofErr w:type="gramEnd"/>
      <w:r w:rsidR="001A0270">
        <w:rPr>
          <w:rFonts w:ascii="Book Antiqua" w:hAnsi="Book Antiqua"/>
          <w:bCs/>
          <w:color w:val="202124"/>
          <w:sz w:val="24"/>
          <w:szCs w:val="24"/>
          <w:shd w:val="clear" w:color="auto" w:fill="FFFFFF"/>
        </w:rPr>
        <w:t xml:space="preserve"> </w:t>
      </w:r>
      <w:r w:rsidR="001A0270" w:rsidRPr="001A0270">
        <w:rPr>
          <w:rFonts w:ascii="Book Antiqua" w:hAnsi="Book Antiqua"/>
          <w:bCs/>
          <w:color w:val="202124"/>
          <w:sz w:val="24"/>
          <w:szCs w:val="24"/>
          <w:shd w:val="clear" w:color="auto" w:fill="FFFFFF"/>
        </w:rPr>
        <w:t>32</w:t>
      </w:r>
      <w:r w:rsidR="001A0270" w:rsidRPr="001A0270">
        <w:rPr>
          <w:rFonts w:ascii="Book Antiqua" w:hAnsi="Book Antiqua"/>
          <w:color w:val="202124"/>
          <w:sz w:val="24"/>
          <w:szCs w:val="24"/>
          <w:shd w:val="clear" w:color="auto" w:fill="FFFFFF"/>
        </w:rPr>
        <w:t>)</w:t>
      </w:r>
      <w:r w:rsidRPr="001A0270">
        <w:rPr>
          <w:rFonts w:ascii="Book Antiqua" w:hAnsi="Book Antiqua"/>
          <w:sz w:val="24"/>
          <w:szCs w:val="24"/>
        </w:rPr>
        <w:t xml:space="preserve">." The verse above forbids two things at once, namely adultery and </w:t>
      </w:r>
      <w:r w:rsidRPr="00B619BB">
        <w:rPr>
          <w:rFonts w:ascii="Book Antiqua" w:hAnsi="Book Antiqua"/>
          <w:sz w:val="24"/>
          <w:szCs w:val="24"/>
        </w:rPr>
        <w:t xml:space="preserve">all behaviors that approach adultery, including being alone between two opposite sexes who are not </w:t>
      </w:r>
      <w:proofErr w:type="spellStart"/>
      <w:r w:rsidR="006E7C55" w:rsidRPr="006E7C55">
        <w:rPr>
          <w:rFonts w:ascii="Book Antiqua" w:hAnsi="Book Antiqua"/>
          <w:i/>
          <w:sz w:val="24"/>
          <w:szCs w:val="24"/>
        </w:rPr>
        <w:t>mahram</w:t>
      </w:r>
      <w:r w:rsidRPr="00B619BB">
        <w:rPr>
          <w:rFonts w:ascii="Book Antiqua" w:hAnsi="Book Antiqua"/>
          <w:sz w:val="24"/>
          <w:szCs w:val="24"/>
        </w:rPr>
        <w:t>s</w:t>
      </w:r>
      <w:proofErr w:type="spellEnd"/>
      <w:r w:rsidRPr="00B619BB">
        <w:rPr>
          <w:rFonts w:ascii="Book Antiqua" w:hAnsi="Book Antiqua"/>
          <w:sz w:val="24"/>
          <w:szCs w:val="24"/>
        </w:rPr>
        <w:t xml:space="preserve">, which are referred to in Arabic terms as seclusion with those other than </w:t>
      </w:r>
      <w:proofErr w:type="spellStart"/>
      <w:r w:rsidR="006E7C55" w:rsidRPr="006E7C55">
        <w:rPr>
          <w:rFonts w:ascii="Book Antiqua" w:hAnsi="Book Antiqua"/>
          <w:i/>
          <w:sz w:val="24"/>
          <w:szCs w:val="24"/>
        </w:rPr>
        <w:t>mahram</w:t>
      </w:r>
      <w:r w:rsidR="00DF43AC">
        <w:rPr>
          <w:rFonts w:ascii="Book Antiqua" w:hAnsi="Book Antiqua"/>
          <w:sz w:val="24"/>
          <w:szCs w:val="24"/>
        </w:rPr>
        <w:t>s</w:t>
      </w:r>
      <w:proofErr w:type="spellEnd"/>
      <w:r w:rsidRPr="00B619BB">
        <w:rPr>
          <w:rFonts w:ascii="Book Antiqua" w:hAnsi="Book Antiqua"/>
          <w:sz w:val="24"/>
          <w:szCs w:val="24"/>
        </w:rPr>
        <w:t xml:space="preserve">. In several hadiths, the Prophet Muhammad SAW also shows the boundaries of association between men and women who are not </w:t>
      </w:r>
      <w:proofErr w:type="spellStart"/>
      <w:r w:rsidRPr="00B619BB">
        <w:rPr>
          <w:rFonts w:ascii="Book Antiqua" w:hAnsi="Book Antiqua"/>
          <w:sz w:val="24"/>
          <w:szCs w:val="24"/>
        </w:rPr>
        <w:t>muhrimnya</w:t>
      </w:r>
      <w:proofErr w:type="spellEnd"/>
      <w:r w:rsidRPr="00B619BB">
        <w:rPr>
          <w:rFonts w:ascii="Book Antiqua" w:hAnsi="Book Antiqua"/>
          <w:sz w:val="24"/>
          <w:szCs w:val="24"/>
        </w:rPr>
        <w:t>.</w:t>
      </w:r>
    </w:p>
    <w:p w:rsidR="00B619BB" w:rsidRPr="00B619BB" w:rsidRDefault="00B619BB" w:rsidP="00B619BB">
      <w:pPr>
        <w:spacing w:after="120" w:line="240" w:lineRule="auto"/>
        <w:jc w:val="both"/>
        <w:rPr>
          <w:rFonts w:ascii="Book Antiqua" w:hAnsi="Book Antiqua"/>
          <w:sz w:val="24"/>
          <w:szCs w:val="24"/>
        </w:rPr>
      </w:pPr>
      <w:r w:rsidRPr="00B619BB">
        <w:rPr>
          <w:rFonts w:ascii="Book Antiqua" w:hAnsi="Book Antiqua"/>
          <w:sz w:val="24"/>
          <w:szCs w:val="24"/>
        </w:rPr>
        <w:t xml:space="preserve">Understanding from the etymological aspect, </w:t>
      </w:r>
      <w:proofErr w:type="spellStart"/>
      <w:r w:rsidR="006E7C55" w:rsidRPr="006E7C55">
        <w:rPr>
          <w:rFonts w:ascii="Book Antiqua" w:hAnsi="Book Antiqua"/>
          <w:i/>
          <w:sz w:val="24"/>
          <w:szCs w:val="24"/>
        </w:rPr>
        <w:t>khalwat</w:t>
      </w:r>
      <w:proofErr w:type="spellEnd"/>
      <w:r w:rsidRPr="00B619BB">
        <w:rPr>
          <w:rFonts w:ascii="Book Antiqua" w:hAnsi="Book Antiqua"/>
          <w:sz w:val="24"/>
          <w:szCs w:val="24"/>
        </w:rPr>
        <w:t xml:space="preserve"> means quiet or lonely.</w:t>
      </w:r>
      <w:r w:rsidR="001A0270">
        <w:rPr>
          <w:rStyle w:val="FootnoteReference"/>
          <w:rFonts w:ascii="Book Antiqua" w:hAnsi="Book Antiqua"/>
          <w:sz w:val="24"/>
          <w:szCs w:val="24"/>
        </w:rPr>
        <w:footnoteReference w:id="9"/>
      </w:r>
      <w:r w:rsidRPr="00B619BB">
        <w:rPr>
          <w:rFonts w:ascii="Book Antiqua" w:hAnsi="Book Antiqua"/>
          <w:sz w:val="24"/>
          <w:szCs w:val="24"/>
        </w:rPr>
        <w:t xml:space="preserve"> But in general, it provides at least two understandings of the word seclusion. First, the term </w:t>
      </w:r>
      <w:proofErr w:type="spellStart"/>
      <w:r w:rsidR="006E7C55" w:rsidRPr="006E7C55">
        <w:rPr>
          <w:rFonts w:ascii="Book Antiqua" w:hAnsi="Book Antiqua"/>
          <w:i/>
          <w:sz w:val="24"/>
          <w:szCs w:val="24"/>
        </w:rPr>
        <w:t>khalwat</w:t>
      </w:r>
      <w:proofErr w:type="spellEnd"/>
      <w:r w:rsidRPr="00B619BB">
        <w:rPr>
          <w:rFonts w:ascii="Book Antiqua" w:hAnsi="Book Antiqua"/>
          <w:sz w:val="24"/>
          <w:szCs w:val="24"/>
        </w:rPr>
        <w:t xml:space="preserve"> is in a basic sense. In the basic sense what is meant is to cover the realm of Sufism which is a form of the inner human journey, not a physical </w:t>
      </w:r>
      <w:proofErr w:type="spellStart"/>
      <w:r w:rsidRPr="00B619BB">
        <w:rPr>
          <w:rFonts w:ascii="Book Antiqua" w:hAnsi="Book Antiqua"/>
          <w:sz w:val="24"/>
          <w:szCs w:val="24"/>
        </w:rPr>
        <w:t>amaliyah</w:t>
      </w:r>
      <w:proofErr w:type="spellEnd"/>
      <w:r w:rsidRPr="00B619BB">
        <w:rPr>
          <w:rFonts w:ascii="Book Antiqua" w:hAnsi="Book Antiqua"/>
          <w:sz w:val="24"/>
          <w:szCs w:val="24"/>
        </w:rPr>
        <w:t xml:space="preserve"> formality whose scope of work is outward. In the </w:t>
      </w:r>
      <w:proofErr w:type="spellStart"/>
      <w:r w:rsidRPr="00B619BB">
        <w:rPr>
          <w:rFonts w:ascii="Book Antiqua" w:hAnsi="Book Antiqua"/>
          <w:sz w:val="24"/>
          <w:szCs w:val="24"/>
        </w:rPr>
        <w:t>Sufistic</w:t>
      </w:r>
      <w:proofErr w:type="spellEnd"/>
      <w:r w:rsidRPr="00B619BB">
        <w:rPr>
          <w:rFonts w:ascii="Book Antiqua" w:hAnsi="Book Antiqua"/>
          <w:sz w:val="24"/>
          <w:szCs w:val="24"/>
        </w:rPr>
        <w:t xml:space="preserve"> perspective, the term </w:t>
      </w:r>
      <w:proofErr w:type="spellStart"/>
      <w:r w:rsidR="006E7C55" w:rsidRPr="006E7C55">
        <w:rPr>
          <w:rFonts w:ascii="Book Antiqua" w:hAnsi="Book Antiqua"/>
          <w:i/>
          <w:sz w:val="24"/>
          <w:szCs w:val="24"/>
        </w:rPr>
        <w:t>khalwat</w:t>
      </w:r>
      <w:proofErr w:type="spellEnd"/>
      <w:r w:rsidRPr="00B619BB">
        <w:rPr>
          <w:rFonts w:ascii="Book Antiqua" w:hAnsi="Book Antiqua"/>
          <w:sz w:val="24"/>
          <w:szCs w:val="24"/>
        </w:rPr>
        <w:t xml:space="preserve"> means seclusion (solitude) which aims to calm the mind or meditate in solitude to worship.</w:t>
      </w:r>
    </w:p>
    <w:p w:rsidR="00B619BB" w:rsidRPr="00B619BB" w:rsidRDefault="00B619BB" w:rsidP="00B619BB">
      <w:pPr>
        <w:spacing w:after="120" w:line="240" w:lineRule="auto"/>
        <w:jc w:val="both"/>
        <w:rPr>
          <w:rFonts w:ascii="Book Antiqua" w:hAnsi="Book Antiqua"/>
          <w:sz w:val="24"/>
          <w:szCs w:val="24"/>
        </w:rPr>
      </w:pPr>
      <w:proofErr w:type="gramStart"/>
      <w:r w:rsidRPr="00B619BB">
        <w:rPr>
          <w:rFonts w:ascii="Book Antiqua" w:hAnsi="Book Antiqua"/>
          <w:sz w:val="24"/>
          <w:szCs w:val="24"/>
        </w:rPr>
        <w:t>Second, the te</w:t>
      </w:r>
      <w:r w:rsidR="006E7C55">
        <w:rPr>
          <w:rFonts w:ascii="Book Antiqua" w:hAnsi="Book Antiqua"/>
          <w:sz w:val="24"/>
          <w:szCs w:val="24"/>
        </w:rPr>
        <w:t xml:space="preserve">rm </w:t>
      </w:r>
      <w:proofErr w:type="spellStart"/>
      <w:r w:rsidR="006E7C55" w:rsidRPr="006E7C55">
        <w:rPr>
          <w:rFonts w:ascii="Book Antiqua" w:hAnsi="Book Antiqua"/>
          <w:i/>
          <w:sz w:val="24"/>
          <w:szCs w:val="24"/>
        </w:rPr>
        <w:t>khalwat</w:t>
      </w:r>
      <w:proofErr w:type="spellEnd"/>
      <w:r w:rsidRPr="00B619BB">
        <w:rPr>
          <w:rFonts w:ascii="Book Antiqua" w:hAnsi="Book Antiqua"/>
          <w:sz w:val="24"/>
          <w:szCs w:val="24"/>
        </w:rPr>
        <w:t xml:space="preserve"> in a literal sense.</w:t>
      </w:r>
      <w:proofErr w:type="gramEnd"/>
      <w:r w:rsidRPr="00B619BB">
        <w:rPr>
          <w:rFonts w:ascii="Book Antiqua" w:hAnsi="Book Antiqua"/>
          <w:sz w:val="24"/>
          <w:szCs w:val="24"/>
        </w:rPr>
        <w:t xml:space="preserve"> This understanding is to emphasize the understanding of the term in </w:t>
      </w:r>
      <w:proofErr w:type="spellStart"/>
      <w:r w:rsidRPr="00B619BB">
        <w:rPr>
          <w:rFonts w:ascii="Book Antiqua" w:hAnsi="Book Antiqua"/>
          <w:sz w:val="24"/>
          <w:szCs w:val="24"/>
        </w:rPr>
        <w:t>fiqh</w:t>
      </w:r>
      <w:proofErr w:type="spellEnd"/>
      <w:r w:rsidRPr="00B619BB">
        <w:rPr>
          <w:rFonts w:ascii="Book Antiqua" w:hAnsi="Book Antiqua"/>
          <w:sz w:val="24"/>
          <w:szCs w:val="24"/>
        </w:rPr>
        <w:t xml:space="preserve"> whose scope is </w:t>
      </w:r>
      <w:proofErr w:type="spellStart"/>
      <w:r w:rsidRPr="00B619BB">
        <w:rPr>
          <w:rFonts w:ascii="Book Antiqua" w:hAnsi="Book Antiqua"/>
          <w:sz w:val="24"/>
          <w:szCs w:val="24"/>
        </w:rPr>
        <w:t>dhahir</w:t>
      </w:r>
      <w:proofErr w:type="spellEnd"/>
      <w:r w:rsidRPr="00B619BB">
        <w:rPr>
          <w:rFonts w:ascii="Book Antiqua" w:hAnsi="Book Antiqua"/>
          <w:sz w:val="24"/>
          <w:szCs w:val="24"/>
        </w:rPr>
        <w:t xml:space="preserve">, where </w:t>
      </w:r>
      <w:proofErr w:type="spellStart"/>
      <w:r w:rsidR="006E7C55" w:rsidRPr="006E7C55">
        <w:rPr>
          <w:rFonts w:ascii="Book Antiqua" w:hAnsi="Book Antiqua"/>
          <w:i/>
          <w:sz w:val="24"/>
          <w:szCs w:val="24"/>
        </w:rPr>
        <w:t>khalwat</w:t>
      </w:r>
      <w:proofErr w:type="spellEnd"/>
      <w:r w:rsidRPr="00B619BB">
        <w:rPr>
          <w:rFonts w:ascii="Book Antiqua" w:hAnsi="Book Antiqua"/>
          <w:sz w:val="24"/>
          <w:szCs w:val="24"/>
        </w:rPr>
        <w:t xml:space="preserve"> is defined as a two-to-one activity between men and women who are not </w:t>
      </w:r>
      <w:proofErr w:type="spellStart"/>
      <w:r w:rsidR="006E7C55" w:rsidRPr="006E7C55">
        <w:rPr>
          <w:rFonts w:ascii="Book Antiqua" w:hAnsi="Book Antiqua"/>
          <w:i/>
          <w:sz w:val="24"/>
          <w:szCs w:val="24"/>
        </w:rPr>
        <w:t>mahram</w:t>
      </w:r>
      <w:proofErr w:type="spellEnd"/>
      <w:r w:rsidRPr="00B619BB">
        <w:rPr>
          <w:rFonts w:ascii="Book Antiqua" w:hAnsi="Book Antiqua"/>
          <w:sz w:val="24"/>
          <w:szCs w:val="24"/>
        </w:rPr>
        <w:t xml:space="preserve"> in a quiet or hidden place. The term silent and hidden in this understanding was then replaced by </w:t>
      </w:r>
      <w:proofErr w:type="spellStart"/>
      <w:r w:rsidRPr="00B619BB">
        <w:rPr>
          <w:rFonts w:ascii="Book Antiqua" w:hAnsi="Book Antiqua"/>
          <w:sz w:val="24"/>
          <w:szCs w:val="24"/>
        </w:rPr>
        <w:t>Ibn</w:t>
      </w:r>
      <w:proofErr w:type="spellEnd"/>
      <w:r w:rsidRPr="00B619BB">
        <w:rPr>
          <w:rFonts w:ascii="Book Antiqua" w:hAnsi="Book Antiqua"/>
          <w:sz w:val="24"/>
          <w:szCs w:val="24"/>
        </w:rPr>
        <w:t xml:space="preserve"> </w:t>
      </w:r>
      <w:proofErr w:type="spellStart"/>
      <w:r w:rsidRPr="00B619BB">
        <w:rPr>
          <w:rFonts w:ascii="Book Antiqua" w:hAnsi="Book Antiqua"/>
          <w:sz w:val="24"/>
          <w:szCs w:val="24"/>
        </w:rPr>
        <w:t>Hajar</w:t>
      </w:r>
      <w:proofErr w:type="spellEnd"/>
      <w:r w:rsidRPr="00B619BB">
        <w:rPr>
          <w:rFonts w:ascii="Book Antiqua" w:hAnsi="Book Antiqua"/>
          <w:sz w:val="24"/>
          <w:szCs w:val="24"/>
        </w:rPr>
        <w:t xml:space="preserve"> al-</w:t>
      </w:r>
      <w:proofErr w:type="spellStart"/>
      <w:r w:rsidRPr="00B619BB">
        <w:rPr>
          <w:rFonts w:ascii="Book Antiqua" w:hAnsi="Book Antiqua"/>
          <w:sz w:val="24"/>
          <w:szCs w:val="24"/>
        </w:rPr>
        <w:t>Asyqalani</w:t>
      </w:r>
      <w:proofErr w:type="spellEnd"/>
      <w:r w:rsidRPr="00B619BB">
        <w:rPr>
          <w:rFonts w:ascii="Book Antiqua" w:hAnsi="Book Antiqua"/>
          <w:sz w:val="24"/>
          <w:szCs w:val="24"/>
        </w:rPr>
        <w:t xml:space="preserve"> with the term closed from the human view so that what is understood from the editorial of al-</w:t>
      </w:r>
      <w:proofErr w:type="spellStart"/>
      <w:r w:rsidRPr="00B619BB">
        <w:rPr>
          <w:rFonts w:ascii="Book Antiqua" w:hAnsi="Book Antiqua"/>
          <w:sz w:val="24"/>
          <w:szCs w:val="24"/>
        </w:rPr>
        <w:t>Asyqalani</w:t>
      </w:r>
      <w:proofErr w:type="spellEnd"/>
      <w:r w:rsidRPr="00B619BB">
        <w:rPr>
          <w:rFonts w:ascii="Book Antiqua" w:hAnsi="Book Antiqua"/>
          <w:sz w:val="24"/>
          <w:szCs w:val="24"/>
        </w:rPr>
        <w:t xml:space="preserve"> is an activity of men and women (together) where others cannot see it.</w:t>
      </w:r>
      <w:r w:rsidR="00C0172B">
        <w:rPr>
          <w:rStyle w:val="FootnoteReference"/>
          <w:rFonts w:ascii="Book Antiqua" w:hAnsi="Book Antiqua"/>
          <w:sz w:val="24"/>
          <w:szCs w:val="24"/>
        </w:rPr>
        <w:footnoteReference w:id="10"/>
      </w:r>
    </w:p>
    <w:p w:rsidR="00B619BB" w:rsidRPr="00B619BB" w:rsidRDefault="00B619BB" w:rsidP="00B619BB">
      <w:pPr>
        <w:spacing w:after="120" w:line="240" w:lineRule="auto"/>
        <w:jc w:val="both"/>
        <w:rPr>
          <w:rFonts w:ascii="Book Antiqua" w:hAnsi="Book Antiqua"/>
          <w:sz w:val="24"/>
          <w:szCs w:val="24"/>
        </w:rPr>
      </w:pPr>
      <w:r w:rsidRPr="00B619BB">
        <w:rPr>
          <w:rFonts w:ascii="Book Antiqua" w:hAnsi="Book Antiqua"/>
          <w:sz w:val="24"/>
          <w:szCs w:val="24"/>
        </w:rPr>
        <w:t xml:space="preserve">In the book of </w:t>
      </w:r>
      <w:proofErr w:type="spellStart"/>
      <w:r w:rsidRPr="00B619BB">
        <w:rPr>
          <w:rFonts w:ascii="Book Antiqua" w:hAnsi="Book Antiqua"/>
          <w:sz w:val="24"/>
          <w:szCs w:val="24"/>
        </w:rPr>
        <w:t>Mu'jam</w:t>
      </w:r>
      <w:proofErr w:type="spellEnd"/>
      <w:r w:rsidRPr="00B619BB">
        <w:rPr>
          <w:rFonts w:ascii="Book Antiqua" w:hAnsi="Book Antiqua"/>
          <w:sz w:val="24"/>
          <w:szCs w:val="24"/>
        </w:rPr>
        <w:t xml:space="preserve"> al-</w:t>
      </w:r>
      <w:proofErr w:type="spellStart"/>
      <w:r w:rsidRPr="00B619BB">
        <w:rPr>
          <w:rFonts w:ascii="Book Antiqua" w:hAnsi="Book Antiqua"/>
          <w:sz w:val="24"/>
          <w:szCs w:val="24"/>
        </w:rPr>
        <w:t>Tullab</w:t>
      </w:r>
      <w:proofErr w:type="spellEnd"/>
      <w:r w:rsidRPr="00B619BB">
        <w:rPr>
          <w:rFonts w:ascii="Book Antiqua" w:hAnsi="Book Antiqua"/>
          <w:sz w:val="24"/>
          <w:szCs w:val="24"/>
        </w:rPr>
        <w:t xml:space="preserve">, </w:t>
      </w:r>
      <w:proofErr w:type="spellStart"/>
      <w:r w:rsidRPr="00B619BB">
        <w:rPr>
          <w:rFonts w:ascii="Book Antiqua" w:hAnsi="Book Antiqua"/>
          <w:sz w:val="24"/>
          <w:szCs w:val="24"/>
        </w:rPr>
        <w:t>Syukri</w:t>
      </w:r>
      <w:proofErr w:type="spellEnd"/>
      <w:r w:rsidRPr="00B619BB">
        <w:rPr>
          <w:rFonts w:ascii="Book Antiqua" w:hAnsi="Book Antiqua"/>
          <w:sz w:val="24"/>
          <w:szCs w:val="24"/>
        </w:rPr>
        <w:t xml:space="preserve"> </w:t>
      </w:r>
      <w:proofErr w:type="spellStart"/>
      <w:r w:rsidRPr="00B619BB">
        <w:rPr>
          <w:rFonts w:ascii="Book Antiqua" w:hAnsi="Book Antiqua"/>
          <w:sz w:val="24"/>
          <w:szCs w:val="24"/>
        </w:rPr>
        <w:t>Farhad</w:t>
      </w:r>
      <w:proofErr w:type="spellEnd"/>
      <w:r w:rsidRPr="00B619BB">
        <w:rPr>
          <w:rFonts w:ascii="Book Antiqua" w:hAnsi="Book Antiqua"/>
          <w:sz w:val="24"/>
          <w:szCs w:val="24"/>
        </w:rPr>
        <w:t xml:space="preserve"> rests </w:t>
      </w:r>
      <w:proofErr w:type="spellStart"/>
      <w:r w:rsidR="006E7C55" w:rsidRPr="006E7C55">
        <w:rPr>
          <w:rFonts w:ascii="Book Antiqua" w:hAnsi="Book Antiqua"/>
          <w:i/>
          <w:sz w:val="24"/>
          <w:szCs w:val="24"/>
        </w:rPr>
        <w:t>khalwat</w:t>
      </w:r>
      <w:proofErr w:type="spellEnd"/>
      <w:r w:rsidRPr="00B619BB">
        <w:rPr>
          <w:rFonts w:ascii="Book Antiqua" w:hAnsi="Book Antiqua"/>
          <w:sz w:val="24"/>
          <w:szCs w:val="24"/>
        </w:rPr>
        <w:t xml:space="preserve"> which means to be empty, alone, free, and airy.</w:t>
      </w:r>
      <w:r w:rsidR="00C0172B">
        <w:rPr>
          <w:rStyle w:val="FootnoteReference"/>
          <w:rFonts w:ascii="Book Antiqua" w:hAnsi="Book Antiqua"/>
          <w:sz w:val="24"/>
          <w:szCs w:val="24"/>
        </w:rPr>
        <w:footnoteReference w:id="11"/>
      </w:r>
      <w:r w:rsidRPr="00B619BB">
        <w:rPr>
          <w:rFonts w:ascii="Book Antiqua" w:hAnsi="Book Antiqua"/>
          <w:sz w:val="24"/>
          <w:szCs w:val="24"/>
        </w:rPr>
        <w:t xml:space="preserve"> According to </w:t>
      </w:r>
      <w:proofErr w:type="spellStart"/>
      <w:r w:rsidRPr="00B619BB">
        <w:rPr>
          <w:rFonts w:ascii="Book Antiqua" w:hAnsi="Book Antiqua"/>
          <w:sz w:val="24"/>
          <w:szCs w:val="24"/>
        </w:rPr>
        <w:t>Ibn</w:t>
      </w:r>
      <w:proofErr w:type="spellEnd"/>
      <w:r w:rsidRPr="00B619BB">
        <w:rPr>
          <w:rFonts w:ascii="Book Antiqua" w:hAnsi="Book Antiqua"/>
          <w:sz w:val="24"/>
          <w:szCs w:val="24"/>
        </w:rPr>
        <w:t xml:space="preserve"> </w:t>
      </w:r>
      <w:proofErr w:type="spellStart"/>
      <w:r w:rsidRPr="00B619BB">
        <w:rPr>
          <w:rFonts w:ascii="Book Antiqua" w:hAnsi="Book Antiqua"/>
          <w:sz w:val="24"/>
          <w:szCs w:val="24"/>
        </w:rPr>
        <w:t>Hajar</w:t>
      </w:r>
      <w:proofErr w:type="spellEnd"/>
      <w:r w:rsidRPr="00B619BB">
        <w:rPr>
          <w:rFonts w:ascii="Book Antiqua" w:hAnsi="Book Antiqua"/>
          <w:sz w:val="24"/>
          <w:szCs w:val="24"/>
        </w:rPr>
        <w:t xml:space="preserve">, seclusion is the gathering of men and women. </w:t>
      </w:r>
      <w:proofErr w:type="spellStart"/>
      <w:r w:rsidRPr="00B619BB">
        <w:rPr>
          <w:rFonts w:ascii="Book Antiqua" w:hAnsi="Book Antiqua"/>
          <w:sz w:val="24"/>
          <w:szCs w:val="24"/>
        </w:rPr>
        <w:t>Ibn</w:t>
      </w:r>
      <w:proofErr w:type="spellEnd"/>
      <w:r w:rsidRPr="00B619BB">
        <w:rPr>
          <w:rFonts w:ascii="Book Antiqua" w:hAnsi="Book Antiqua"/>
          <w:sz w:val="24"/>
          <w:szCs w:val="24"/>
        </w:rPr>
        <w:t xml:space="preserve"> </w:t>
      </w:r>
      <w:proofErr w:type="spellStart"/>
      <w:r w:rsidRPr="00B619BB">
        <w:rPr>
          <w:rFonts w:ascii="Book Antiqua" w:hAnsi="Book Antiqua"/>
          <w:sz w:val="24"/>
          <w:szCs w:val="24"/>
        </w:rPr>
        <w:t>Hajar</w:t>
      </w:r>
      <w:proofErr w:type="spellEnd"/>
      <w:r w:rsidRPr="00B619BB">
        <w:rPr>
          <w:rFonts w:ascii="Book Antiqua" w:hAnsi="Book Antiqua"/>
          <w:sz w:val="24"/>
          <w:szCs w:val="24"/>
        </w:rPr>
        <w:t xml:space="preserve"> Al-</w:t>
      </w:r>
      <w:proofErr w:type="spellStart"/>
      <w:r w:rsidRPr="00B619BB">
        <w:rPr>
          <w:rFonts w:ascii="Book Antiqua" w:hAnsi="Book Antiqua"/>
          <w:sz w:val="24"/>
          <w:szCs w:val="24"/>
        </w:rPr>
        <w:t>Asqalani</w:t>
      </w:r>
      <w:proofErr w:type="spellEnd"/>
      <w:r w:rsidRPr="00B619BB">
        <w:rPr>
          <w:rFonts w:ascii="Book Antiqua" w:hAnsi="Book Antiqua"/>
          <w:sz w:val="24"/>
          <w:szCs w:val="24"/>
        </w:rPr>
        <w:t xml:space="preserve"> defines seclusion, namely being alone between a man and a woman until it is closed to human view.</w:t>
      </w:r>
      <w:r w:rsidR="00C0172B">
        <w:rPr>
          <w:rStyle w:val="FootnoteReference"/>
          <w:rFonts w:ascii="Book Antiqua" w:hAnsi="Book Antiqua"/>
          <w:sz w:val="24"/>
          <w:szCs w:val="24"/>
        </w:rPr>
        <w:footnoteReference w:id="12"/>
      </w:r>
      <w:r w:rsidRPr="00B619BB">
        <w:rPr>
          <w:rFonts w:ascii="Book Antiqua" w:hAnsi="Book Antiqua"/>
          <w:sz w:val="24"/>
          <w:szCs w:val="24"/>
        </w:rPr>
        <w:t xml:space="preserve"> In </w:t>
      </w:r>
      <w:proofErr w:type="spellStart"/>
      <w:r w:rsidRPr="006E7C55">
        <w:rPr>
          <w:rFonts w:ascii="Book Antiqua" w:hAnsi="Book Antiqua"/>
          <w:i/>
          <w:sz w:val="24"/>
          <w:szCs w:val="24"/>
        </w:rPr>
        <w:t>mausû'ah</w:t>
      </w:r>
      <w:proofErr w:type="spellEnd"/>
      <w:r w:rsidRPr="006E7C55">
        <w:rPr>
          <w:rFonts w:ascii="Book Antiqua" w:hAnsi="Book Antiqua"/>
          <w:i/>
          <w:sz w:val="24"/>
          <w:szCs w:val="24"/>
        </w:rPr>
        <w:t xml:space="preserve"> al </w:t>
      </w:r>
      <w:proofErr w:type="spellStart"/>
      <w:r w:rsidRPr="006E7C55">
        <w:rPr>
          <w:rFonts w:ascii="Book Antiqua" w:hAnsi="Book Antiqua"/>
          <w:i/>
          <w:sz w:val="24"/>
          <w:szCs w:val="24"/>
        </w:rPr>
        <w:t>fiqhiyyah</w:t>
      </w:r>
      <w:proofErr w:type="spellEnd"/>
      <w:r w:rsidRPr="00B619BB">
        <w:rPr>
          <w:rFonts w:ascii="Book Antiqua" w:hAnsi="Book Antiqua"/>
          <w:sz w:val="24"/>
          <w:szCs w:val="24"/>
        </w:rPr>
        <w:t xml:space="preserve"> it is stated that (</w:t>
      </w:r>
      <w:proofErr w:type="spellStart"/>
      <w:r w:rsidRPr="00B619BB">
        <w:rPr>
          <w:rFonts w:ascii="Times New Roman" w:hAnsi="Times New Roman"/>
          <w:sz w:val="24"/>
          <w:szCs w:val="24"/>
        </w:rPr>
        <w:t>خِلْوَةٍ</w:t>
      </w:r>
      <w:proofErr w:type="spellEnd"/>
      <w:r w:rsidRPr="00B619BB">
        <w:rPr>
          <w:rFonts w:ascii="Book Antiqua" w:hAnsi="Book Antiqua"/>
          <w:sz w:val="24"/>
          <w:szCs w:val="24"/>
        </w:rPr>
        <w:t xml:space="preserve"> </w:t>
      </w:r>
      <w:proofErr w:type="spellStart"/>
      <w:r w:rsidRPr="00B619BB">
        <w:rPr>
          <w:rFonts w:ascii="Times New Roman" w:hAnsi="Times New Roman"/>
          <w:sz w:val="24"/>
          <w:szCs w:val="24"/>
        </w:rPr>
        <w:t>مَعَهُ</w:t>
      </w:r>
      <w:proofErr w:type="spellEnd"/>
      <w:r w:rsidRPr="00B619BB">
        <w:rPr>
          <w:rFonts w:ascii="Book Antiqua" w:hAnsi="Book Antiqua"/>
          <w:sz w:val="24"/>
          <w:szCs w:val="24"/>
        </w:rPr>
        <w:t xml:space="preserve"> </w:t>
      </w:r>
      <w:proofErr w:type="spellStart"/>
      <w:r w:rsidRPr="00B619BB">
        <w:rPr>
          <w:rFonts w:ascii="Times New Roman" w:hAnsi="Times New Roman"/>
          <w:sz w:val="24"/>
          <w:szCs w:val="24"/>
        </w:rPr>
        <w:t>اجْتَمَعَ</w:t>
      </w:r>
      <w:proofErr w:type="spellEnd"/>
      <w:r w:rsidRPr="00B619BB">
        <w:rPr>
          <w:rFonts w:ascii="Book Antiqua" w:hAnsi="Book Antiqua"/>
          <w:sz w:val="24"/>
          <w:szCs w:val="24"/>
        </w:rPr>
        <w:t xml:space="preserve"> </w:t>
      </w:r>
      <w:proofErr w:type="spellStart"/>
      <w:r w:rsidRPr="00B619BB">
        <w:rPr>
          <w:rFonts w:ascii="Times New Roman" w:hAnsi="Times New Roman"/>
          <w:sz w:val="24"/>
          <w:szCs w:val="24"/>
        </w:rPr>
        <w:t>انْفَرَدَ</w:t>
      </w:r>
      <w:proofErr w:type="spellEnd"/>
      <w:r w:rsidRPr="00B619BB">
        <w:rPr>
          <w:rFonts w:ascii="Book Antiqua" w:hAnsi="Book Antiqua"/>
          <w:sz w:val="24"/>
          <w:szCs w:val="24"/>
        </w:rPr>
        <w:t xml:space="preserve">: </w:t>
      </w:r>
      <w:proofErr w:type="spellStart"/>
      <w:r w:rsidRPr="00B619BB">
        <w:rPr>
          <w:rFonts w:ascii="Times New Roman" w:hAnsi="Times New Roman"/>
          <w:sz w:val="24"/>
          <w:szCs w:val="24"/>
        </w:rPr>
        <w:t>لْوَةً</w:t>
      </w:r>
      <w:proofErr w:type="spellEnd"/>
      <w:r w:rsidRPr="00B619BB">
        <w:rPr>
          <w:rFonts w:ascii="Book Antiqua" w:hAnsi="Book Antiqua"/>
          <w:sz w:val="24"/>
          <w:szCs w:val="24"/>
        </w:rPr>
        <w:t xml:space="preserve"> </w:t>
      </w:r>
      <w:proofErr w:type="spellStart"/>
      <w:r w:rsidRPr="00B619BB">
        <w:rPr>
          <w:rFonts w:ascii="Times New Roman" w:hAnsi="Times New Roman"/>
          <w:sz w:val="24"/>
          <w:szCs w:val="24"/>
        </w:rPr>
        <w:t>لاَءً</w:t>
      </w:r>
      <w:proofErr w:type="spellEnd"/>
      <w:r w:rsidRPr="00B619BB">
        <w:rPr>
          <w:rFonts w:ascii="Book Antiqua" w:hAnsi="Book Antiqua"/>
          <w:sz w:val="24"/>
          <w:szCs w:val="24"/>
        </w:rPr>
        <w:t xml:space="preserve"> </w:t>
      </w:r>
      <w:proofErr w:type="spellStart"/>
      <w:r w:rsidRPr="00B619BB">
        <w:rPr>
          <w:rFonts w:ascii="Times New Roman" w:hAnsi="Times New Roman"/>
          <w:sz w:val="24"/>
          <w:szCs w:val="24"/>
        </w:rPr>
        <w:t>لُوًّا</w:t>
      </w:r>
      <w:proofErr w:type="spellEnd"/>
      <w:r w:rsidRPr="00B619BB">
        <w:rPr>
          <w:rFonts w:ascii="Book Antiqua" w:hAnsi="Book Antiqua"/>
          <w:sz w:val="24"/>
          <w:szCs w:val="24"/>
        </w:rPr>
        <w:t xml:space="preserve"> </w:t>
      </w:r>
      <w:proofErr w:type="spellStart"/>
      <w:r w:rsidRPr="00B619BB">
        <w:rPr>
          <w:rFonts w:ascii="Times New Roman" w:hAnsi="Times New Roman"/>
          <w:sz w:val="24"/>
          <w:szCs w:val="24"/>
        </w:rPr>
        <w:t>وَإِلَيْهِ</w:t>
      </w:r>
      <w:proofErr w:type="spellEnd"/>
      <w:r w:rsidRPr="00B619BB">
        <w:rPr>
          <w:rFonts w:ascii="Book Antiqua" w:hAnsi="Book Antiqua"/>
          <w:sz w:val="24"/>
          <w:szCs w:val="24"/>
        </w:rPr>
        <w:t xml:space="preserve"> </w:t>
      </w:r>
      <w:proofErr w:type="spellStart"/>
      <w:r w:rsidRPr="00B619BB">
        <w:rPr>
          <w:rFonts w:ascii="Times New Roman" w:hAnsi="Times New Roman"/>
          <w:sz w:val="24"/>
          <w:szCs w:val="24"/>
        </w:rPr>
        <w:t>احِبِهِ</w:t>
      </w:r>
      <w:proofErr w:type="spellEnd"/>
      <w:r w:rsidRPr="00B619BB">
        <w:rPr>
          <w:rFonts w:ascii="Book Antiqua" w:hAnsi="Book Antiqua"/>
          <w:sz w:val="24"/>
          <w:szCs w:val="24"/>
        </w:rPr>
        <w:t xml:space="preserve"> </w:t>
      </w:r>
      <w:proofErr w:type="spellStart"/>
      <w:r w:rsidRPr="00B619BB">
        <w:rPr>
          <w:rFonts w:ascii="Times New Roman" w:hAnsi="Times New Roman"/>
          <w:sz w:val="24"/>
          <w:szCs w:val="24"/>
        </w:rPr>
        <w:t>الرَّجُلُ</w:t>
      </w:r>
      <w:proofErr w:type="spellEnd"/>
      <w:r w:rsidRPr="00B619BB">
        <w:rPr>
          <w:rFonts w:ascii="Book Antiqua" w:hAnsi="Book Antiqua"/>
          <w:sz w:val="24"/>
          <w:szCs w:val="24"/>
        </w:rPr>
        <w:t xml:space="preserve"> </w:t>
      </w:r>
      <w:proofErr w:type="spellStart"/>
      <w:r w:rsidRPr="00B619BB">
        <w:rPr>
          <w:rFonts w:ascii="Times New Roman" w:hAnsi="Times New Roman"/>
          <w:sz w:val="24"/>
          <w:szCs w:val="24"/>
        </w:rPr>
        <w:t>لاَ</w:t>
      </w:r>
      <w:proofErr w:type="spellEnd"/>
      <w:r w:rsidRPr="00B619BB">
        <w:rPr>
          <w:rFonts w:ascii="Book Antiqua" w:hAnsi="Book Antiqua"/>
          <w:sz w:val="24"/>
          <w:szCs w:val="24"/>
        </w:rPr>
        <w:t xml:space="preserve">) Seclusion is alone with him and gathering with him in a solitary place. The use of the word seclusion by the </w:t>
      </w:r>
      <w:proofErr w:type="spellStart"/>
      <w:r w:rsidRPr="006E7C55">
        <w:rPr>
          <w:rFonts w:ascii="Book Antiqua" w:hAnsi="Book Antiqua"/>
          <w:i/>
          <w:sz w:val="24"/>
          <w:szCs w:val="24"/>
        </w:rPr>
        <w:t>fuqaha</w:t>
      </w:r>
      <w:proofErr w:type="spellEnd"/>
      <w:r w:rsidRPr="00B619BB">
        <w:rPr>
          <w:rFonts w:ascii="Book Antiqua" w:hAnsi="Book Antiqua"/>
          <w:sz w:val="24"/>
          <w:szCs w:val="24"/>
        </w:rPr>
        <w:t xml:space="preserve"> cannot be separated from the linguistic understanding, namely being alone in a place where no one else is (no control from others).</w:t>
      </w:r>
      <w:r w:rsidR="00C0172B">
        <w:rPr>
          <w:rStyle w:val="FootnoteReference"/>
          <w:rFonts w:ascii="Book Antiqua" w:hAnsi="Book Antiqua"/>
          <w:sz w:val="24"/>
          <w:szCs w:val="24"/>
        </w:rPr>
        <w:footnoteReference w:id="13"/>
      </w:r>
    </w:p>
    <w:p w:rsidR="004B1F20" w:rsidRDefault="00B619BB" w:rsidP="00B619BB">
      <w:pPr>
        <w:spacing w:after="120" w:line="240" w:lineRule="auto"/>
        <w:jc w:val="both"/>
        <w:rPr>
          <w:rFonts w:ascii="Book Antiqua" w:hAnsi="Book Antiqua" w:cs="Calibri"/>
          <w:color w:val="000000" w:themeColor="text1"/>
          <w:sz w:val="24"/>
          <w:szCs w:val="24"/>
        </w:rPr>
      </w:pPr>
      <w:proofErr w:type="spellStart"/>
      <w:r w:rsidRPr="00B619BB">
        <w:rPr>
          <w:rFonts w:ascii="Book Antiqua" w:hAnsi="Book Antiqua"/>
          <w:sz w:val="24"/>
          <w:szCs w:val="24"/>
        </w:rPr>
        <w:lastRenderedPageBreak/>
        <w:t>Shaykh</w:t>
      </w:r>
      <w:proofErr w:type="spellEnd"/>
      <w:r w:rsidRPr="00B619BB">
        <w:rPr>
          <w:rFonts w:ascii="Book Antiqua" w:hAnsi="Book Antiqua"/>
          <w:sz w:val="24"/>
          <w:szCs w:val="24"/>
        </w:rPr>
        <w:t xml:space="preserve"> </w:t>
      </w:r>
      <w:proofErr w:type="spellStart"/>
      <w:r w:rsidRPr="00B619BB">
        <w:rPr>
          <w:rFonts w:ascii="Book Antiqua" w:hAnsi="Book Antiqua"/>
          <w:sz w:val="24"/>
          <w:szCs w:val="24"/>
        </w:rPr>
        <w:t>Sholeh</w:t>
      </w:r>
      <w:proofErr w:type="spellEnd"/>
      <w:r w:rsidRPr="00B619BB">
        <w:rPr>
          <w:rFonts w:ascii="Book Antiqua" w:hAnsi="Book Antiqua"/>
          <w:sz w:val="24"/>
          <w:szCs w:val="24"/>
        </w:rPr>
        <w:t xml:space="preserve"> </w:t>
      </w:r>
      <w:proofErr w:type="spellStart"/>
      <w:r w:rsidRPr="00B619BB">
        <w:rPr>
          <w:rFonts w:ascii="Book Antiqua" w:hAnsi="Book Antiqua"/>
          <w:sz w:val="24"/>
          <w:szCs w:val="24"/>
        </w:rPr>
        <w:t>Alu</w:t>
      </w:r>
      <w:proofErr w:type="spellEnd"/>
      <w:r w:rsidRPr="00B619BB">
        <w:rPr>
          <w:rFonts w:ascii="Book Antiqua" w:hAnsi="Book Antiqua"/>
          <w:sz w:val="24"/>
          <w:szCs w:val="24"/>
        </w:rPr>
        <w:t xml:space="preserve"> </w:t>
      </w:r>
      <w:proofErr w:type="spellStart"/>
      <w:r w:rsidRPr="00B619BB">
        <w:rPr>
          <w:rFonts w:ascii="Book Antiqua" w:hAnsi="Book Antiqua"/>
          <w:sz w:val="24"/>
          <w:szCs w:val="24"/>
        </w:rPr>
        <w:t>Shaykh</w:t>
      </w:r>
      <w:proofErr w:type="spellEnd"/>
      <w:r w:rsidRPr="00B619BB">
        <w:rPr>
          <w:rFonts w:ascii="Book Antiqua" w:hAnsi="Book Antiqua"/>
          <w:sz w:val="24"/>
          <w:szCs w:val="24"/>
        </w:rPr>
        <w:t xml:space="preserve"> defines seclusion that is forbidden if it is accompanied by closing (locking) the house or room or car or the like or closing it from human view. </w:t>
      </w:r>
      <w:proofErr w:type="spellStart"/>
      <w:r w:rsidR="00E36CE4" w:rsidRPr="00E36CE4">
        <w:rPr>
          <w:rFonts w:ascii="Book Antiqua" w:hAnsi="Book Antiqua"/>
          <w:i/>
          <w:sz w:val="24"/>
          <w:szCs w:val="24"/>
        </w:rPr>
        <w:t>Jinayah</w:t>
      </w:r>
      <w:proofErr w:type="spellEnd"/>
      <w:r w:rsidRPr="00B619BB">
        <w:rPr>
          <w:rFonts w:ascii="Book Antiqua" w:hAnsi="Book Antiqua"/>
          <w:sz w:val="24"/>
          <w:szCs w:val="24"/>
        </w:rPr>
        <w:t xml:space="preserve"> seclusion is an act of immorality. It takes place in a private situation between a man and a woman who are not </w:t>
      </w:r>
      <w:proofErr w:type="spellStart"/>
      <w:r w:rsidR="006E7C55" w:rsidRPr="006E7C55">
        <w:rPr>
          <w:rFonts w:ascii="Book Antiqua" w:hAnsi="Book Antiqua"/>
          <w:i/>
          <w:sz w:val="24"/>
          <w:szCs w:val="24"/>
        </w:rPr>
        <w:t>mahram</w:t>
      </w:r>
      <w:proofErr w:type="spellEnd"/>
      <w:r w:rsidRPr="00B619BB">
        <w:rPr>
          <w:rFonts w:ascii="Book Antiqua" w:hAnsi="Book Antiqua"/>
          <w:sz w:val="24"/>
          <w:szCs w:val="24"/>
        </w:rPr>
        <w:t xml:space="preserve"> in a closed place and away from the view of the crowd.</w:t>
      </w:r>
      <w:r w:rsidR="00C0172B">
        <w:rPr>
          <w:rStyle w:val="FootnoteReference"/>
          <w:rFonts w:ascii="Book Antiqua" w:hAnsi="Book Antiqua"/>
          <w:sz w:val="24"/>
          <w:szCs w:val="24"/>
        </w:rPr>
        <w:footnoteReference w:id="14"/>
      </w:r>
      <w:r w:rsidRPr="00B619BB">
        <w:rPr>
          <w:rFonts w:ascii="Book Antiqua" w:hAnsi="Book Antiqua"/>
          <w:sz w:val="24"/>
          <w:szCs w:val="24"/>
        </w:rPr>
        <w:t xml:space="preserve"> According to </w:t>
      </w:r>
      <w:proofErr w:type="spellStart"/>
      <w:r w:rsidRPr="00B619BB">
        <w:rPr>
          <w:rFonts w:ascii="Book Antiqua" w:hAnsi="Book Antiqua"/>
          <w:sz w:val="24"/>
          <w:szCs w:val="24"/>
        </w:rPr>
        <w:t>Shaykh</w:t>
      </w:r>
      <w:proofErr w:type="spellEnd"/>
      <w:r w:rsidRPr="00B619BB">
        <w:rPr>
          <w:rFonts w:ascii="Book Antiqua" w:hAnsi="Book Antiqua"/>
          <w:sz w:val="24"/>
          <w:szCs w:val="24"/>
        </w:rPr>
        <w:t xml:space="preserve"> </w:t>
      </w:r>
      <w:proofErr w:type="spellStart"/>
      <w:r w:rsidRPr="00B619BB">
        <w:rPr>
          <w:rFonts w:ascii="Book Antiqua" w:hAnsi="Book Antiqua"/>
          <w:sz w:val="24"/>
          <w:szCs w:val="24"/>
        </w:rPr>
        <w:t>Sholeh</w:t>
      </w:r>
      <w:proofErr w:type="spellEnd"/>
      <w:r w:rsidRPr="00B619BB">
        <w:rPr>
          <w:rFonts w:ascii="Book Antiqua" w:hAnsi="Book Antiqua"/>
          <w:sz w:val="24"/>
          <w:szCs w:val="24"/>
        </w:rPr>
        <w:t xml:space="preserve"> </w:t>
      </w:r>
      <w:proofErr w:type="spellStart"/>
      <w:r w:rsidRPr="00B619BB">
        <w:rPr>
          <w:rFonts w:ascii="Book Antiqua" w:hAnsi="Book Antiqua"/>
          <w:sz w:val="24"/>
          <w:szCs w:val="24"/>
        </w:rPr>
        <w:t>Alu</w:t>
      </w:r>
      <w:proofErr w:type="spellEnd"/>
      <w:r w:rsidRPr="00B619BB">
        <w:rPr>
          <w:rFonts w:ascii="Book Antiqua" w:hAnsi="Book Antiqua"/>
          <w:sz w:val="24"/>
          <w:szCs w:val="24"/>
        </w:rPr>
        <w:t xml:space="preserve"> </w:t>
      </w:r>
      <w:proofErr w:type="spellStart"/>
      <w:r w:rsidRPr="00B619BB">
        <w:rPr>
          <w:rFonts w:ascii="Book Antiqua" w:hAnsi="Book Antiqua"/>
          <w:sz w:val="24"/>
          <w:szCs w:val="24"/>
        </w:rPr>
        <w:t>Shaykh</w:t>
      </w:r>
      <w:proofErr w:type="spellEnd"/>
      <w:r w:rsidRPr="00B619BB">
        <w:rPr>
          <w:rFonts w:ascii="Book Antiqua" w:hAnsi="Book Antiqua"/>
          <w:sz w:val="24"/>
          <w:szCs w:val="24"/>
        </w:rPr>
        <w:t>, it is not customary for a closed room to also be closed from public view.</w:t>
      </w:r>
      <w:r w:rsidR="005F06F0">
        <w:rPr>
          <w:rStyle w:val="FootnoteReference"/>
          <w:rFonts w:ascii="Book Antiqua" w:hAnsi="Book Antiqua"/>
          <w:sz w:val="24"/>
          <w:szCs w:val="24"/>
        </w:rPr>
        <w:footnoteReference w:id="15"/>
      </w:r>
    </w:p>
    <w:p w:rsidR="00B619BB" w:rsidRPr="00C0172B" w:rsidRDefault="00B619BB" w:rsidP="00B619BB">
      <w:pPr>
        <w:spacing w:after="120" w:line="240" w:lineRule="auto"/>
        <w:jc w:val="both"/>
        <w:rPr>
          <w:rFonts w:ascii="Book Antiqua" w:hAnsi="Book Antiqua"/>
          <w:sz w:val="24"/>
          <w:szCs w:val="24"/>
        </w:rPr>
      </w:pPr>
      <w:r w:rsidRPr="00C0172B">
        <w:rPr>
          <w:rFonts w:ascii="Book Antiqua" w:hAnsi="Book Antiqua"/>
          <w:sz w:val="24"/>
          <w:szCs w:val="24"/>
        </w:rPr>
        <w:t xml:space="preserve">Seclusion is a social disease that always exists in every space and time of human </w:t>
      </w:r>
      <w:proofErr w:type="gramStart"/>
      <w:r w:rsidRPr="00C0172B">
        <w:rPr>
          <w:rFonts w:ascii="Book Antiqua" w:hAnsi="Book Antiqua"/>
          <w:sz w:val="24"/>
          <w:szCs w:val="24"/>
        </w:rPr>
        <w:t>life,</w:t>
      </w:r>
      <w:proofErr w:type="gramEnd"/>
      <w:r w:rsidRPr="00C0172B">
        <w:rPr>
          <w:rFonts w:ascii="Book Antiqua" w:hAnsi="Book Antiqua"/>
          <w:sz w:val="24"/>
          <w:szCs w:val="24"/>
        </w:rPr>
        <w:t xml:space="preserve"> however, it can be suppressed at least in the following ways:</w:t>
      </w:r>
      <w:r w:rsidR="005F06F0">
        <w:rPr>
          <w:rStyle w:val="FootnoteReference"/>
          <w:rFonts w:ascii="Book Antiqua" w:hAnsi="Book Antiqua"/>
          <w:sz w:val="24"/>
          <w:szCs w:val="24"/>
        </w:rPr>
        <w:footnoteReference w:id="16"/>
      </w:r>
    </w:p>
    <w:p w:rsidR="00B619BB" w:rsidRPr="00C0172B" w:rsidRDefault="00B619BB" w:rsidP="00B619BB">
      <w:pPr>
        <w:pStyle w:val="ListParagraph"/>
        <w:numPr>
          <w:ilvl w:val="0"/>
          <w:numId w:val="23"/>
        </w:numPr>
        <w:spacing w:after="0" w:line="240" w:lineRule="auto"/>
        <w:ind w:left="360"/>
        <w:jc w:val="both"/>
        <w:rPr>
          <w:rFonts w:ascii="Book Antiqua" w:hAnsi="Book Antiqua"/>
          <w:sz w:val="24"/>
          <w:szCs w:val="24"/>
        </w:rPr>
      </w:pPr>
      <w:r w:rsidRPr="00C0172B">
        <w:rPr>
          <w:rFonts w:ascii="Book Antiqua" w:hAnsi="Book Antiqua"/>
          <w:sz w:val="24"/>
          <w:szCs w:val="24"/>
        </w:rPr>
        <w:t>Provide moral education for women, especially young women who can strengthen their faith and mental;</w:t>
      </w:r>
    </w:p>
    <w:p w:rsidR="00B619BB" w:rsidRPr="00C0172B" w:rsidRDefault="00B619BB" w:rsidP="00B619BB">
      <w:pPr>
        <w:pStyle w:val="ListParagraph"/>
        <w:numPr>
          <w:ilvl w:val="0"/>
          <w:numId w:val="23"/>
        </w:numPr>
        <w:spacing w:after="0" w:line="240" w:lineRule="auto"/>
        <w:ind w:left="360"/>
        <w:jc w:val="both"/>
        <w:rPr>
          <w:rFonts w:ascii="Book Antiqua" w:hAnsi="Book Antiqua"/>
          <w:sz w:val="24"/>
          <w:szCs w:val="24"/>
        </w:rPr>
      </w:pPr>
      <w:r w:rsidRPr="00C0172B">
        <w:rPr>
          <w:rFonts w:ascii="Book Antiqua" w:hAnsi="Book Antiqua"/>
          <w:sz w:val="24"/>
          <w:szCs w:val="24"/>
        </w:rPr>
        <w:t>The government must enforce the law as it should, if the positive legal sanctions are too light so as not to cause a deterrent effect, then it is appropriate to make the concept of Islamic criminal law as their guideline of life.</w:t>
      </w:r>
    </w:p>
    <w:p w:rsidR="00B619BB" w:rsidRPr="00C0172B" w:rsidRDefault="00B619BB" w:rsidP="00B619BB">
      <w:pPr>
        <w:pStyle w:val="ListParagraph"/>
        <w:spacing w:after="0" w:line="240" w:lineRule="auto"/>
        <w:ind w:left="360"/>
        <w:jc w:val="both"/>
        <w:rPr>
          <w:rFonts w:ascii="Book Antiqua" w:hAnsi="Book Antiqua"/>
          <w:sz w:val="10"/>
          <w:szCs w:val="24"/>
        </w:rPr>
      </w:pPr>
    </w:p>
    <w:p w:rsidR="00B619BB" w:rsidRPr="00C0172B" w:rsidRDefault="00B619BB" w:rsidP="00B619BB">
      <w:pPr>
        <w:spacing w:after="120" w:line="240" w:lineRule="auto"/>
        <w:jc w:val="both"/>
        <w:rPr>
          <w:rFonts w:ascii="Book Antiqua" w:hAnsi="Book Antiqua"/>
          <w:sz w:val="24"/>
          <w:szCs w:val="24"/>
        </w:rPr>
      </w:pPr>
      <w:r w:rsidRPr="00C0172B">
        <w:rPr>
          <w:rFonts w:ascii="Book Antiqua" w:hAnsi="Book Antiqua"/>
          <w:sz w:val="24"/>
          <w:szCs w:val="24"/>
        </w:rPr>
        <w:t>According to al-</w:t>
      </w:r>
      <w:proofErr w:type="spellStart"/>
      <w:r w:rsidRPr="00C0172B">
        <w:rPr>
          <w:rFonts w:ascii="Book Antiqua" w:hAnsi="Book Antiqua"/>
          <w:sz w:val="24"/>
          <w:szCs w:val="24"/>
        </w:rPr>
        <w:t>Munawi</w:t>
      </w:r>
      <w:proofErr w:type="spellEnd"/>
      <w:r w:rsidRPr="00C0172B">
        <w:rPr>
          <w:rFonts w:ascii="Book Antiqua" w:hAnsi="Book Antiqua"/>
          <w:sz w:val="24"/>
          <w:szCs w:val="24"/>
        </w:rPr>
        <w:t>, Satan mediates (a third person) between the two by whispering to them (to commit disobedience) and makes their lust flare up and removes shame and shyness from both of them, and adorns disobedience so that it looks beautiful in front of them both until finally Satan even unites them both in humiliation (i.e. adultery) or (at least) drops them into actions that are lighter than adultery, namely cases that lead to adultery.</w:t>
      </w:r>
      <w:r w:rsidR="005F06F0">
        <w:rPr>
          <w:rStyle w:val="FootnoteReference"/>
          <w:rFonts w:ascii="Book Antiqua" w:hAnsi="Book Antiqua"/>
          <w:sz w:val="24"/>
          <w:szCs w:val="24"/>
        </w:rPr>
        <w:footnoteReference w:id="17"/>
      </w:r>
      <w:r w:rsidRPr="00C0172B">
        <w:rPr>
          <w:rFonts w:ascii="Book Antiqua" w:hAnsi="Book Antiqua"/>
          <w:sz w:val="24"/>
          <w:szCs w:val="24"/>
        </w:rPr>
        <w:t xml:space="preserve"> According to as-</w:t>
      </w:r>
      <w:proofErr w:type="spellStart"/>
      <w:r w:rsidRPr="00C0172B">
        <w:rPr>
          <w:rFonts w:ascii="Book Antiqua" w:hAnsi="Book Antiqua"/>
          <w:sz w:val="24"/>
          <w:szCs w:val="24"/>
        </w:rPr>
        <w:t>Syaukani</w:t>
      </w:r>
      <w:proofErr w:type="spellEnd"/>
      <w:r w:rsidRPr="00C0172B">
        <w:rPr>
          <w:rFonts w:ascii="Book Antiqua" w:hAnsi="Book Antiqua"/>
          <w:sz w:val="24"/>
          <w:szCs w:val="24"/>
        </w:rPr>
        <w:t>, the reason is that men love women because they have been created to have an inclination towards women, as well as because of the nature they have in the form of lust for marriage. Likewise, women are happy with men because of the nature and instincts that have been embedded in them.</w:t>
      </w:r>
      <w:r w:rsidR="005F06F0">
        <w:rPr>
          <w:rStyle w:val="FootnoteReference"/>
          <w:rFonts w:ascii="Book Antiqua" w:hAnsi="Book Antiqua"/>
          <w:sz w:val="24"/>
          <w:szCs w:val="24"/>
        </w:rPr>
        <w:footnoteReference w:id="18"/>
      </w:r>
      <w:r w:rsidRPr="00C0172B">
        <w:rPr>
          <w:rFonts w:ascii="Book Antiqua" w:hAnsi="Book Antiqua"/>
          <w:sz w:val="24"/>
          <w:szCs w:val="24"/>
        </w:rPr>
        <w:t xml:space="preserve"> Therefore, Satan finds a means to inflame one's lust for another, so disobedience occurs.</w:t>
      </w:r>
    </w:p>
    <w:p w:rsidR="00B619BB" w:rsidRPr="00C0172B" w:rsidRDefault="00B619BB" w:rsidP="00B619BB">
      <w:pPr>
        <w:spacing w:after="120" w:line="240" w:lineRule="auto"/>
        <w:jc w:val="both"/>
        <w:rPr>
          <w:rFonts w:ascii="Book Antiqua" w:hAnsi="Book Antiqua"/>
          <w:sz w:val="24"/>
          <w:szCs w:val="24"/>
        </w:rPr>
      </w:pPr>
      <w:r w:rsidRPr="00C0172B">
        <w:rPr>
          <w:rFonts w:ascii="Book Antiqua" w:hAnsi="Book Antiqua"/>
          <w:sz w:val="24"/>
          <w:szCs w:val="24"/>
        </w:rPr>
        <w:t xml:space="preserve">The crime of </w:t>
      </w:r>
      <w:proofErr w:type="spellStart"/>
      <w:r w:rsidR="006E7C55" w:rsidRPr="00C0172B">
        <w:rPr>
          <w:rFonts w:ascii="Book Antiqua" w:hAnsi="Book Antiqua"/>
          <w:i/>
          <w:sz w:val="24"/>
          <w:szCs w:val="24"/>
        </w:rPr>
        <w:t>khalwat</w:t>
      </w:r>
      <w:proofErr w:type="spellEnd"/>
      <w:r w:rsidRPr="00C0172B">
        <w:rPr>
          <w:rFonts w:ascii="Book Antiqua" w:hAnsi="Book Antiqua"/>
          <w:sz w:val="24"/>
          <w:szCs w:val="24"/>
        </w:rPr>
        <w:t xml:space="preserve"> is committed by men and women who will commit sinful activities when in a quiet place where others cannot see it if they do not use the word "still have a little shame". In the course of time later, the fact that sins committed between men and women can occur in the open, so it is necessary to expand the meaning of seclusion so that it can cover the </w:t>
      </w:r>
      <w:proofErr w:type="spellStart"/>
      <w:r w:rsidRPr="00C0172B">
        <w:rPr>
          <w:rFonts w:ascii="Book Antiqua" w:hAnsi="Book Antiqua"/>
          <w:i/>
          <w:sz w:val="24"/>
          <w:szCs w:val="24"/>
        </w:rPr>
        <w:t>maqasid</w:t>
      </w:r>
      <w:proofErr w:type="spellEnd"/>
      <w:r w:rsidRPr="00C0172B">
        <w:rPr>
          <w:rFonts w:ascii="Book Antiqua" w:hAnsi="Book Antiqua"/>
          <w:i/>
          <w:sz w:val="24"/>
          <w:szCs w:val="24"/>
        </w:rPr>
        <w:t xml:space="preserve"> </w:t>
      </w:r>
      <w:proofErr w:type="spellStart"/>
      <w:r w:rsidRPr="00C0172B">
        <w:rPr>
          <w:rFonts w:ascii="Book Antiqua" w:hAnsi="Book Antiqua"/>
          <w:i/>
          <w:sz w:val="24"/>
          <w:szCs w:val="24"/>
        </w:rPr>
        <w:t>shari'ah</w:t>
      </w:r>
      <w:proofErr w:type="spellEnd"/>
      <w:r w:rsidRPr="00C0172B">
        <w:rPr>
          <w:rFonts w:ascii="Book Antiqua" w:hAnsi="Book Antiqua"/>
          <w:sz w:val="24"/>
          <w:szCs w:val="24"/>
        </w:rPr>
        <w:t xml:space="preserve"> which is the main goal of the implementation of Islamic law. So, tying the meaning of seclusion with the meaning of being alone is an assumption conclusion, while letting go of the meaning of "alone" for seclusion in the definitive aspect is the realm of substance that continues to provide space for the development of the meaning of seclusion according to space and time. Both meanings have the same goal in terms of maintaining the objectives of the </w:t>
      </w:r>
      <w:proofErr w:type="spellStart"/>
      <w:r w:rsidRPr="00C0172B">
        <w:rPr>
          <w:rFonts w:ascii="Book Antiqua" w:hAnsi="Book Antiqua"/>
          <w:sz w:val="24"/>
          <w:szCs w:val="24"/>
        </w:rPr>
        <w:t>Shari'a</w:t>
      </w:r>
      <w:proofErr w:type="spellEnd"/>
      <w:r w:rsidRPr="00C0172B">
        <w:rPr>
          <w:rFonts w:ascii="Book Antiqua" w:hAnsi="Book Antiqua"/>
          <w:sz w:val="24"/>
          <w:szCs w:val="24"/>
        </w:rPr>
        <w:t xml:space="preserve"> which are both interrelated.</w:t>
      </w:r>
      <w:r w:rsidR="005F06F0">
        <w:rPr>
          <w:rStyle w:val="FootnoteReference"/>
          <w:rFonts w:ascii="Book Antiqua" w:hAnsi="Book Antiqua"/>
          <w:sz w:val="24"/>
          <w:szCs w:val="24"/>
        </w:rPr>
        <w:footnoteReference w:id="19"/>
      </w:r>
    </w:p>
    <w:p w:rsidR="00B619BB" w:rsidRPr="00C0172B" w:rsidRDefault="00B619BB" w:rsidP="00B619BB">
      <w:pPr>
        <w:spacing w:after="120" w:line="240" w:lineRule="auto"/>
        <w:jc w:val="both"/>
        <w:rPr>
          <w:rFonts w:ascii="Book Antiqua" w:hAnsi="Book Antiqua"/>
          <w:sz w:val="24"/>
          <w:szCs w:val="24"/>
        </w:rPr>
      </w:pPr>
      <w:r w:rsidRPr="00C0172B">
        <w:rPr>
          <w:rFonts w:ascii="Book Antiqua" w:hAnsi="Book Antiqua"/>
          <w:sz w:val="24"/>
          <w:szCs w:val="24"/>
        </w:rPr>
        <w:t>Imam An-</w:t>
      </w:r>
      <w:proofErr w:type="spellStart"/>
      <w:r w:rsidRPr="00C0172B">
        <w:rPr>
          <w:rFonts w:ascii="Book Antiqua" w:hAnsi="Book Antiqua"/>
          <w:sz w:val="24"/>
          <w:szCs w:val="24"/>
        </w:rPr>
        <w:t>Nawawi</w:t>
      </w:r>
      <w:proofErr w:type="spellEnd"/>
      <w:r w:rsidRPr="00C0172B">
        <w:rPr>
          <w:rFonts w:ascii="Book Antiqua" w:hAnsi="Book Antiqua"/>
          <w:sz w:val="24"/>
          <w:szCs w:val="24"/>
        </w:rPr>
        <w:t xml:space="preserve"> said, "... He has forbidden seclusion with an </w:t>
      </w:r>
      <w:proofErr w:type="spellStart"/>
      <w:r w:rsidRPr="00C0172B">
        <w:rPr>
          <w:rFonts w:ascii="Book Antiqua" w:hAnsi="Book Antiqua"/>
          <w:sz w:val="24"/>
          <w:szCs w:val="24"/>
        </w:rPr>
        <w:t>ajnabiah</w:t>
      </w:r>
      <w:proofErr w:type="spellEnd"/>
      <w:r w:rsidRPr="00C0172B">
        <w:rPr>
          <w:rFonts w:ascii="Book Antiqua" w:hAnsi="Book Antiqua"/>
          <w:sz w:val="24"/>
          <w:szCs w:val="24"/>
        </w:rPr>
        <w:t xml:space="preserve"> woman and allowed her seclusion (a woman) with her </w:t>
      </w:r>
      <w:proofErr w:type="spellStart"/>
      <w:r w:rsidR="006E7C55" w:rsidRPr="00C0172B">
        <w:rPr>
          <w:rFonts w:ascii="Book Antiqua" w:hAnsi="Book Antiqua"/>
          <w:i/>
          <w:sz w:val="24"/>
          <w:szCs w:val="24"/>
        </w:rPr>
        <w:t>mahram</w:t>
      </w:r>
      <w:proofErr w:type="spellEnd"/>
      <w:r w:rsidRPr="00C0172B">
        <w:rPr>
          <w:rFonts w:ascii="Book Antiqua" w:hAnsi="Book Antiqua"/>
          <w:sz w:val="24"/>
          <w:szCs w:val="24"/>
        </w:rPr>
        <w:t xml:space="preserve">, and these two matters are </w:t>
      </w:r>
      <w:proofErr w:type="spellStart"/>
      <w:r w:rsidRPr="00C0172B">
        <w:rPr>
          <w:rFonts w:ascii="Book Antiqua" w:hAnsi="Book Antiqua"/>
          <w:sz w:val="24"/>
          <w:szCs w:val="24"/>
        </w:rPr>
        <w:t>ijma</w:t>
      </w:r>
      <w:proofErr w:type="spellEnd"/>
      <w:r w:rsidRPr="00C0172B">
        <w:rPr>
          <w:rFonts w:ascii="Book Antiqua" w:hAnsi="Book Antiqua"/>
          <w:sz w:val="24"/>
          <w:szCs w:val="24"/>
        </w:rPr>
        <w:t>' (the scholars)."</w:t>
      </w:r>
      <w:r w:rsidR="005F06F0">
        <w:rPr>
          <w:rStyle w:val="FootnoteReference"/>
          <w:rFonts w:ascii="Book Antiqua" w:hAnsi="Book Antiqua"/>
          <w:sz w:val="24"/>
          <w:szCs w:val="24"/>
        </w:rPr>
        <w:footnoteReference w:id="20"/>
      </w:r>
      <w:r w:rsidRPr="00C0172B">
        <w:rPr>
          <w:rFonts w:ascii="Book Antiqua" w:hAnsi="Book Antiqua"/>
          <w:sz w:val="24"/>
          <w:szCs w:val="24"/>
        </w:rPr>
        <w:t xml:space="preserve"> As-</w:t>
      </w:r>
      <w:proofErr w:type="spellStart"/>
      <w:r w:rsidRPr="00C0172B">
        <w:rPr>
          <w:rFonts w:ascii="Book Antiqua" w:hAnsi="Book Antiqua"/>
          <w:sz w:val="24"/>
          <w:szCs w:val="24"/>
        </w:rPr>
        <w:t>Suyuthi</w:t>
      </w:r>
      <w:proofErr w:type="spellEnd"/>
      <w:r w:rsidRPr="00C0172B">
        <w:rPr>
          <w:rFonts w:ascii="Book Antiqua" w:hAnsi="Book Antiqua"/>
          <w:sz w:val="24"/>
          <w:szCs w:val="24"/>
        </w:rPr>
        <w:t xml:space="preserve"> is of the view that our companions (followers of the </w:t>
      </w:r>
      <w:proofErr w:type="spellStart"/>
      <w:r w:rsidRPr="00C0172B">
        <w:rPr>
          <w:rFonts w:ascii="Book Antiqua" w:hAnsi="Book Antiqua"/>
          <w:sz w:val="24"/>
          <w:szCs w:val="24"/>
        </w:rPr>
        <w:t>Shafi'i</w:t>
      </w:r>
      <w:proofErr w:type="spellEnd"/>
      <w:r w:rsidRPr="00C0172B">
        <w:rPr>
          <w:rFonts w:ascii="Book Antiqua" w:hAnsi="Book Antiqua"/>
          <w:sz w:val="24"/>
          <w:szCs w:val="24"/>
        </w:rPr>
        <w:t xml:space="preserve"> </w:t>
      </w:r>
      <w:proofErr w:type="spellStart"/>
      <w:r w:rsidRPr="00C0172B">
        <w:rPr>
          <w:rFonts w:ascii="Book Antiqua" w:hAnsi="Book Antiqua"/>
          <w:sz w:val="24"/>
          <w:szCs w:val="24"/>
        </w:rPr>
        <w:t>madhhab</w:t>
      </w:r>
      <w:proofErr w:type="spellEnd"/>
      <w:r w:rsidRPr="00C0172B">
        <w:rPr>
          <w:rFonts w:ascii="Book Antiqua" w:hAnsi="Book Antiqua"/>
          <w:sz w:val="24"/>
          <w:szCs w:val="24"/>
        </w:rPr>
        <w:t xml:space="preserve">) say that the meaning of </w:t>
      </w:r>
      <w:proofErr w:type="spellStart"/>
      <w:r w:rsidR="006E7C55" w:rsidRPr="00C0172B">
        <w:rPr>
          <w:rFonts w:ascii="Book Antiqua" w:hAnsi="Book Antiqua"/>
          <w:i/>
          <w:sz w:val="24"/>
          <w:szCs w:val="24"/>
        </w:rPr>
        <w:t>mahram</w:t>
      </w:r>
      <w:proofErr w:type="spellEnd"/>
      <w:r w:rsidRPr="00C0172B">
        <w:rPr>
          <w:rFonts w:ascii="Book Antiqua" w:hAnsi="Book Antiqua"/>
          <w:sz w:val="24"/>
          <w:szCs w:val="24"/>
        </w:rPr>
        <w:t xml:space="preserve"> is a woman who is forbidden to marry forever, </w:t>
      </w:r>
      <w:r w:rsidRPr="00C0172B">
        <w:rPr>
          <w:rFonts w:ascii="Book Antiqua" w:hAnsi="Book Antiqua"/>
          <w:sz w:val="24"/>
          <w:szCs w:val="24"/>
        </w:rPr>
        <w:lastRenderedPageBreak/>
        <w:t xml:space="preserve">either because of kinship or because of certain permissible reasons and because of the woman's </w:t>
      </w:r>
      <w:proofErr w:type="spellStart"/>
      <w:r w:rsidR="006E7C55" w:rsidRPr="00C0172B">
        <w:rPr>
          <w:rFonts w:ascii="Book Antiqua" w:hAnsi="Book Antiqua"/>
          <w:i/>
          <w:sz w:val="24"/>
          <w:szCs w:val="24"/>
        </w:rPr>
        <w:t>mahram</w:t>
      </w:r>
      <w:proofErr w:type="spellEnd"/>
      <w:r w:rsidRPr="00C0172B">
        <w:rPr>
          <w:rFonts w:ascii="Book Antiqua" w:hAnsi="Book Antiqua"/>
          <w:sz w:val="24"/>
          <w:szCs w:val="24"/>
        </w:rPr>
        <w:t>."</w:t>
      </w:r>
      <w:r w:rsidR="006A2654">
        <w:rPr>
          <w:rStyle w:val="FootnoteReference"/>
          <w:rFonts w:ascii="Book Antiqua" w:hAnsi="Book Antiqua"/>
          <w:sz w:val="24"/>
          <w:szCs w:val="24"/>
        </w:rPr>
        <w:footnoteReference w:id="21"/>
      </w:r>
    </w:p>
    <w:p w:rsidR="00B619BB" w:rsidRPr="00C0172B" w:rsidRDefault="00B619BB" w:rsidP="00B619BB">
      <w:pPr>
        <w:spacing w:after="120" w:line="240" w:lineRule="auto"/>
        <w:jc w:val="both"/>
        <w:rPr>
          <w:rFonts w:ascii="Book Antiqua" w:hAnsi="Book Antiqua"/>
          <w:sz w:val="24"/>
          <w:szCs w:val="24"/>
        </w:rPr>
      </w:pPr>
      <w:r w:rsidRPr="00C0172B">
        <w:rPr>
          <w:rFonts w:ascii="Book Antiqua" w:hAnsi="Book Antiqua"/>
          <w:sz w:val="24"/>
          <w:szCs w:val="24"/>
        </w:rPr>
        <w:t>In Al-</w:t>
      </w:r>
      <w:proofErr w:type="spellStart"/>
      <w:r w:rsidRPr="00C0172B">
        <w:rPr>
          <w:rFonts w:ascii="Book Antiqua" w:hAnsi="Book Antiqua"/>
          <w:sz w:val="24"/>
          <w:szCs w:val="24"/>
        </w:rPr>
        <w:t>Minhaj</w:t>
      </w:r>
      <w:proofErr w:type="spellEnd"/>
      <w:r w:rsidRPr="00C0172B">
        <w:rPr>
          <w:rFonts w:ascii="Book Antiqua" w:hAnsi="Book Antiqua"/>
          <w:sz w:val="24"/>
          <w:szCs w:val="24"/>
        </w:rPr>
        <w:t>, Imam An-</w:t>
      </w:r>
      <w:proofErr w:type="spellStart"/>
      <w:r w:rsidRPr="00C0172B">
        <w:rPr>
          <w:rFonts w:ascii="Book Antiqua" w:hAnsi="Book Antiqua"/>
          <w:sz w:val="24"/>
          <w:szCs w:val="24"/>
        </w:rPr>
        <w:t>Nawawi</w:t>
      </w:r>
      <w:proofErr w:type="spellEnd"/>
      <w:r w:rsidRPr="00C0172B">
        <w:rPr>
          <w:rFonts w:ascii="Book Antiqua" w:hAnsi="Book Antiqua"/>
          <w:sz w:val="24"/>
          <w:szCs w:val="24"/>
        </w:rPr>
        <w:t xml:space="preserve"> cites about the </w:t>
      </w:r>
      <w:proofErr w:type="spellStart"/>
      <w:r w:rsidR="006E7C55" w:rsidRPr="00C0172B">
        <w:rPr>
          <w:rFonts w:ascii="Book Antiqua" w:hAnsi="Book Antiqua"/>
          <w:i/>
          <w:sz w:val="24"/>
          <w:szCs w:val="24"/>
        </w:rPr>
        <w:t>mahram</w:t>
      </w:r>
      <w:proofErr w:type="spellEnd"/>
      <w:r w:rsidRPr="00C0172B">
        <w:rPr>
          <w:rFonts w:ascii="Book Antiqua" w:hAnsi="Book Antiqua"/>
          <w:sz w:val="24"/>
          <w:szCs w:val="24"/>
        </w:rPr>
        <w:t xml:space="preserve"> that:</w:t>
      </w:r>
      <w:r w:rsidR="005F06F0">
        <w:rPr>
          <w:rStyle w:val="FootnoteReference"/>
          <w:rFonts w:ascii="Book Antiqua" w:hAnsi="Book Antiqua"/>
          <w:sz w:val="24"/>
          <w:szCs w:val="24"/>
        </w:rPr>
        <w:footnoteReference w:id="22"/>
      </w:r>
    </w:p>
    <w:p w:rsidR="00B619BB" w:rsidRPr="00C0172B" w:rsidRDefault="00B619BB" w:rsidP="008771B1">
      <w:pPr>
        <w:pStyle w:val="ListParagraph"/>
        <w:numPr>
          <w:ilvl w:val="0"/>
          <w:numId w:val="24"/>
        </w:numPr>
        <w:spacing w:after="0" w:line="240" w:lineRule="auto"/>
        <w:ind w:left="360"/>
        <w:jc w:val="both"/>
        <w:rPr>
          <w:rFonts w:ascii="Book Antiqua" w:hAnsi="Book Antiqua"/>
          <w:sz w:val="24"/>
          <w:szCs w:val="24"/>
        </w:rPr>
      </w:pPr>
      <w:r w:rsidRPr="00C0172B">
        <w:rPr>
          <w:rFonts w:ascii="Book Antiqua" w:hAnsi="Book Antiqua"/>
          <w:sz w:val="24"/>
          <w:szCs w:val="24"/>
        </w:rPr>
        <w:t xml:space="preserve">The woman who is forbidden to marry is not the </w:t>
      </w:r>
      <w:proofErr w:type="spellStart"/>
      <w:r w:rsidR="006E7C55" w:rsidRPr="00C0172B">
        <w:rPr>
          <w:rFonts w:ascii="Book Antiqua" w:hAnsi="Book Antiqua"/>
          <w:i/>
          <w:sz w:val="24"/>
          <w:szCs w:val="24"/>
        </w:rPr>
        <w:t>mahram</w:t>
      </w:r>
      <w:proofErr w:type="spellEnd"/>
      <w:r w:rsidRPr="00C0172B">
        <w:rPr>
          <w:rFonts w:ascii="Book Antiqua" w:hAnsi="Book Antiqua"/>
          <w:sz w:val="24"/>
          <w:szCs w:val="24"/>
        </w:rPr>
        <w:t xml:space="preserve"> of the children of uncles and aunts (both uncles and aunts are siblings of the father and siblings of the mother);</w:t>
      </w:r>
    </w:p>
    <w:p w:rsidR="00B619BB" w:rsidRPr="00C0172B" w:rsidRDefault="00B619BB" w:rsidP="008771B1">
      <w:pPr>
        <w:pStyle w:val="ListParagraph"/>
        <w:numPr>
          <w:ilvl w:val="0"/>
          <w:numId w:val="24"/>
        </w:numPr>
        <w:spacing w:after="0" w:line="240" w:lineRule="auto"/>
        <w:ind w:left="360"/>
        <w:jc w:val="both"/>
        <w:rPr>
          <w:rFonts w:ascii="Book Antiqua" w:hAnsi="Book Antiqua"/>
          <w:sz w:val="24"/>
          <w:szCs w:val="24"/>
        </w:rPr>
      </w:pPr>
      <w:r w:rsidRPr="00C0172B">
        <w:rPr>
          <w:rFonts w:ascii="Book Antiqua" w:hAnsi="Book Antiqua"/>
          <w:sz w:val="24"/>
          <w:szCs w:val="24"/>
        </w:rPr>
        <w:t xml:space="preserve">It is not the </w:t>
      </w:r>
      <w:proofErr w:type="spellStart"/>
      <w:r w:rsidR="006E7C55" w:rsidRPr="00C0172B">
        <w:rPr>
          <w:rFonts w:ascii="Book Antiqua" w:hAnsi="Book Antiqua"/>
          <w:i/>
          <w:sz w:val="24"/>
          <w:szCs w:val="24"/>
        </w:rPr>
        <w:t>mahram</w:t>
      </w:r>
      <w:proofErr w:type="spellEnd"/>
      <w:r w:rsidRPr="00C0172B">
        <w:rPr>
          <w:rFonts w:ascii="Book Antiqua" w:hAnsi="Book Antiqua"/>
          <w:sz w:val="24"/>
          <w:szCs w:val="24"/>
        </w:rPr>
        <w:t xml:space="preserve"> of the wife's sister and also the wife's aunt (whether the aunt is a sibling of the wife's mother or the wife's father's brother) because both can be married if the wife is divorced, nor does it include the </w:t>
      </w:r>
      <w:proofErr w:type="spellStart"/>
      <w:r w:rsidR="006E7C55" w:rsidRPr="00C0172B">
        <w:rPr>
          <w:rFonts w:ascii="Book Antiqua" w:hAnsi="Book Antiqua"/>
          <w:i/>
          <w:sz w:val="24"/>
          <w:szCs w:val="24"/>
        </w:rPr>
        <w:t>mahram</w:t>
      </w:r>
      <w:proofErr w:type="spellEnd"/>
      <w:r w:rsidRPr="00C0172B">
        <w:rPr>
          <w:rFonts w:ascii="Book Antiqua" w:hAnsi="Book Antiqua"/>
          <w:sz w:val="24"/>
          <w:szCs w:val="24"/>
        </w:rPr>
        <w:t xml:space="preserve"> of a woman who has been divorced three times, because she You can remarry if you have been married to someone else and then divorced. Likewise, it does not include </w:t>
      </w:r>
      <w:proofErr w:type="spellStart"/>
      <w:r w:rsidR="006E7C55" w:rsidRPr="00C0172B">
        <w:rPr>
          <w:rFonts w:ascii="Book Antiqua" w:hAnsi="Book Antiqua"/>
          <w:i/>
          <w:sz w:val="24"/>
          <w:szCs w:val="24"/>
        </w:rPr>
        <w:t>mahram</w:t>
      </w:r>
      <w:proofErr w:type="spellEnd"/>
      <w:r w:rsidRPr="00C0172B">
        <w:rPr>
          <w:rFonts w:ascii="Book Antiqua" w:hAnsi="Book Antiqua"/>
          <w:sz w:val="24"/>
          <w:szCs w:val="24"/>
        </w:rPr>
        <w:t xml:space="preserve"> women other than people of the book (whether they are magi, Buddhist, Hindu, or other beliefs) because they can be married if they reverse into</w:t>
      </w:r>
      <w:r w:rsidR="008771B1" w:rsidRPr="00C0172B">
        <w:rPr>
          <w:rFonts w:ascii="Book Antiqua" w:hAnsi="Book Antiqua"/>
          <w:sz w:val="24"/>
          <w:szCs w:val="24"/>
        </w:rPr>
        <w:t xml:space="preserve"> Islam;</w:t>
      </w:r>
    </w:p>
    <w:p w:rsidR="00B619BB" w:rsidRPr="00C0172B" w:rsidRDefault="00B619BB" w:rsidP="008771B1">
      <w:pPr>
        <w:pStyle w:val="ListParagraph"/>
        <w:numPr>
          <w:ilvl w:val="0"/>
          <w:numId w:val="24"/>
        </w:numPr>
        <w:spacing w:after="0" w:line="240" w:lineRule="auto"/>
        <w:ind w:left="360"/>
        <w:jc w:val="both"/>
        <w:rPr>
          <w:rFonts w:ascii="Book Antiqua" w:hAnsi="Book Antiqua"/>
          <w:sz w:val="24"/>
          <w:szCs w:val="24"/>
        </w:rPr>
      </w:pPr>
      <w:r w:rsidRPr="00C0172B">
        <w:rPr>
          <w:rFonts w:ascii="Book Antiqua" w:hAnsi="Book Antiqua"/>
          <w:sz w:val="24"/>
          <w:szCs w:val="24"/>
        </w:rPr>
        <w:t xml:space="preserve">It is not the </w:t>
      </w:r>
      <w:proofErr w:type="spellStart"/>
      <w:r w:rsidR="006E7C55" w:rsidRPr="00C0172B">
        <w:rPr>
          <w:rFonts w:ascii="Book Antiqua" w:hAnsi="Book Antiqua"/>
          <w:i/>
          <w:sz w:val="24"/>
          <w:szCs w:val="24"/>
        </w:rPr>
        <w:t>mahram</w:t>
      </w:r>
      <w:proofErr w:type="spellEnd"/>
      <w:r w:rsidRPr="00C0172B">
        <w:rPr>
          <w:rFonts w:ascii="Book Antiqua" w:hAnsi="Book Antiqua"/>
          <w:sz w:val="24"/>
          <w:szCs w:val="24"/>
        </w:rPr>
        <w:t xml:space="preserve"> of the mother who is slept with (</w:t>
      </w:r>
      <w:proofErr w:type="spellStart"/>
      <w:r w:rsidRPr="00C0172B">
        <w:rPr>
          <w:rFonts w:ascii="Book Antiqua" w:hAnsi="Book Antiqua"/>
          <w:i/>
          <w:sz w:val="24"/>
          <w:szCs w:val="24"/>
        </w:rPr>
        <w:t>jima</w:t>
      </w:r>
      <w:proofErr w:type="spellEnd"/>
      <w:r w:rsidRPr="00C0172B">
        <w:rPr>
          <w:rFonts w:ascii="Book Antiqua" w:hAnsi="Book Antiqua"/>
          <w:i/>
          <w:sz w:val="24"/>
          <w:szCs w:val="24"/>
        </w:rPr>
        <w:t>’</w:t>
      </w:r>
      <w:r w:rsidRPr="00C0172B">
        <w:rPr>
          <w:rFonts w:ascii="Book Antiqua" w:hAnsi="Book Antiqua"/>
          <w:sz w:val="24"/>
          <w:szCs w:val="24"/>
        </w:rPr>
        <w:t xml:space="preserve">) the father with the </w:t>
      </w:r>
      <w:proofErr w:type="spellStart"/>
      <w:r w:rsidRPr="00C0172B">
        <w:rPr>
          <w:rFonts w:ascii="Book Antiqua" w:hAnsi="Book Antiqua"/>
          <w:i/>
          <w:sz w:val="24"/>
          <w:szCs w:val="24"/>
        </w:rPr>
        <w:t>jima</w:t>
      </w:r>
      <w:proofErr w:type="spellEnd"/>
      <w:r w:rsidRPr="00C0172B">
        <w:rPr>
          <w:rFonts w:ascii="Book Antiqua" w:hAnsi="Book Antiqua"/>
          <w:i/>
          <w:sz w:val="24"/>
          <w:szCs w:val="24"/>
        </w:rPr>
        <w:t>'</w:t>
      </w:r>
      <w:r w:rsidRPr="00C0172B">
        <w:rPr>
          <w:rFonts w:ascii="Book Antiqua" w:hAnsi="Book Antiqua"/>
          <w:sz w:val="24"/>
          <w:szCs w:val="24"/>
        </w:rPr>
        <w:t xml:space="preserve"> who is doubtful (not with a legal marriage) and also the daughter of the mother. The mother is not allowed to be married but she is not a </w:t>
      </w:r>
      <w:proofErr w:type="spellStart"/>
      <w:r w:rsidR="006E7C55" w:rsidRPr="00C0172B">
        <w:rPr>
          <w:rFonts w:ascii="Book Antiqua" w:hAnsi="Book Antiqua"/>
          <w:i/>
          <w:sz w:val="24"/>
          <w:szCs w:val="24"/>
        </w:rPr>
        <w:t>mahram</w:t>
      </w:r>
      <w:proofErr w:type="spellEnd"/>
      <w:r w:rsidRPr="00C0172B">
        <w:rPr>
          <w:rFonts w:ascii="Book Antiqua" w:hAnsi="Book Antiqua"/>
          <w:sz w:val="24"/>
          <w:szCs w:val="24"/>
        </w:rPr>
        <w:t xml:space="preserve"> because </w:t>
      </w:r>
      <w:proofErr w:type="spellStart"/>
      <w:r w:rsidRPr="00C0172B">
        <w:rPr>
          <w:rFonts w:ascii="Book Antiqua" w:hAnsi="Book Antiqua"/>
          <w:sz w:val="24"/>
          <w:szCs w:val="24"/>
        </w:rPr>
        <w:t>jima</w:t>
      </w:r>
      <w:proofErr w:type="spellEnd"/>
      <w:r w:rsidRPr="00C0172B">
        <w:rPr>
          <w:rFonts w:ascii="Book Antiqua" w:hAnsi="Book Antiqua"/>
          <w:sz w:val="24"/>
          <w:szCs w:val="24"/>
        </w:rPr>
        <w:t xml:space="preserve"> '</w:t>
      </w:r>
      <w:proofErr w:type="spellStart"/>
      <w:r w:rsidRPr="00C0172B">
        <w:rPr>
          <w:rFonts w:ascii="Book Antiqua" w:hAnsi="Book Antiqua"/>
          <w:sz w:val="24"/>
          <w:szCs w:val="24"/>
        </w:rPr>
        <w:t>syubha</w:t>
      </w:r>
      <w:r w:rsidR="008771B1" w:rsidRPr="00C0172B">
        <w:rPr>
          <w:rFonts w:ascii="Book Antiqua" w:hAnsi="Book Antiqua"/>
          <w:sz w:val="24"/>
          <w:szCs w:val="24"/>
        </w:rPr>
        <w:t>t</w:t>
      </w:r>
      <w:proofErr w:type="spellEnd"/>
      <w:r w:rsidR="008771B1" w:rsidRPr="00C0172B">
        <w:rPr>
          <w:rFonts w:ascii="Book Antiqua" w:hAnsi="Book Antiqua"/>
          <w:sz w:val="24"/>
          <w:szCs w:val="24"/>
        </w:rPr>
        <w:t xml:space="preserve"> is not said to be permissible;</w:t>
      </w:r>
    </w:p>
    <w:p w:rsidR="00B619BB" w:rsidRPr="00C0172B" w:rsidRDefault="00B619BB" w:rsidP="008771B1">
      <w:pPr>
        <w:pStyle w:val="ListParagraph"/>
        <w:numPr>
          <w:ilvl w:val="0"/>
          <w:numId w:val="24"/>
        </w:numPr>
        <w:spacing w:after="0" w:line="240" w:lineRule="auto"/>
        <w:ind w:left="360"/>
        <w:jc w:val="both"/>
        <w:rPr>
          <w:rFonts w:ascii="Book Antiqua" w:hAnsi="Book Antiqua"/>
          <w:sz w:val="24"/>
          <w:szCs w:val="24"/>
        </w:rPr>
      </w:pPr>
      <w:r w:rsidRPr="00C0172B">
        <w:rPr>
          <w:rFonts w:ascii="Book Antiqua" w:hAnsi="Book Antiqua"/>
          <w:sz w:val="24"/>
          <w:szCs w:val="24"/>
        </w:rPr>
        <w:t xml:space="preserve">Not including the </w:t>
      </w:r>
      <w:proofErr w:type="spellStart"/>
      <w:r w:rsidR="006E7C55" w:rsidRPr="00C0172B">
        <w:rPr>
          <w:rFonts w:ascii="Book Antiqua" w:hAnsi="Book Antiqua"/>
          <w:i/>
          <w:sz w:val="24"/>
          <w:szCs w:val="24"/>
        </w:rPr>
        <w:t>mahram</w:t>
      </w:r>
      <w:proofErr w:type="spellEnd"/>
      <w:r w:rsidRPr="00C0172B">
        <w:rPr>
          <w:rFonts w:ascii="Book Antiqua" w:hAnsi="Book Antiqua"/>
          <w:sz w:val="24"/>
          <w:szCs w:val="24"/>
        </w:rPr>
        <w:t xml:space="preserve"> of women who are separated from their husbands because of </w:t>
      </w:r>
      <w:proofErr w:type="spellStart"/>
      <w:r w:rsidRPr="00C0172B">
        <w:rPr>
          <w:rFonts w:ascii="Book Antiqua" w:hAnsi="Book Antiqua"/>
          <w:i/>
          <w:sz w:val="24"/>
          <w:szCs w:val="24"/>
        </w:rPr>
        <w:t>mula'anah</w:t>
      </w:r>
      <w:proofErr w:type="spellEnd"/>
      <w:r w:rsidRPr="00C0172B">
        <w:rPr>
          <w:rFonts w:ascii="Book Antiqua" w:hAnsi="Book Antiqua"/>
          <w:sz w:val="24"/>
          <w:szCs w:val="24"/>
        </w:rPr>
        <w:t>, because the woman is forbidden to be remarried by her husband who has cursed her forever but not because of the woman's majesty but because of her firmness and emphasis on her husband.</w:t>
      </w:r>
    </w:p>
    <w:p w:rsidR="008771B1" w:rsidRPr="00C0172B" w:rsidRDefault="008771B1" w:rsidP="008771B1">
      <w:pPr>
        <w:pStyle w:val="ListParagraph"/>
        <w:spacing w:after="0" w:line="240" w:lineRule="auto"/>
        <w:ind w:left="360"/>
        <w:jc w:val="both"/>
        <w:rPr>
          <w:rFonts w:ascii="Book Antiqua" w:hAnsi="Book Antiqua"/>
          <w:sz w:val="10"/>
          <w:szCs w:val="24"/>
        </w:rPr>
      </w:pPr>
    </w:p>
    <w:p w:rsidR="00B619BB" w:rsidRPr="00C0172B" w:rsidRDefault="00B619BB" w:rsidP="00B619BB">
      <w:pPr>
        <w:spacing w:after="0" w:line="240" w:lineRule="auto"/>
        <w:jc w:val="both"/>
        <w:rPr>
          <w:rFonts w:ascii="Book Antiqua" w:hAnsi="Book Antiqua"/>
          <w:sz w:val="24"/>
          <w:szCs w:val="24"/>
        </w:rPr>
      </w:pPr>
      <w:r w:rsidRPr="00C0172B">
        <w:rPr>
          <w:rFonts w:ascii="Book Antiqua" w:hAnsi="Book Antiqua"/>
          <w:sz w:val="24"/>
          <w:szCs w:val="24"/>
        </w:rPr>
        <w:t xml:space="preserve">The </w:t>
      </w:r>
      <w:proofErr w:type="spellStart"/>
      <w:r w:rsidR="006E7C55" w:rsidRPr="00C0172B">
        <w:rPr>
          <w:rFonts w:ascii="Book Antiqua" w:hAnsi="Book Antiqua"/>
          <w:i/>
          <w:sz w:val="24"/>
          <w:szCs w:val="24"/>
        </w:rPr>
        <w:t>mahram</w:t>
      </w:r>
      <w:proofErr w:type="spellEnd"/>
      <w:r w:rsidRPr="00C0172B">
        <w:rPr>
          <w:rFonts w:ascii="Book Antiqua" w:hAnsi="Book Antiqua"/>
          <w:sz w:val="24"/>
          <w:szCs w:val="24"/>
        </w:rPr>
        <w:t xml:space="preserve"> criteria are very important because they will determine whether a person may or may not commit </w:t>
      </w:r>
      <w:proofErr w:type="spellStart"/>
      <w:r w:rsidR="00E36CE4" w:rsidRPr="00C0172B">
        <w:rPr>
          <w:rFonts w:ascii="Book Antiqua" w:hAnsi="Book Antiqua"/>
          <w:i/>
          <w:sz w:val="24"/>
          <w:szCs w:val="24"/>
        </w:rPr>
        <w:t>jinayah</w:t>
      </w:r>
      <w:proofErr w:type="spellEnd"/>
      <w:r w:rsidRPr="00C0172B">
        <w:rPr>
          <w:rFonts w:ascii="Book Antiqua" w:hAnsi="Book Antiqua"/>
          <w:sz w:val="24"/>
          <w:szCs w:val="24"/>
        </w:rPr>
        <w:t xml:space="preserve"> seclusion. If it is clear that the woman is his </w:t>
      </w:r>
      <w:proofErr w:type="spellStart"/>
      <w:r w:rsidR="006E7C55" w:rsidRPr="00C0172B">
        <w:rPr>
          <w:rFonts w:ascii="Book Antiqua" w:hAnsi="Book Antiqua"/>
          <w:i/>
          <w:sz w:val="24"/>
          <w:szCs w:val="24"/>
        </w:rPr>
        <w:t>mahram</w:t>
      </w:r>
      <w:proofErr w:type="spellEnd"/>
      <w:r w:rsidRPr="00C0172B">
        <w:rPr>
          <w:rFonts w:ascii="Book Antiqua" w:hAnsi="Book Antiqua"/>
          <w:sz w:val="24"/>
          <w:szCs w:val="24"/>
        </w:rPr>
        <w:t xml:space="preserve">, then it is not permissible for him to marry her and it is permissible for him to look at her and seek seclusion with her and travel with her, and this law absolutely covers the </w:t>
      </w:r>
      <w:proofErr w:type="spellStart"/>
      <w:r w:rsidR="006E7C55" w:rsidRPr="00C0172B">
        <w:rPr>
          <w:rFonts w:ascii="Book Antiqua" w:hAnsi="Book Antiqua"/>
          <w:i/>
          <w:sz w:val="24"/>
          <w:szCs w:val="24"/>
        </w:rPr>
        <w:t>mahram</w:t>
      </w:r>
      <w:proofErr w:type="spellEnd"/>
      <w:r w:rsidRPr="00C0172B">
        <w:rPr>
          <w:rFonts w:ascii="Book Antiqua" w:hAnsi="Book Antiqua"/>
          <w:sz w:val="24"/>
          <w:szCs w:val="24"/>
        </w:rPr>
        <w:t xml:space="preserve"> due to kinship or due to breastfeeding or due to marriage. Therefore, the use of the word seclusion by the </w:t>
      </w:r>
      <w:proofErr w:type="spellStart"/>
      <w:r w:rsidRPr="00C0172B">
        <w:rPr>
          <w:rFonts w:ascii="Book Antiqua" w:hAnsi="Book Antiqua"/>
          <w:sz w:val="24"/>
          <w:szCs w:val="24"/>
        </w:rPr>
        <w:t>fuqaha</w:t>
      </w:r>
      <w:proofErr w:type="spellEnd"/>
      <w:r w:rsidRPr="00C0172B">
        <w:rPr>
          <w:rFonts w:ascii="Book Antiqua" w:hAnsi="Book Antiqua"/>
          <w:sz w:val="24"/>
          <w:szCs w:val="24"/>
        </w:rPr>
        <w:t xml:space="preserve"> cannot be separated from the meaning of the act of being </w:t>
      </w:r>
      <w:proofErr w:type="gramStart"/>
      <w:r w:rsidRPr="00C0172B">
        <w:rPr>
          <w:rFonts w:ascii="Book Antiqua" w:hAnsi="Book Antiqua"/>
          <w:sz w:val="24"/>
          <w:szCs w:val="24"/>
        </w:rPr>
        <w:t xml:space="preserve">alone which is not the </w:t>
      </w:r>
      <w:proofErr w:type="spellStart"/>
      <w:r w:rsidR="006E7C55" w:rsidRPr="00C0172B">
        <w:rPr>
          <w:rFonts w:ascii="Book Antiqua" w:hAnsi="Book Antiqua"/>
          <w:i/>
          <w:sz w:val="24"/>
          <w:szCs w:val="24"/>
        </w:rPr>
        <w:t>mahram</w:t>
      </w:r>
      <w:proofErr w:type="spellEnd"/>
      <w:r w:rsidRPr="00C0172B">
        <w:rPr>
          <w:rFonts w:ascii="Book Antiqua" w:hAnsi="Book Antiqua"/>
          <w:sz w:val="24"/>
          <w:szCs w:val="24"/>
        </w:rPr>
        <w:t xml:space="preserve"> of being alone in a place where there are no other people or no control from others</w:t>
      </w:r>
      <w:proofErr w:type="gramEnd"/>
      <w:r w:rsidRPr="00C0172B">
        <w:rPr>
          <w:rFonts w:ascii="Book Antiqua" w:hAnsi="Book Antiqua"/>
          <w:sz w:val="24"/>
          <w:szCs w:val="24"/>
        </w:rPr>
        <w:t>.</w:t>
      </w:r>
    </w:p>
    <w:p w:rsidR="008771B1" w:rsidRPr="00F11315" w:rsidRDefault="008771B1" w:rsidP="00B619BB">
      <w:pPr>
        <w:spacing w:after="0" w:line="240" w:lineRule="auto"/>
        <w:jc w:val="both"/>
        <w:rPr>
          <w:rFonts w:ascii="Times New Roman" w:hAnsi="Times New Roman"/>
          <w:sz w:val="24"/>
          <w:szCs w:val="24"/>
        </w:rPr>
      </w:pPr>
    </w:p>
    <w:p w:rsidR="008771B1" w:rsidRPr="008771B1" w:rsidRDefault="008771B1" w:rsidP="008771B1">
      <w:pPr>
        <w:pStyle w:val="ListParagraph"/>
        <w:numPr>
          <w:ilvl w:val="1"/>
          <w:numId w:val="18"/>
        </w:numPr>
        <w:spacing w:after="120" w:line="240" w:lineRule="auto"/>
        <w:ind w:left="360"/>
        <w:rPr>
          <w:rFonts w:ascii="Book Antiqua" w:hAnsi="Book Antiqua"/>
          <w:color w:val="000000" w:themeColor="text1"/>
          <w:sz w:val="24"/>
          <w:szCs w:val="24"/>
        </w:rPr>
      </w:pPr>
      <w:r w:rsidRPr="008771B1">
        <w:rPr>
          <w:rFonts w:ascii="Book Antiqua" w:hAnsi="Book Antiqua"/>
          <w:color w:val="000000" w:themeColor="text1"/>
          <w:sz w:val="24"/>
          <w:szCs w:val="24"/>
        </w:rPr>
        <w:t xml:space="preserve">Settlement of the Crime of </w:t>
      </w:r>
      <w:proofErr w:type="spellStart"/>
      <w:r w:rsidR="00E36CE4" w:rsidRPr="00E36CE4">
        <w:rPr>
          <w:rFonts w:ascii="Book Antiqua" w:hAnsi="Book Antiqua"/>
          <w:i/>
          <w:color w:val="000000" w:themeColor="text1"/>
          <w:sz w:val="24"/>
          <w:szCs w:val="24"/>
        </w:rPr>
        <w:t>Khalwat</w:t>
      </w:r>
      <w:proofErr w:type="spellEnd"/>
      <w:r w:rsidR="00E36CE4">
        <w:rPr>
          <w:rFonts w:ascii="Book Antiqua" w:hAnsi="Book Antiqua"/>
          <w:color w:val="000000" w:themeColor="text1"/>
          <w:sz w:val="24"/>
          <w:szCs w:val="24"/>
        </w:rPr>
        <w:t xml:space="preserve"> </w:t>
      </w:r>
      <w:r w:rsidRPr="008771B1">
        <w:rPr>
          <w:rFonts w:ascii="Book Antiqua" w:hAnsi="Book Antiqua"/>
          <w:color w:val="000000" w:themeColor="text1"/>
          <w:sz w:val="24"/>
          <w:szCs w:val="24"/>
        </w:rPr>
        <w:t xml:space="preserve"> in Aceh</w:t>
      </w:r>
    </w:p>
    <w:p w:rsidR="008771B1" w:rsidRPr="008771B1" w:rsidRDefault="008771B1" w:rsidP="008771B1">
      <w:pPr>
        <w:spacing w:after="120" w:line="240" w:lineRule="auto"/>
        <w:jc w:val="both"/>
        <w:rPr>
          <w:rFonts w:ascii="Times New Roman" w:hAnsi="Times New Roman"/>
          <w:sz w:val="24"/>
          <w:szCs w:val="24"/>
        </w:rPr>
      </w:pPr>
      <w:r w:rsidRPr="008771B1">
        <w:rPr>
          <w:rFonts w:ascii="Times New Roman" w:hAnsi="Times New Roman"/>
          <w:sz w:val="24"/>
          <w:szCs w:val="24"/>
        </w:rPr>
        <w:t>Aceh is the most convincing area in formalizing Islamic law into Indonesian positive law.</w:t>
      </w:r>
      <w:r w:rsidR="006A2654">
        <w:rPr>
          <w:rStyle w:val="FootnoteReference"/>
          <w:rFonts w:ascii="Times New Roman" w:hAnsi="Times New Roman"/>
          <w:sz w:val="24"/>
          <w:szCs w:val="24"/>
        </w:rPr>
        <w:footnoteReference w:id="23"/>
      </w:r>
      <w:r w:rsidRPr="008771B1">
        <w:rPr>
          <w:rFonts w:ascii="Times New Roman" w:hAnsi="Times New Roman"/>
          <w:sz w:val="24"/>
          <w:szCs w:val="24"/>
        </w:rPr>
        <w:t xml:space="preserve"> In the final period of the Aceh conflict, a number of laws and regulations that were oriented towards Islamic law we</w:t>
      </w:r>
      <w:r w:rsidR="006A2654">
        <w:rPr>
          <w:rFonts w:ascii="Times New Roman" w:hAnsi="Times New Roman"/>
          <w:sz w:val="24"/>
          <w:szCs w:val="24"/>
        </w:rPr>
        <w:t>re enacted. Among them are Law N</w:t>
      </w:r>
      <w:r w:rsidRPr="008771B1">
        <w:rPr>
          <w:rFonts w:ascii="Times New Roman" w:hAnsi="Times New Roman"/>
          <w:sz w:val="24"/>
          <w:szCs w:val="24"/>
        </w:rPr>
        <w:t xml:space="preserve">o. 44 of 1999 concerning the Implementation </w:t>
      </w:r>
      <w:r w:rsidR="006A2654">
        <w:rPr>
          <w:rFonts w:ascii="Times New Roman" w:hAnsi="Times New Roman"/>
          <w:sz w:val="24"/>
          <w:szCs w:val="24"/>
        </w:rPr>
        <w:t>of the Privileges of Aceh, Law N</w:t>
      </w:r>
      <w:r w:rsidRPr="008771B1">
        <w:rPr>
          <w:rFonts w:ascii="Times New Roman" w:hAnsi="Times New Roman"/>
          <w:sz w:val="24"/>
          <w:szCs w:val="24"/>
        </w:rPr>
        <w:t>o. 18 of 2001 concerning the</w:t>
      </w:r>
      <w:r w:rsidR="006A2654">
        <w:rPr>
          <w:rFonts w:ascii="Times New Roman" w:hAnsi="Times New Roman"/>
          <w:sz w:val="24"/>
          <w:szCs w:val="24"/>
        </w:rPr>
        <w:t xml:space="preserve"> Special Autonomy of Aceh, Law N</w:t>
      </w:r>
      <w:r w:rsidRPr="008771B1">
        <w:rPr>
          <w:rFonts w:ascii="Times New Roman" w:hAnsi="Times New Roman"/>
          <w:sz w:val="24"/>
          <w:szCs w:val="24"/>
        </w:rPr>
        <w:t xml:space="preserve">o. 11 of 2006 concerning the Government of Aceh,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No. 10 of 2002 concerning Islamic Sharia Courts,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No. 7 of 2004 concerning Zakat Management,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No. 10 of 2007 concerning </w:t>
      </w:r>
      <w:proofErr w:type="spellStart"/>
      <w:r w:rsidRPr="008771B1">
        <w:rPr>
          <w:rFonts w:ascii="Times New Roman" w:hAnsi="Times New Roman"/>
          <w:sz w:val="24"/>
          <w:szCs w:val="24"/>
        </w:rPr>
        <w:t>Baitul</w:t>
      </w:r>
      <w:proofErr w:type="spellEnd"/>
      <w:r w:rsidRPr="008771B1">
        <w:rPr>
          <w:rFonts w:ascii="Times New Roman" w:hAnsi="Times New Roman"/>
          <w:sz w:val="24"/>
          <w:szCs w:val="24"/>
        </w:rPr>
        <w:t xml:space="preserve"> Mal and other regional regulations. A number of products of the legislation above are a manifestation of Aceh's privilege to enforce Islamic law, including criminal law (</w:t>
      </w:r>
      <w:proofErr w:type="spellStart"/>
      <w:r w:rsidR="00E36CE4" w:rsidRPr="00E36CE4">
        <w:rPr>
          <w:rFonts w:ascii="Times New Roman" w:hAnsi="Times New Roman"/>
          <w:i/>
          <w:sz w:val="24"/>
          <w:szCs w:val="24"/>
        </w:rPr>
        <w:t>jinayah</w:t>
      </w:r>
      <w:proofErr w:type="spellEnd"/>
      <w:r w:rsidRPr="008771B1">
        <w:rPr>
          <w:rFonts w:ascii="Times New Roman" w:hAnsi="Times New Roman"/>
          <w:sz w:val="24"/>
          <w:szCs w:val="24"/>
        </w:rPr>
        <w:t>).</w:t>
      </w:r>
    </w:p>
    <w:p w:rsidR="008771B1" w:rsidRPr="008771B1" w:rsidRDefault="008771B1" w:rsidP="008771B1">
      <w:pPr>
        <w:spacing w:after="120" w:line="240" w:lineRule="auto"/>
        <w:jc w:val="both"/>
        <w:rPr>
          <w:rFonts w:ascii="Times New Roman" w:hAnsi="Times New Roman"/>
          <w:sz w:val="24"/>
          <w:szCs w:val="24"/>
        </w:rPr>
      </w:pPr>
      <w:r w:rsidRPr="008771B1">
        <w:rPr>
          <w:rFonts w:ascii="Times New Roman" w:hAnsi="Times New Roman"/>
          <w:sz w:val="24"/>
          <w:szCs w:val="24"/>
        </w:rPr>
        <w:t xml:space="preserve">In the aspect of criminal law, the Aceh Government has issued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No. 6 of 2014 concerning the Aceh </w:t>
      </w:r>
      <w:proofErr w:type="spellStart"/>
      <w:r w:rsidR="006E7C55" w:rsidRPr="006E7C55">
        <w:rPr>
          <w:rFonts w:ascii="Times New Roman" w:hAnsi="Times New Roman"/>
          <w:i/>
          <w:sz w:val="24"/>
          <w:szCs w:val="24"/>
        </w:rPr>
        <w:t>Jinayat</w:t>
      </w:r>
      <w:proofErr w:type="spellEnd"/>
      <w:r w:rsidRPr="008771B1">
        <w:rPr>
          <w:rFonts w:ascii="Times New Roman" w:hAnsi="Times New Roman"/>
          <w:sz w:val="24"/>
          <w:szCs w:val="24"/>
        </w:rPr>
        <w:t xml:space="preserve"> Law as the basis for regulating all types of criminal acts (</w:t>
      </w:r>
      <w:proofErr w:type="spellStart"/>
      <w:r w:rsidR="006E7C55" w:rsidRPr="006E7C55">
        <w:rPr>
          <w:rFonts w:ascii="Times New Roman" w:hAnsi="Times New Roman"/>
          <w:i/>
          <w:sz w:val="24"/>
          <w:szCs w:val="24"/>
        </w:rPr>
        <w:t>jarimah</w:t>
      </w:r>
      <w:proofErr w:type="spellEnd"/>
      <w:r w:rsidRPr="008771B1">
        <w:rPr>
          <w:rFonts w:ascii="Times New Roman" w:hAnsi="Times New Roman"/>
          <w:sz w:val="24"/>
          <w:szCs w:val="24"/>
        </w:rPr>
        <w:t xml:space="preserve">) that occur in Aceh. However, this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only regulates two types of criminal acts, namely some </w:t>
      </w:r>
      <w:proofErr w:type="spellStart"/>
      <w:r w:rsidRPr="006A2654">
        <w:rPr>
          <w:rFonts w:ascii="Times New Roman" w:hAnsi="Times New Roman"/>
          <w:i/>
          <w:sz w:val="24"/>
          <w:szCs w:val="24"/>
        </w:rPr>
        <w:t>hudud</w:t>
      </w:r>
      <w:proofErr w:type="spellEnd"/>
      <w:r w:rsidRPr="008771B1">
        <w:rPr>
          <w:rFonts w:ascii="Times New Roman" w:hAnsi="Times New Roman"/>
          <w:sz w:val="24"/>
          <w:szCs w:val="24"/>
        </w:rPr>
        <w:t xml:space="preserve"> and </w:t>
      </w:r>
      <w:proofErr w:type="spellStart"/>
      <w:r w:rsidRPr="006A2654">
        <w:rPr>
          <w:rFonts w:ascii="Times New Roman" w:hAnsi="Times New Roman"/>
          <w:i/>
          <w:sz w:val="24"/>
          <w:szCs w:val="24"/>
        </w:rPr>
        <w:t>Ta'zir</w:t>
      </w:r>
      <w:proofErr w:type="spellEnd"/>
      <w:r w:rsidRPr="008771B1">
        <w:rPr>
          <w:rFonts w:ascii="Times New Roman" w:hAnsi="Times New Roman"/>
          <w:sz w:val="24"/>
          <w:szCs w:val="24"/>
        </w:rPr>
        <w:t xml:space="preserve"> fingers. Meanwhile, </w:t>
      </w:r>
      <w:proofErr w:type="spellStart"/>
      <w:r w:rsidRPr="006A2654">
        <w:rPr>
          <w:rFonts w:ascii="Times New Roman" w:hAnsi="Times New Roman"/>
          <w:i/>
          <w:sz w:val="24"/>
          <w:szCs w:val="24"/>
        </w:rPr>
        <w:t>qishas</w:t>
      </w:r>
      <w:proofErr w:type="spellEnd"/>
      <w:r w:rsidRPr="008771B1">
        <w:rPr>
          <w:rFonts w:ascii="Times New Roman" w:hAnsi="Times New Roman"/>
          <w:sz w:val="24"/>
          <w:szCs w:val="24"/>
        </w:rPr>
        <w:t xml:space="preserve">, such as crimes of torture and murder, have not been regulated at all in </w:t>
      </w:r>
      <w:r w:rsidRPr="008771B1">
        <w:rPr>
          <w:rFonts w:ascii="Times New Roman" w:hAnsi="Times New Roman"/>
          <w:sz w:val="24"/>
          <w:szCs w:val="24"/>
        </w:rPr>
        <w:lastRenderedPageBreak/>
        <w:t xml:space="preserve">the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due to the large number of rejections of the punishment of cutting hands (</w:t>
      </w:r>
      <w:r w:rsidRPr="00E36CE4">
        <w:rPr>
          <w:rFonts w:ascii="Times New Roman" w:hAnsi="Times New Roman"/>
          <w:i/>
          <w:sz w:val="24"/>
          <w:szCs w:val="24"/>
        </w:rPr>
        <w:t>had</w:t>
      </w:r>
      <w:r w:rsidRPr="008771B1">
        <w:rPr>
          <w:rFonts w:ascii="Times New Roman" w:hAnsi="Times New Roman"/>
          <w:sz w:val="24"/>
          <w:szCs w:val="24"/>
        </w:rPr>
        <w:t>) and the death penalty by stoning.</w:t>
      </w:r>
    </w:p>
    <w:p w:rsidR="008771B1" w:rsidRPr="008771B1" w:rsidRDefault="008771B1" w:rsidP="008771B1">
      <w:pPr>
        <w:spacing w:after="120" w:line="240" w:lineRule="auto"/>
        <w:jc w:val="both"/>
        <w:rPr>
          <w:rFonts w:ascii="Times New Roman" w:hAnsi="Times New Roman"/>
          <w:sz w:val="24"/>
          <w:szCs w:val="24"/>
        </w:rPr>
      </w:pPr>
      <w:r w:rsidRPr="008771B1">
        <w:rPr>
          <w:rFonts w:ascii="Times New Roman" w:hAnsi="Times New Roman"/>
          <w:sz w:val="24"/>
          <w:szCs w:val="24"/>
        </w:rPr>
        <w:t xml:space="preserve">In the legal aspect, there are two case settlement mechanisms, namely legal settlement through the courts (litigation) and settlement of cases outside the court (non-litigation). Settlement of cases outside the court is synonymous with </w:t>
      </w:r>
      <w:r w:rsidR="00E36CE4">
        <w:rPr>
          <w:rFonts w:ascii="Times New Roman" w:hAnsi="Times New Roman"/>
          <w:sz w:val="24"/>
          <w:szCs w:val="24"/>
        </w:rPr>
        <w:t>A</w:t>
      </w:r>
      <w:r w:rsidRPr="008771B1">
        <w:rPr>
          <w:rFonts w:ascii="Times New Roman" w:hAnsi="Times New Roman"/>
          <w:sz w:val="24"/>
          <w:szCs w:val="24"/>
        </w:rPr>
        <w:t xml:space="preserve">lternative </w:t>
      </w:r>
      <w:r w:rsidR="00E36CE4">
        <w:rPr>
          <w:rFonts w:ascii="Times New Roman" w:hAnsi="Times New Roman"/>
          <w:sz w:val="24"/>
          <w:szCs w:val="24"/>
        </w:rPr>
        <w:t>D</w:t>
      </w:r>
      <w:r w:rsidRPr="008771B1">
        <w:rPr>
          <w:rFonts w:ascii="Times New Roman" w:hAnsi="Times New Roman"/>
          <w:sz w:val="24"/>
          <w:szCs w:val="24"/>
        </w:rPr>
        <w:t xml:space="preserve">ispute </w:t>
      </w:r>
      <w:r w:rsidR="00E36CE4">
        <w:rPr>
          <w:rFonts w:ascii="Times New Roman" w:hAnsi="Times New Roman"/>
          <w:sz w:val="24"/>
          <w:szCs w:val="24"/>
        </w:rPr>
        <w:t>R</w:t>
      </w:r>
      <w:r w:rsidRPr="008771B1">
        <w:rPr>
          <w:rFonts w:ascii="Times New Roman" w:hAnsi="Times New Roman"/>
          <w:sz w:val="24"/>
          <w:szCs w:val="24"/>
        </w:rPr>
        <w:t>esolution (ADR) with several mechanisms such as mediation, deliberation, arbitration, and reconciliation. Likewise in the settlement of criminal cases, the settlement of criminal law cases can be through penal and non-penal.</w:t>
      </w:r>
      <w:r w:rsidR="002618BF">
        <w:rPr>
          <w:rStyle w:val="FootnoteReference"/>
          <w:rFonts w:ascii="Times New Roman" w:hAnsi="Times New Roman"/>
          <w:sz w:val="24"/>
          <w:szCs w:val="24"/>
        </w:rPr>
        <w:footnoteReference w:id="24"/>
      </w:r>
      <w:r w:rsidRPr="008771B1">
        <w:rPr>
          <w:rFonts w:ascii="Times New Roman" w:hAnsi="Times New Roman"/>
          <w:sz w:val="24"/>
          <w:szCs w:val="24"/>
        </w:rPr>
        <w:t xml:space="preserve"> Penal settlement of criminal cases uses a judgment approach through the courts, while non-penal settlement is more of an out-of-court settlement approach such as penal mediation.</w:t>
      </w:r>
      <w:r w:rsidR="00312AE0">
        <w:rPr>
          <w:rStyle w:val="FootnoteReference"/>
          <w:rFonts w:ascii="Times New Roman" w:hAnsi="Times New Roman"/>
          <w:sz w:val="24"/>
          <w:szCs w:val="24"/>
        </w:rPr>
        <w:footnoteReference w:id="25"/>
      </w:r>
    </w:p>
    <w:p w:rsidR="008771B1" w:rsidRPr="008771B1" w:rsidRDefault="008771B1" w:rsidP="008771B1">
      <w:pPr>
        <w:spacing w:after="120" w:line="240" w:lineRule="auto"/>
        <w:jc w:val="both"/>
        <w:rPr>
          <w:rFonts w:ascii="Times New Roman" w:hAnsi="Times New Roman"/>
          <w:sz w:val="24"/>
          <w:szCs w:val="24"/>
        </w:rPr>
      </w:pPr>
      <w:r w:rsidRPr="008771B1">
        <w:rPr>
          <w:rFonts w:ascii="Times New Roman" w:hAnsi="Times New Roman"/>
          <w:sz w:val="24"/>
          <w:szCs w:val="24"/>
        </w:rPr>
        <w:t xml:space="preserve">In the aspect of resolving criminal cases in Aceh, the two above-mentioned case settlement mechanisms are also implemented. To resolve all the cases that occurred in Aceh, the local government has issued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No. 7 of 2013 concerning the </w:t>
      </w:r>
      <w:proofErr w:type="spellStart"/>
      <w:r w:rsidR="006E7C55" w:rsidRPr="006E7C55">
        <w:rPr>
          <w:rFonts w:ascii="Times New Roman" w:hAnsi="Times New Roman"/>
          <w:i/>
          <w:sz w:val="24"/>
          <w:szCs w:val="24"/>
        </w:rPr>
        <w:t>Jinayat</w:t>
      </w:r>
      <w:proofErr w:type="spellEnd"/>
      <w:r w:rsidRPr="008771B1">
        <w:rPr>
          <w:rFonts w:ascii="Times New Roman" w:hAnsi="Times New Roman"/>
          <w:sz w:val="24"/>
          <w:szCs w:val="24"/>
        </w:rPr>
        <w:t xml:space="preserve"> Procedural Law and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Number 10 of 2002 concerning the Islamic </w:t>
      </w:r>
      <w:proofErr w:type="spellStart"/>
      <w:r w:rsidRPr="008771B1">
        <w:rPr>
          <w:rFonts w:ascii="Times New Roman" w:hAnsi="Times New Roman"/>
          <w:sz w:val="24"/>
          <w:szCs w:val="24"/>
        </w:rPr>
        <w:t>Shari'ah</w:t>
      </w:r>
      <w:proofErr w:type="spellEnd"/>
      <w:r w:rsidRPr="008771B1">
        <w:rPr>
          <w:rFonts w:ascii="Times New Roman" w:hAnsi="Times New Roman"/>
          <w:sz w:val="24"/>
          <w:szCs w:val="24"/>
        </w:rPr>
        <w:t xml:space="preserve"> Court, where the authority to carry out the judicial function is carried out by the </w:t>
      </w:r>
      <w:proofErr w:type="spellStart"/>
      <w:r w:rsidRPr="008771B1">
        <w:rPr>
          <w:rFonts w:ascii="Times New Roman" w:hAnsi="Times New Roman"/>
          <w:sz w:val="24"/>
          <w:szCs w:val="24"/>
        </w:rPr>
        <w:t>Syar'iyah</w:t>
      </w:r>
      <w:proofErr w:type="spellEnd"/>
      <w:r w:rsidRPr="008771B1">
        <w:rPr>
          <w:rFonts w:ascii="Times New Roman" w:hAnsi="Times New Roman"/>
          <w:sz w:val="24"/>
          <w:szCs w:val="24"/>
        </w:rPr>
        <w:t xml:space="preserve"> Court. The </w:t>
      </w:r>
      <w:proofErr w:type="spellStart"/>
      <w:r w:rsidRPr="008771B1">
        <w:rPr>
          <w:rFonts w:ascii="Times New Roman" w:hAnsi="Times New Roman"/>
          <w:sz w:val="24"/>
          <w:szCs w:val="24"/>
        </w:rPr>
        <w:t>Syar'iyah</w:t>
      </w:r>
      <w:proofErr w:type="spellEnd"/>
      <w:r w:rsidRPr="008771B1">
        <w:rPr>
          <w:rFonts w:ascii="Times New Roman" w:hAnsi="Times New Roman"/>
          <w:sz w:val="24"/>
          <w:szCs w:val="24"/>
        </w:rPr>
        <w:t xml:space="preserve"> Court has the authority to examine, hear and decide cases at the first level in the areas of </w:t>
      </w:r>
      <w:proofErr w:type="spellStart"/>
      <w:r w:rsidRPr="009A00FE">
        <w:rPr>
          <w:rFonts w:ascii="Times New Roman" w:hAnsi="Times New Roman"/>
          <w:i/>
          <w:sz w:val="24"/>
          <w:szCs w:val="24"/>
        </w:rPr>
        <w:t>Ahwal</w:t>
      </w:r>
      <w:proofErr w:type="spellEnd"/>
      <w:r w:rsidRPr="009A00FE">
        <w:rPr>
          <w:rFonts w:ascii="Times New Roman" w:hAnsi="Times New Roman"/>
          <w:i/>
          <w:sz w:val="24"/>
          <w:szCs w:val="24"/>
        </w:rPr>
        <w:t xml:space="preserve"> al-</w:t>
      </w:r>
      <w:proofErr w:type="spellStart"/>
      <w:r w:rsidRPr="009A00FE">
        <w:rPr>
          <w:rFonts w:ascii="Times New Roman" w:hAnsi="Times New Roman"/>
          <w:i/>
          <w:sz w:val="24"/>
          <w:szCs w:val="24"/>
        </w:rPr>
        <w:t>Syakhshiyah</w:t>
      </w:r>
      <w:proofErr w:type="spellEnd"/>
      <w:r w:rsidRPr="008771B1">
        <w:rPr>
          <w:rFonts w:ascii="Times New Roman" w:hAnsi="Times New Roman"/>
          <w:sz w:val="24"/>
          <w:szCs w:val="24"/>
        </w:rPr>
        <w:t xml:space="preserve">, </w:t>
      </w:r>
      <w:proofErr w:type="spellStart"/>
      <w:r w:rsidRPr="009A00FE">
        <w:rPr>
          <w:rFonts w:ascii="Times New Roman" w:hAnsi="Times New Roman"/>
          <w:i/>
          <w:sz w:val="24"/>
          <w:szCs w:val="24"/>
        </w:rPr>
        <w:t>Mu'amalah</w:t>
      </w:r>
      <w:proofErr w:type="spellEnd"/>
      <w:r w:rsidRPr="008771B1">
        <w:rPr>
          <w:rFonts w:ascii="Times New Roman" w:hAnsi="Times New Roman"/>
          <w:sz w:val="24"/>
          <w:szCs w:val="24"/>
        </w:rPr>
        <w:t xml:space="preserve"> and </w:t>
      </w:r>
      <w:proofErr w:type="spellStart"/>
      <w:r w:rsidR="00E36CE4" w:rsidRPr="00E36CE4">
        <w:rPr>
          <w:rFonts w:ascii="Times New Roman" w:hAnsi="Times New Roman"/>
          <w:i/>
          <w:sz w:val="24"/>
          <w:szCs w:val="24"/>
        </w:rPr>
        <w:t>Jinayah</w:t>
      </w:r>
      <w:proofErr w:type="spellEnd"/>
      <w:r w:rsidRPr="008771B1">
        <w:rPr>
          <w:rFonts w:ascii="Times New Roman" w:hAnsi="Times New Roman"/>
          <w:sz w:val="24"/>
          <w:szCs w:val="24"/>
        </w:rPr>
        <w:t xml:space="preserve">. In addition, the settlement of violations of Islamic </w:t>
      </w:r>
      <w:proofErr w:type="spellStart"/>
      <w:r w:rsidRPr="008771B1">
        <w:rPr>
          <w:rFonts w:ascii="Times New Roman" w:hAnsi="Times New Roman"/>
          <w:sz w:val="24"/>
          <w:szCs w:val="24"/>
        </w:rPr>
        <w:t>shari'a</w:t>
      </w:r>
      <w:proofErr w:type="spellEnd"/>
      <w:r w:rsidRPr="008771B1">
        <w:rPr>
          <w:rFonts w:ascii="Times New Roman" w:hAnsi="Times New Roman"/>
          <w:sz w:val="24"/>
          <w:szCs w:val="24"/>
        </w:rPr>
        <w:t xml:space="preserve"> is also given the authority to judge a customary institution or customary court established by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Number 7 of 2000 concerning the Implementation of Traditional Life and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Number 5 of 2003 concerning the </w:t>
      </w:r>
      <w:proofErr w:type="spellStart"/>
      <w:r w:rsidRPr="008771B1">
        <w:rPr>
          <w:rFonts w:ascii="Times New Roman" w:hAnsi="Times New Roman"/>
          <w:sz w:val="24"/>
          <w:szCs w:val="24"/>
        </w:rPr>
        <w:t>Gampong</w:t>
      </w:r>
      <w:proofErr w:type="spellEnd"/>
      <w:r w:rsidRPr="008771B1">
        <w:rPr>
          <w:rFonts w:ascii="Times New Roman" w:hAnsi="Times New Roman"/>
          <w:sz w:val="24"/>
          <w:szCs w:val="24"/>
        </w:rPr>
        <w:t xml:space="preserve"> Government in Aceh.</w:t>
      </w:r>
    </w:p>
    <w:p w:rsidR="008771B1" w:rsidRPr="008771B1" w:rsidRDefault="008771B1" w:rsidP="008771B1">
      <w:pPr>
        <w:spacing w:after="120" w:line="240" w:lineRule="auto"/>
        <w:jc w:val="both"/>
        <w:rPr>
          <w:rFonts w:ascii="Times New Roman" w:hAnsi="Times New Roman"/>
          <w:sz w:val="24"/>
          <w:szCs w:val="24"/>
        </w:rPr>
      </w:pPr>
      <w:r w:rsidRPr="008771B1">
        <w:rPr>
          <w:rFonts w:ascii="Times New Roman" w:hAnsi="Times New Roman"/>
          <w:sz w:val="24"/>
          <w:szCs w:val="24"/>
        </w:rPr>
        <w:t>In the implementation of customary life, local governments can establish various policies in an effort to empower, preserve, and develop customs that do not conflict with Islamic law. Then, local governments are also given the authority to be able to form new traditional institutions and recognize and maintain existing traditional institutions in the Province, Regency/City, District, Settlement and Village or Village/</w:t>
      </w:r>
      <w:proofErr w:type="spellStart"/>
      <w:r w:rsidRPr="003655C2">
        <w:rPr>
          <w:rFonts w:ascii="Times New Roman" w:hAnsi="Times New Roman"/>
          <w:i/>
          <w:sz w:val="24"/>
          <w:szCs w:val="24"/>
        </w:rPr>
        <w:t>Gampong</w:t>
      </w:r>
      <w:proofErr w:type="spellEnd"/>
      <w:r w:rsidRPr="008771B1">
        <w:rPr>
          <w:rFonts w:ascii="Times New Roman" w:hAnsi="Times New Roman"/>
          <w:sz w:val="24"/>
          <w:szCs w:val="24"/>
        </w:rPr>
        <w:t>.</w:t>
      </w:r>
      <w:r w:rsidR="0078403C">
        <w:rPr>
          <w:rStyle w:val="FootnoteReference"/>
          <w:rFonts w:ascii="Times New Roman" w:hAnsi="Times New Roman"/>
          <w:sz w:val="24"/>
          <w:szCs w:val="24"/>
        </w:rPr>
        <w:footnoteReference w:id="26"/>
      </w:r>
    </w:p>
    <w:p w:rsidR="008771B1" w:rsidRPr="008771B1" w:rsidRDefault="008771B1" w:rsidP="008771B1">
      <w:pPr>
        <w:spacing w:after="120" w:line="240" w:lineRule="auto"/>
        <w:jc w:val="both"/>
        <w:rPr>
          <w:rFonts w:ascii="Times New Roman" w:hAnsi="Times New Roman"/>
          <w:sz w:val="24"/>
          <w:szCs w:val="24"/>
        </w:rPr>
      </w:pPr>
      <w:r w:rsidRPr="008771B1">
        <w:rPr>
          <w:rFonts w:ascii="Times New Roman" w:hAnsi="Times New Roman"/>
          <w:sz w:val="24"/>
          <w:szCs w:val="24"/>
        </w:rPr>
        <w:t xml:space="preserve">In Aceh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Number 9 of 2008 concerning the Guidance of Customary Life and Customs, it is explicitly regulated in a separate chapter regarding the types of customary disputes/disputes that can be resolved through customary institutions. In Article 13 paragraph (1) of the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it is regulated that there are at least 18 (eighteen) types of customary disputes/disputes that can be resolved through customary institutions. One of the violations of Islamic law that can be resolved through traditional institutions is </w:t>
      </w:r>
      <w:proofErr w:type="spellStart"/>
      <w:r w:rsidR="006E7C55" w:rsidRPr="006E7C55">
        <w:rPr>
          <w:rFonts w:ascii="Times New Roman" w:hAnsi="Times New Roman"/>
          <w:i/>
          <w:sz w:val="24"/>
          <w:szCs w:val="24"/>
        </w:rPr>
        <w:t>khalwat</w:t>
      </w:r>
      <w:proofErr w:type="spellEnd"/>
      <w:r w:rsidRPr="008771B1">
        <w:rPr>
          <w:rFonts w:ascii="Times New Roman" w:hAnsi="Times New Roman"/>
          <w:sz w:val="24"/>
          <w:szCs w:val="24"/>
        </w:rPr>
        <w:t xml:space="preserve">. After the issuance of Aceh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Number 9 of 2008 concerning the Guidance of Indigenous Life and Customary Traditions, indigenous peoples through customary institutions and mechanisms can resolve and impose customary sanctions on perpetrators of the crime of </w:t>
      </w:r>
      <w:proofErr w:type="spellStart"/>
      <w:r w:rsidR="006E7C55" w:rsidRPr="006E7C55">
        <w:rPr>
          <w:rFonts w:ascii="Times New Roman" w:hAnsi="Times New Roman"/>
          <w:i/>
          <w:sz w:val="24"/>
          <w:szCs w:val="24"/>
        </w:rPr>
        <w:t>khalwat</w:t>
      </w:r>
      <w:proofErr w:type="spellEnd"/>
      <w:r w:rsidRPr="008771B1">
        <w:rPr>
          <w:rFonts w:ascii="Times New Roman" w:hAnsi="Times New Roman"/>
          <w:sz w:val="24"/>
          <w:szCs w:val="24"/>
        </w:rPr>
        <w:t xml:space="preserve"> </w:t>
      </w:r>
      <w:r w:rsidR="00BD1E61">
        <w:rPr>
          <w:rFonts w:ascii="Times New Roman" w:hAnsi="Times New Roman"/>
          <w:sz w:val="24"/>
          <w:szCs w:val="24"/>
        </w:rPr>
        <w:t>whole</w:t>
      </w:r>
      <w:r w:rsidRPr="008771B1">
        <w:rPr>
          <w:rFonts w:ascii="Times New Roman" w:hAnsi="Times New Roman"/>
          <w:sz w:val="24"/>
          <w:szCs w:val="24"/>
        </w:rPr>
        <w:t xml:space="preserve"> in the province of Aceh.</w:t>
      </w:r>
    </w:p>
    <w:p w:rsidR="008771B1" w:rsidRPr="008771B1" w:rsidRDefault="008771B1" w:rsidP="008771B1">
      <w:pPr>
        <w:spacing w:after="120" w:line="240" w:lineRule="auto"/>
        <w:jc w:val="both"/>
        <w:rPr>
          <w:rFonts w:ascii="Times New Roman" w:hAnsi="Times New Roman"/>
          <w:sz w:val="24"/>
          <w:szCs w:val="24"/>
        </w:rPr>
      </w:pPr>
      <w:r w:rsidRPr="008771B1">
        <w:rPr>
          <w:rFonts w:ascii="Times New Roman" w:hAnsi="Times New Roman"/>
          <w:sz w:val="24"/>
          <w:szCs w:val="24"/>
        </w:rPr>
        <w:t xml:space="preserve">In Aceh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Number 9 of 2008 concerning the Guidance of Customary Life and Customs, it is determined that the authority of traditional institutions in resolving </w:t>
      </w:r>
      <w:proofErr w:type="spellStart"/>
      <w:r w:rsidR="006E7C55" w:rsidRPr="006E7C55">
        <w:rPr>
          <w:rFonts w:ascii="Times New Roman" w:hAnsi="Times New Roman"/>
          <w:i/>
          <w:sz w:val="24"/>
          <w:szCs w:val="24"/>
        </w:rPr>
        <w:t>khalwat</w:t>
      </w:r>
      <w:proofErr w:type="spellEnd"/>
      <w:r w:rsidRPr="008771B1">
        <w:rPr>
          <w:rFonts w:ascii="Times New Roman" w:hAnsi="Times New Roman"/>
          <w:sz w:val="24"/>
          <w:szCs w:val="24"/>
        </w:rPr>
        <w:t xml:space="preserve"> cases in Aceh is to reconcile the litigants through village customary meetings or called </w:t>
      </w:r>
      <w:proofErr w:type="spellStart"/>
      <w:r w:rsidRPr="008771B1">
        <w:rPr>
          <w:rFonts w:ascii="Times New Roman" w:hAnsi="Times New Roman"/>
          <w:sz w:val="24"/>
          <w:szCs w:val="24"/>
        </w:rPr>
        <w:t>Gampong</w:t>
      </w:r>
      <w:proofErr w:type="spellEnd"/>
      <w:r w:rsidRPr="008771B1">
        <w:rPr>
          <w:rFonts w:ascii="Times New Roman" w:hAnsi="Times New Roman"/>
          <w:sz w:val="24"/>
          <w:szCs w:val="24"/>
        </w:rPr>
        <w:t xml:space="preserve"> Customary Meetings (RAG), led by the Head Village (</w:t>
      </w:r>
      <w:proofErr w:type="spellStart"/>
      <w:r w:rsidRPr="008771B1">
        <w:rPr>
          <w:rFonts w:ascii="Times New Roman" w:hAnsi="Times New Roman"/>
          <w:sz w:val="24"/>
          <w:szCs w:val="24"/>
        </w:rPr>
        <w:t>Geuchik</w:t>
      </w:r>
      <w:proofErr w:type="spellEnd"/>
      <w:r w:rsidRPr="008771B1">
        <w:rPr>
          <w:rFonts w:ascii="Times New Roman" w:hAnsi="Times New Roman"/>
          <w:sz w:val="24"/>
          <w:szCs w:val="24"/>
        </w:rPr>
        <w:t xml:space="preserve">). If within two months the case cannot be resolved, then the case can be forwarded to the </w:t>
      </w:r>
      <w:proofErr w:type="spellStart"/>
      <w:r w:rsidR="00BD1E61">
        <w:rPr>
          <w:rFonts w:ascii="Times New Roman" w:hAnsi="Times New Roman"/>
          <w:sz w:val="24"/>
          <w:szCs w:val="24"/>
        </w:rPr>
        <w:t>Residencial</w:t>
      </w:r>
      <w:proofErr w:type="spellEnd"/>
      <w:r w:rsidR="00BD1E61">
        <w:rPr>
          <w:rFonts w:ascii="Times New Roman" w:hAnsi="Times New Roman"/>
          <w:sz w:val="24"/>
          <w:szCs w:val="24"/>
        </w:rPr>
        <w:t xml:space="preserve"> (</w:t>
      </w:r>
      <w:proofErr w:type="spellStart"/>
      <w:r w:rsidR="00BD1E61">
        <w:rPr>
          <w:rFonts w:ascii="Times New Roman" w:hAnsi="Times New Roman"/>
          <w:sz w:val="24"/>
          <w:szCs w:val="24"/>
        </w:rPr>
        <w:t>K</w:t>
      </w:r>
      <w:r w:rsidRPr="008771B1">
        <w:rPr>
          <w:rFonts w:ascii="Times New Roman" w:hAnsi="Times New Roman"/>
          <w:sz w:val="24"/>
          <w:szCs w:val="24"/>
        </w:rPr>
        <w:t>emukiman</w:t>
      </w:r>
      <w:proofErr w:type="spellEnd"/>
      <w:r w:rsidR="00BD1E61">
        <w:rPr>
          <w:rFonts w:ascii="Times New Roman" w:hAnsi="Times New Roman"/>
          <w:sz w:val="24"/>
          <w:szCs w:val="24"/>
        </w:rPr>
        <w:t>)</w:t>
      </w:r>
      <w:r w:rsidRPr="008771B1">
        <w:rPr>
          <w:rFonts w:ascii="Times New Roman" w:hAnsi="Times New Roman"/>
          <w:sz w:val="24"/>
          <w:szCs w:val="24"/>
        </w:rPr>
        <w:t xml:space="preserve"> level led by the </w:t>
      </w:r>
      <w:r w:rsidR="00BD1E61">
        <w:rPr>
          <w:rFonts w:ascii="Times New Roman" w:hAnsi="Times New Roman"/>
          <w:sz w:val="24"/>
          <w:szCs w:val="24"/>
        </w:rPr>
        <w:t xml:space="preserve">Head </w:t>
      </w:r>
      <w:proofErr w:type="spellStart"/>
      <w:r w:rsidR="00BD1E61">
        <w:rPr>
          <w:rFonts w:ascii="Times New Roman" w:hAnsi="Times New Roman"/>
          <w:sz w:val="24"/>
          <w:szCs w:val="24"/>
        </w:rPr>
        <w:t>Residencial</w:t>
      </w:r>
      <w:proofErr w:type="spellEnd"/>
      <w:r w:rsidR="00BD1E61">
        <w:rPr>
          <w:rFonts w:ascii="Times New Roman" w:hAnsi="Times New Roman"/>
          <w:sz w:val="24"/>
          <w:szCs w:val="24"/>
        </w:rPr>
        <w:t xml:space="preserve"> (</w:t>
      </w:r>
      <w:proofErr w:type="spellStart"/>
      <w:r w:rsidRPr="008771B1">
        <w:rPr>
          <w:rFonts w:ascii="Times New Roman" w:hAnsi="Times New Roman"/>
          <w:sz w:val="24"/>
          <w:szCs w:val="24"/>
        </w:rPr>
        <w:t>Imum</w:t>
      </w:r>
      <w:proofErr w:type="spellEnd"/>
      <w:r w:rsidRPr="008771B1">
        <w:rPr>
          <w:rFonts w:ascii="Times New Roman" w:hAnsi="Times New Roman"/>
          <w:sz w:val="24"/>
          <w:szCs w:val="24"/>
        </w:rPr>
        <w:t xml:space="preserve"> </w:t>
      </w:r>
      <w:proofErr w:type="spellStart"/>
      <w:r w:rsidRPr="008771B1">
        <w:rPr>
          <w:rFonts w:ascii="Times New Roman" w:hAnsi="Times New Roman"/>
          <w:sz w:val="24"/>
          <w:szCs w:val="24"/>
        </w:rPr>
        <w:t>Mukim</w:t>
      </w:r>
      <w:proofErr w:type="spellEnd"/>
      <w:r w:rsidR="00BD1E61">
        <w:rPr>
          <w:rFonts w:ascii="Times New Roman" w:hAnsi="Times New Roman"/>
          <w:sz w:val="24"/>
          <w:szCs w:val="24"/>
        </w:rPr>
        <w:t>)</w:t>
      </w:r>
      <w:r w:rsidRPr="008771B1">
        <w:rPr>
          <w:rFonts w:ascii="Times New Roman" w:hAnsi="Times New Roman"/>
          <w:sz w:val="24"/>
          <w:szCs w:val="24"/>
        </w:rPr>
        <w:t xml:space="preserve"> and so on if the </w:t>
      </w:r>
      <w:proofErr w:type="spellStart"/>
      <w:r w:rsidRPr="008771B1">
        <w:rPr>
          <w:rFonts w:ascii="Times New Roman" w:hAnsi="Times New Roman"/>
          <w:sz w:val="24"/>
          <w:szCs w:val="24"/>
        </w:rPr>
        <w:t>Imum</w:t>
      </w:r>
      <w:proofErr w:type="spellEnd"/>
      <w:r w:rsidRPr="008771B1">
        <w:rPr>
          <w:rFonts w:ascii="Times New Roman" w:hAnsi="Times New Roman"/>
          <w:sz w:val="24"/>
          <w:szCs w:val="24"/>
        </w:rPr>
        <w:t xml:space="preserve"> </w:t>
      </w:r>
      <w:proofErr w:type="spellStart"/>
      <w:r w:rsidRPr="008771B1">
        <w:rPr>
          <w:rFonts w:ascii="Times New Roman" w:hAnsi="Times New Roman"/>
          <w:sz w:val="24"/>
          <w:szCs w:val="24"/>
        </w:rPr>
        <w:t>Mukim</w:t>
      </w:r>
      <w:proofErr w:type="spellEnd"/>
      <w:r w:rsidRPr="008771B1">
        <w:rPr>
          <w:rFonts w:ascii="Times New Roman" w:hAnsi="Times New Roman"/>
          <w:sz w:val="24"/>
          <w:szCs w:val="24"/>
        </w:rPr>
        <w:t xml:space="preserve"> cannot resolve it within one month, then the case can only be forwarded to formal law enforcement officers (Police, Prosecutor's Office, and the </w:t>
      </w:r>
      <w:proofErr w:type="spellStart"/>
      <w:r w:rsidRPr="008771B1">
        <w:rPr>
          <w:rFonts w:ascii="Times New Roman" w:hAnsi="Times New Roman"/>
          <w:sz w:val="24"/>
          <w:szCs w:val="24"/>
        </w:rPr>
        <w:t>Syar'iyah</w:t>
      </w:r>
      <w:proofErr w:type="spellEnd"/>
      <w:r w:rsidRPr="008771B1">
        <w:rPr>
          <w:rFonts w:ascii="Times New Roman" w:hAnsi="Times New Roman"/>
          <w:sz w:val="24"/>
          <w:szCs w:val="24"/>
        </w:rPr>
        <w:t xml:space="preserve"> Court).</w:t>
      </w:r>
      <w:r w:rsidR="00772183">
        <w:rPr>
          <w:rStyle w:val="FootnoteReference"/>
          <w:rFonts w:ascii="Times New Roman" w:hAnsi="Times New Roman"/>
          <w:sz w:val="24"/>
          <w:szCs w:val="24"/>
        </w:rPr>
        <w:footnoteReference w:id="27"/>
      </w:r>
    </w:p>
    <w:p w:rsidR="008771B1" w:rsidRPr="008771B1" w:rsidRDefault="008771B1" w:rsidP="008771B1">
      <w:pPr>
        <w:spacing w:after="120" w:line="240" w:lineRule="auto"/>
        <w:jc w:val="both"/>
        <w:rPr>
          <w:rFonts w:ascii="Times New Roman" w:hAnsi="Times New Roman"/>
          <w:sz w:val="24"/>
          <w:szCs w:val="24"/>
        </w:rPr>
      </w:pPr>
      <w:r w:rsidRPr="008771B1">
        <w:rPr>
          <w:rFonts w:ascii="Times New Roman" w:hAnsi="Times New Roman"/>
          <w:sz w:val="24"/>
          <w:szCs w:val="24"/>
        </w:rPr>
        <w:lastRenderedPageBreak/>
        <w:t xml:space="preserve">In resolving </w:t>
      </w:r>
      <w:proofErr w:type="spellStart"/>
      <w:r w:rsidR="006E7C55" w:rsidRPr="006E7C55">
        <w:rPr>
          <w:rFonts w:ascii="Times New Roman" w:hAnsi="Times New Roman"/>
          <w:i/>
          <w:sz w:val="24"/>
          <w:szCs w:val="24"/>
        </w:rPr>
        <w:t>khalwat</w:t>
      </w:r>
      <w:proofErr w:type="spellEnd"/>
      <w:r w:rsidRPr="008771B1">
        <w:rPr>
          <w:rFonts w:ascii="Times New Roman" w:hAnsi="Times New Roman"/>
          <w:sz w:val="24"/>
          <w:szCs w:val="24"/>
        </w:rPr>
        <w:t xml:space="preserve"> cases in Aceh, traditional institutions play an active role, so many </w:t>
      </w:r>
      <w:proofErr w:type="spellStart"/>
      <w:r w:rsidR="006E7C55" w:rsidRPr="006E7C55">
        <w:rPr>
          <w:rFonts w:ascii="Times New Roman" w:hAnsi="Times New Roman"/>
          <w:i/>
          <w:sz w:val="24"/>
          <w:szCs w:val="24"/>
        </w:rPr>
        <w:t>khalwat</w:t>
      </w:r>
      <w:proofErr w:type="spellEnd"/>
      <w:r w:rsidRPr="008771B1">
        <w:rPr>
          <w:rFonts w:ascii="Times New Roman" w:hAnsi="Times New Roman"/>
          <w:sz w:val="24"/>
          <w:szCs w:val="24"/>
        </w:rPr>
        <w:t xml:space="preserve"> </w:t>
      </w:r>
      <w:proofErr w:type="gramStart"/>
      <w:r w:rsidRPr="008771B1">
        <w:rPr>
          <w:rFonts w:ascii="Times New Roman" w:hAnsi="Times New Roman"/>
          <w:sz w:val="24"/>
          <w:szCs w:val="24"/>
        </w:rPr>
        <w:t>cases</w:t>
      </w:r>
      <w:proofErr w:type="gramEnd"/>
      <w:r w:rsidRPr="008771B1">
        <w:rPr>
          <w:rFonts w:ascii="Times New Roman" w:hAnsi="Times New Roman"/>
          <w:sz w:val="24"/>
          <w:szCs w:val="24"/>
        </w:rPr>
        <w:t xml:space="preserve"> are resolved by customary institutions, without involving formal law enforcement institutions. According to </w:t>
      </w:r>
      <w:proofErr w:type="spellStart"/>
      <w:r w:rsidRPr="008771B1">
        <w:rPr>
          <w:rFonts w:ascii="Times New Roman" w:hAnsi="Times New Roman"/>
          <w:sz w:val="24"/>
          <w:szCs w:val="24"/>
        </w:rPr>
        <w:t>Samsul</w:t>
      </w:r>
      <w:proofErr w:type="spellEnd"/>
      <w:r w:rsidRPr="008771B1">
        <w:rPr>
          <w:rFonts w:ascii="Times New Roman" w:hAnsi="Times New Roman"/>
          <w:sz w:val="24"/>
          <w:szCs w:val="24"/>
        </w:rPr>
        <w:t xml:space="preserve"> Rizal, many cases of </w:t>
      </w:r>
      <w:proofErr w:type="spellStart"/>
      <w:r w:rsidR="006E7C55" w:rsidRPr="006E7C55">
        <w:rPr>
          <w:rFonts w:ascii="Times New Roman" w:hAnsi="Times New Roman"/>
          <w:i/>
          <w:sz w:val="24"/>
          <w:szCs w:val="24"/>
        </w:rPr>
        <w:t>khalwat</w:t>
      </w:r>
      <w:proofErr w:type="spellEnd"/>
      <w:r w:rsidRPr="008771B1">
        <w:rPr>
          <w:rFonts w:ascii="Times New Roman" w:hAnsi="Times New Roman"/>
          <w:sz w:val="24"/>
          <w:szCs w:val="24"/>
        </w:rPr>
        <w:t xml:space="preserve"> were onl</w:t>
      </w:r>
      <w:r w:rsidR="00BD1E61">
        <w:rPr>
          <w:rFonts w:ascii="Times New Roman" w:hAnsi="Times New Roman"/>
          <w:sz w:val="24"/>
          <w:szCs w:val="24"/>
        </w:rPr>
        <w:t xml:space="preserve">y resolved by the </w:t>
      </w:r>
      <w:proofErr w:type="spellStart"/>
      <w:r w:rsidR="00BD1E61">
        <w:rPr>
          <w:rFonts w:ascii="Times New Roman" w:hAnsi="Times New Roman"/>
          <w:sz w:val="24"/>
          <w:szCs w:val="24"/>
        </w:rPr>
        <w:t>G</w:t>
      </w:r>
      <w:r w:rsidRPr="008771B1">
        <w:rPr>
          <w:rFonts w:ascii="Times New Roman" w:hAnsi="Times New Roman"/>
          <w:sz w:val="24"/>
          <w:szCs w:val="24"/>
        </w:rPr>
        <w:t>ampong</w:t>
      </w:r>
      <w:proofErr w:type="spellEnd"/>
      <w:r w:rsidRPr="008771B1">
        <w:rPr>
          <w:rFonts w:ascii="Times New Roman" w:hAnsi="Times New Roman"/>
          <w:sz w:val="24"/>
          <w:szCs w:val="24"/>
        </w:rPr>
        <w:t xml:space="preserve"> Customary Institution without involving the </w:t>
      </w:r>
      <w:proofErr w:type="spellStart"/>
      <w:r w:rsidRPr="008771B1">
        <w:rPr>
          <w:rFonts w:ascii="Times New Roman" w:hAnsi="Times New Roman"/>
          <w:sz w:val="24"/>
          <w:szCs w:val="24"/>
        </w:rPr>
        <w:t>Sayar`iyah</w:t>
      </w:r>
      <w:proofErr w:type="spellEnd"/>
      <w:r w:rsidRPr="008771B1">
        <w:rPr>
          <w:rFonts w:ascii="Times New Roman" w:hAnsi="Times New Roman"/>
          <w:sz w:val="24"/>
          <w:szCs w:val="24"/>
        </w:rPr>
        <w:t xml:space="preserve"> Court, so data on the perpetrators of the criminal act of </w:t>
      </w:r>
      <w:proofErr w:type="spellStart"/>
      <w:r w:rsidR="006E7C55" w:rsidRPr="006E7C55">
        <w:rPr>
          <w:rFonts w:ascii="Times New Roman" w:hAnsi="Times New Roman"/>
          <w:i/>
          <w:sz w:val="24"/>
          <w:szCs w:val="24"/>
        </w:rPr>
        <w:t>khalwat</w:t>
      </w:r>
      <w:proofErr w:type="spellEnd"/>
      <w:r w:rsidRPr="008771B1">
        <w:rPr>
          <w:rFonts w:ascii="Times New Roman" w:hAnsi="Times New Roman"/>
          <w:sz w:val="24"/>
          <w:szCs w:val="24"/>
        </w:rPr>
        <w:t xml:space="preserve"> in Aceh were very difficult to find.</w:t>
      </w:r>
      <w:r w:rsidR="0078403C">
        <w:rPr>
          <w:rStyle w:val="FootnoteReference"/>
          <w:rFonts w:ascii="Times New Roman" w:hAnsi="Times New Roman"/>
          <w:sz w:val="24"/>
          <w:szCs w:val="24"/>
        </w:rPr>
        <w:footnoteReference w:id="28"/>
      </w:r>
      <w:r w:rsidRPr="008771B1">
        <w:rPr>
          <w:rFonts w:ascii="Times New Roman" w:hAnsi="Times New Roman"/>
          <w:sz w:val="24"/>
          <w:szCs w:val="24"/>
        </w:rPr>
        <w:t xml:space="preserve"> However, some of the data available at the </w:t>
      </w:r>
      <w:proofErr w:type="spellStart"/>
      <w:r w:rsidRPr="008771B1">
        <w:rPr>
          <w:rFonts w:ascii="Times New Roman" w:hAnsi="Times New Roman"/>
          <w:sz w:val="24"/>
          <w:szCs w:val="24"/>
        </w:rPr>
        <w:t>Syar'iyah</w:t>
      </w:r>
      <w:proofErr w:type="spellEnd"/>
      <w:r w:rsidRPr="008771B1">
        <w:rPr>
          <w:rFonts w:ascii="Times New Roman" w:hAnsi="Times New Roman"/>
          <w:sz w:val="24"/>
          <w:szCs w:val="24"/>
        </w:rPr>
        <w:t xml:space="preserve"> Court shows that in general, the punishments decided against the perpetrators of </w:t>
      </w:r>
      <w:proofErr w:type="spellStart"/>
      <w:r w:rsidR="006E7C55" w:rsidRPr="006E7C55">
        <w:rPr>
          <w:rFonts w:ascii="Times New Roman" w:hAnsi="Times New Roman"/>
          <w:i/>
          <w:sz w:val="24"/>
          <w:szCs w:val="24"/>
        </w:rPr>
        <w:t>jarimah</w:t>
      </w:r>
      <w:proofErr w:type="spellEnd"/>
      <w:r w:rsidRPr="008771B1">
        <w:rPr>
          <w:rFonts w:ascii="Times New Roman" w:hAnsi="Times New Roman"/>
          <w:sz w:val="24"/>
          <w:szCs w:val="24"/>
        </w:rPr>
        <w:t xml:space="preserve"> </w:t>
      </w:r>
      <w:proofErr w:type="spellStart"/>
      <w:r w:rsidR="006E7C55" w:rsidRPr="006E7C55">
        <w:rPr>
          <w:rFonts w:ascii="Times New Roman" w:hAnsi="Times New Roman"/>
          <w:i/>
          <w:sz w:val="24"/>
          <w:szCs w:val="24"/>
        </w:rPr>
        <w:t>khalwat</w:t>
      </w:r>
      <w:proofErr w:type="spellEnd"/>
      <w:r w:rsidRPr="008771B1">
        <w:rPr>
          <w:rFonts w:ascii="Times New Roman" w:hAnsi="Times New Roman"/>
          <w:sz w:val="24"/>
          <w:szCs w:val="24"/>
        </w:rPr>
        <w:t xml:space="preserve"> in the </w:t>
      </w:r>
      <w:proofErr w:type="spellStart"/>
      <w:r w:rsidRPr="008771B1">
        <w:rPr>
          <w:rFonts w:ascii="Times New Roman" w:hAnsi="Times New Roman"/>
          <w:sz w:val="24"/>
          <w:szCs w:val="24"/>
        </w:rPr>
        <w:t>Gampong</w:t>
      </w:r>
      <w:proofErr w:type="spellEnd"/>
      <w:r w:rsidRPr="008771B1">
        <w:rPr>
          <w:rFonts w:ascii="Times New Roman" w:hAnsi="Times New Roman"/>
          <w:sz w:val="24"/>
          <w:szCs w:val="24"/>
        </w:rPr>
        <w:t xml:space="preserve"> Traditional Meeting are in the form of reprimand, advice, feasts, paying a fine and getting married or the punishment is adjusted to the customs and customary norms that apply in the region. </w:t>
      </w:r>
    </w:p>
    <w:p w:rsidR="008771B1" w:rsidRPr="008771B1" w:rsidRDefault="008771B1" w:rsidP="008771B1">
      <w:pPr>
        <w:spacing w:after="120" w:line="240" w:lineRule="auto"/>
        <w:jc w:val="both"/>
        <w:rPr>
          <w:rFonts w:ascii="Times New Roman" w:hAnsi="Times New Roman"/>
          <w:sz w:val="24"/>
          <w:szCs w:val="24"/>
        </w:rPr>
      </w:pPr>
      <w:r w:rsidRPr="008771B1">
        <w:rPr>
          <w:rFonts w:ascii="Times New Roman" w:hAnsi="Times New Roman"/>
          <w:sz w:val="24"/>
          <w:szCs w:val="24"/>
        </w:rPr>
        <w:t xml:space="preserve">The role of traditional institutions is very large in handling cases of </w:t>
      </w:r>
      <w:proofErr w:type="spellStart"/>
      <w:r w:rsidR="006E7C55" w:rsidRPr="006E7C55">
        <w:rPr>
          <w:rFonts w:ascii="Times New Roman" w:hAnsi="Times New Roman"/>
          <w:i/>
          <w:sz w:val="24"/>
          <w:szCs w:val="24"/>
        </w:rPr>
        <w:t>khalwat</w:t>
      </w:r>
      <w:proofErr w:type="spellEnd"/>
      <w:r w:rsidRPr="008771B1">
        <w:rPr>
          <w:rFonts w:ascii="Times New Roman" w:hAnsi="Times New Roman"/>
          <w:sz w:val="24"/>
          <w:szCs w:val="24"/>
        </w:rPr>
        <w:t xml:space="preserve"> in Aceh. Many perpetrators of seclusion were </w:t>
      </w:r>
      <w:r w:rsidR="00BD1E61">
        <w:rPr>
          <w:rFonts w:ascii="Times New Roman" w:hAnsi="Times New Roman"/>
          <w:sz w:val="24"/>
          <w:szCs w:val="24"/>
        </w:rPr>
        <w:t xml:space="preserve">given direct punishment by the </w:t>
      </w:r>
      <w:proofErr w:type="spellStart"/>
      <w:r w:rsidR="00BD1E61">
        <w:rPr>
          <w:rFonts w:ascii="Times New Roman" w:hAnsi="Times New Roman"/>
          <w:sz w:val="24"/>
          <w:szCs w:val="24"/>
        </w:rPr>
        <w:t>G</w:t>
      </w:r>
      <w:r w:rsidRPr="008771B1">
        <w:rPr>
          <w:rFonts w:ascii="Times New Roman" w:hAnsi="Times New Roman"/>
          <w:sz w:val="24"/>
          <w:szCs w:val="24"/>
        </w:rPr>
        <w:t>ampong</w:t>
      </w:r>
      <w:proofErr w:type="spellEnd"/>
      <w:r w:rsidRPr="008771B1">
        <w:rPr>
          <w:rFonts w:ascii="Times New Roman" w:hAnsi="Times New Roman"/>
          <w:sz w:val="24"/>
          <w:szCs w:val="24"/>
        </w:rPr>
        <w:t xml:space="preserve"> customary institution, either in the form of advice, feasts, paying a fine, or forcing the two couples to get married who were in seclusion without reporting to the </w:t>
      </w:r>
      <w:proofErr w:type="spellStart"/>
      <w:r w:rsidRPr="00BD1E61">
        <w:rPr>
          <w:rFonts w:ascii="Times New Roman" w:hAnsi="Times New Roman"/>
          <w:sz w:val="24"/>
          <w:szCs w:val="24"/>
        </w:rPr>
        <w:t>Wilayatul</w:t>
      </w:r>
      <w:proofErr w:type="spellEnd"/>
      <w:r w:rsidRPr="00BD1E61">
        <w:rPr>
          <w:rFonts w:ascii="Times New Roman" w:hAnsi="Times New Roman"/>
          <w:sz w:val="24"/>
          <w:szCs w:val="24"/>
        </w:rPr>
        <w:t xml:space="preserve"> </w:t>
      </w:r>
      <w:proofErr w:type="spellStart"/>
      <w:r w:rsidRPr="00BD1E61">
        <w:rPr>
          <w:rFonts w:ascii="Times New Roman" w:hAnsi="Times New Roman"/>
          <w:sz w:val="24"/>
          <w:szCs w:val="24"/>
        </w:rPr>
        <w:t>Hisbah</w:t>
      </w:r>
      <w:proofErr w:type="spellEnd"/>
      <w:r w:rsidRPr="008771B1">
        <w:rPr>
          <w:rFonts w:ascii="Times New Roman" w:hAnsi="Times New Roman"/>
          <w:sz w:val="24"/>
          <w:szCs w:val="24"/>
        </w:rPr>
        <w:t xml:space="preserve"> institution and to the </w:t>
      </w:r>
      <w:proofErr w:type="spellStart"/>
      <w:r w:rsidRPr="008771B1">
        <w:rPr>
          <w:rFonts w:ascii="Times New Roman" w:hAnsi="Times New Roman"/>
          <w:sz w:val="24"/>
          <w:szCs w:val="24"/>
        </w:rPr>
        <w:t>Syar`iyah</w:t>
      </w:r>
      <w:proofErr w:type="spellEnd"/>
      <w:r w:rsidRPr="008771B1">
        <w:rPr>
          <w:rFonts w:ascii="Times New Roman" w:hAnsi="Times New Roman"/>
          <w:sz w:val="24"/>
          <w:szCs w:val="24"/>
        </w:rPr>
        <w:t xml:space="preserve"> Court. According to </w:t>
      </w:r>
      <w:r w:rsidR="0078403C">
        <w:rPr>
          <w:rFonts w:ascii="Times New Roman" w:hAnsi="Times New Roman"/>
          <w:sz w:val="24"/>
          <w:szCs w:val="24"/>
        </w:rPr>
        <w:t xml:space="preserve">Muhammad </w:t>
      </w:r>
      <w:r w:rsidRPr="008771B1">
        <w:rPr>
          <w:rFonts w:ascii="Times New Roman" w:hAnsi="Times New Roman"/>
          <w:sz w:val="24"/>
          <w:szCs w:val="24"/>
        </w:rPr>
        <w:t>I</w:t>
      </w:r>
      <w:r w:rsidR="0078403C">
        <w:rPr>
          <w:rFonts w:ascii="Times New Roman" w:hAnsi="Times New Roman"/>
          <w:sz w:val="24"/>
          <w:szCs w:val="24"/>
        </w:rPr>
        <w:t>sa</w:t>
      </w:r>
      <w:r w:rsidRPr="008771B1">
        <w:rPr>
          <w:rFonts w:ascii="Times New Roman" w:hAnsi="Times New Roman"/>
          <w:sz w:val="24"/>
          <w:szCs w:val="24"/>
        </w:rPr>
        <w:t>, the role of traditional institutions is very important and strategic in resolving customary disputes and violators of Islamic law.</w:t>
      </w:r>
      <w:r w:rsidR="008253B7">
        <w:rPr>
          <w:rStyle w:val="FootnoteReference"/>
          <w:rFonts w:ascii="Times New Roman" w:hAnsi="Times New Roman"/>
          <w:sz w:val="24"/>
          <w:szCs w:val="24"/>
        </w:rPr>
        <w:footnoteReference w:id="29"/>
      </w:r>
      <w:r w:rsidRPr="008771B1">
        <w:rPr>
          <w:rFonts w:ascii="Times New Roman" w:hAnsi="Times New Roman"/>
          <w:sz w:val="24"/>
          <w:szCs w:val="24"/>
        </w:rPr>
        <w:t xml:space="preserve"> Customary institutions are independently given the authority to examine, carry out deliberation and impose penalties on perpetrators of seclusion. The role of customary institutions is actually to assist formal law enforcement agencies in resolving violations of Islamic law in Aceh.</w:t>
      </w:r>
    </w:p>
    <w:p w:rsidR="008771B1" w:rsidRPr="008771B1" w:rsidRDefault="008771B1" w:rsidP="008771B1">
      <w:pPr>
        <w:spacing w:after="120" w:line="240" w:lineRule="auto"/>
        <w:jc w:val="both"/>
        <w:rPr>
          <w:rFonts w:ascii="Times New Roman" w:hAnsi="Times New Roman"/>
          <w:sz w:val="24"/>
          <w:szCs w:val="24"/>
        </w:rPr>
      </w:pPr>
      <w:proofErr w:type="spellStart"/>
      <w:r w:rsidRPr="008771B1">
        <w:rPr>
          <w:rFonts w:ascii="Times New Roman" w:hAnsi="Times New Roman"/>
          <w:sz w:val="24"/>
          <w:szCs w:val="24"/>
        </w:rPr>
        <w:t>Juridically</w:t>
      </w:r>
      <w:proofErr w:type="spellEnd"/>
      <w:r w:rsidRPr="008771B1">
        <w:rPr>
          <w:rFonts w:ascii="Times New Roman" w:hAnsi="Times New Roman"/>
          <w:sz w:val="24"/>
          <w:szCs w:val="24"/>
        </w:rPr>
        <w:t xml:space="preserve">, the crime of seclusion was originally regulated in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Number 14 of 2003 concerning the Crime of Seclusion which stipulates that the settlement of </w:t>
      </w:r>
      <w:proofErr w:type="spellStart"/>
      <w:r w:rsidR="006E7C55" w:rsidRPr="006E7C55">
        <w:rPr>
          <w:rFonts w:ascii="Times New Roman" w:hAnsi="Times New Roman"/>
          <w:i/>
          <w:sz w:val="24"/>
          <w:szCs w:val="24"/>
        </w:rPr>
        <w:t>khalwat</w:t>
      </w:r>
      <w:proofErr w:type="spellEnd"/>
      <w:r w:rsidRPr="008771B1">
        <w:rPr>
          <w:rFonts w:ascii="Times New Roman" w:hAnsi="Times New Roman"/>
          <w:sz w:val="24"/>
          <w:szCs w:val="24"/>
        </w:rPr>
        <w:t xml:space="preserve"> cases is only through the </w:t>
      </w:r>
      <w:proofErr w:type="spellStart"/>
      <w:r w:rsidRPr="008771B1">
        <w:rPr>
          <w:rFonts w:ascii="Times New Roman" w:hAnsi="Times New Roman"/>
          <w:sz w:val="24"/>
          <w:szCs w:val="24"/>
        </w:rPr>
        <w:t>Syar'iyah</w:t>
      </w:r>
      <w:proofErr w:type="spellEnd"/>
      <w:r w:rsidRPr="008771B1">
        <w:rPr>
          <w:rFonts w:ascii="Times New Roman" w:hAnsi="Times New Roman"/>
          <w:sz w:val="24"/>
          <w:szCs w:val="24"/>
        </w:rPr>
        <w:t xml:space="preserve"> Court. However, after the issuance of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No. 6 of 2014 concerning the </w:t>
      </w:r>
      <w:proofErr w:type="spellStart"/>
      <w:r w:rsidR="006E7C55" w:rsidRPr="006E7C55">
        <w:rPr>
          <w:rFonts w:ascii="Times New Roman" w:hAnsi="Times New Roman"/>
          <w:i/>
          <w:sz w:val="24"/>
          <w:szCs w:val="24"/>
        </w:rPr>
        <w:t>Jinayat</w:t>
      </w:r>
      <w:proofErr w:type="spellEnd"/>
      <w:r w:rsidRPr="008771B1">
        <w:rPr>
          <w:rFonts w:ascii="Times New Roman" w:hAnsi="Times New Roman"/>
          <w:sz w:val="24"/>
          <w:szCs w:val="24"/>
        </w:rPr>
        <w:t xml:space="preserve"> Law and Aceh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Number 9 of 2008 concerning the Guidance of Customary Life and Customs, determines that </w:t>
      </w:r>
      <w:proofErr w:type="spellStart"/>
      <w:r w:rsidR="006E7C55" w:rsidRPr="006E7C55">
        <w:rPr>
          <w:rFonts w:ascii="Times New Roman" w:hAnsi="Times New Roman"/>
          <w:i/>
          <w:sz w:val="24"/>
          <w:szCs w:val="24"/>
        </w:rPr>
        <w:t>khalwat</w:t>
      </w:r>
      <w:proofErr w:type="spellEnd"/>
      <w:r w:rsidRPr="008771B1">
        <w:rPr>
          <w:rFonts w:ascii="Times New Roman" w:hAnsi="Times New Roman"/>
          <w:sz w:val="24"/>
          <w:szCs w:val="24"/>
        </w:rPr>
        <w:t xml:space="preserve"> cases are resolved through two kinds of settlement mechanisms, namely the Islamic law mechanism through the </w:t>
      </w:r>
      <w:proofErr w:type="spellStart"/>
      <w:r w:rsidRPr="008771B1">
        <w:rPr>
          <w:rFonts w:ascii="Times New Roman" w:hAnsi="Times New Roman"/>
          <w:sz w:val="24"/>
          <w:szCs w:val="24"/>
        </w:rPr>
        <w:t>Syar'iyah</w:t>
      </w:r>
      <w:proofErr w:type="spellEnd"/>
      <w:r w:rsidRPr="008771B1">
        <w:rPr>
          <w:rFonts w:ascii="Times New Roman" w:hAnsi="Times New Roman"/>
          <w:sz w:val="24"/>
          <w:szCs w:val="24"/>
        </w:rPr>
        <w:t xml:space="preserve"> Court and the customary mechanism through customary institutions or customary courts. This is in accordance with the view of A. </w:t>
      </w:r>
      <w:proofErr w:type="spellStart"/>
      <w:r w:rsidRPr="008771B1">
        <w:rPr>
          <w:rFonts w:ascii="Times New Roman" w:hAnsi="Times New Roman"/>
          <w:sz w:val="24"/>
          <w:szCs w:val="24"/>
        </w:rPr>
        <w:t>Qodri</w:t>
      </w:r>
      <w:proofErr w:type="spellEnd"/>
      <w:r w:rsidRPr="008771B1">
        <w:rPr>
          <w:rFonts w:ascii="Times New Roman" w:hAnsi="Times New Roman"/>
          <w:sz w:val="24"/>
          <w:szCs w:val="24"/>
        </w:rPr>
        <w:t xml:space="preserve"> </w:t>
      </w:r>
      <w:proofErr w:type="spellStart"/>
      <w:r w:rsidRPr="008771B1">
        <w:rPr>
          <w:rFonts w:ascii="Times New Roman" w:hAnsi="Times New Roman"/>
          <w:sz w:val="24"/>
          <w:szCs w:val="24"/>
        </w:rPr>
        <w:t>Azizy</w:t>
      </w:r>
      <w:proofErr w:type="spellEnd"/>
      <w:r w:rsidRPr="008771B1">
        <w:rPr>
          <w:rFonts w:ascii="Times New Roman" w:hAnsi="Times New Roman"/>
          <w:sz w:val="24"/>
          <w:szCs w:val="24"/>
        </w:rPr>
        <w:t xml:space="preserve"> states that formal law does not always have to be applied or brought to court, but cases or disputes can be resolved out of court on the basis of mutual consent.</w:t>
      </w:r>
    </w:p>
    <w:p w:rsidR="008771B1" w:rsidRPr="008771B1" w:rsidRDefault="008771B1" w:rsidP="008771B1">
      <w:pPr>
        <w:spacing w:after="120" w:line="240" w:lineRule="auto"/>
        <w:jc w:val="both"/>
        <w:rPr>
          <w:rFonts w:ascii="Times New Roman" w:hAnsi="Times New Roman"/>
          <w:sz w:val="24"/>
          <w:szCs w:val="24"/>
        </w:rPr>
      </w:pPr>
      <w:r w:rsidRPr="008771B1">
        <w:rPr>
          <w:rFonts w:ascii="Times New Roman" w:hAnsi="Times New Roman"/>
          <w:sz w:val="24"/>
          <w:szCs w:val="24"/>
        </w:rPr>
        <w:t xml:space="preserve">Apart from that, Aceh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Number 9 of 2008 concerning the Guidance of Indigenous Life and Customary Tradition raises the question, why what is regulated outside the </w:t>
      </w:r>
      <w:proofErr w:type="spellStart"/>
      <w:r w:rsidRPr="008771B1">
        <w:rPr>
          <w:rFonts w:ascii="Times New Roman" w:hAnsi="Times New Roman"/>
          <w:sz w:val="24"/>
          <w:szCs w:val="24"/>
        </w:rPr>
        <w:t>Syar'iyah</w:t>
      </w:r>
      <w:proofErr w:type="spellEnd"/>
      <w:r w:rsidRPr="008771B1">
        <w:rPr>
          <w:rFonts w:ascii="Times New Roman" w:hAnsi="Times New Roman"/>
          <w:sz w:val="24"/>
          <w:szCs w:val="24"/>
        </w:rPr>
        <w:t xml:space="preserve"> court is only </w:t>
      </w:r>
      <w:proofErr w:type="spellStart"/>
      <w:r w:rsidR="006E7C55" w:rsidRPr="006E7C55">
        <w:rPr>
          <w:rFonts w:ascii="Times New Roman" w:hAnsi="Times New Roman"/>
          <w:i/>
          <w:sz w:val="24"/>
          <w:szCs w:val="24"/>
        </w:rPr>
        <w:t>khalwat</w:t>
      </w:r>
      <w:proofErr w:type="spellEnd"/>
      <w:r w:rsidRPr="008771B1">
        <w:rPr>
          <w:rFonts w:ascii="Times New Roman" w:hAnsi="Times New Roman"/>
          <w:sz w:val="24"/>
          <w:szCs w:val="24"/>
        </w:rPr>
        <w:t xml:space="preserve"> cases, while other Islamic sharia violations such as </w:t>
      </w:r>
      <w:proofErr w:type="spellStart"/>
      <w:r w:rsidRPr="003655C2">
        <w:rPr>
          <w:rFonts w:ascii="Times New Roman" w:hAnsi="Times New Roman"/>
          <w:i/>
          <w:sz w:val="24"/>
          <w:szCs w:val="24"/>
        </w:rPr>
        <w:t>maisir</w:t>
      </w:r>
      <w:proofErr w:type="spellEnd"/>
      <w:r w:rsidRPr="008771B1">
        <w:rPr>
          <w:rFonts w:ascii="Times New Roman" w:hAnsi="Times New Roman"/>
          <w:sz w:val="24"/>
          <w:szCs w:val="24"/>
        </w:rPr>
        <w:t xml:space="preserve"> (gambling) and </w:t>
      </w:r>
      <w:proofErr w:type="spellStart"/>
      <w:r w:rsidRPr="003655C2">
        <w:rPr>
          <w:rFonts w:ascii="Times New Roman" w:hAnsi="Times New Roman"/>
          <w:i/>
          <w:sz w:val="24"/>
          <w:szCs w:val="24"/>
        </w:rPr>
        <w:t>khamar</w:t>
      </w:r>
      <w:proofErr w:type="spellEnd"/>
      <w:r w:rsidRPr="008771B1">
        <w:rPr>
          <w:rFonts w:ascii="Times New Roman" w:hAnsi="Times New Roman"/>
          <w:sz w:val="24"/>
          <w:szCs w:val="24"/>
        </w:rPr>
        <w:t xml:space="preserve"> (alcohol)  cannot be resolved through customary courts, even though </w:t>
      </w:r>
      <w:proofErr w:type="spellStart"/>
      <w:r w:rsidR="006E7C55" w:rsidRPr="006E7C55">
        <w:rPr>
          <w:rFonts w:ascii="Times New Roman" w:hAnsi="Times New Roman"/>
          <w:i/>
          <w:sz w:val="24"/>
          <w:szCs w:val="24"/>
        </w:rPr>
        <w:t>khalwat</w:t>
      </w:r>
      <w:proofErr w:type="spellEnd"/>
      <w:r w:rsidRPr="008771B1">
        <w:rPr>
          <w:rFonts w:ascii="Times New Roman" w:hAnsi="Times New Roman"/>
          <w:sz w:val="24"/>
          <w:szCs w:val="24"/>
        </w:rPr>
        <w:t xml:space="preserve"> (</w:t>
      </w:r>
      <w:proofErr w:type="spellStart"/>
      <w:r w:rsidRPr="008771B1">
        <w:rPr>
          <w:rFonts w:ascii="Times New Roman" w:hAnsi="Times New Roman"/>
          <w:sz w:val="24"/>
          <w:szCs w:val="24"/>
        </w:rPr>
        <w:t>mesum</w:t>
      </w:r>
      <w:proofErr w:type="spellEnd"/>
      <w:r w:rsidRPr="008771B1">
        <w:rPr>
          <w:rFonts w:ascii="Times New Roman" w:hAnsi="Times New Roman"/>
          <w:sz w:val="24"/>
          <w:szCs w:val="24"/>
        </w:rPr>
        <w:t xml:space="preserve">), </w:t>
      </w:r>
      <w:proofErr w:type="spellStart"/>
      <w:r w:rsidRPr="008771B1">
        <w:rPr>
          <w:rFonts w:ascii="Times New Roman" w:hAnsi="Times New Roman"/>
          <w:sz w:val="24"/>
          <w:szCs w:val="24"/>
        </w:rPr>
        <w:t>maisir</w:t>
      </w:r>
      <w:proofErr w:type="spellEnd"/>
      <w:r w:rsidRPr="008771B1">
        <w:rPr>
          <w:rFonts w:ascii="Times New Roman" w:hAnsi="Times New Roman"/>
          <w:sz w:val="24"/>
          <w:szCs w:val="24"/>
        </w:rPr>
        <w:t xml:space="preserve"> (gambling) and </w:t>
      </w:r>
      <w:proofErr w:type="spellStart"/>
      <w:r w:rsidRPr="003655C2">
        <w:rPr>
          <w:rFonts w:ascii="Times New Roman" w:hAnsi="Times New Roman"/>
          <w:i/>
          <w:sz w:val="24"/>
          <w:szCs w:val="24"/>
        </w:rPr>
        <w:t>khamar</w:t>
      </w:r>
      <w:proofErr w:type="spellEnd"/>
      <w:r w:rsidRPr="008771B1">
        <w:rPr>
          <w:rFonts w:ascii="Times New Roman" w:hAnsi="Times New Roman"/>
          <w:sz w:val="24"/>
          <w:szCs w:val="24"/>
        </w:rPr>
        <w:t xml:space="preserve"> (alcohol) are a package of policies for enforcing Islamic law in Aceh and the three Islamic violations are included in the category of </w:t>
      </w:r>
      <w:proofErr w:type="spellStart"/>
      <w:r w:rsidRPr="00BD1E61">
        <w:rPr>
          <w:rFonts w:ascii="Times New Roman" w:hAnsi="Times New Roman"/>
          <w:i/>
          <w:sz w:val="24"/>
          <w:szCs w:val="24"/>
        </w:rPr>
        <w:t>ta`zir</w:t>
      </w:r>
      <w:proofErr w:type="spellEnd"/>
      <w:r w:rsidRPr="008771B1">
        <w:rPr>
          <w:rFonts w:ascii="Times New Roman" w:hAnsi="Times New Roman"/>
          <w:sz w:val="24"/>
          <w:szCs w:val="24"/>
        </w:rPr>
        <w:t xml:space="preserve">. Supposedly, Aceh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Number 9 of 2008 concerning the Guidance of Indigenous Life and Customary Traditions also regulates the issue of </w:t>
      </w:r>
      <w:proofErr w:type="spellStart"/>
      <w:r w:rsidRPr="003655C2">
        <w:rPr>
          <w:rFonts w:ascii="Times New Roman" w:hAnsi="Times New Roman"/>
          <w:i/>
          <w:sz w:val="24"/>
          <w:szCs w:val="24"/>
        </w:rPr>
        <w:t>maisir</w:t>
      </w:r>
      <w:proofErr w:type="spellEnd"/>
      <w:r w:rsidRPr="008771B1">
        <w:rPr>
          <w:rFonts w:ascii="Times New Roman" w:hAnsi="Times New Roman"/>
          <w:sz w:val="24"/>
          <w:szCs w:val="24"/>
        </w:rPr>
        <w:t xml:space="preserve"> (gambling) and </w:t>
      </w:r>
      <w:proofErr w:type="spellStart"/>
      <w:r w:rsidRPr="003655C2">
        <w:rPr>
          <w:rFonts w:ascii="Times New Roman" w:hAnsi="Times New Roman"/>
          <w:i/>
          <w:sz w:val="24"/>
          <w:szCs w:val="24"/>
        </w:rPr>
        <w:t>khamar</w:t>
      </w:r>
      <w:proofErr w:type="spellEnd"/>
      <w:r w:rsidRPr="008771B1">
        <w:rPr>
          <w:rFonts w:ascii="Times New Roman" w:hAnsi="Times New Roman"/>
          <w:sz w:val="24"/>
          <w:szCs w:val="24"/>
        </w:rPr>
        <w:t xml:space="preserve"> (alcohol). </w:t>
      </w:r>
      <w:r w:rsidR="00BD1E61">
        <w:rPr>
          <w:rFonts w:ascii="Times New Roman" w:hAnsi="Times New Roman"/>
          <w:sz w:val="24"/>
          <w:szCs w:val="24"/>
        </w:rPr>
        <w:t>Former h</w:t>
      </w:r>
      <w:r w:rsidRPr="008771B1">
        <w:rPr>
          <w:rFonts w:ascii="Times New Roman" w:hAnsi="Times New Roman"/>
          <w:sz w:val="24"/>
          <w:szCs w:val="24"/>
        </w:rPr>
        <w:t xml:space="preserve">ead of the Islamic </w:t>
      </w:r>
      <w:proofErr w:type="spellStart"/>
      <w:r w:rsidRPr="008771B1">
        <w:rPr>
          <w:rFonts w:ascii="Times New Roman" w:hAnsi="Times New Roman"/>
          <w:sz w:val="24"/>
          <w:szCs w:val="24"/>
        </w:rPr>
        <w:t>Shari'ah</w:t>
      </w:r>
      <w:proofErr w:type="spellEnd"/>
      <w:r w:rsidRPr="008771B1">
        <w:rPr>
          <w:rFonts w:ascii="Times New Roman" w:hAnsi="Times New Roman"/>
          <w:sz w:val="24"/>
          <w:szCs w:val="24"/>
        </w:rPr>
        <w:t xml:space="preserve"> Service in Aceh, </w:t>
      </w:r>
      <w:proofErr w:type="spellStart"/>
      <w:r w:rsidRPr="008771B1">
        <w:rPr>
          <w:rFonts w:ascii="Times New Roman" w:hAnsi="Times New Roman"/>
          <w:sz w:val="24"/>
          <w:szCs w:val="24"/>
        </w:rPr>
        <w:t>Alyasa</w:t>
      </w:r>
      <w:proofErr w:type="spellEnd"/>
      <w:r w:rsidRPr="008771B1">
        <w:rPr>
          <w:rFonts w:ascii="Times New Roman" w:hAnsi="Times New Roman"/>
          <w:sz w:val="24"/>
          <w:szCs w:val="24"/>
        </w:rPr>
        <w:t xml:space="preserve">' Abu </w:t>
      </w:r>
      <w:proofErr w:type="spellStart"/>
      <w:r w:rsidRPr="008771B1">
        <w:rPr>
          <w:rFonts w:ascii="Times New Roman" w:hAnsi="Times New Roman"/>
          <w:sz w:val="24"/>
          <w:szCs w:val="24"/>
        </w:rPr>
        <w:t>Bakar</w:t>
      </w:r>
      <w:proofErr w:type="spellEnd"/>
      <w:r w:rsidRPr="008771B1">
        <w:rPr>
          <w:rFonts w:ascii="Times New Roman" w:hAnsi="Times New Roman"/>
          <w:sz w:val="24"/>
          <w:szCs w:val="24"/>
        </w:rPr>
        <w:t xml:space="preserve"> indicated that Aceh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Number 9 of 2008 concerning the Guidance of Customary Life and Customs is to strengthen the enforcement of Islamic law. To that end, the Aceh Provincial Office of Islamic </w:t>
      </w:r>
      <w:proofErr w:type="spellStart"/>
      <w:r w:rsidRPr="008771B1">
        <w:rPr>
          <w:rFonts w:ascii="Times New Roman" w:hAnsi="Times New Roman"/>
          <w:sz w:val="24"/>
          <w:szCs w:val="24"/>
        </w:rPr>
        <w:t>Shari'a</w:t>
      </w:r>
      <w:proofErr w:type="spellEnd"/>
      <w:r w:rsidRPr="008771B1">
        <w:rPr>
          <w:rFonts w:ascii="Times New Roman" w:hAnsi="Times New Roman"/>
          <w:sz w:val="24"/>
          <w:szCs w:val="24"/>
        </w:rPr>
        <w:t xml:space="preserve"> establishes and trains village law enforcers (</w:t>
      </w:r>
      <w:proofErr w:type="spellStart"/>
      <w:r w:rsidRPr="00BD1E61">
        <w:rPr>
          <w:rFonts w:ascii="Times New Roman" w:hAnsi="Times New Roman"/>
          <w:i/>
          <w:sz w:val="24"/>
          <w:szCs w:val="24"/>
        </w:rPr>
        <w:t>muhtasib</w:t>
      </w:r>
      <w:proofErr w:type="spellEnd"/>
      <w:r w:rsidRPr="008771B1">
        <w:rPr>
          <w:rFonts w:ascii="Times New Roman" w:hAnsi="Times New Roman"/>
          <w:sz w:val="24"/>
          <w:szCs w:val="24"/>
        </w:rPr>
        <w:t>) in Aceh to resolve various finger-pointing committed by the community.</w:t>
      </w:r>
      <w:r w:rsidR="00D46C99">
        <w:rPr>
          <w:rStyle w:val="FootnoteReference"/>
          <w:rFonts w:ascii="Times New Roman" w:hAnsi="Times New Roman"/>
          <w:sz w:val="24"/>
          <w:szCs w:val="24"/>
        </w:rPr>
        <w:footnoteReference w:id="30"/>
      </w:r>
    </w:p>
    <w:p w:rsidR="008771B1" w:rsidRPr="008771B1" w:rsidRDefault="008771B1" w:rsidP="008771B1">
      <w:pPr>
        <w:spacing w:after="120" w:line="240" w:lineRule="auto"/>
        <w:jc w:val="both"/>
        <w:rPr>
          <w:rFonts w:ascii="Times New Roman" w:hAnsi="Times New Roman"/>
          <w:sz w:val="24"/>
          <w:szCs w:val="24"/>
        </w:rPr>
      </w:pPr>
      <w:r w:rsidRPr="008771B1">
        <w:rPr>
          <w:rFonts w:ascii="Times New Roman" w:hAnsi="Times New Roman"/>
          <w:sz w:val="24"/>
          <w:szCs w:val="24"/>
        </w:rPr>
        <w:t xml:space="preserve">The application of customary law is considered more effective because this type of punishment is applied from generation to generation and applies to everyone. According to Daniel S Lev, the demand for local law or customary law to be applied is not a new reality in Aceh. There is a tendency of society to ignore formal law. There is also a tendency to adapt Islamic law to suit local values because Islam also seems to provide space for the application of customary law. Gresham's </w:t>
      </w:r>
      <w:r w:rsidRPr="008771B1">
        <w:rPr>
          <w:rFonts w:ascii="Times New Roman" w:hAnsi="Times New Roman"/>
          <w:sz w:val="24"/>
          <w:szCs w:val="24"/>
        </w:rPr>
        <w:lastRenderedPageBreak/>
        <w:t>view of the institutional theory states that formal legal processes tend to be avoided in order to resolve disputes through processes that are more familial and more accommodating.</w:t>
      </w:r>
      <w:r w:rsidR="00D46C99">
        <w:rPr>
          <w:rStyle w:val="FootnoteReference"/>
          <w:rFonts w:ascii="Times New Roman" w:hAnsi="Times New Roman"/>
          <w:sz w:val="24"/>
          <w:szCs w:val="24"/>
        </w:rPr>
        <w:footnoteReference w:id="31"/>
      </w:r>
    </w:p>
    <w:p w:rsidR="008771B1" w:rsidRPr="008771B1" w:rsidRDefault="008771B1" w:rsidP="008771B1">
      <w:pPr>
        <w:spacing w:after="120" w:line="240" w:lineRule="auto"/>
        <w:jc w:val="both"/>
        <w:rPr>
          <w:rFonts w:ascii="Times New Roman" w:hAnsi="Times New Roman"/>
          <w:sz w:val="24"/>
          <w:szCs w:val="24"/>
        </w:rPr>
      </w:pPr>
      <w:r w:rsidRPr="008771B1">
        <w:rPr>
          <w:rFonts w:ascii="Times New Roman" w:hAnsi="Times New Roman"/>
          <w:sz w:val="24"/>
          <w:szCs w:val="24"/>
        </w:rPr>
        <w:t xml:space="preserve">The mechanism for resolving </w:t>
      </w:r>
      <w:proofErr w:type="spellStart"/>
      <w:r w:rsidR="006E7C55" w:rsidRPr="006E7C55">
        <w:rPr>
          <w:rFonts w:ascii="Times New Roman" w:hAnsi="Times New Roman"/>
          <w:i/>
          <w:sz w:val="24"/>
          <w:szCs w:val="24"/>
        </w:rPr>
        <w:t>khalwat</w:t>
      </w:r>
      <w:proofErr w:type="spellEnd"/>
      <w:r w:rsidRPr="008771B1">
        <w:rPr>
          <w:rFonts w:ascii="Times New Roman" w:hAnsi="Times New Roman"/>
          <w:sz w:val="24"/>
          <w:szCs w:val="24"/>
        </w:rPr>
        <w:t xml:space="preserve"> cases through customary institutions has the full support of indigenous peoples in Aceh. Settlement through customary institutions is considered more efficient and effective both in terms of time and in terms of financing. Through customary mechanisms, </w:t>
      </w:r>
      <w:proofErr w:type="spellStart"/>
      <w:r w:rsidR="006E7C55" w:rsidRPr="006E7C55">
        <w:rPr>
          <w:rFonts w:ascii="Times New Roman" w:hAnsi="Times New Roman"/>
          <w:i/>
          <w:sz w:val="24"/>
          <w:szCs w:val="24"/>
        </w:rPr>
        <w:t>khalwat</w:t>
      </w:r>
      <w:proofErr w:type="spellEnd"/>
      <w:r w:rsidRPr="008771B1">
        <w:rPr>
          <w:rFonts w:ascii="Times New Roman" w:hAnsi="Times New Roman"/>
          <w:sz w:val="24"/>
          <w:szCs w:val="24"/>
        </w:rPr>
        <w:t xml:space="preserve"> cases are resolved faster than through other formal law enforcers. In addition, the community's trust in traditional institutions in resolving cases between fellow citizens is very high so that any punishment imposed by traditional institutions such as the customary court is accepted and obeyed by all local indigenous peoples.</w:t>
      </w:r>
    </w:p>
    <w:p w:rsidR="008771B1" w:rsidRPr="008771B1" w:rsidRDefault="008771B1" w:rsidP="008771B1">
      <w:pPr>
        <w:spacing w:after="120" w:line="240" w:lineRule="auto"/>
        <w:jc w:val="both"/>
        <w:rPr>
          <w:rFonts w:ascii="Times New Roman" w:hAnsi="Times New Roman"/>
          <w:sz w:val="24"/>
          <w:szCs w:val="24"/>
        </w:rPr>
      </w:pPr>
      <w:r w:rsidRPr="008771B1">
        <w:rPr>
          <w:rFonts w:ascii="Times New Roman" w:hAnsi="Times New Roman"/>
          <w:sz w:val="24"/>
          <w:szCs w:val="24"/>
        </w:rPr>
        <w:t xml:space="preserve">Customary institutions have legal legitimacy from the Aceh government through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No. 10 of 2008 concerning Customary Institutions. </w:t>
      </w:r>
      <w:proofErr w:type="spellStart"/>
      <w:r w:rsidRPr="008771B1">
        <w:rPr>
          <w:rFonts w:ascii="Times New Roman" w:hAnsi="Times New Roman"/>
          <w:sz w:val="24"/>
          <w:szCs w:val="24"/>
        </w:rPr>
        <w:t>Samsul</w:t>
      </w:r>
      <w:proofErr w:type="spellEnd"/>
      <w:r w:rsidRPr="008771B1">
        <w:rPr>
          <w:rFonts w:ascii="Times New Roman" w:hAnsi="Times New Roman"/>
          <w:sz w:val="24"/>
          <w:szCs w:val="24"/>
        </w:rPr>
        <w:t xml:space="preserve"> Rizal said that the customary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was given for extension of the local government to the village government. This is due to the fact that the Islamic </w:t>
      </w:r>
      <w:proofErr w:type="spellStart"/>
      <w:r w:rsidRPr="008771B1">
        <w:rPr>
          <w:rFonts w:ascii="Times New Roman" w:hAnsi="Times New Roman"/>
          <w:sz w:val="24"/>
          <w:szCs w:val="24"/>
        </w:rPr>
        <w:t>Shari'a</w:t>
      </w:r>
      <w:proofErr w:type="spellEnd"/>
      <w:r w:rsidRPr="008771B1">
        <w:rPr>
          <w:rFonts w:ascii="Times New Roman" w:hAnsi="Times New Roman"/>
          <w:sz w:val="24"/>
          <w:szCs w:val="24"/>
        </w:rPr>
        <w:t xml:space="preserve"> Service which is responsible for implementing Islamic </w:t>
      </w:r>
      <w:proofErr w:type="spellStart"/>
      <w:r w:rsidRPr="008771B1">
        <w:rPr>
          <w:rFonts w:ascii="Times New Roman" w:hAnsi="Times New Roman"/>
          <w:sz w:val="24"/>
          <w:szCs w:val="24"/>
        </w:rPr>
        <w:t>Shari'a</w:t>
      </w:r>
      <w:proofErr w:type="spellEnd"/>
      <w:r w:rsidRPr="008771B1">
        <w:rPr>
          <w:rFonts w:ascii="Times New Roman" w:hAnsi="Times New Roman"/>
          <w:sz w:val="24"/>
          <w:szCs w:val="24"/>
        </w:rPr>
        <w:t xml:space="preserve"> and resolving cases of violations of Islamic </w:t>
      </w:r>
      <w:proofErr w:type="spellStart"/>
      <w:r w:rsidRPr="008771B1">
        <w:rPr>
          <w:rFonts w:ascii="Times New Roman" w:hAnsi="Times New Roman"/>
          <w:sz w:val="24"/>
          <w:szCs w:val="24"/>
        </w:rPr>
        <w:t>Shari'a</w:t>
      </w:r>
      <w:proofErr w:type="spellEnd"/>
      <w:r w:rsidRPr="008771B1">
        <w:rPr>
          <w:rFonts w:ascii="Times New Roman" w:hAnsi="Times New Roman"/>
          <w:sz w:val="24"/>
          <w:szCs w:val="24"/>
        </w:rPr>
        <w:t xml:space="preserve"> in Aceh is only located in the City District area and the minimum number of </w:t>
      </w:r>
      <w:proofErr w:type="spellStart"/>
      <w:r w:rsidRPr="00AE24FF">
        <w:rPr>
          <w:rFonts w:ascii="Times New Roman" w:hAnsi="Times New Roman"/>
          <w:i/>
          <w:sz w:val="24"/>
          <w:szCs w:val="24"/>
        </w:rPr>
        <w:t>Wilayatul</w:t>
      </w:r>
      <w:proofErr w:type="spellEnd"/>
      <w:r w:rsidRPr="00AE24FF">
        <w:rPr>
          <w:rFonts w:ascii="Times New Roman" w:hAnsi="Times New Roman"/>
          <w:i/>
          <w:sz w:val="24"/>
          <w:szCs w:val="24"/>
        </w:rPr>
        <w:t xml:space="preserve"> </w:t>
      </w:r>
      <w:proofErr w:type="spellStart"/>
      <w:r w:rsidRPr="00AE24FF">
        <w:rPr>
          <w:rFonts w:ascii="Times New Roman" w:hAnsi="Times New Roman"/>
          <w:i/>
          <w:sz w:val="24"/>
          <w:szCs w:val="24"/>
        </w:rPr>
        <w:t>Hisbah</w:t>
      </w:r>
      <w:proofErr w:type="spellEnd"/>
      <w:r w:rsidRPr="008771B1">
        <w:rPr>
          <w:rFonts w:ascii="Times New Roman" w:hAnsi="Times New Roman"/>
          <w:sz w:val="24"/>
          <w:szCs w:val="24"/>
        </w:rPr>
        <w:t xml:space="preserve"> personnel in Aceh, making it impossible to maximize the implementation of Islamic </w:t>
      </w:r>
      <w:proofErr w:type="spellStart"/>
      <w:r w:rsidRPr="008771B1">
        <w:rPr>
          <w:rFonts w:ascii="Times New Roman" w:hAnsi="Times New Roman"/>
          <w:sz w:val="24"/>
          <w:szCs w:val="24"/>
        </w:rPr>
        <w:t>Shari'a</w:t>
      </w:r>
      <w:proofErr w:type="spellEnd"/>
      <w:r w:rsidRPr="008771B1">
        <w:rPr>
          <w:rFonts w:ascii="Times New Roman" w:hAnsi="Times New Roman"/>
          <w:sz w:val="24"/>
          <w:szCs w:val="24"/>
        </w:rPr>
        <w:t xml:space="preserve"> in a </w:t>
      </w:r>
      <w:proofErr w:type="spellStart"/>
      <w:r w:rsidRPr="008771B1">
        <w:rPr>
          <w:rFonts w:ascii="Times New Roman" w:hAnsi="Times New Roman"/>
          <w:sz w:val="24"/>
          <w:szCs w:val="24"/>
        </w:rPr>
        <w:t>kaffah</w:t>
      </w:r>
      <w:proofErr w:type="spellEnd"/>
      <w:r w:rsidRPr="008771B1">
        <w:rPr>
          <w:rFonts w:ascii="Times New Roman" w:hAnsi="Times New Roman"/>
          <w:sz w:val="24"/>
          <w:szCs w:val="24"/>
        </w:rPr>
        <w:t xml:space="preserve"> manner.</w:t>
      </w:r>
      <w:r w:rsidR="00056D8B">
        <w:rPr>
          <w:rStyle w:val="FootnoteReference"/>
          <w:rFonts w:ascii="Times New Roman" w:hAnsi="Times New Roman"/>
          <w:sz w:val="24"/>
          <w:szCs w:val="24"/>
        </w:rPr>
        <w:footnoteReference w:id="32"/>
      </w:r>
      <w:r w:rsidRPr="008771B1">
        <w:rPr>
          <w:rFonts w:ascii="Times New Roman" w:hAnsi="Times New Roman"/>
          <w:sz w:val="24"/>
          <w:szCs w:val="24"/>
        </w:rPr>
        <w:t xml:space="preserve"> </w:t>
      </w:r>
      <w:proofErr w:type="gramStart"/>
      <w:r w:rsidRPr="008771B1">
        <w:rPr>
          <w:rFonts w:ascii="Times New Roman" w:hAnsi="Times New Roman"/>
          <w:sz w:val="24"/>
          <w:szCs w:val="24"/>
        </w:rPr>
        <w:t>in</w:t>
      </w:r>
      <w:proofErr w:type="gramEnd"/>
      <w:r w:rsidRPr="008771B1">
        <w:rPr>
          <w:rFonts w:ascii="Times New Roman" w:hAnsi="Times New Roman"/>
          <w:sz w:val="24"/>
          <w:szCs w:val="24"/>
        </w:rPr>
        <w:t xml:space="preserve"> various villages in the province of Aceh. Therefore,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w:t>
      </w:r>
      <w:proofErr w:type="spellStart"/>
      <w:r w:rsidR="006E7C55" w:rsidRPr="006E7C55">
        <w:rPr>
          <w:rFonts w:ascii="Times New Roman" w:hAnsi="Times New Roman"/>
          <w:i/>
          <w:sz w:val="24"/>
          <w:szCs w:val="24"/>
        </w:rPr>
        <w:t>jinayat</w:t>
      </w:r>
      <w:proofErr w:type="spellEnd"/>
      <w:r w:rsidRPr="008771B1">
        <w:rPr>
          <w:rFonts w:ascii="Times New Roman" w:hAnsi="Times New Roman"/>
          <w:sz w:val="24"/>
          <w:szCs w:val="24"/>
        </w:rPr>
        <w:t xml:space="preserve"> can apply not only in a juridical and philosophical order but also sociologically so that the Aceh government gives legitimacy to customary law through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No. 10 of 2008 concerning Customary Institutions.</w:t>
      </w:r>
    </w:p>
    <w:p w:rsidR="004B1F20" w:rsidRDefault="008771B1" w:rsidP="008771B1">
      <w:pPr>
        <w:spacing w:after="120" w:line="240" w:lineRule="auto"/>
        <w:jc w:val="both"/>
        <w:rPr>
          <w:rFonts w:ascii="Times New Roman" w:hAnsi="Times New Roman"/>
          <w:sz w:val="24"/>
          <w:szCs w:val="24"/>
        </w:rPr>
      </w:pPr>
      <w:r w:rsidRPr="008771B1">
        <w:rPr>
          <w:rFonts w:ascii="Times New Roman" w:hAnsi="Times New Roman"/>
          <w:sz w:val="24"/>
          <w:szCs w:val="24"/>
        </w:rPr>
        <w:t xml:space="preserve">Through this </w:t>
      </w:r>
      <w:proofErr w:type="spellStart"/>
      <w:r w:rsidRPr="008771B1">
        <w:rPr>
          <w:rFonts w:ascii="Times New Roman" w:hAnsi="Times New Roman"/>
          <w:sz w:val="24"/>
          <w:szCs w:val="24"/>
        </w:rPr>
        <w:t>Qanun</w:t>
      </w:r>
      <w:proofErr w:type="spellEnd"/>
      <w:r w:rsidRPr="008771B1">
        <w:rPr>
          <w:rFonts w:ascii="Times New Roman" w:hAnsi="Times New Roman"/>
          <w:sz w:val="24"/>
          <w:szCs w:val="24"/>
        </w:rPr>
        <w:t xml:space="preserve">, the Aceh government gave the Acehnese the authority to solve their own problems. </w:t>
      </w:r>
      <w:proofErr w:type="gramStart"/>
      <w:r w:rsidRPr="008771B1">
        <w:rPr>
          <w:rFonts w:ascii="Times New Roman" w:hAnsi="Times New Roman"/>
          <w:sz w:val="24"/>
          <w:szCs w:val="24"/>
        </w:rPr>
        <w:t>Both in the form of disputes and disputes that occur between residents in their respective villages, before being handled by the government through formal law enforcement agencies.</w:t>
      </w:r>
      <w:proofErr w:type="gramEnd"/>
      <w:r w:rsidRPr="008771B1">
        <w:rPr>
          <w:rFonts w:ascii="Times New Roman" w:hAnsi="Times New Roman"/>
          <w:sz w:val="24"/>
          <w:szCs w:val="24"/>
        </w:rPr>
        <w:t xml:space="preserve"> Customary institutions have legal power and authority in resolving violations of Islamic law. Although customary institutions have absolute authority based on statutory regulations, they do not necessarily have customary institutions to examine, adjudicate and prosecute punishing perpetrators of violations of Islamic law does not deviate from the "spirit of Islamic law".</w:t>
      </w:r>
    </w:p>
    <w:p w:rsidR="008771B1" w:rsidRPr="008771B1" w:rsidRDefault="008771B1" w:rsidP="008771B1">
      <w:pPr>
        <w:spacing w:after="120" w:line="240" w:lineRule="auto"/>
        <w:jc w:val="both"/>
        <w:rPr>
          <w:rFonts w:ascii="Book Antiqua" w:hAnsi="Book Antiqua" w:cs="Calibri"/>
          <w:b/>
          <w:color w:val="000000" w:themeColor="text1"/>
        </w:rPr>
      </w:pPr>
    </w:p>
    <w:p w:rsidR="004B1F20" w:rsidRPr="00EE6288" w:rsidRDefault="004B1F20" w:rsidP="004B1F20">
      <w:pPr>
        <w:numPr>
          <w:ilvl w:val="0"/>
          <w:numId w:val="18"/>
        </w:numPr>
        <w:spacing w:after="120" w:line="240" w:lineRule="auto"/>
        <w:ind w:left="284" w:hanging="284"/>
        <w:jc w:val="both"/>
        <w:rPr>
          <w:rFonts w:ascii="Book Antiqua" w:hAnsi="Book Antiqua"/>
          <w:b/>
          <w:bCs/>
          <w:color w:val="FFC000" w:themeColor="accent4"/>
          <w:szCs w:val="22"/>
          <w:lang w:val="id-ID"/>
        </w:rPr>
      </w:pPr>
      <w:r w:rsidRPr="00EE6288">
        <w:rPr>
          <w:rFonts w:ascii="Book Antiqua" w:hAnsi="Book Antiqua"/>
          <w:b/>
          <w:color w:val="2F5496" w:themeColor="accent1" w:themeShade="BF"/>
          <w:sz w:val="24"/>
          <w:szCs w:val="24"/>
        </w:rPr>
        <w:t>CONCLUSION</w:t>
      </w:r>
    </w:p>
    <w:p w:rsidR="008771B1" w:rsidRPr="008771B1" w:rsidRDefault="008771B1" w:rsidP="008771B1">
      <w:pPr>
        <w:spacing w:after="120" w:line="240" w:lineRule="auto"/>
        <w:jc w:val="both"/>
        <w:rPr>
          <w:rFonts w:ascii="Book Antiqua" w:hAnsi="Book Antiqua" w:cstheme="majorHAnsi"/>
          <w:color w:val="000000" w:themeColor="text1"/>
          <w:sz w:val="24"/>
          <w:szCs w:val="24"/>
          <w:lang w:val="en-GB"/>
        </w:rPr>
      </w:pPr>
      <w:r w:rsidRPr="008771B1">
        <w:rPr>
          <w:rFonts w:ascii="Book Antiqua" w:hAnsi="Book Antiqua" w:cstheme="majorHAnsi"/>
          <w:color w:val="000000" w:themeColor="text1"/>
          <w:sz w:val="24"/>
          <w:szCs w:val="24"/>
          <w:lang w:val="en-GB"/>
        </w:rPr>
        <w:t>One of the most common crimes (</w:t>
      </w:r>
      <w:proofErr w:type="spellStart"/>
      <w:r w:rsidR="006E7C55" w:rsidRPr="006E7C55">
        <w:rPr>
          <w:rFonts w:ascii="Book Antiqua" w:hAnsi="Book Antiqua" w:cstheme="majorHAnsi"/>
          <w:i/>
          <w:color w:val="000000" w:themeColor="text1"/>
          <w:sz w:val="24"/>
          <w:szCs w:val="24"/>
          <w:lang w:val="en-GB"/>
        </w:rPr>
        <w:t>jarimah</w:t>
      </w:r>
      <w:proofErr w:type="spellEnd"/>
      <w:r w:rsidRPr="008771B1">
        <w:rPr>
          <w:rFonts w:ascii="Book Antiqua" w:hAnsi="Book Antiqua" w:cstheme="majorHAnsi"/>
          <w:color w:val="000000" w:themeColor="text1"/>
          <w:sz w:val="24"/>
          <w:szCs w:val="24"/>
          <w:lang w:val="en-GB"/>
        </w:rPr>
        <w:t xml:space="preserve">) in Aceh is </w:t>
      </w:r>
      <w:proofErr w:type="spellStart"/>
      <w:r w:rsidR="006E7C55" w:rsidRPr="006E7C55">
        <w:rPr>
          <w:rFonts w:ascii="Book Antiqua" w:hAnsi="Book Antiqua" w:cstheme="majorHAnsi"/>
          <w:i/>
          <w:color w:val="000000" w:themeColor="text1"/>
          <w:sz w:val="24"/>
          <w:szCs w:val="24"/>
          <w:lang w:val="en-GB"/>
        </w:rPr>
        <w:t>khalwat</w:t>
      </w:r>
      <w:proofErr w:type="spellEnd"/>
      <w:r w:rsidRPr="008771B1">
        <w:rPr>
          <w:rFonts w:ascii="Book Antiqua" w:hAnsi="Book Antiqua" w:cstheme="majorHAnsi"/>
          <w:color w:val="000000" w:themeColor="text1"/>
          <w:sz w:val="24"/>
          <w:szCs w:val="24"/>
          <w:lang w:val="en-GB"/>
        </w:rPr>
        <w:t xml:space="preserve">. </w:t>
      </w:r>
      <w:proofErr w:type="spellStart"/>
      <w:r w:rsidR="004D1003" w:rsidRPr="004D1003">
        <w:rPr>
          <w:rFonts w:ascii="Book Antiqua" w:hAnsi="Book Antiqua" w:cstheme="majorHAnsi"/>
          <w:i/>
          <w:color w:val="000000" w:themeColor="text1"/>
          <w:sz w:val="24"/>
          <w:szCs w:val="24"/>
          <w:lang w:val="en-GB"/>
        </w:rPr>
        <w:t>Khalwat</w:t>
      </w:r>
      <w:proofErr w:type="spellEnd"/>
      <w:r w:rsidR="004D1003">
        <w:rPr>
          <w:rFonts w:ascii="Book Antiqua" w:hAnsi="Book Antiqua" w:cstheme="majorHAnsi"/>
          <w:color w:val="000000" w:themeColor="text1"/>
          <w:sz w:val="24"/>
          <w:szCs w:val="24"/>
          <w:lang w:val="en-GB"/>
        </w:rPr>
        <w:t xml:space="preserve"> </w:t>
      </w:r>
      <w:r w:rsidRPr="008771B1">
        <w:rPr>
          <w:rFonts w:ascii="Book Antiqua" w:hAnsi="Book Antiqua" w:cstheme="majorHAnsi"/>
          <w:color w:val="000000" w:themeColor="text1"/>
          <w:sz w:val="24"/>
          <w:szCs w:val="24"/>
          <w:lang w:val="en-GB"/>
        </w:rPr>
        <w:t>is a disgraceful act that is contrary to Islamic law because this act can lead (</w:t>
      </w:r>
      <w:proofErr w:type="spellStart"/>
      <w:r w:rsidRPr="004D1003">
        <w:rPr>
          <w:rFonts w:ascii="Book Antiqua" w:hAnsi="Book Antiqua" w:cstheme="majorHAnsi"/>
          <w:i/>
          <w:color w:val="000000" w:themeColor="text1"/>
          <w:sz w:val="24"/>
          <w:szCs w:val="24"/>
          <w:lang w:val="en-GB"/>
        </w:rPr>
        <w:t>washilah</w:t>
      </w:r>
      <w:proofErr w:type="spellEnd"/>
      <w:r w:rsidRPr="008771B1">
        <w:rPr>
          <w:rFonts w:ascii="Book Antiqua" w:hAnsi="Book Antiqua" w:cstheme="majorHAnsi"/>
          <w:color w:val="000000" w:themeColor="text1"/>
          <w:sz w:val="24"/>
          <w:szCs w:val="24"/>
          <w:lang w:val="en-GB"/>
        </w:rPr>
        <w:t xml:space="preserve">) to the greatest sinful act, namely the finger of adultery. </w:t>
      </w:r>
      <w:proofErr w:type="spellStart"/>
      <w:r w:rsidR="006E7C55" w:rsidRPr="006E7C55">
        <w:rPr>
          <w:rFonts w:ascii="Book Antiqua" w:hAnsi="Book Antiqua" w:cstheme="majorHAnsi"/>
          <w:i/>
          <w:color w:val="000000" w:themeColor="text1"/>
          <w:sz w:val="24"/>
          <w:szCs w:val="24"/>
          <w:lang w:val="en-GB"/>
        </w:rPr>
        <w:t>Jarimah</w:t>
      </w:r>
      <w:proofErr w:type="spellEnd"/>
      <w:r w:rsidRPr="008771B1">
        <w:rPr>
          <w:rFonts w:ascii="Book Antiqua" w:hAnsi="Book Antiqua" w:cstheme="majorHAnsi"/>
          <w:color w:val="000000" w:themeColor="text1"/>
          <w:sz w:val="24"/>
          <w:szCs w:val="24"/>
          <w:lang w:val="en-GB"/>
        </w:rPr>
        <w:t xml:space="preserve"> </w:t>
      </w:r>
      <w:proofErr w:type="spellStart"/>
      <w:r w:rsidR="006E7C55" w:rsidRPr="006E7C55">
        <w:rPr>
          <w:rFonts w:ascii="Book Antiqua" w:hAnsi="Book Antiqua" w:cstheme="majorHAnsi"/>
          <w:i/>
          <w:color w:val="000000" w:themeColor="text1"/>
          <w:sz w:val="24"/>
          <w:szCs w:val="24"/>
          <w:lang w:val="en-GB"/>
        </w:rPr>
        <w:t>khalwat</w:t>
      </w:r>
      <w:proofErr w:type="spellEnd"/>
      <w:r w:rsidRPr="008771B1">
        <w:rPr>
          <w:rFonts w:ascii="Book Antiqua" w:hAnsi="Book Antiqua" w:cstheme="majorHAnsi"/>
          <w:color w:val="000000" w:themeColor="text1"/>
          <w:sz w:val="24"/>
          <w:szCs w:val="24"/>
          <w:lang w:val="en-GB"/>
        </w:rPr>
        <w:t xml:space="preserve"> is a two-way act between a man and a woman who do not have a </w:t>
      </w:r>
      <w:proofErr w:type="spellStart"/>
      <w:r w:rsidR="006E7C55" w:rsidRPr="006E7C55">
        <w:rPr>
          <w:rFonts w:ascii="Book Antiqua" w:hAnsi="Book Antiqua" w:cstheme="majorHAnsi"/>
          <w:i/>
          <w:color w:val="000000" w:themeColor="text1"/>
          <w:sz w:val="24"/>
          <w:szCs w:val="24"/>
          <w:lang w:val="en-GB"/>
        </w:rPr>
        <w:t>mahram</w:t>
      </w:r>
      <w:proofErr w:type="spellEnd"/>
      <w:r w:rsidRPr="008771B1">
        <w:rPr>
          <w:rFonts w:ascii="Book Antiqua" w:hAnsi="Book Antiqua" w:cstheme="majorHAnsi"/>
          <w:color w:val="000000" w:themeColor="text1"/>
          <w:sz w:val="24"/>
          <w:szCs w:val="24"/>
          <w:lang w:val="en-GB"/>
        </w:rPr>
        <w:t xml:space="preserve"> relationship in a place that is closed or far from the view of the crowd so as to provide an opportunity for the couple to commit adultery.</w:t>
      </w:r>
    </w:p>
    <w:p w:rsidR="008771B1" w:rsidRPr="008771B1" w:rsidRDefault="006E7C55" w:rsidP="008771B1">
      <w:pPr>
        <w:spacing w:after="120" w:line="240" w:lineRule="auto"/>
        <w:jc w:val="both"/>
        <w:rPr>
          <w:rFonts w:ascii="Book Antiqua" w:hAnsi="Book Antiqua" w:cstheme="majorHAnsi"/>
          <w:color w:val="000000" w:themeColor="text1"/>
          <w:sz w:val="24"/>
          <w:szCs w:val="24"/>
          <w:lang w:val="en-GB"/>
        </w:rPr>
      </w:pPr>
      <w:proofErr w:type="spellStart"/>
      <w:r w:rsidRPr="006E7C55">
        <w:rPr>
          <w:rFonts w:ascii="Book Antiqua" w:hAnsi="Book Antiqua" w:cstheme="majorHAnsi"/>
          <w:i/>
          <w:color w:val="000000" w:themeColor="text1"/>
          <w:sz w:val="24"/>
          <w:szCs w:val="24"/>
          <w:lang w:val="en-GB"/>
        </w:rPr>
        <w:t>Jarimah</w:t>
      </w:r>
      <w:proofErr w:type="spellEnd"/>
      <w:r w:rsidR="008771B1" w:rsidRPr="008771B1">
        <w:rPr>
          <w:rFonts w:ascii="Book Antiqua" w:hAnsi="Book Antiqua" w:cstheme="majorHAnsi"/>
          <w:color w:val="000000" w:themeColor="text1"/>
          <w:sz w:val="24"/>
          <w:szCs w:val="24"/>
          <w:lang w:val="en-GB"/>
        </w:rPr>
        <w:t xml:space="preserve"> seclusion is regulated in Article 23 and Article 24 of </w:t>
      </w:r>
      <w:proofErr w:type="spellStart"/>
      <w:r w:rsidR="008771B1" w:rsidRPr="008771B1">
        <w:rPr>
          <w:rFonts w:ascii="Book Antiqua" w:hAnsi="Book Antiqua" w:cstheme="majorHAnsi"/>
          <w:color w:val="000000" w:themeColor="text1"/>
          <w:sz w:val="24"/>
          <w:szCs w:val="24"/>
          <w:lang w:val="en-GB"/>
        </w:rPr>
        <w:t>Qanun</w:t>
      </w:r>
      <w:proofErr w:type="spellEnd"/>
      <w:r w:rsidR="008771B1" w:rsidRPr="008771B1">
        <w:rPr>
          <w:rFonts w:ascii="Book Antiqua" w:hAnsi="Book Antiqua" w:cstheme="majorHAnsi"/>
          <w:color w:val="000000" w:themeColor="text1"/>
          <w:sz w:val="24"/>
          <w:szCs w:val="24"/>
          <w:lang w:val="en-GB"/>
        </w:rPr>
        <w:t xml:space="preserve"> Number 6 of 2014 concerning </w:t>
      </w:r>
      <w:proofErr w:type="spellStart"/>
      <w:r w:rsidRPr="006E7C55">
        <w:rPr>
          <w:rFonts w:ascii="Book Antiqua" w:hAnsi="Book Antiqua" w:cstheme="majorHAnsi"/>
          <w:i/>
          <w:color w:val="000000" w:themeColor="text1"/>
          <w:sz w:val="24"/>
          <w:szCs w:val="24"/>
          <w:lang w:val="en-GB"/>
        </w:rPr>
        <w:t>Jinayat</w:t>
      </w:r>
      <w:proofErr w:type="spellEnd"/>
      <w:r w:rsidR="008771B1" w:rsidRPr="008771B1">
        <w:rPr>
          <w:rFonts w:ascii="Book Antiqua" w:hAnsi="Book Antiqua" w:cstheme="majorHAnsi"/>
          <w:color w:val="000000" w:themeColor="text1"/>
          <w:sz w:val="24"/>
          <w:szCs w:val="24"/>
          <w:lang w:val="en-GB"/>
        </w:rPr>
        <w:t xml:space="preserve"> Law. Article 23 of </w:t>
      </w:r>
      <w:proofErr w:type="spellStart"/>
      <w:r w:rsidR="008771B1" w:rsidRPr="008771B1">
        <w:rPr>
          <w:rFonts w:ascii="Book Antiqua" w:hAnsi="Book Antiqua" w:cstheme="majorHAnsi"/>
          <w:color w:val="000000" w:themeColor="text1"/>
          <w:sz w:val="24"/>
          <w:szCs w:val="24"/>
          <w:lang w:val="en-GB"/>
        </w:rPr>
        <w:t>Qanun</w:t>
      </w:r>
      <w:proofErr w:type="spellEnd"/>
      <w:r w:rsidR="008771B1" w:rsidRPr="008771B1">
        <w:rPr>
          <w:rFonts w:ascii="Book Antiqua" w:hAnsi="Book Antiqua" w:cstheme="majorHAnsi"/>
          <w:color w:val="000000" w:themeColor="text1"/>
          <w:sz w:val="24"/>
          <w:szCs w:val="24"/>
          <w:lang w:val="en-GB"/>
        </w:rPr>
        <w:t xml:space="preserve"> Number 6 of 2014 concerning </w:t>
      </w:r>
      <w:proofErr w:type="spellStart"/>
      <w:r w:rsidRPr="006E7C55">
        <w:rPr>
          <w:rFonts w:ascii="Book Antiqua" w:hAnsi="Book Antiqua" w:cstheme="majorHAnsi"/>
          <w:i/>
          <w:color w:val="000000" w:themeColor="text1"/>
          <w:sz w:val="24"/>
          <w:szCs w:val="24"/>
          <w:lang w:val="en-GB"/>
        </w:rPr>
        <w:t>Jinayat</w:t>
      </w:r>
      <w:proofErr w:type="spellEnd"/>
      <w:r w:rsidR="008771B1" w:rsidRPr="008771B1">
        <w:rPr>
          <w:rFonts w:ascii="Book Antiqua" w:hAnsi="Book Antiqua" w:cstheme="majorHAnsi"/>
          <w:color w:val="000000" w:themeColor="text1"/>
          <w:sz w:val="24"/>
          <w:szCs w:val="24"/>
          <w:lang w:val="en-GB"/>
        </w:rPr>
        <w:t xml:space="preserve"> Law stipulates that (1) any person who intentionally commits </w:t>
      </w:r>
      <w:proofErr w:type="spellStart"/>
      <w:r w:rsidRPr="006E7C55">
        <w:rPr>
          <w:rFonts w:ascii="Book Antiqua" w:hAnsi="Book Antiqua" w:cstheme="majorHAnsi"/>
          <w:i/>
          <w:color w:val="000000" w:themeColor="text1"/>
          <w:sz w:val="24"/>
          <w:szCs w:val="24"/>
          <w:lang w:val="en-GB"/>
        </w:rPr>
        <w:t>Jarimah</w:t>
      </w:r>
      <w:proofErr w:type="spellEnd"/>
      <w:r w:rsidR="008771B1" w:rsidRPr="008771B1">
        <w:rPr>
          <w:rFonts w:ascii="Book Antiqua" w:hAnsi="Book Antiqua" w:cstheme="majorHAnsi"/>
          <w:color w:val="000000" w:themeColor="text1"/>
          <w:sz w:val="24"/>
          <w:szCs w:val="24"/>
          <w:lang w:val="en-GB"/>
        </w:rPr>
        <w:t xml:space="preserve"> seclusion, is threatened with '</w:t>
      </w:r>
      <w:proofErr w:type="spellStart"/>
      <w:r w:rsidR="008771B1" w:rsidRPr="008771B1">
        <w:rPr>
          <w:rFonts w:ascii="Book Antiqua" w:hAnsi="Book Antiqua" w:cstheme="majorHAnsi"/>
          <w:color w:val="000000" w:themeColor="text1"/>
          <w:sz w:val="24"/>
          <w:szCs w:val="24"/>
          <w:lang w:val="en-GB"/>
        </w:rPr>
        <w:t>Uqubat</w:t>
      </w:r>
      <w:proofErr w:type="spellEnd"/>
      <w:r w:rsidR="008771B1" w:rsidRPr="008771B1">
        <w:rPr>
          <w:rFonts w:ascii="Book Antiqua" w:hAnsi="Book Antiqua" w:cstheme="majorHAnsi"/>
          <w:color w:val="000000" w:themeColor="text1"/>
          <w:sz w:val="24"/>
          <w:szCs w:val="24"/>
          <w:lang w:val="en-GB"/>
        </w:rPr>
        <w:t xml:space="preserve"> </w:t>
      </w:r>
      <w:proofErr w:type="spellStart"/>
      <w:r w:rsidR="008771B1" w:rsidRPr="008771B1">
        <w:rPr>
          <w:rFonts w:ascii="Book Antiqua" w:hAnsi="Book Antiqua" w:cstheme="majorHAnsi"/>
          <w:color w:val="000000" w:themeColor="text1"/>
          <w:sz w:val="24"/>
          <w:szCs w:val="24"/>
          <w:lang w:val="en-GB"/>
        </w:rPr>
        <w:t>Ta'zir</w:t>
      </w:r>
      <w:proofErr w:type="spellEnd"/>
      <w:r w:rsidR="008771B1" w:rsidRPr="008771B1">
        <w:rPr>
          <w:rFonts w:ascii="Book Antiqua" w:hAnsi="Book Antiqua" w:cstheme="majorHAnsi"/>
          <w:color w:val="000000" w:themeColor="text1"/>
          <w:sz w:val="24"/>
          <w:szCs w:val="24"/>
          <w:lang w:val="en-GB"/>
        </w:rPr>
        <w:t xml:space="preserve"> lashes for a maximum of 10 (ten) times or a fine of a maximum of 100 (one hundred) grams of gold. </w:t>
      </w:r>
      <w:proofErr w:type="gramStart"/>
      <w:r w:rsidR="008771B1" w:rsidRPr="008771B1">
        <w:rPr>
          <w:rFonts w:ascii="Book Antiqua" w:hAnsi="Book Antiqua" w:cstheme="majorHAnsi"/>
          <w:color w:val="000000" w:themeColor="text1"/>
          <w:sz w:val="24"/>
          <w:szCs w:val="24"/>
          <w:lang w:val="en-GB"/>
        </w:rPr>
        <w:t>pure</w:t>
      </w:r>
      <w:proofErr w:type="gramEnd"/>
      <w:r w:rsidR="008771B1" w:rsidRPr="008771B1">
        <w:rPr>
          <w:rFonts w:ascii="Book Antiqua" w:hAnsi="Book Antiqua" w:cstheme="majorHAnsi"/>
          <w:color w:val="000000" w:themeColor="text1"/>
          <w:sz w:val="24"/>
          <w:szCs w:val="24"/>
          <w:lang w:val="en-GB"/>
        </w:rPr>
        <w:t xml:space="preserve"> or imprisonment for a maximum of 10 (ten) months. In addition, in paragraph (2) it is determined that any person who intentionally organizes, provides facilities or promotes </w:t>
      </w:r>
      <w:proofErr w:type="spellStart"/>
      <w:r w:rsidRPr="006E7C55">
        <w:rPr>
          <w:rFonts w:ascii="Book Antiqua" w:hAnsi="Book Antiqua" w:cstheme="majorHAnsi"/>
          <w:i/>
          <w:color w:val="000000" w:themeColor="text1"/>
          <w:sz w:val="24"/>
          <w:szCs w:val="24"/>
          <w:lang w:val="en-GB"/>
        </w:rPr>
        <w:t>khalwat</w:t>
      </w:r>
      <w:proofErr w:type="spellEnd"/>
      <w:r w:rsidR="008771B1" w:rsidRPr="008771B1">
        <w:rPr>
          <w:rFonts w:ascii="Book Antiqua" w:hAnsi="Book Antiqua" w:cstheme="majorHAnsi"/>
          <w:color w:val="000000" w:themeColor="text1"/>
          <w:sz w:val="24"/>
          <w:szCs w:val="24"/>
          <w:lang w:val="en-GB"/>
        </w:rPr>
        <w:t xml:space="preserve">, is threatened with </w:t>
      </w:r>
      <w:r w:rsidR="008771B1" w:rsidRPr="004D1003">
        <w:rPr>
          <w:rFonts w:ascii="Book Antiqua" w:hAnsi="Book Antiqua" w:cstheme="majorHAnsi"/>
          <w:i/>
          <w:color w:val="000000" w:themeColor="text1"/>
          <w:sz w:val="24"/>
          <w:szCs w:val="24"/>
          <w:lang w:val="en-GB"/>
        </w:rPr>
        <w:t>'</w:t>
      </w:r>
      <w:proofErr w:type="spellStart"/>
      <w:r w:rsidR="008771B1" w:rsidRPr="004D1003">
        <w:rPr>
          <w:rFonts w:ascii="Book Antiqua" w:hAnsi="Book Antiqua" w:cstheme="majorHAnsi"/>
          <w:i/>
          <w:color w:val="000000" w:themeColor="text1"/>
          <w:sz w:val="24"/>
          <w:szCs w:val="24"/>
          <w:lang w:val="en-GB"/>
        </w:rPr>
        <w:t>Uqubat</w:t>
      </w:r>
      <w:proofErr w:type="spellEnd"/>
      <w:r w:rsidR="008771B1" w:rsidRPr="004D1003">
        <w:rPr>
          <w:rFonts w:ascii="Book Antiqua" w:hAnsi="Book Antiqua" w:cstheme="majorHAnsi"/>
          <w:i/>
          <w:color w:val="000000" w:themeColor="text1"/>
          <w:sz w:val="24"/>
          <w:szCs w:val="24"/>
          <w:lang w:val="en-GB"/>
        </w:rPr>
        <w:t xml:space="preserve"> </w:t>
      </w:r>
      <w:proofErr w:type="spellStart"/>
      <w:r w:rsidR="008771B1" w:rsidRPr="004D1003">
        <w:rPr>
          <w:rFonts w:ascii="Book Antiqua" w:hAnsi="Book Antiqua" w:cstheme="majorHAnsi"/>
          <w:i/>
          <w:color w:val="000000" w:themeColor="text1"/>
          <w:sz w:val="24"/>
          <w:szCs w:val="24"/>
          <w:lang w:val="en-GB"/>
        </w:rPr>
        <w:t>Ta'zir</w:t>
      </w:r>
      <w:proofErr w:type="spellEnd"/>
      <w:r w:rsidR="008771B1" w:rsidRPr="008771B1">
        <w:rPr>
          <w:rFonts w:ascii="Book Antiqua" w:hAnsi="Book Antiqua" w:cstheme="majorHAnsi"/>
          <w:color w:val="000000" w:themeColor="text1"/>
          <w:sz w:val="24"/>
          <w:szCs w:val="24"/>
          <w:lang w:val="en-GB"/>
        </w:rPr>
        <w:t xml:space="preserve"> lashes for a maximum of 15 (fifteen) times and/or a fine of a maximum of 150 (one hundred and five twenty) grams of pure gold and/or imprisonment for a maximum of 15 (fifteen) months.</w:t>
      </w:r>
    </w:p>
    <w:p w:rsidR="008771B1" w:rsidRPr="008771B1" w:rsidRDefault="008771B1" w:rsidP="008771B1">
      <w:pPr>
        <w:spacing w:after="120" w:line="240" w:lineRule="auto"/>
        <w:jc w:val="both"/>
        <w:rPr>
          <w:rFonts w:ascii="Book Antiqua" w:hAnsi="Book Antiqua" w:cstheme="majorHAnsi"/>
          <w:color w:val="000000" w:themeColor="text1"/>
          <w:sz w:val="24"/>
          <w:szCs w:val="24"/>
          <w:lang w:val="en-GB"/>
        </w:rPr>
      </w:pPr>
      <w:r w:rsidRPr="008771B1">
        <w:rPr>
          <w:rFonts w:ascii="Book Antiqua" w:hAnsi="Book Antiqua" w:cstheme="majorHAnsi"/>
          <w:color w:val="000000" w:themeColor="text1"/>
          <w:sz w:val="24"/>
          <w:szCs w:val="24"/>
          <w:lang w:val="en-GB"/>
        </w:rPr>
        <w:t xml:space="preserve">Settlement of </w:t>
      </w:r>
      <w:proofErr w:type="spellStart"/>
      <w:r w:rsidR="006E7C55" w:rsidRPr="006E7C55">
        <w:rPr>
          <w:rFonts w:ascii="Book Antiqua" w:hAnsi="Book Antiqua" w:cstheme="majorHAnsi"/>
          <w:i/>
          <w:color w:val="000000" w:themeColor="text1"/>
          <w:sz w:val="24"/>
          <w:szCs w:val="24"/>
          <w:lang w:val="en-GB"/>
        </w:rPr>
        <w:t>khalwat</w:t>
      </w:r>
      <w:proofErr w:type="spellEnd"/>
      <w:r w:rsidRPr="008771B1">
        <w:rPr>
          <w:rFonts w:ascii="Book Antiqua" w:hAnsi="Book Antiqua" w:cstheme="majorHAnsi"/>
          <w:color w:val="000000" w:themeColor="text1"/>
          <w:sz w:val="24"/>
          <w:szCs w:val="24"/>
          <w:lang w:val="en-GB"/>
        </w:rPr>
        <w:t xml:space="preserve"> can be reached through two approaches, namely litigation settlement, namely the sharia court, and settlement through customary institutions, </w:t>
      </w:r>
      <w:r w:rsidRPr="008771B1">
        <w:rPr>
          <w:rFonts w:ascii="Book Antiqua" w:hAnsi="Book Antiqua" w:cstheme="majorHAnsi"/>
          <w:color w:val="000000" w:themeColor="text1"/>
          <w:sz w:val="24"/>
          <w:szCs w:val="24"/>
          <w:lang w:val="en-GB"/>
        </w:rPr>
        <w:lastRenderedPageBreak/>
        <w:t xml:space="preserve">namely through customary courts. Litigation settlement through formal law enforcement starts from the process of investigation, investigation, prosecution, and trial at the </w:t>
      </w:r>
      <w:proofErr w:type="spellStart"/>
      <w:r w:rsidRPr="008771B1">
        <w:rPr>
          <w:rFonts w:ascii="Book Antiqua" w:hAnsi="Book Antiqua" w:cstheme="majorHAnsi"/>
          <w:color w:val="000000" w:themeColor="text1"/>
          <w:sz w:val="24"/>
          <w:szCs w:val="24"/>
          <w:lang w:val="en-GB"/>
        </w:rPr>
        <w:t>Syar'iyah</w:t>
      </w:r>
      <w:proofErr w:type="spellEnd"/>
      <w:r w:rsidRPr="008771B1">
        <w:rPr>
          <w:rFonts w:ascii="Book Antiqua" w:hAnsi="Book Antiqua" w:cstheme="majorHAnsi"/>
          <w:color w:val="000000" w:themeColor="text1"/>
          <w:sz w:val="24"/>
          <w:szCs w:val="24"/>
          <w:lang w:val="en-GB"/>
        </w:rPr>
        <w:t xml:space="preserve"> Court. However, the settlement of </w:t>
      </w:r>
      <w:proofErr w:type="spellStart"/>
      <w:r w:rsidR="006E7C55" w:rsidRPr="006E7C55">
        <w:rPr>
          <w:rFonts w:ascii="Book Antiqua" w:hAnsi="Book Antiqua" w:cstheme="majorHAnsi"/>
          <w:i/>
          <w:color w:val="000000" w:themeColor="text1"/>
          <w:sz w:val="24"/>
          <w:szCs w:val="24"/>
          <w:lang w:val="en-GB"/>
        </w:rPr>
        <w:t>khalwat</w:t>
      </w:r>
      <w:proofErr w:type="spellEnd"/>
      <w:r w:rsidRPr="008771B1">
        <w:rPr>
          <w:rFonts w:ascii="Book Antiqua" w:hAnsi="Book Antiqua" w:cstheme="majorHAnsi"/>
          <w:color w:val="000000" w:themeColor="text1"/>
          <w:sz w:val="24"/>
          <w:szCs w:val="24"/>
          <w:lang w:val="en-GB"/>
        </w:rPr>
        <w:t xml:space="preserve"> in Aceh is actually more resolved through customary courts. The authority of traditional institutions to resolve the </w:t>
      </w:r>
      <w:proofErr w:type="spellStart"/>
      <w:r w:rsidR="006E7C55" w:rsidRPr="006E7C55">
        <w:rPr>
          <w:rFonts w:ascii="Book Antiqua" w:hAnsi="Book Antiqua" w:cstheme="majorHAnsi"/>
          <w:i/>
          <w:color w:val="000000" w:themeColor="text1"/>
          <w:sz w:val="24"/>
          <w:szCs w:val="24"/>
          <w:lang w:val="en-GB"/>
        </w:rPr>
        <w:t>khalwat</w:t>
      </w:r>
      <w:proofErr w:type="spellEnd"/>
      <w:r w:rsidRPr="008771B1">
        <w:rPr>
          <w:rFonts w:ascii="Book Antiqua" w:hAnsi="Book Antiqua" w:cstheme="majorHAnsi"/>
          <w:color w:val="000000" w:themeColor="text1"/>
          <w:sz w:val="24"/>
          <w:szCs w:val="24"/>
          <w:lang w:val="en-GB"/>
        </w:rPr>
        <w:t xml:space="preserve"> is regulated in Article 24 of </w:t>
      </w:r>
      <w:proofErr w:type="spellStart"/>
      <w:r w:rsidRPr="008771B1">
        <w:rPr>
          <w:rFonts w:ascii="Book Antiqua" w:hAnsi="Book Antiqua" w:cstheme="majorHAnsi"/>
          <w:color w:val="000000" w:themeColor="text1"/>
          <w:sz w:val="24"/>
          <w:szCs w:val="24"/>
          <w:lang w:val="en-GB"/>
        </w:rPr>
        <w:t>Qanun</w:t>
      </w:r>
      <w:proofErr w:type="spellEnd"/>
      <w:r w:rsidRPr="008771B1">
        <w:rPr>
          <w:rFonts w:ascii="Book Antiqua" w:hAnsi="Book Antiqua" w:cstheme="majorHAnsi"/>
          <w:color w:val="000000" w:themeColor="text1"/>
          <w:sz w:val="24"/>
          <w:szCs w:val="24"/>
          <w:lang w:val="en-GB"/>
        </w:rPr>
        <w:t xml:space="preserve"> No. 6 of 2014 concerning </w:t>
      </w:r>
      <w:proofErr w:type="spellStart"/>
      <w:r w:rsidR="006E7C55" w:rsidRPr="006E7C55">
        <w:rPr>
          <w:rFonts w:ascii="Book Antiqua" w:hAnsi="Book Antiqua" w:cstheme="majorHAnsi"/>
          <w:i/>
          <w:color w:val="000000" w:themeColor="text1"/>
          <w:sz w:val="24"/>
          <w:szCs w:val="24"/>
          <w:lang w:val="en-GB"/>
        </w:rPr>
        <w:t>Jinayat</w:t>
      </w:r>
      <w:proofErr w:type="spellEnd"/>
      <w:r w:rsidRPr="008771B1">
        <w:rPr>
          <w:rFonts w:ascii="Book Antiqua" w:hAnsi="Book Antiqua" w:cstheme="majorHAnsi"/>
          <w:color w:val="000000" w:themeColor="text1"/>
          <w:sz w:val="24"/>
          <w:szCs w:val="24"/>
          <w:lang w:val="en-GB"/>
        </w:rPr>
        <w:t xml:space="preserve"> Law. </w:t>
      </w:r>
      <w:proofErr w:type="gramStart"/>
      <w:r w:rsidRPr="008771B1">
        <w:rPr>
          <w:rFonts w:ascii="Book Antiqua" w:hAnsi="Book Antiqua" w:cstheme="majorHAnsi"/>
          <w:color w:val="000000" w:themeColor="text1"/>
          <w:sz w:val="24"/>
          <w:szCs w:val="24"/>
          <w:lang w:val="en-GB"/>
        </w:rPr>
        <w:t xml:space="preserve">Which determines that the finger of seclusion which is the authority of the customary court is settled according to the provisions in the Aceh </w:t>
      </w:r>
      <w:proofErr w:type="spellStart"/>
      <w:r w:rsidRPr="008771B1">
        <w:rPr>
          <w:rFonts w:ascii="Book Antiqua" w:hAnsi="Book Antiqua" w:cstheme="majorHAnsi"/>
          <w:color w:val="000000" w:themeColor="text1"/>
          <w:sz w:val="24"/>
          <w:szCs w:val="24"/>
          <w:lang w:val="en-GB"/>
        </w:rPr>
        <w:t>Qanun</w:t>
      </w:r>
      <w:proofErr w:type="spellEnd"/>
      <w:r w:rsidRPr="008771B1">
        <w:rPr>
          <w:rFonts w:ascii="Book Antiqua" w:hAnsi="Book Antiqua" w:cstheme="majorHAnsi"/>
          <w:color w:val="000000" w:themeColor="text1"/>
          <w:sz w:val="24"/>
          <w:szCs w:val="24"/>
          <w:lang w:val="en-GB"/>
        </w:rPr>
        <w:t xml:space="preserve"> concerning the development of customary life and customs and/or other laws and regulations regarding customs.</w:t>
      </w:r>
      <w:proofErr w:type="gramEnd"/>
    </w:p>
    <w:p w:rsidR="004B1F20" w:rsidRDefault="008771B1" w:rsidP="008771B1">
      <w:pPr>
        <w:spacing w:after="120" w:line="240" w:lineRule="auto"/>
        <w:jc w:val="both"/>
        <w:rPr>
          <w:rFonts w:ascii="Book Antiqua" w:hAnsi="Book Antiqua" w:cstheme="majorHAnsi"/>
          <w:color w:val="000000" w:themeColor="text1"/>
          <w:sz w:val="24"/>
          <w:szCs w:val="24"/>
          <w:lang w:val="en-GB"/>
        </w:rPr>
      </w:pPr>
      <w:r w:rsidRPr="008771B1">
        <w:rPr>
          <w:rFonts w:ascii="Book Antiqua" w:hAnsi="Book Antiqua" w:cstheme="majorHAnsi"/>
          <w:color w:val="000000" w:themeColor="text1"/>
          <w:sz w:val="24"/>
          <w:szCs w:val="24"/>
          <w:lang w:val="en-GB"/>
        </w:rPr>
        <w:t xml:space="preserve">Settlement of </w:t>
      </w:r>
      <w:proofErr w:type="spellStart"/>
      <w:r w:rsidR="006E7C55" w:rsidRPr="006E7C55">
        <w:rPr>
          <w:rFonts w:ascii="Book Antiqua" w:hAnsi="Book Antiqua" w:cstheme="majorHAnsi"/>
          <w:i/>
          <w:color w:val="000000" w:themeColor="text1"/>
          <w:sz w:val="24"/>
          <w:szCs w:val="24"/>
          <w:lang w:val="en-GB"/>
        </w:rPr>
        <w:t>khalwat</w:t>
      </w:r>
      <w:proofErr w:type="spellEnd"/>
      <w:r w:rsidRPr="008771B1">
        <w:rPr>
          <w:rFonts w:ascii="Book Antiqua" w:hAnsi="Book Antiqua" w:cstheme="majorHAnsi"/>
          <w:color w:val="000000" w:themeColor="text1"/>
          <w:sz w:val="24"/>
          <w:szCs w:val="24"/>
          <w:lang w:val="en-GB"/>
        </w:rPr>
        <w:t xml:space="preserve"> through customary courts uses a deliberation-consensus approach through village meetings or called </w:t>
      </w:r>
      <w:proofErr w:type="spellStart"/>
      <w:r w:rsidRPr="008771B1">
        <w:rPr>
          <w:rFonts w:ascii="Book Antiqua" w:hAnsi="Book Antiqua" w:cstheme="majorHAnsi"/>
          <w:color w:val="000000" w:themeColor="text1"/>
          <w:sz w:val="24"/>
          <w:szCs w:val="24"/>
          <w:lang w:val="en-GB"/>
        </w:rPr>
        <w:t>Gampong</w:t>
      </w:r>
      <w:proofErr w:type="spellEnd"/>
      <w:r w:rsidRPr="008771B1">
        <w:rPr>
          <w:rFonts w:ascii="Book Antiqua" w:hAnsi="Book Antiqua" w:cstheme="majorHAnsi"/>
          <w:color w:val="000000" w:themeColor="text1"/>
          <w:sz w:val="24"/>
          <w:szCs w:val="24"/>
          <w:lang w:val="en-GB"/>
        </w:rPr>
        <w:t xml:space="preserve"> Customary Meetings (RAG), so that the punishment (`</w:t>
      </w:r>
      <w:proofErr w:type="spellStart"/>
      <w:r w:rsidRPr="00AE24FF">
        <w:rPr>
          <w:rFonts w:ascii="Book Antiqua" w:hAnsi="Book Antiqua" w:cstheme="majorHAnsi"/>
          <w:i/>
          <w:color w:val="000000" w:themeColor="text1"/>
          <w:sz w:val="24"/>
          <w:szCs w:val="24"/>
          <w:lang w:val="en-GB"/>
        </w:rPr>
        <w:t>uqubat</w:t>
      </w:r>
      <w:proofErr w:type="spellEnd"/>
      <w:r w:rsidRPr="008771B1">
        <w:rPr>
          <w:rFonts w:ascii="Book Antiqua" w:hAnsi="Book Antiqua" w:cstheme="majorHAnsi"/>
          <w:color w:val="000000" w:themeColor="text1"/>
          <w:sz w:val="24"/>
          <w:szCs w:val="24"/>
          <w:lang w:val="en-GB"/>
        </w:rPr>
        <w:t xml:space="preserve">) that is applied is not based on Islamic law as regulated in the Aceh </w:t>
      </w:r>
      <w:proofErr w:type="spellStart"/>
      <w:r w:rsidR="006E7C55" w:rsidRPr="006E7C55">
        <w:rPr>
          <w:rFonts w:ascii="Book Antiqua" w:hAnsi="Book Antiqua" w:cstheme="majorHAnsi"/>
          <w:i/>
          <w:color w:val="000000" w:themeColor="text1"/>
          <w:sz w:val="24"/>
          <w:szCs w:val="24"/>
          <w:lang w:val="en-GB"/>
        </w:rPr>
        <w:t>jinayat</w:t>
      </w:r>
      <w:proofErr w:type="spellEnd"/>
      <w:r w:rsidRPr="008771B1">
        <w:rPr>
          <w:rFonts w:ascii="Book Antiqua" w:hAnsi="Book Antiqua" w:cstheme="majorHAnsi"/>
          <w:color w:val="000000" w:themeColor="text1"/>
          <w:sz w:val="24"/>
          <w:szCs w:val="24"/>
          <w:lang w:val="en-GB"/>
        </w:rPr>
        <w:t xml:space="preserve"> </w:t>
      </w:r>
      <w:proofErr w:type="spellStart"/>
      <w:r w:rsidRPr="008771B1">
        <w:rPr>
          <w:rFonts w:ascii="Book Antiqua" w:hAnsi="Book Antiqua" w:cstheme="majorHAnsi"/>
          <w:color w:val="000000" w:themeColor="text1"/>
          <w:sz w:val="24"/>
          <w:szCs w:val="24"/>
          <w:lang w:val="en-GB"/>
        </w:rPr>
        <w:t>qanun</w:t>
      </w:r>
      <w:proofErr w:type="spellEnd"/>
      <w:r w:rsidRPr="008771B1">
        <w:rPr>
          <w:rFonts w:ascii="Book Antiqua" w:hAnsi="Book Antiqua" w:cstheme="majorHAnsi"/>
          <w:color w:val="000000" w:themeColor="text1"/>
          <w:sz w:val="24"/>
          <w:szCs w:val="24"/>
          <w:lang w:val="en-GB"/>
        </w:rPr>
        <w:t>, namely traditional punishments in the form of fines, feasts, bathed, disposed of/expelled, married or other punishment in accordance with the customary norms where the case occurred. This customary punishment is considered more effective because the punishment has existed and has been applied from generation to generation in the local indigenous community so that community members obey it more.</w:t>
      </w:r>
    </w:p>
    <w:p w:rsidR="004D1003" w:rsidRDefault="004D1003" w:rsidP="008771B1">
      <w:pPr>
        <w:spacing w:after="120" w:line="240" w:lineRule="auto"/>
        <w:jc w:val="both"/>
        <w:rPr>
          <w:rFonts w:ascii="Book Antiqua" w:hAnsi="Book Antiqua" w:cstheme="majorHAnsi"/>
          <w:color w:val="000000" w:themeColor="text1"/>
          <w:sz w:val="24"/>
          <w:szCs w:val="24"/>
          <w:lang w:val="en-GB"/>
        </w:rPr>
      </w:pPr>
    </w:p>
    <w:p w:rsidR="004B1F20" w:rsidRPr="00EE6288" w:rsidRDefault="004B1F20" w:rsidP="00980C6B">
      <w:pPr>
        <w:spacing w:after="120" w:line="240" w:lineRule="auto"/>
        <w:jc w:val="both"/>
        <w:rPr>
          <w:rFonts w:ascii="Book Antiqua" w:eastAsia="Arial Unicode MS" w:hAnsi="Book Antiqua" w:cstheme="majorHAnsi"/>
          <w:b/>
          <w:color w:val="2F5496" w:themeColor="accent1" w:themeShade="BF"/>
          <w:sz w:val="24"/>
          <w:szCs w:val="24"/>
          <w:lang w:val="en-GB"/>
        </w:rPr>
      </w:pPr>
      <w:r w:rsidRPr="00EE6288">
        <w:rPr>
          <w:rFonts w:ascii="Book Antiqua" w:eastAsia="Arial Unicode MS" w:hAnsi="Book Antiqua" w:cstheme="majorHAnsi"/>
          <w:b/>
          <w:color w:val="2F5496" w:themeColor="accent1" w:themeShade="BF"/>
          <w:sz w:val="24"/>
          <w:szCs w:val="24"/>
          <w:lang w:val="en-GB"/>
        </w:rPr>
        <w:t>REFERENCES</w:t>
      </w:r>
    </w:p>
    <w:p w:rsidR="00772183" w:rsidRDefault="00AA1A42" w:rsidP="00772183">
      <w:pPr>
        <w:widowControl w:val="0"/>
        <w:autoSpaceDE w:val="0"/>
        <w:autoSpaceDN w:val="0"/>
        <w:adjustRightInd w:val="0"/>
        <w:spacing w:after="120" w:line="240" w:lineRule="auto"/>
        <w:ind w:left="480" w:hanging="480"/>
        <w:jc w:val="both"/>
        <w:rPr>
          <w:rFonts w:ascii="Book Antiqua" w:hAnsi="Book Antiqua" w:cstheme="majorHAnsi"/>
          <w:i/>
          <w:color w:val="000000" w:themeColor="text1"/>
          <w:sz w:val="24"/>
        </w:rPr>
      </w:pPr>
      <w:r w:rsidRPr="00980C6B">
        <w:rPr>
          <w:rFonts w:ascii="Book Antiqua" w:hAnsi="Book Antiqua" w:cstheme="majorHAnsi"/>
          <w:i/>
          <w:color w:val="000000" w:themeColor="text1"/>
          <w:sz w:val="24"/>
        </w:rPr>
        <w:t>Journal A</w:t>
      </w:r>
      <w:r w:rsidR="00980C6B">
        <w:rPr>
          <w:rFonts w:ascii="Book Antiqua" w:hAnsi="Book Antiqua" w:cstheme="majorHAnsi"/>
          <w:i/>
          <w:color w:val="000000" w:themeColor="text1"/>
          <w:sz w:val="24"/>
        </w:rPr>
        <w:t>rticle</w:t>
      </w:r>
    </w:p>
    <w:p w:rsidR="00772183" w:rsidRPr="00772183" w:rsidRDefault="00772183" w:rsidP="00E90247">
      <w:pPr>
        <w:widowControl w:val="0"/>
        <w:autoSpaceDE w:val="0"/>
        <w:autoSpaceDN w:val="0"/>
        <w:adjustRightInd w:val="0"/>
        <w:spacing w:after="120" w:line="240" w:lineRule="auto"/>
        <w:ind w:left="480" w:hanging="480"/>
        <w:jc w:val="both"/>
        <w:rPr>
          <w:rFonts w:ascii="Book Antiqua" w:hAnsi="Book Antiqua"/>
          <w:noProof/>
          <w:sz w:val="24"/>
          <w:szCs w:val="24"/>
        </w:rPr>
      </w:pPr>
      <w:r>
        <w:rPr>
          <w:rStyle w:val="Heading1Char"/>
          <w:rFonts w:ascii="Book Antiqua" w:hAnsi="Book Antiqua" w:cstheme="majorHAnsi"/>
          <w:b/>
          <w:sz w:val="24"/>
        </w:rPr>
        <w:fldChar w:fldCharType="begin" w:fldLock="1"/>
      </w:r>
      <w:r>
        <w:rPr>
          <w:rStyle w:val="Heading1Char"/>
          <w:rFonts w:ascii="Book Antiqua" w:hAnsi="Book Antiqua" w:cstheme="majorHAnsi"/>
          <w:b/>
          <w:sz w:val="24"/>
        </w:rPr>
        <w:instrText xml:space="preserve">ADDIN Mendeley Bibliography CSL_BIBLIOGRAPHY </w:instrText>
      </w:r>
      <w:r>
        <w:rPr>
          <w:rStyle w:val="Heading1Char"/>
          <w:rFonts w:ascii="Book Antiqua" w:hAnsi="Book Antiqua" w:cstheme="majorHAnsi"/>
          <w:b/>
          <w:sz w:val="24"/>
        </w:rPr>
        <w:fldChar w:fldCharType="separate"/>
      </w:r>
      <w:r w:rsidRPr="00772183">
        <w:rPr>
          <w:rFonts w:ascii="Book Antiqua" w:hAnsi="Book Antiqua"/>
          <w:noProof/>
          <w:sz w:val="24"/>
          <w:szCs w:val="24"/>
        </w:rPr>
        <w:t xml:space="preserve">Badarulzaman, Muhammad Hafiz, Azhar Alias, Mohammad Azam Hussain, and Shuhairimi Bin Abdullah. “A Review on Legal Interpretation of Khalwat Under the Syariah.” </w:t>
      </w:r>
      <w:r w:rsidRPr="00772183">
        <w:rPr>
          <w:rFonts w:ascii="Book Antiqua" w:hAnsi="Book Antiqua"/>
          <w:i/>
          <w:iCs/>
          <w:noProof/>
          <w:sz w:val="24"/>
          <w:szCs w:val="24"/>
        </w:rPr>
        <w:t>Journal of Global Business and Sosial Entrepreneurship (GBSE)</w:t>
      </w:r>
      <w:r w:rsidRPr="00772183">
        <w:rPr>
          <w:rFonts w:ascii="Book Antiqua" w:hAnsi="Book Antiqua"/>
          <w:noProof/>
          <w:sz w:val="24"/>
          <w:szCs w:val="24"/>
        </w:rPr>
        <w:t xml:space="preserve"> 2, no. 5 (2016): 44–54</w:t>
      </w:r>
      <w:r w:rsidR="00945376">
        <w:rPr>
          <w:rFonts w:ascii="Book Antiqua" w:hAnsi="Book Antiqua"/>
          <w:noProof/>
          <w:sz w:val="24"/>
          <w:szCs w:val="24"/>
        </w:rPr>
        <w:t>. http://doi.org/11.11020/gbse.v2</w:t>
      </w:r>
      <w:r w:rsidR="00945376" w:rsidRPr="002B48D9">
        <w:rPr>
          <w:rFonts w:ascii="Book Antiqua" w:hAnsi="Book Antiqua"/>
          <w:noProof/>
          <w:sz w:val="24"/>
          <w:szCs w:val="24"/>
        </w:rPr>
        <w:t>i</w:t>
      </w:r>
      <w:r w:rsidR="00945376">
        <w:rPr>
          <w:rFonts w:ascii="Book Antiqua" w:hAnsi="Book Antiqua"/>
          <w:noProof/>
          <w:sz w:val="24"/>
          <w:szCs w:val="24"/>
        </w:rPr>
        <w:t>5</w:t>
      </w:r>
      <w:r w:rsidR="00945376" w:rsidRPr="002B48D9">
        <w:rPr>
          <w:rFonts w:ascii="Book Antiqua" w:hAnsi="Book Antiqua"/>
          <w:noProof/>
          <w:sz w:val="24"/>
          <w:szCs w:val="24"/>
        </w:rPr>
        <w:t>1.547</w:t>
      </w:r>
      <w:r w:rsidR="00945376">
        <w:rPr>
          <w:rFonts w:ascii="Book Antiqua" w:hAnsi="Book Antiqua"/>
          <w:noProof/>
          <w:sz w:val="24"/>
          <w:szCs w:val="24"/>
        </w:rPr>
        <w:t>.</w:t>
      </w:r>
    </w:p>
    <w:p w:rsidR="00772183" w:rsidRPr="00772183" w:rsidRDefault="00772183" w:rsidP="00E90247">
      <w:pPr>
        <w:widowControl w:val="0"/>
        <w:autoSpaceDE w:val="0"/>
        <w:autoSpaceDN w:val="0"/>
        <w:adjustRightInd w:val="0"/>
        <w:spacing w:after="120" w:line="240" w:lineRule="auto"/>
        <w:ind w:left="480" w:hanging="480"/>
        <w:jc w:val="both"/>
        <w:rPr>
          <w:rFonts w:ascii="Book Antiqua" w:hAnsi="Book Antiqua"/>
          <w:noProof/>
          <w:sz w:val="24"/>
          <w:szCs w:val="24"/>
        </w:rPr>
      </w:pPr>
      <w:r w:rsidRPr="00772183">
        <w:rPr>
          <w:rFonts w:ascii="Book Antiqua" w:hAnsi="Book Antiqua"/>
          <w:noProof/>
          <w:sz w:val="24"/>
          <w:szCs w:val="24"/>
        </w:rPr>
        <w:t xml:space="preserve">Berutu, Ali Geno. “Qanun Aceh No. 14 Tahun 2003 Tentang Khalwat Dalam Pandangan FikIh Dan KUHP.” </w:t>
      </w:r>
      <w:r w:rsidRPr="00772183">
        <w:rPr>
          <w:rFonts w:ascii="Book Antiqua" w:hAnsi="Book Antiqua"/>
          <w:i/>
          <w:iCs/>
          <w:noProof/>
          <w:sz w:val="24"/>
          <w:szCs w:val="24"/>
        </w:rPr>
        <w:t>Muslim Heritage</w:t>
      </w:r>
      <w:r w:rsidRPr="00772183">
        <w:rPr>
          <w:rFonts w:ascii="Book Antiqua" w:hAnsi="Book Antiqua"/>
          <w:noProof/>
          <w:sz w:val="24"/>
          <w:szCs w:val="24"/>
        </w:rPr>
        <w:t xml:space="preserve"> 1, no. 2 (2017): 87–106</w:t>
      </w:r>
      <w:r w:rsidR="00E90247">
        <w:rPr>
          <w:rFonts w:ascii="Book Antiqua" w:hAnsi="Book Antiqua"/>
          <w:noProof/>
          <w:sz w:val="24"/>
          <w:szCs w:val="24"/>
        </w:rPr>
        <w:t xml:space="preserve">. </w:t>
      </w:r>
      <w:r w:rsidR="00E90247" w:rsidRPr="00E90247">
        <w:rPr>
          <w:rFonts w:ascii="Book Antiqua" w:hAnsi="Book Antiqua"/>
          <w:noProof/>
          <w:sz w:val="24"/>
          <w:szCs w:val="24"/>
        </w:rPr>
        <w:t>https://doi.org/10.28918/jhi.v15i2.763</w:t>
      </w:r>
      <w:r w:rsidRPr="00772183">
        <w:rPr>
          <w:rFonts w:ascii="Book Antiqua" w:hAnsi="Book Antiqua"/>
          <w:noProof/>
          <w:sz w:val="24"/>
          <w:szCs w:val="24"/>
        </w:rPr>
        <w:t>.</w:t>
      </w:r>
    </w:p>
    <w:p w:rsidR="00772183" w:rsidRPr="00772183" w:rsidRDefault="00772183" w:rsidP="00E90247">
      <w:pPr>
        <w:widowControl w:val="0"/>
        <w:autoSpaceDE w:val="0"/>
        <w:autoSpaceDN w:val="0"/>
        <w:adjustRightInd w:val="0"/>
        <w:spacing w:after="120" w:line="240" w:lineRule="auto"/>
        <w:ind w:left="480" w:hanging="480"/>
        <w:jc w:val="both"/>
        <w:rPr>
          <w:rFonts w:ascii="Book Antiqua" w:hAnsi="Book Antiqua"/>
          <w:noProof/>
          <w:sz w:val="24"/>
          <w:szCs w:val="24"/>
        </w:rPr>
      </w:pPr>
      <w:r w:rsidRPr="00772183">
        <w:rPr>
          <w:rFonts w:ascii="Book Antiqua" w:hAnsi="Book Antiqua"/>
          <w:noProof/>
          <w:sz w:val="24"/>
          <w:szCs w:val="24"/>
        </w:rPr>
        <w:t xml:space="preserve">Kurniawan. “The Dynamics of Formalization of Islamic Law In Indonesia.” </w:t>
      </w:r>
      <w:r w:rsidRPr="00772183">
        <w:rPr>
          <w:rFonts w:ascii="Book Antiqua" w:hAnsi="Book Antiqua"/>
          <w:i/>
          <w:iCs/>
          <w:noProof/>
          <w:sz w:val="24"/>
          <w:szCs w:val="24"/>
        </w:rPr>
        <w:t>KANUN : Jurnal Ilmu Hukum</w:t>
      </w:r>
      <w:r w:rsidRPr="00772183">
        <w:rPr>
          <w:rFonts w:ascii="Book Antiqua" w:hAnsi="Book Antiqua"/>
          <w:noProof/>
          <w:sz w:val="24"/>
          <w:szCs w:val="24"/>
        </w:rPr>
        <w:t xml:space="preserve"> 14, no. 3 (2012): 423–47</w:t>
      </w:r>
      <w:r w:rsidR="002B48D9">
        <w:rPr>
          <w:rFonts w:ascii="Book Antiqua" w:hAnsi="Book Antiqua"/>
          <w:noProof/>
          <w:sz w:val="24"/>
          <w:szCs w:val="24"/>
        </w:rPr>
        <w:t xml:space="preserve">. </w:t>
      </w:r>
      <w:r w:rsidR="00E90247" w:rsidRPr="00E90247">
        <w:rPr>
          <w:rFonts w:ascii="Book Antiqua" w:hAnsi="Book Antiqua"/>
          <w:noProof/>
          <w:sz w:val="24"/>
          <w:szCs w:val="24"/>
        </w:rPr>
        <w:t>10.24815/kanun.v24i1.26659</w:t>
      </w:r>
    </w:p>
    <w:p w:rsidR="00772183" w:rsidRPr="00772183" w:rsidRDefault="00772183" w:rsidP="00E90247">
      <w:pPr>
        <w:widowControl w:val="0"/>
        <w:autoSpaceDE w:val="0"/>
        <w:autoSpaceDN w:val="0"/>
        <w:adjustRightInd w:val="0"/>
        <w:spacing w:after="120" w:line="240" w:lineRule="auto"/>
        <w:ind w:left="480" w:hanging="480"/>
        <w:jc w:val="both"/>
        <w:rPr>
          <w:rFonts w:ascii="Book Antiqua" w:hAnsi="Book Antiqua"/>
          <w:noProof/>
          <w:sz w:val="24"/>
          <w:szCs w:val="24"/>
        </w:rPr>
      </w:pPr>
      <w:r w:rsidRPr="00772183">
        <w:rPr>
          <w:rFonts w:ascii="Book Antiqua" w:hAnsi="Book Antiqua"/>
          <w:noProof/>
          <w:sz w:val="24"/>
          <w:szCs w:val="24"/>
        </w:rPr>
        <w:t xml:space="preserve">Lesmana, Teddy. “Mediasi Penal Sebagai Alternatif Penyelesaian Perkara Pidana Dalam Perspektif Pembaharuan Sistem Peradilan Pidana Indonesia.” </w:t>
      </w:r>
      <w:r w:rsidRPr="00772183">
        <w:rPr>
          <w:rFonts w:ascii="Book Antiqua" w:hAnsi="Book Antiqua"/>
          <w:i/>
          <w:iCs/>
          <w:noProof/>
          <w:sz w:val="24"/>
          <w:szCs w:val="24"/>
        </w:rPr>
        <w:t>Jurnal Rechten</w:t>
      </w:r>
      <w:r w:rsidRPr="00772183">
        <w:rPr>
          <w:rFonts w:ascii="Times New Roman" w:hAnsi="Times New Roman"/>
          <w:i/>
          <w:iCs/>
          <w:noProof/>
          <w:sz w:val="24"/>
          <w:szCs w:val="24"/>
        </w:rPr>
        <w:t> </w:t>
      </w:r>
      <w:r w:rsidRPr="00772183">
        <w:rPr>
          <w:rFonts w:ascii="Book Antiqua" w:hAnsi="Book Antiqua"/>
          <w:i/>
          <w:iCs/>
          <w:noProof/>
          <w:sz w:val="24"/>
          <w:szCs w:val="24"/>
        </w:rPr>
        <w:t>: Riset Hukum Dan Hak Asasi Manusia</w:t>
      </w:r>
      <w:r w:rsidRPr="00772183">
        <w:rPr>
          <w:rFonts w:ascii="Book Antiqua" w:hAnsi="Book Antiqua"/>
          <w:noProof/>
          <w:sz w:val="24"/>
          <w:szCs w:val="24"/>
        </w:rPr>
        <w:t xml:space="preserve"> 1, no. 1 (2019): 1–20</w:t>
      </w:r>
      <w:r w:rsidR="002B48D9">
        <w:rPr>
          <w:rFonts w:ascii="Book Antiqua" w:hAnsi="Book Antiqua"/>
          <w:noProof/>
          <w:sz w:val="24"/>
          <w:szCs w:val="24"/>
        </w:rPr>
        <w:t>.</w:t>
      </w:r>
      <w:r w:rsidR="002B48D9" w:rsidRPr="002B48D9">
        <w:t xml:space="preserve"> </w:t>
      </w:r>
      <w:r w:rsidR="002B48D9" w:rsidRPr="002B48D9">
        <w:rPr>
          <w:rFonts w:ascii="Book Antiqua" w:hAnsi="Book Antiqua"/>
          <w:noProof/>
          <w:sz w:val="24"/>
          <w:szCs w:val="24"/>
        </w:rPr>
        <w:t>https://doi.org/10.52005/rechten.v1i1.1</w:t>
      </w:r>
      <w:r w:rsidRPr="00772183">
        <w:rPr>
          <w:rFonts w:ascii="Book Antiqua" w:hAnsi="Book Antiqua"/>
          <w:noProof/>
          <w:sz w:val="24"/>
          <w:szCs w:val="24"/>
        </w:rPr>
        <w:t>.</w:t>
      </w:r>
    </w:p>
    <w:p w:rsidR="00772183" w:rsidRPr="00772183" w:rsidRDefault="00772183" w:rsidP="00E90247">
      <w:pPr>
        <w:widowControl w:val="0"/>
        <w:autoSpaceDE w:val="0"/>
        <w:autoSpaceDN w:val="0"/>
        <w:adjustRightInd w:val="0"/>
        <w:spacing w:after="120" w:line="240" w:lineRule="auto"/>
        <w:ind w:left="480" w:hanging="480"/>
        <w:jc w:val="both"/>
        <w:rPr>
          <w:rFonts w:ascii="Book Antiqua" w:hAnsi="Book Antiqua"/>
          <w:noProof/>
          <w:sz w:val="24"/>
          <w:szCs w:val="24"/>
        </w:rPr>
      </w:pPr>
      <w:r w:rsidRPr="00772183">
        <w:rPr>
          <w:rFonts w:ascii="Book Antiqua" w:hAnsi="Book Antiqua"/>
          <w:noProof/>
          <w:sz w:val="24"/>
          <w:szCs w:val="24"/>
        </w:rPr>
        <w:t xml:space="preserve">Mukhlis. “Keistimewaan Dan Kekhususan Aceh Dalam Perspektif Negara Kesatuan Republik Indonesia.” </w:t>
      </w:r>
      <w:r w:rsidRPr="00772183">
        <w:rPr>
          <w:rFonts w:ascii="Book Antiqua" w:hAnsi="Book Antiqua"/>
          <w:i/>
          <w:iCs/>
          <w:noProof/>
          <w:sz w:val="24"/>
          <w:szCs w:val="24"/>
        </w:rPr>
        <w:t>Jurnal Imu Hukum</w:t>
      </w:r>
      <w:r w:rsidRPr="00772183">
        <w:rPr>
          <w:rFonts w:ascii="Book Antiqua" w:hAnsi="Book Antiqua"/>
          <w:noProof/>
          <w:sz w:val="24"/>
          <w:szCs w:val="24"/>
        </w:rPr>
        <w:t xml:space="preserve"> 4, no. 1 (2018): 79–90</w:t>
      </w:r>
      <w:r w:rsidR="002B48D9">
        <w:rPr>
          <w:rFonts w:ascii="Book Antiqua" w:hAnsi="Book Antiqua"/>
          <w:noProof/>
          <w:sz w:val="24"/>
          <w:szCs w:val="24"/>
        </w:rPr>
        <w:t xml:space="preserve">. </w:t>
      </w:r>
      <w:r w:rsidR="002B48D9" w:rsidRPr="002B48D9">
        <w:rPr>
          <w:rFonts w:ascii="Book Antiqua" w:hAnsi="Book Antiqua"/>
          <w:noProof/>
          <w:sz w:val="24"/>
          <w:szCs w:val="24"/>
        </w:rPr>
        <w:t>http://dx.doi.org/10.30652/jih.v4i1.2092</w:t>
      </w:r>
      <w:r w:rsidRPr="00772183">
        <w:rPr>
          <w:rFonts w:ascii="Book Antiqua" w:hAnsi="Book Antiqua"/>
          <w:noProof/>
          <w:sz w:val="24"/>
          <w:szCs w:val="24"/>
        </w:rPr>
        <w:t>.</w:t>
      </w:r>
    </w:p>
    <w:p w:rsidR="00772183" w:rsidRPr="00772183" w:rsidRDefault="00772183" w:rsidP="00E90247">
      <w:pPr>
        <w:widowControl w:val="0"/>
        <w:autoSpaceDE w:val="0"/>
        <w:autoSpaceDN w:val="0"/>
        <w:adjustRightInd w:val="0"/>
        <w:spacing w:after="120" w:line="240" w:lineRule="auto"/>
        <w:ind w:left="480" w:hanging="480"/>
        <w:jc w:val="both"/>
        <w:rPr>
          <w:rFonts w:ascii="Book Antiqua" w:hAnsi="Book Antiqua"/>
          <w:noProof/>
          <w:sz w:val="24"/>
          <w:szCs w:val="24"/>
        </w:rPr>
      </w:pPr>
      <w:r w:rsidRPr="00772183">
        <w:rPr>
          <w:rFonts w:ascii="Book Antiqua" w:hAnsi="Book Antiqua"/>
          <w:noProof/>
          <w:sz w:val="24"/>
          <w:szCs w:val="24"/>
        </w:rPr>
        <w:t xml:space="preserve">Muntaza. “Penyelesaian Kasus Khalwat Melalui Peradilan Adat Aceh.” </w:t>
      </w:r>
      <w:r w:rsidRPr="00772183">
        <w:rPr>
          <w:rFonts w:ascii="Book Antiqua" w:hAnsi="Book Antiqua"/>
          <w:i/>
          <w:iCs/>
          <w:noProof/>
          <w:sz w:val="24"/>
          <w:szCs w:val="24"/>
        </w:rPr>
        <w:t>Media Syari’ah</w:t>
      </w:r>
      <w:r w:rsidRPr="00772183">
        <w:rPr>
          <w:rFonts w:ascii="Times New Roman" w:hAnsi="Times New Roman"/>
          <w:i/>
          <w:iCs/>
          <w:noProof/>
          <w:sz w:val="24"/>
          <w:szCs w:val="24"/>
        </w:rPr>
        <w:t> </w:t>
      </w:r>
      <w:r w:rsidRPr="00772183">
        <w:rPr>
          <w:rFonts w:ascii="Book Antiqua" w:hAnsi="Book Antiqua"/>
          <w:i/>
          <w:iCs/>
          <w:noProof/>
          <w:sz w:val="24"/>
          <w:szCs w:val="24"/>
        </w:rPr>
        <w:t>: Wahana Kajian Hukum Islam Dan Pranata Sosial</w:t>
      </w:r>
      <w:r w:rsidRPr="00772183">
        <w:rPr>
          <w:rFonts w:ascii="Book Antiqua" w:hAnsi="Book Antiqua"/>
          <w:noProof/>
          <w:sz w:val="24"/>
          <w:szCs w:val="24"/>
        </w:rPr>
        <w:t xml:space="preserve"> 19, no. 1 (2017): 159–94</w:t>
      </w:r>
      <w:r w:rsidR="002B48D9">
        <w:rPr>
          <w:rFonts w:ascii="Book Antiqua" w:hAnsi="Book Antiqua"/>
          <w:noProof/>
          <w:sz w:val="24"/>
          <w:szCs w:val="24"/>
        </w:rPr>
        <w:t>.</w:t>
      </w:r>
      <w:r w:rsidR="002B48D9" w:rsidRPr="002B48D9">
        <w:t xml:space="preserve"> </w:t>
      </w:r>
      <w:r w:rsidR="002B48D9" w:rsidRPr="002B48D9">
        <w:rPr>
          <w:rFonts w:ascii="Book Antiqua" w:hAnsi="Book Antiqua"/>
          <w:noProof/>
          <w:sz w:val="24"/>
          <w:szCs w:val="24"/>
        </w:rPr>
        <w:t>http://dx.doi.org/10.22373/jms.v19i1.2019</w:t>
      </w:r>
      <w:r w:rsidRPr="00772183">
        <w:rPr>
          <w:rFonts w:ascii="Book Antiqua" w:hAnsi="Book Antiqua"/>
          <w:noProof/>
          <w:sz w:val="24"/>
          <w:szCs w:val="24"/>
        </w:rPr>
        <w:t>.</w:t>
      </w:r>
    </w:p>
    <w:p w:rsidR="00772183" w:rsidRPr="00772183" w:rsidRDefault="00772183" w:rsidP="00E90247">
      <w:pPr>
        <w:widowControl w:val="0"/>
        <w:autoSpaceDE w:val="0"/>
        <w:autoSpaceDN w:val="0"/>
        <w:adjustRightInd w:val="0"/>
        <w:spacing w:after="120" w:line="240" w:lineRule="auto"/>
        <w:ind w:left="480" w:hanging="480"/>
        <w:jc w:val="both"/>
        <w:rPr>
          <w:rFonts w:ascii="Book Antiqua" w:hAnsi="Book Antiqua"/>
          <w:noProof/>
          <w:sz w:val="24"/>
          <w:szCs w:val="24"/>
        </w:rPr>
      </w:pPr>
      <w:r w:rsidRPr="00772183">
        <w:rPr>
          <w:rFonts w:ascii="Book Antiqua" w:hAnsi="Book Antiqua"/>
          <w:noProof/>
          <w:sz w:val="24"/>
          <w:szCs w:val="24"/>
        </w:rPr>
        <w:t>Rakib, Abdur. “Pergaulan Dalam Pertunangan Dan Khalwat</w:t>
      </w:r>
      <w:r w:rsidRPr="00772183">
        <w:rPr>
          <w:rFonts w:ascii="Times New Roman" w:hAnsi="Times New Roman"/>
          <w:noProof/>
          <w:sz w:val="24"/>
          <w:szCs w:val="24"/>
        </w:rPr>
        <w:t> </w:t>
      </w:r>
      <w:r w:rsidRPr="00772183">
        <w:rPr>
          <w:rFonts w:ascii="Book Antiqua" w:hAnsi="Book Antiqua"/>
          <w:noProof/>
          <w:sz w:val="24"/>
          <w:szCs w:val="24"/>
        </w:rPr>
        <w:t xml:space="preserve">: Studi Budaya Pertunangan Di Daerah Madura.” </w:t>
      </w:r>
      <w:r w:rsidRPr="00772183">
        <w:rPr>
          <w:rFonts w:ascii="Book Antiqua" w:hAnsi="Book Antiqua"/>
          <w:i/>
          <w:iCs/>
          <w:noProof/>
          <w:sz w:val="24"/>
          <w:szCs w:val="24"/>
        </w:rPr>
        <w:t>At-Turā</w:t>
      </w:r>
      <w:r w:rsidRPr="00772183">
        <w:rPr>
          <w:rFonts w:ascii="Times New Roman" w:hAnsi="Times New Roman"/>
          <w:i/>
          <w:iCs/>
          <w:noProof/>
          <w:sz w:val="24"/>
          <w:szCs w:val="24"/>
        </w:rPr>
        <w:t>ṡ</w:t>
      </w:r>
      <w:r w:rsidRPr="00772183">
        <w:rPr>
          <w:rFonts w:ascii="Book Antiqua" w:hAnsi="Book Antiqua"/>
          <w:i/>
          <w:iCs/>
          <w:noProof/>
          <w:sz w:val="24"/>
          <w:szCs w:val="24"/>
        </w:rPr>
        <w:t>: Jurnal Studi Keislaman</w:t>
      </w:r>
      <w:r w:rsidRPr="00772183">
        <w:rPr>
          <w:rFonts w:ascii="Book Antiqua" w:hAnsi="Book Antiqua"/>
          <w:noProof/>
          <w:sz w:val="24"/>
          <w:szCs w:val="24"/>
        </w:rPr>
        <w:t xml:space="preserve"> 6, no. 1 (2019): 23–45</w:t>
      </w:r>
      <w:r w:rsidR="002B48D9">
        <w:rPr>
          <w:rFonts w:ascii="Book Antiqua" w:hAnsi="Book Antiqua"/>
          <w:noProof/>
          <w:sz w:val="24"/>
          <w:szCs w:val="24"/>
        </w:rPr>
        <w:t xml:space="preserve">. </w:t>
      </w:r>
      <w:r w:rsidR="002B48D9" w:rsidRPr="002B48D9">
        <w:rPr>
          <w:rFonts w:ascii="Book Antiqua" w:hAnsi="Book Antiqua"/>
          <w:noProof/>
          <w:sz w:val="24"/>
          <w:szCs w:val="24"/>
        </w:rPr>
        <w:t>http://doi.org/10.33650/at-turas.v6i1.547</w:t>
      </w:r>
      <w:r w:rsidRPr="00772183">
        <w:rPr>
          <w:rFonts w:ascii="Book Antiqua" w:hAnsi="Book Antiqua"/>
          <w:noProof/>
          <w:sz w:val="24"/>
          <w:szCs w:val="24"/>
        </w:rPr>
        <w:t>.</w:t>
      </w:r>
    </w:p>
    <w:p w:rsidR="00772183" w:rsidRPr="00772183" w:rsidRDefault="00772183" w:rsidP="00E90247">
      <w:pPr>
        <w:widowControl w:val="0"/>
        <w:autoSpaceDE w:val="0"/>
        <w:autoSpaceDN w:val="0"/>
        <w:adjustRightInd w:val="0"/>
        <w:spacing w:after="120" w:line="240" w:lineRule="auto"/>
        <w:ind w:left="480" w:hanging="480"/>
        <w:jc w:val="both"/>
        <w:rPr>
          <w:rFonts w:ascii="Book Antiqua" w:hAnsi="Book Antiqua"/>
          <w:noProof/>
          <w:sz w:val="24"/>
          <w:szCs w:val="24"/>
        </w:rPr>
      </w:pPr>
      <w:r w:rsidRPr="00772183">
        <w:rPr>
          <w:rFonts w:ascii="Book Antiqua" w:hAnsi="Book Antiqua"/>
          <w:noProof/>
          <w:sz w:val="24"/>
          <w:szCs w:val="24"/>
        </w:rPr>
        <w:t xml:space="preserve">Rizki, Wahyu Fahrul. “Khalwat Marriage Adat and Practices in Aceh: A Study on Adat Sanctions and Settlement Process of Khalwat Case.” </w:t>
      </w:r>
      <w:r w:rsidRPr="00772183">
        <w:rPr>
          <w:rFonts w:ascii="Book Antiqua" w:hAnsi="Book Antiqua"/>
          <w:i/>
          <w:iCs/>
          <w:noProof/>
          <w:sz w:val="24"/>
          <w:szCs w:val="24"/>
        </w:rPr>
        <w:t>Asy-Syir’ah Jurnal Ilmu Syari’ah Dan Hukum</w:t>
      </w:r>
      <w:r w:rsidRPr="00772183">
        <w:rPr>
          <w:rFonts w:ascii="Book Antiqua" w:hAnsi="Book Antiqua"/>
          <w:noProof/>
          <w:sz w:val="24"/>
          <w:szCs w:val="24"/>
        </w:rPr>
        <w:t xml:space="preserve"> 54, no. 2 (2020): 342–50</w:t>
      </w:r>
      <w:r w:rsidR="002B48D9">
        <w:rPr>
          <w:rFonts w:ascii="Book Antiqua" w:hAnsi="Book Antiqua"/>
          <w:noProof/>
          <w:sz w:val="24"/>
          <w:szCs w:val="24"/>
        </w:rPr>
        <w:t>.</w:t>
      </w:r>
      <w:r w:rsidR="002B48D9" w:rsidRPr="002B48D9">
        <w:t xml:space="preserve"> </w:t>
      </w:r>
      <w:r w:rsidR="002B48D9" w:rsidRPr="002B48D9">
        <w:rPr>
          <w:rFonts w:ascii="Book Antiqua" w:hAnsi="Book Antiqua"/>
          <w:noProof/>
          <w:sz w:val="24"/>
          <w:szCs w:val="24"/>
        </w:rPr>
        <w:t>http://dx.doi.org/10.14421/ajish.2020.54.2.341-</w:t>
      </w:r>
      <w:r w:rsidR="002B48D9" w:rsidRPr="002B48D9">
        <w:rPr>
          <w:rFonts w:ascii="Book Antiqua" w:hAnsi="Book Antiqua"/>
          <w:noProof/>
          <w:sz w:val="24"/>
          <w:szCs w:val="24"/>
        </w:rPr>
        <w:lastRenderedPageBreak/>
        <w:t>363</w:t>
      </w:r>
      <w:r w:rsidR="002B48D9">
        <w:rPr>
          <w:rFonts w:ascii="Book Antiqua" w:hAnsi="Book Antiqua"/>
          <w:noProof/>
          <w:sz w:val="24"/>
          <w:szCs w:val="24"/>
        </w:rPr>
        <w:t xml:space="preserve"> </w:t>
      </w:r>
      <w:r w:rsidRPr="00772183">
        <w:rPr>
          <w:rFonts w:ascii="Book Antiqua" w:hAnsi="Book Antiqua"/>
          <w:noProof/>
          <w:sz w:val="24"/>
          <w:szCs w:val="24"/>
        </w:rPr>
        <w:t>.</w:t>
      </w:r>
    </w:p>
    <w:p w:rsidR="00772183" w:rsidRPr="00772183" w:rsidRDefault="00772183" w:rsidP="00E90247">
      <w:pPr>
        <w:widowControl w:val="0"/>
        <w:autoSpaceDE w:val="0"/>
        <w:autoSpaceDN w:val="0"/>
        <w:adjustRightInd w:val="0"/>
        <w:spacing w:after="120" w:line="240" w:lineRule="auto"/>
        <w:ind w:left="480" w:hanging="480"/>
        <w:jc w:val="both"/>
        <w:rPr>
          <w:rFonts w:ascii="Book Antiqua" w:hAnsi="Book Antiqua"/>
          <w:noProof/>
          <w:sz w:val="24"/>
          <w:szCs w:val="24"/>
        </w:rPr>
      </w:pPr>
      <w:r w:rsidRPr="00772183">
        <w:rPr>
          <w:rFonts w:ascii="Book Antiqua" w:hAnsi="Book Antiqua"/>
          <w:noProof/>
          <w:sz w:val="24"/>
          <w:szCs w:val="24"/>
        </w:rPr>
        <w:t xml:space="preserve">Rowe, Suzanne E. “Legal Research, Legal Analysis, and Legal Writing: Putting Law School into Practice.” </w:t>
      </w:r>
      <w:r w:rsidRPr="00772183">
        <w:rPr>
          <w:rFonts w:ascii="Book Antiqua" w:hAnsi="Book Antiqua"/>
          <w:i/>
          <w:iCs/>
          <w:noProof/>
          <w:sz w:val="24"/>
          <w:szCs w:val="24"/>
        </w:rPr>
        <w:t>SSRN ELibrary</w:t>
      </w:r>
      <w:r w:rsidRPr="00772183">
        <w:rPr>
          <w:rFonts w:ascii="Book Antiqua" w:hAnsi="Book Antiqua"/>
          <w:noProof/>
          <w:sz w:val="24"/>
          <w:szCs w:val="24"/>
        </w:rPr>
        <w:t xml:space="preserve"> 1193, no. 2000 (2009): 1–19</w:t>
      </w:r>
      <w:r w:rsidR="002B48D9">
        <w:rPr>
          <w:rFonts w:ascii="Book Antiqua" w:hAnsi="Book Antiqua"/>
          <w:noProof/>
          <w:sz w:val="24"/>
          <w:szCs w:val="24"/>
        </w:rPr>
        <w:t xml:space="preserve">. </w:t>
      </w:r>
      <w:r w:rsidR="002B48D9" w:rsidRPr="002B48D9">
        <w:rPr>
          <w:rFonts w:ascii="Book Antiqua" w:hAnsi="Book Antiqua"/>
          <w:noProof/>
          <w:sz w:val="24"/>
          <w:szCs w:val="24"/>
        </w:rPr>
        <w:t>http://dx.doi.org/10.2139/ssrn.1223682</w:t>
      </w:r>
      <w:r w:rsidRPr="00772183">
        <w:rPr>
          <w:rFonts w:ascii="Book Antiqua" w:hAnsi="Book Antiqua"/>
          <w:noProof/>
          <w:sz w:val="24"/>
          <w:szCs w:val="24"/>
        </w:rPr>
        <w:t>.</w:t>
      </w:r>
    </w:p>
    <w:p w:rsidR="00772183" w:rsidRPr="00772183" w:rsidRDefault="00772183" w:rsidP="00E90247">
      <w:pPr>
        <w:widowControl w:val="0"/>
        <w:autoSpaceDE w:val="0"/>
        <w:autoSpaceDN w:val="0"/>
        <w:adjustRightInd w:val="0"/>
        <w:spacing w:after="120" w:line="240" w:lineRule="auto"/>
        <w:ind w:left="480" w:hanging="480"/>
        <w:jc w:val="both"/>
        <w:rPr>
          <w:rFonts w:ascii="Book Antiqua" w:hAnsi="Book Antiqua"/>
          <w:noProof/>
          <w:sz w:val="24"/>
          <w:szCs w:val="24"/>
        </w:rPr>
      </w:pPr>
      <w:r w:rsidRPr="00772183">
        <w:rPr>
          <w:rFonts w:ascii="Book Antiqua" w:hAnsi="Book Antiqua"/>
          <w:noProof/>
          <w:sz w:val="24"/>
          <w:szCs w:val="24"/>
        </w:rPr>
        <w:t xml:space="preserve">Suroto, Hari. “Perlakuan Hukum Yang Berbeda Bagi Pelaku Khalwat Antara Hukum Jinayat Dan Hukum Adat.” </w:t>
      </w:r>
      <w:r w:rsidRPr="00772183">
        <w:rPr>
          <w:rFonts w:ascii="Book Antiqua" w:hAnsi="Book Antiqua"/>
          <w:i/>
          <w:iCs/>
          <w:noProof/>
          <w:sz w:val="24"/>
          <w:szCs w:val="24"/>
        </w:rPr>
        <w:t>Jurnal Ilmiah Mahasiswa FISIP Unsyiah</w:t>
      </w:r>
      <w:r w:rsidRPr="00772183">
        <w:rPr>
          <w:rFonts w:ascii="Book Antiqua" w:hAnsi="Book Antiqua"/>
          <w:noProof/>
          <w:sz w:val="24"/>
          <w:szCs w:val="24"/>
        </w:rPr>
        <w:t xml:space="preserve"> 5, no. 1 (2020): 1–12.</w:t>
      </w:r>
    </w:p>
    <w:p w:rsidR="00015218" w:rsidRDefault="00772183" w:rsidP="00015218">
      <w:pPr>
        <w:pStyle w:val="ListParagraph"/>
        <w:spacing w:after="0" w:line="240" w:lineRule="auto"/>
        <w:ind w:left="0"/>
        <w:jc w:val="both"/>
        <w:rPr>
          <w:rStyle w:val="Heading1Char"/>
          <w:rFonts w:ascii="Book Antiqua" w:hAnsi="Book Antiqua" w:cstheme="majorHAnsi"/>
          <w:b/>
          <w:sz w:val="24"/>
        </w:rPr>
      </w:pPr>
      <w:r>
        <w:rPr>
          <w:rStyle w:val="Heading1Char"/>
          <w:rFonts w:ascii="Book Antiqua" w:hAnsi="Book Antiqua" w:cstheme="majorHAnsi"/>
          <w:b/>
          <w:sz w:val="24"/>
        </w:rPr>
        <w:fldChar w:fldCharType="end"/>
      </w:r>
    </w:p>
    <w:p w:rsidR="00980C6B" w:rsidRPr="00980C6B" w:rsidRDefault="00980C6B" w:rsidP="00E90247">
      <w:pPr>
        <w:pStyle w:val="ListParagraph"/>
        <w:spacing w:after="120" w:line="240" w:lineRule="auto"/>
        <w:ind w:left="0"/>
        <w:jc w:val="both"/>
        <w:rPr>
          <w:rFonts w:ascii="Book Antiqua" w:hAnsi="Book Antiqua"/>
          <w:sz w:val="24"/>
          <w:szCs w:val="24"/>
          <w:lang w:eastAsia="fi-FI" w:bidi="ar-SA"/>
        </w:rPr>
      </w:pPr>
      <w:r w:rsidRPr="00980C6B">
        <w:rPr>
          <w:rFonts w:ascii="Book Antiqua" w:hAnsi="Book Antiqua"/>
          <w:i/>
          <w:sz w:val="24"/>
          <w:szCs w:val="24"/>
          <w:lang w:eastAsia="fi-FI" w:bidi="ar-SA"/>
        </w:rPr>
        <w:t>Book</w:t>
      </w:r>
    </w:p>
    <w:p w:rsidR="00980C6B" w:rsidRPr="00980C6B" w:rsidRDefault="00980C6B" w:rsidP="00980C6B">
      <w:pPr>
        <w:widowControl w:val="0"/>
        <w:autoSpaceDE w:val="0"/>
        <w:autoSpaceDN w:val="0"/>
        <w:adjustRightInd w:val="0"/>
        <w:spacing w:after="120" w:line="240" w:lineRule="auto"/>
        <w:ind w:left="480" w:hanging="480"/>
        <w:jc w:val="both"/>
        <w:rPr>
          <w:rFonts w:ascii="Book Antiqua" w:hAnsi="Book Antiqua"/>
          <w:noProof/>
          <w:sz w:val="24"/>
          <w:szCs w:val="24"/>
        </w:rPr>
      </w:pPr>
      <w:r w:rsidRPr="00980C6B">
        <w:rPr>
          <w:rFonts w:ascii="Book Antiqua" w:hAnsi="Book Antiqua"/>
          <w:noProof/>
          <w:sz w:val="24"/>
          <w:szCs w:val="24"/>
        </w:rPr>
        <w:t xml:space="preserve">Al-Asyqalani, Ibnu Hajar. </w:t>
      </w:r>
      <w:r w:rsidRPr="00980C6B">
        <w:rPr>
          <w:rFonts w:ascii="Book Antiqua" w:hAnsi="Book Antiqua"/>
          <w:i/>
          <w:iCs/>
          <w:noProof/>
          <w:sz w:val="24"/>
          <w:szCs w:val="24"/>
        </w:rPr>
        <w:t>Fathu Al-Bari</w:t>
      </w:r>
      <w:r w:rsidRPr="00980C6B">
        <w:rPr>
          <w:rFonts w:ascii="Book Antiqua" w:hAnsi="Book Antiqua"/>
          <w:noProof/>
          <w:sz w:val="24"/>
          <w:szCs w:val="24"/>
        </w:rPr>
        <w:t>. 9th ed. Riyadl: Darus Salam, 2000.</w:t>
      </w:r>
    </w:p>
    <w:p w:rsidR="00980C6B" w:rsidRPr="00980C6B" w:rsidRDefault="00980C6B" w:rsidP="00980C6B">
      <w:pPr>
        <w:widowControl w:val="0"/>
        <w:autoSpaceDE w:val="0"/>
        <w:autoSpaceDN w:val="0"/>
        <w:adjustRightInd w:val="0"/>
        <w:spacing w:after="120" w:line="240" w:lineRule="auto"/>
        <w:ind w:left="480" w:hanging="480"/>
        <w:jc w:val="both"/>
        <w:rPr>
          <w:rFonts w:ascii="Book Antiqua" w:hAnsi="Book Antiqua"/>
          <w:noProof/>
          <w:sz w:val="24"/>
          <w:szCs w:val="24"/>
        </w:rPr>
      </w:pPr>
      <w:r w:rsidRPr="00980C6B">
        <w:rPr>
          <w:rFonts w:ascii="Book Antiqua" w:hAnsi="Book Antiqua"/>
          <w:noProof/>
          <w:sz w:val="24"/>
          <w:szCs w:val="24"/>
        </w:rPr>
        <w:t xml:space="preserve">Al-Munawi, Abdurrouf. </w:t>
      </w:r>
      <w:r w:rsidRPr="00980C6B">
        <w:rPr>
          <w:rFonts w:ascii="Book Antiqua" w:hAnsi="Book Antiqua"/>
          <w:i/>
          <w:iCs/>
          <w:noProof/>
          <w:sz w:val="24"/>
          <w:szCs w:val="24"/>
        </w:rPr>
        <w:t>Faidul Qodir</w:t>
      </w:r>
      <w:r w:rsidRPr="00980C6B">
        <w:rPr>
          <w:rFonts w:ascii="Book Antiqua" w:hAnsi="Book Antiqua"/>
          <w:noProof/>
          <w:sz w:val="24"/>
          <w:szCs w:val="24"/>
        </w:rPr>
        <w:t>. 3rd ed. Kairo: Al-Maktabah At-Tijariah, n.d.</w:t>
      </w:r>
    </w:p>
    <w:p w:rsidR="00980C6B" w:rsidRPr="00980C6B" w:rsidRDefault="00980C6B" w:rsidP="00980C6B">
      <w:pPr>
        <w:widowControl w:val="0"/>
        <w:autoSpaceDE w:val="0"/>
        <w:autoSpaceDN w:val="0"/>
        <w:adjustRightInd w:val="0"/>
        <w:spacing w:after="120" w:line="240" w:lineRule="auto"/>
        <w:ind w:left="480" w:hanging="480"/>
        <w:jc w:val="both"/>
        <w:rPr>
          <w:rFonts w:ascii="Book Antiqua" w:hAnsi="Book Antiqua"/>
          <w:noProof/>
          <w:sz w:val="24"/>
          <w:szCs w:val="24"/>
        </w:rPr>
      </w:pPr>
      <w:r w:rsidRPr="00980C6B">
        <w:rPr>
          <w:rFonts w:ascii="Book Antiqua" w:hAnsi="Book Antiqua"/>
          <w:noProof/>
          <w:sz w:val="24"/>
          <w:szCs w:val="24"/>
        </w:rPr>
        <w:t xml:space="preserve">Al-Syaukani. </w:t>
      </w:r>
      <w:r w:rsidRPr="00980C6B">
        <w:rPr>
          <w:rFonts w:ascii="Book Antiqua" w:hAnsi="Book Antiqua"/>
          <w:i/>
          <w:iCs/>
          <w:noProof/>
          <w:sz w:val="24"/>
          <w:szCs w:val="24"/>
        </w:rPr>
        <w:t>Bustanul Akhbar Mukhtasar Nail Authar</w:t>
      </w:r>
      <w:r w:rsidRPr="00980C6B">
        <w:rPr>
          <w:rFonts w:ascii="Book Antiqua" w:hAnsi="Book Antiqua"/>
          <w:noProof/>
          <w:sz w:val="24"/>
          <w:szCs w:val="24"/>
        </w:rPr>
        <w:t>. Edited by Amir Hamzah Fachrudin. Jakarta: Pustaka Azam, 2006.</w:t>
      </w:r>
    </w:p>
    <w:p w:rsidR="00980C6B" w:rsidRPr="00980C6B" w:rsidRDefault="00980C6B" w:rsidP="00980C6B">
      <w:pPr>
        <w:widowControl w:val="0"/>
        <w:autoSpaceDE w:val="0"/>
        <w:autoSpaceDN w:val="0"/>
        <w:adjustRightInd w:val="0"/>
        <w:spacing w:after="120" w:line="240" w:lineRule="auto"/>
        <w:ind w:left="480" w:hanging="480"/>
        <w:jc w:val="both"/>
        <w:rPr>
          <w:rFonts w:ascii="Book Antiqua" w:hAnsi="Book Antiqua"/>
          <w:noProof/>
          <w:sz w:val="24"/>
          <w:szCs w:val="24"/>
        </w:rPr>
      </w:pPr>
      <w:r w:rsidRPr="00980C6B">
        <w:rPr>
          <w:rFonts w:ascii="Book Antiqua" w:hAnsi="Book Antiqua"/>
          <w:noProof/>
          <w:sz w:val="24"/>
          <w:szCs w:val="24"/>
        </w:rPr>
        <w:t xml:space="preserve">An-Nawawi, Imam. </w:t>
      </w:r>
      <w:r w:rsidRPr="00980C6B">
        <w:rPr>
          <w:rFonts w:ascii="Book Antiqua" w:hAnsi="Book Antiqua"/>
          <w:i/>
          <w:iCs/>
          <w:noProof/>
          <w:sz w:val="24"/>
          <w:szCs w:val="24"/>
        </w:rPr>
        <w:t>Al-Minhaj Syarah Shahih Muslim</w:t>
      </w:r>
      <w:r w:rsidRPr="00980C6B">
        <w:rPr>
          <w:rFonts w:ascii="Book Antiqua" w:hAnsi="Book Antiqua"/>
          <w:noProof/>
          <w:sz w:val="24"/>
          <w:szCs w:val="24"/>
        </w:rPr>
        <w:t>. Beirut: Dar al-Kutub al-’Ilmiyyah, 1991.</w:t>
      </w:r>
    </w:p>
    <w:p w:rsidR="00980C6B" w:rsidRPr="00980C6B" w:rsidRDefault="00980C6B" w:rsidP="00980C6B">
      <w:pPr>
        <w:widowControl w:val="0"/>
        <w:autoSpaceDE w:val="0"/>
        <w:autoSpaceDN w:val="0"/>
        <w:adjustRightInd w:val="0"/>
        <w:spacing w:after="120" w:line="240" w:lineRule="auto"/>
        <w:ind w:left="480" w:hanging="480"/>
        <w:jc w:val="both"/>
        <w:rPr>
          <w:rFonts w:ascii="Book Antiqua" w:hAnsi="Book Antiqua"/>
          <w:noProof/>
          <w:sz w:val="24"/>
          <w:szCs w:val="24"/>
        </w:rPr>
      </w:pPr>
      <w:r w:rsidRPr="00980C6B">
        <w:rPr>
          <w:rFonts w:ascii="Book Antiqua" w:hAnsi="Book Antiqua"/>
          <w:noProof/>
          <w:sz w:val="24"/>
          <w:szCs w:val="24"/>
        </w:rPr>
        <w:t xml:space="preserve">As-Suyuthi. </w:t>
      </w:r>
      <w:r w:rsidRPr="00980C6B">
        <w:rPr>
          <w:rFonts w:ascii="Book Antiqua" w:hAnsi="Book Antiqua"/>
          <w:i/>
          <w:iCs/>
          <w:noProof/>
          <w:sz w:val="24"/>
          <w:szCs w:val="24"/>
        </w:rPr>
        <w:t>Al-Asybah Wa Al-Nazair</w:t>
      </w:r>
      <w:r w:rsidRPr="00980C6B">
        <w:rPr>
          <w:rFonts w:ascii="Book Antiqua" w:hAnsi="Book Antiqua"/>
          <w:noProof/>
          <w:sz w:val="24"/>
          <w:szCs w:val="24"/>
        </w:rPr>
        <w:t>. Beir</w:t>
      </w:r>
      <w:bookmarkStart w:id="2" w:name="_GoBack"/>
      <w:bookmarkEnd w:id="2"/>
      <w:r w:rsidRPr="00980C6B">
        <w:rPr>
          <w:rFonts w:ascii="Book Antiqua" w:hAnsi="Book Antiqua"/>
          <w:noProof/>
          <w:sz w:val="24"/>
          <w:szCs w:val="24"/>
        </w:rPr>
        <w:t>ut: Dar al-Fikr, 1995.</w:t>
      </w:r>
    </w:p>
    <w:p w:rsidR="00980C6B" w:rsidRPr="00980C6B" w:rsidRDefault="00980C6B" w:rsidP="00980C6B">
      <w:pPr>
        <w:widowControl w:val="0"/>
        <w:autoSpaceDE w:val="0"/>
        <w:autoSpaceDN w:val="0"/>
        <w:adjustRightInd w:val="0"/>
        <w:spacing w:after="120" w:line="240" w:lineRule="auto"/>
        <w:ind w:left="480" w:hanging="480"/>
        <w:jc w:val="both"/>
        <w:rPr>
          <w:rFonts w:ascii="Book Antiqua" w:hAnsi="Book Antiqua"/>
          <w:noProof/>
          <w:sz w:val="24"/>
          <w:szCs w:val="24"/>
        </w:rPr>
      </w:pPr>
      <w:r w:rsidRPr="00980C6B">
        <w:rPr>
          <w:rFonts w:ascii="Book Antiqua" w:hAnsi="Book Antiqua"/>
          <w:noProof/>
          <w:sz w:val="24"/>
          <w:szCs w:val="24"/>
        </w:rPr>
        <w:t xml:space="preserve">Diantha, I Made Pasek. </w:t>
      </w:r>
      <w:r w:rsidRPr="00980C6B">
        <w:rPr>
          <w:rFonts w:ascii="Book Antiqua" w:hAnsi="Book Antiqua"/>
          <w:i/>
          <w:iCs/>
          <w:noProof/>
          <w:sz w:val="24"/>
          <w:szCs w:val="24"/>
        </w:rPr>
        <w:t>Metodologi Penelitian Hukum Normatif Dalam Justifikasi Teori Hukum</w:t>
      </w:r>
      <w:r w:rsidRPr="00980C6B">
        <w:rPr>
          <w:rFonts w:ascii="Book Antiqua" w:hAnsi="Book Antiqua"/>
          <w:noProof/>
          <w:sz w:val="24"/>
          <w:szCs w:val="24"/>
        </w:rPr>
        <w:t>. Jakarta: Prenanda Media Group, 2017.</w:t>
      </w:r>
    </w:p>
    <w:p w:rsidR="00980C6B" w:rsidRPr="00980C6B" w:rsidRDefault="00980C6B" w:rsidP="00980C6B">
      <w:pPr>
        <w:widowControl w:val="0"/>
        <w:autoSpaceDE w:val="0"/>
        <w:autoSpaceDN w:val="0"/>
        <w:adjustRightInd w:val="0"/>
        <w:spacing w:after="120" w:line="240" w:lineRule="auto"/>
        <w:ind w:left="480" w:hanging="480"/>
        <w:jc w:val="both"/>
        <w:rPr>
          <w:rFonts w:ascii="Book Antiqua" w:hAnsi="Book Antiqua"/>
          <w:noProof/>
          <w:sz w:val="24"/>
          <w:szCs w:val="24"/>
        </w:rPr>
      </w:pPr>
      <w:r w:rsidRPr="00980C6B">
        <w:rPr>
          <w:rFonts w:ascii="Book Antiqua" w:hAnsi="Book Antiqua"/>
          <w:noProof/>
          <w:sz w:val="24"/>
          <w:szCs w:val="24"/>
        </w:rPr>
        <w:t xml:space="preserve">Farhat, Yusof Syukri. </w:t>
      </w:r>
      <w:r w:rsidRPr="00980C6B">
        <w:rPr>
          <w:rFonts w:ascii="Book Antiqua" w:hAnsi="Book Antiqua"/>
          <w:i/>
          <w:iCs/>
          <w:noProof/>
          <w:sz w:val="24"/>
          <w:szCs w:val="24"/>
        </w:rPr>
        <w:t>Mu’jam Al-Tullab, (Dar Al-Kotob Al-Ilmiyah</w:t>
      </w:r>
      <w:r w:rsidRPr="00980C6B">
        <w:rPr>
          <w:rFonts w:ascii="Book Antiqua" w:hAnsi="Book Antiqua"/>
          <w:noProof/>
          <w:sz w:val="24"/>
          <w:szCs w:val="24"/>
        </w:rPr>
        <w:t>. Beirut: Dar al-Kotob al-Ilmiyah, 2001.</w:t>
      </w:r>
    </w:p>
    <w:p w:rsidR="00980C6B" w:rsidRPr="00980C6B" w:rsidRDefault="00980C6B" w:rsidP="00980C6B">
      <w:pPr>
        <w:widowControl w:val="0"/>
        <w:autoSpaceDE w:val="0"/>
        <w:autoSpaceDN w:val="0"/>
        <w:adjustRightInd w:val="0"/>
        <w:spacing w:after="120" w:line="240" w:lineRule="auto"/>
        <w:ind w:left="480" w:hanging="480"/>
        <w:jc w:val="both"/>
        <w:rPr>
          <w:rFonts w:ascii="Book Antiqua" w:hAnsi="Book Antiqua"/>
          <w:noProof/>
          <w:sz w:val="24"/>
          <w:szCs w:val="24"/>
        </w:rPr>
      </w:pPr>
      <w:r w:rsidRPr="00980C6B">
        <w:rPr>
          <w:rFonts w:ascii="Book Antiqua" w:hAnsi="Book Antiqua"/>
          <w:noProof/>
          <w:sz w:val="24"/>
          <w:szCs w:val="24"/>
        </w:rPr>
        <w:t xml:space="preserve">Feener, R. Michael. </w:t>
      </w:r>
      <w:r w:rsidRPr="00980C6B">
        <w:rPr>
          <w:rFonts w:ascii="Book Antiqua" w:hAnsi="Book Antiqua"/>
          <w:i/>
          <w:iCs/>
          <w:noProof/>
          <w:sz w:val="24"/>
          <w:szCs w:val="24"/>
        </w:rPr>
        <w:t>Shari’a and Social Engineering: The Implementation of Islamic Law in Contemporary Aceh Indonesia</w:t>
      </w:r>
      <w:r w:rsidRPr="00980C6B">
        <w:rPr>
          <w:rFonts w:ascii="Book Antiqua" w:hAnsi="Book Antiqua"/>
          <w:noProof/>
          <w:sz w:val="24"/>
          <w:szCs w:val="24"/>
        </w:rPr>
        <w:t>. Oxford: Oxford University Press, 2013.</w:t>
      </w:r>
    </w:p>
    <w:p w:rsidR="00980C6B" w:rsidRPr="00980C6B" w:rsidRDefault="00980C6B" w:rsidP="00980C6B">
      <w:pPr>
        <w:widowControl w:val="0"/>
        <w:autoSpaceDE w:val="0"/>
        <w:autoSpaceDN w:val="0"/>
        <w:adjustRightInd w:val="0"/>
        <w:spacing w:after="120" w:line="240" w:lineRule="auto"/>
        <w:ind w:left="480" w:hanging="480"/>
        <w:jc w:val="both"/>
        <w:rPr>
          <w:rFonts w:ascii="Book Antiqua" w:hAnsi="Book Antiqua"/>
          <w:noProof/>
          <w:sz w:val="24"/>
          <w:szCs w:val="24"/>
        </w:rPr>
      </w:pPr>
      <w:r w:rsidRPr="00980C6B">
        <w:rPr>
          <w:rFonts w:ascii="Book Antiqua" w:hAnsi="Book Antiqua"/>
          <w:noProof/>
          <w:sz w:val="24"/>
          <w:szCs w:val="24"/>
        </w:rPr>
        <w:t xml:space="preserve">Hendra, Dede. </w:t>
      </w:r>
      <w:r w:rsidRPr="00980C6B">
        <w:rPr>
          <w:rFonts w:ascii="Book Antiqua" w:hAnsi="Book Antiqua"/>
          <w:i/>
          <w:iCs/>
          <w:noProof/>
          <w:sz w:val="24"/>
          <w:szCs w:val="24"/>
        </w:rPr>
        <w:t>Eksistensi Penerapan Pidana Cambuk Terhadap Pelanggar Qanun Syariat Islam Di Provinsi Aceh</w:t>
      </w:r>
      <w:r w:rsidRPr="00980C6B">
        <w:rPr>
          <w:rFonts w:ascii="Book Antiqua" w:hAnsi="Book Antiqua"/>
          <w:noProof/>
          <w:sz w:val="24"/>
          <w:szCs w:val="24"/>
        </w:rPr>
        <w:t>. Depok: UI Press, 2012.</w:t>
      </w:r>
    </w:p>
    <w:p w:rsidR="00980C6B" w:rsidRPr="00980C6B" w:rsidRDefault="00980C6B" w:rsidP="00980C6B">
      <w:pPr>
        <w:widowControl w:val="0"/>
        <w:autoSpaceDE w:val="0"/>
        <w:autoSpaceDN w:val="0"/>
        <w:adjustRightInd w:val="0"/>
        <w:spacing w:after="120" w:line="240" w:lineRule="auto"/>
        <w:ind w:left="480" w:hanging="480"/>
        <w:jc w:val="both"/>
        <w:rPr>
          <w:rFonts w:ascii="Book Antiqua" w:hAnsi="Book Antiqua"/>
          <w:noProof/>
          <w:sz w:val="24"/>
          <w:szCs w:val="24"/>
        </w:rPr>
      </w:pPr>
      <w:r w:rsidRPr="00980C6B">
        <w:rPr>
          <w:rFonts w:ascii="Book Antiqua" w:hAnsi="Book Antiqua"/>
          <w:noProof/>
          <w:sz w:val="24"/>
          <w:szCs w:val="24"/>
        </w:rPr>
        <w:t xml:space="preserve">L, Ma’luf. </w:t>
      </w:r>
      <w:r w:rsidRPr="00980C6B">
        <w:rPr>
          <w:rFonts w:ascii="Book Antiqua" w:hAnsi="Book Antiqua"/>
          <w:i/>
          <w:iCs/>
          <w:noProof/>
          <w:sz w:val="24"/>
          <w:szCs w:val="24"/>
        </w:rPr>
        <w:t>Al-Munjid Fi Al-Adab Wa Al-‘Ulum</w:t>
      </w:r>
      <w:r w:rsidRPr="00980C6B">
        <w:rPr>
          <w:rFonts w:ascii="Book Antiqua" w:hAnsi="Book Antiqua"/>
          <w:noProof/>
          <w:sz w:val="24"/>
          <w:szCs w:val="24"/>
        </w:rPr>
        <w:t>. Beirut: Al Matba’ah al-Katulikiyah, 1986.</w:t>
      </w:r>
    </w:p>
    <w:p w:rsidR="00980C6B" w:rsidRPr="00980C6B" w:rsidRDefault="00980C6B" w:rsidP="00980C6B">
      <w:pPr>
        <w:widowControl w:val="0"/>
        <w:autoSpaceDE w:val="0"/>
        <w:autoSpaceDN w:val="0"/>
        <w:adjustRightInd w:val="0"/>
        <w:spacing w:after="120" w:line="240" w:lineRule="auto"/>
        <w:ind w:left="480" w:hanging="480"/>
        <w:jc w:val="both"/>
        <w:rPr>
          <w:rFonts w:ascii="Book Antiqua" w:hAnsi="Book Antiqua"/>
          <w:noProof/>
          <w:sz w:val="24"/>
          <w:szCs w:val="24"/>
        </w:rPr>
      </w:pPr>
      <w:r w:rsidRPr="00980C6B">
        <w:rPr>
          <w:rFonts w:ascii="Book Antiqua" w:hAnsi="Book Antiqua"/>
          <w:noProof/>
          <w:sz w:val="24"/>
          <w:szCs w:val="24"/>
        </w:rPr>
        <w:t xml:space="preserve">Muhammad, Rusjdi Ali. </w:t>
      </w:r>
      <w:r w:rsidRPr="00980C6B">
        <w:rPr>
          <w:rFonts w:ascii="Book Antiqua" w:hAnsi="Book Antiqua"/>
          <w:i/>
          <w:iCs/>
          <w:noProof/>
          <w:sz w:val="24"/>
          <w:szCs w:val="24"/>
        </w:rPr>
        <w:t>Revitalisasi Syariat Islam Di Aceh: Problem, Solusi Dan Implementasi</w:t>
      </w:r>
      <w:r w:rsidRPr="00980C6B">
        <w:rPr>
          <w:rFonts w:ascii="Book Antiqua" w:hAnsi="Book Antiqua"/>
          <w:noProof/>
          <w:sz w:val="24"/>
          <w:szCs w:val="24"/>
        </w:rPr>
        <w:t>. Jakarta: Logos Wacana Ilmu, 2013.</w:t>
      </w:r>
    </w:p>
    <w:p w:rsidR="00980C6B" w:rsidRPr="00980C6B" w:rsidRDefault="00980C6B" w:rsidP="00980C6B">
      <w:pPr>
        <w:widowControl w:val="0"/>
        <w:autoSpaceDE w:val="0"/>
        <w:autoSpaceDN w:val="0"/>
        <w:adjustRightInd w:val="0"/>
        <w:spacing w:after="120" w:line="240" w:lineRule="auto"/>
        <w:ind w:left="480" w:hanging="480"/>
        <w:jc w:val="both"/>
        <w:rPr>
          <w:rFonts w:ascii="Book Antiqua" w:hAnsi="Book Antiqua"/>
          <w:noProof/>
          <w:sz w:val="24"/>
          <w:szCs w:val="24"/>
        </w:rPr>
      </w:pPr>
      <w:r w:rsidRPr="00980C6B">
        <w:rPr>
          <w:rFonts w:ascii="Book Antiqua" w:hAnsi="Book Antiqua"/>
          <w:noProof/>
          <w:sz w:val="24"/>
          <w:szCs w:val="24"/>
        </w:rPr>
        <w:t xml:space="preserve">Muhammad Siddiq. </w:t>
      </w:r>
      <w:r w:rsidRPr="00980C6B">
        <w:rPr>
          <w:rFonts w:ascii="Book Antiqua" w:hAnsi="Book Antiqua"/>
          <w:i/>
          <w:iCs/>
          <w:noProof/>
          <w:sz w:val="24"/>
          <w:szCs w:val="24"/>
        </w:rPr>
        <w:t>Problematika Qanun Khalwat Analisis Terhadap Perspektif Mahasiswa Aceh</w:t>
      </w:r>
      <w:r w:rsidRPr="00980C6B">
        <w:rPr>
          <w:rFonts w:ascii="Book Antiqua" w:hAnsi="Book Antiqua"/>
          <w:noProof/>
          <w:sz w:val="24"/>
          <w:szCs w:val="24"/>
        </w:rPr>
        <w:t>. Banda Aceh: Aceh Justice Resorce Center (Ajrc), 2019.</w:t>
      </w:r>
    </w:p>
    <w:p w:rsidR="00980C6B" w:rsidRPr="00980C6B" w:rsidRDefault="00980C6B" w:rsidP="00980C6B">
      <w:pPr>
        <w:widowControl w:val="0"/>
        <w:autoSpaceDE w:val="0"/>
        <w:autoSpaceDN w:val="0"/>
        <w:adjustRightInd w:val="0"/>
        <w:spacing w:after="120" w:line="240" w:lineRule="auto"/>
        <w:ind w:left="480" w:hanging="480"/>
        <w:jc w:val="both"/>
        <w:rPr>
          <w:rFonts w:ascii="Book Antiqua" w:hAnsi="Book Antiqua"/>
          <w:noProof/>
          <w:sz w:val="24"/>
          <w:szCs w:val="24"/>
        </w:rPr>
      </w:pPr>
      <w:r w:rsidRPr="00980C6B">
        <w:rPr>
          <w:rFonts w:ascii="Book Antiqua" w:hAnsi="Book Antiqua"/>
          <w:noProof/>
          <w:sz w:val="24"/>
          <w:szCs w:val="24"/>
        </w:rPr>
        <w:t xml:space="preserve">Sulaiman, M. Isa. </w:t>
      </w:r>
      <w:r w:rsidRPr="00980C6B">
        <w:rPr>
          <w:rFonts w:ascii="Book Antiqua" w:hAnsi="Book Antiqua"/>
          <w:i/>
          <w:iCs/>
          <w:noProof/>
          <w:sz w:val="24"/>
          <w:szCs w:val="24"/>
        </w:rPr>
        <w:t>Historis Tentang Peradilan Adat Di Aceh, Dalam Pedoman Adat Aceh, Peradilan Dan Hukum Adat</w:t>
      </w:r>
      <w:r w:rsidRPr="00980C6B">
        <w:rPr>
          <w:rFonts w:ascii="Book Antiqua" w:hAnsi="Book Antiqua"/>
          <w:noProof/>
          <w:sz w:val="24"/>
          <w:szCs w:val="24"/>
        </w:rPr>
        <w:t>. Banda Aceh: Lembaga Adat Dan Kebudayaan Aceh (LAKA), Provinsi Nanggroe Aceh Darussalam, 2002.</w:t>
      </w:r>
    </w:p>
    <w:p w:rsidR="00980C6B" w:rsidRPr="00980C6B" w:rsidRDefault="00980C6B" w:rsidP="00980C6B">
      <w:pPr>
        <w:widowControl w:val="0"/>
        <w:autoSpaceDE w:val="0"/>
        <w:autoSpaceDN w:val="0"/>
        <w:adjustRightInd w:val="0"/>
        <w:spacing w:after="120" w:line="240" w:lineRule="auto"/>
        <w:ind w:left="480" w:hanging="480"/>
        <w:jc w:val="both"/>
        <w:rPr>
          <w:rFonts w:ascii="Book Antiqua" w:hAnsi="Book Antiqua"/>
          <w:noProof/>
          <w:sz w:val="24"/>
          <w:szCs w:val="24"/>
        </w:rPr>
      </w:pPr>
      <w:r w:rsidRPr="00980C6B">
        <w:rPr>
          <w:rFonts w:ascii="Book Antiqua" w:hAnsi="Book Antiqua"/>
          <w:noProof/>
          <w:sz w:val="24"/>
          <w:szCs w:val="24"/>
        </w:rPr>
        <w:t xml:space="preserve">Suyanta, Sri. </w:t>
      </w:r>
      <w:r w:rsidRPr="00980C6B">
        <w:rPr>
          <w:rFonts w:ascii="Book Antiqua" w:hAnsi="Book Antiqua"/>
          <w:i/>
          <w:iCs/>
          <w:noProof/>
          <w:sz w:val="24"/>
          <w:szCs w:val="24"/>
        </w:rPr>
        <w:t>Buku Pelaksanaan Panduan Syari’at Islam Untuk Remaja Dan Mahasiswa</w:t>
      </w:r>
      <w:r w:rsidRPr="00980C6B">
        <w:rPr>
          <w:rFonts w:ascii="Book Antiqua" w:hAnsi="Book Antiqua"/>
          <w:noProof/>
          <w:sz w:val="24"/>
          <w:szCs w:val="24"/>
        </w:rPr>
        <w:t>. Banda Aceh: Dinas Syari’at Islam Provinsi NAD, 2018.</w:t>
      </w:r>
    </w:p>
    <w:p w:rsidR="00980C6B" w:rsidRPr="00980C6B" w:rsidRDefault="00980C6B" w:rsidP="00980C6B">
      <w:pPr>
        <w:widowControl w:val="0"/>
        <w:autoSpaceDE w:val="0"/>
        <w:autoSpaceDN w:val="0"/>
        <w:adjustRightInd w:val="0"/>
        <w:spacing w:after="120" w:line="240" w:lineRule="auto"/>
        <w:ind w:left="480" w:hanging="480"/>
        <w:jc w:val="both"/>
        <w:rPr>
          <w:rFonts w:ascii="Book Antiqua" w:hAnsi="Book Antiqua"/>
          <w:noProof/>
          <w:sz w:val="24"/>
          <w:szCs w:val="24"/>
        </w:rPr>
      </w:pPr>
      <w:r w:rsidRPr="00980C6B">
        <w:rPr>
          <w:rFonts w:ascii="Book Antiqua" w:hAnsi="Book Antiqua"/>
          <w:noProof/>
          <w:sz w:val="24"/>
          <w:szCs w:val="24"/>
        </w:rPr>
        <w:t xml:space="preserve">Syahrizal. </w:t>
      </w:r>
      <w:r w:rsidRPr="00980C6B">
        <w:rPr>
          <w:rFonts w:ascii="Book Antiqua" w:hAnsi="Book Antiqua"/>
          <w:i/>
          <w:iCs/>
          <w:noProof/>
          <w:sz w:val="24"/>
          <w:szCs w:val="24"/>
        </w:rPr>
        <w:t>Hukum Adat Dan Hukum Islam Di Indonesia</w:t>
      </w:r>
      <w:r w:rsidRPr="00980C6B">
        <w:rPr>
          <w:rFonts w:ascii="Book Antiqua" w:hAnsi="Book Antiqua"/>
          <w:noProof/>
          <w:sz w:val="24"/>
          <w:szCs w:val="24"/>
        </w:rPr>
        <w:t>. Lhokseumawe: Nadiya Foundation, 2004.</w:t>
      </w:r>
    </w:p>
    <w:p w:rsidR="00980C6B" w:rsidRPr="00980C6B" w:rsidRDefault="00980C6B" w:rsidP="00980C6B">
      <w:pPr>
        <w:widowControl w:val="0"/>
        <w:autoSpaceDE w:val="0"/>
        <w:autoSpaceDN w:val="0"/>
        <w:adjustRightInd w:val="0"/>
        <w:spacing w:after="120" w:line="240" w:lineRule="auto"/>
        <w:ind w:left="480" w:hanging="480"/>
        <w:jc w:val="both"/>
        <w:rPr>
          <w:rFonts w:ascii="Book Antiqua" w:hAnsi="Book Antiqua"/>
          <w:noProof/>
          <w:sz w:val="24"/>
          <w:szCs w:val="24"/>
        </w:rPr>
      </w:pPr>
      <w:r w:rsidRPr="00980C6B">
        <w:rPr>
          <w:rFonts w:ascii="Book Antiqua" w:hAnsi="Book Antiqua"/>
          <w:noProof/>
          <w:sz w:val="24"/>
          <w:szCs w:val="24"/>
        </w:rPr>
        <w:t xml:space="preserve">Syukur, Fatilah A. </w:t>
      </w:r>
      <w:r w:rsidRPr="00980C6B">
        <w:rPr>
          <w:rFonts w:ascii="Book Antiqua" w:hAnsi="Book Antiqua"/>
          <w:i/>
          <w:iCs/>
          <w:noProof/>
          <w:sz w:val="24"/>
          <w:szCs w:val="24"/>
        </w:rPr>
        <w:t>Mediasi Penal: Penerapan Restorative Justice Di Pengadilan Anak Indonesia</w:t>
      </w:r>
      <w:r w:rsidRPr="00980C6B">
        <w:rPr>
          <w:rFonts w:ascii="Book Antiqua" w:hAnsi="Book Antiqua"/>
          <w:noProof/>
          <w:sz w:val="24"/>
          <w:szCs w:val="24"/>
        </w:rPr>
        <w:t>. Depok: Indie Publishing, 2011.</w:t>
      </w:r>
    </w:p>
    <w:p w:rsidR="00980C6B" w:rsidRPr="00980C6B" w:rsidRDefault="00980C6B" w:rsidP="00980C6B">
      <w:pPr>
        <w:jc w:val="both"/>
        <w:rPr>
          <w:rFonts w:ascii="Book Antiqua" w:hAnsi="Book Antiqua"/>
          <w:lang w:eastAsia="fi-FI" w:bidi="ar-SA"/>
        </w:rPr>
      </w:pPr>
    </w:p>
    <w:bookmarkEnd w:id="0"/>
    <w:bookmarkEnd w:id="1"/>
    <w:p w:rsidR="004B1F20" w:rsidRPr="00980C6B" w:rsidRDefault="004B1F20" w:rsidP="00980C6B">
      <w:pPr>
        <w:pStyle w:val="Heading3"/>
        <w:spacing w:before="0" w:after="0" w:line="240" w:lineRule="auto"/>
        <w:jc w:val="both"/>
        <w:rPr>
          <w:rStyle w:val="Heading1Char"/>
          <w:rFonts w:ascii="Book Antiqua" w:hAnsi="Book Antiqua" w:cstheme="majorHAnsi"/>
          <w:b/>
          <w:sz w:val="36"/>
          <w:lang w:val="id-ID"/>
        </w:rPr>
      </w:pPr>
    </w:p>
    <w:sectPr w:rsidR="004B1F20" w:rsidRPr="00980C6B" w:rsidSect="00B4626A">
      <w:footerReference w:type="even" r:id="rId12"/>
      <w:footerReference w:type="default" r:id="rId13"/>
      <w:headerReference w:type="first" r:id="rId14"/>
      <w:pgSz w:w="11906" w:h="16838" w:code="9"/>
      <w:pgMar w:top="925"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5BE" w:rsidRDefault="007605BE" w:rsidP="00934130">
      <w:pPr>
        <w:spacing w:after="0" w:line="240" w:lineRule="auto"/>
      </w:pPr>
      <w:r>
        <w:separator/>
      </w:r>
    </w:p>
  </w:endnote>
  <w:endnote w:type="continuationSeparator" w:id="0">
    <w:p w:rsidR="007605BE" w:rsidRDefault="007605BE"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altName w:val="Courier New"/>
    <w:panose1 w:val="00000400000000000000"/>
    <w:charset w:val="01"/>
    <w:family w:val="roman"/>
    <w:notTrueType/>
    <w:pitch w:val="variable"/>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evanagari MT">
    <w:charset w:val="00"/>
    <w:family w:val="auto"/>
    <w:pitch w:val="variable"/>
    <w:sig w:usb0="80008003" w:usb1="1000C0C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252991"/>
      <w:docPartObj>
        <w:docPartGallery w:val="Page Numbers (Bottom of Page)"/>
        <w:docPartUnique/>
      </w:docPartObj>
    </w:sdtPr>
    <w:sdtEndPr>
      <w:rPr>
        <w:color w:val="7F7F7F" w:themeColor="background1" w:themeShade="7F"/>
        <w:spacing w:val="60"/>
      </w:rPr>
    </w:sdtEndPr>
    <w:sdtContent>
      <w:p w:rsidR="00F505F5" w:rsidRDefault="0038264A" w:rsidP="0038264A">
        <w:pPr>
          <w:pStyle w:val="Footer"/>
          <w:pBdr>
            <w:top w:val="single" w:sz="4" w:space="1" w:color="D9D9D9" w:themeColor="background1" w:themeShade="D9"/>
          </w:pBdr>
          <w:rPr>
            <w:b/>
            <w:bCs/>
          </w:rPr>
        </w:pPr>
        <w:r w:rsidRPr="0038264A">
          <w:rPr>
            <w:rFonts w:asciiTheme="majorHAnsi" w:hAnsiTheme="majorHAnsi" w:cstheme="majorHAnsi"/>
            <w:b/>
            <w:noProof/>
            <w:sz w:val="24"/>
            <w:lang w:bidi="ar-SA"/>
          </w:rPr>
          <mc:AlternateContent>
            <mc:Choice Requires="wps">
              <w:drawing>
                <wp:anchor distT="45720" distB="45720" distL="114300" distR="114300" simplePos="0" relativeHeight="251674624" behindDoc="0" locked="0" layoutInCell="1" allowOverlap="1" wp14:anchorId="10B78E34" wp14:editId="6CD72838">
                  <wp:simplePos x="0" y="0"/>
                  <wp:positionH relativeFrom="column">
                    <wp:posOffset>390525</wp:posOffset>
                  </wp:positionH>
                  <wp:positionV relativeFrom="paragraph">
                    <wp:posOffset>0</wp:posOffset>
                  </wp:positionV>
                  <wp:extent cx="5791200" cy="6381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38175"/>
                          </a:xfrm>
                          <a:prstGeom prst="rect">
                            <a:avLst/>
                          </a:prstGeom>
                          <a:solidFill>
                            <a:schemeClr val="bg1"/>
                          </a:solidFill>
                          <a:ln w="12700">
                            <a:noFill/>
                            <a:miter lim="800000"/>
                            <a:headEnd/>
                            <a:tailEnd/>
                          </a:ln>
                        </wps:spPr>
                        <wps:txbx>
                          <w:txbxContent>
                            <w:p w:rsidR="0038264A" w:rsidRPr="0038264A" w:rsidRDefault="00666391" w:rsidP="0038264A">
                              <w:pPr>
                                <w:spacing w:after="0" w:line="240" w:lineRule="auto"/>
                                <w:jc w:val="right"/>
                                <w:rPr>
                                  <w:rFonts w:ascii="Book Antiqua" w:hAnsi="Book Antiqua"/>
                                  <w:b/>
                                  <w:i/>
                                  <w:color w:val="000000" w:themeColor="text1"/>
                                  <w:sz w:val="16"/>
                                  <w:szCs w:val="16"/>
                                </w:rPr>
                              </w:pPr>
                              <w:r w:rsidRPr="00666391">
                                <w:rPr>
                                  <w:rFonts w:ascii="Book Antiqua" w:hAnsi="Book Antiqua"/>
                                  <w:b/>
                                  <w:i/>
                                  <w:color w:val="000000" w:themeColor="text1"/>
                                  <w:sz w:val="16"/>
                                  <w:szCs w:val="16"/>
                                </w:rPr>
                                <w:t xml:space="preserve">Mahdi Abdullah </w:t>
                              </w:r>
                              <w:proofErr w:type="spellStart"/>
                              <w:r w:rsidRPr="00666391">
                                <w:rPr>
                                  <w:rFonts w:ascii="Book Antiqua" w:hAnsi="Book Antiqua"/>
                                  <w:b/>
                                  <w:i/>
                                  <w:color w:val="000000" w:themeColor="text1"/>
                                  <w:sz w:val="16"/>
                                  <w:szCs w:val="16"/>
                                </w:rPr>
                                <w:t>Syihab</w:t>
                              </w:r>
                              <w:proofErr w:type="spellEnd"/>
                              <w:r w:rsidR="0038264A" w:rsidRPr="0038264A">
                                <w:rPr>
                                  <w:rFonts w:ascii="Book Antiqua" w:hAnsi="Book Antiqua"/>
                                  <w:b/>
                                  <w:i/>
                                  <w:color w:val="000000" w:themeColor="text1"/>
                                  <w:sz w:val="16"/>
                                  <w:szCs w:val="16"/>
                                </w:rPr>
                                <w:t>, “</w:t>
                              </w:r>
                              <w:r w:rsidRPr="00666391">
                                <w:rPr>
                                  <w:rFonts w:ascii="Book Antiqua" w:hAnsi="Book Antiqua"/>
                                  <w:b/>
                                  <w:i/>
                                  <w:color w:val="000000" w:themeColor="text1"/>
                                  <w:sz w:val="16"/>
                                  <w:szCs w:val="16"/>
                                </w:rPr>
                                <w:t xml:space="preserve">Crime Settlement </w:t>
                              </w:r>
                              <w:proofErr w:type="gramStart"/>
                              <w:r w:rsidRPr="00666391">
                                <w:rPr>
                                  <w:rFonts w:ascii="Book Antiqua" w:hAnsi="Book Antiqua"/>
                                  <w:b/>
                                  <w:i/>
                                  <w:color w:val="000000" w:themeColor="text1"/>
                                  <w:sz w:val="16"/>
                                  <w:szCs w:val="16"/>
                                </w:rPr>
                                <w:t>Of</w:t>
                              </w:r>
                              <w:proofErr w:type="gramEnd"/>
                              <w:r w:rsidRPr="00666391">
                                <w:rPr>
                                  <w:rFonts w:ascii="Book Antiqua" w:hAnsi="Book Antiqua"/>
                                  <w:b/>
                                  <w:i/>
                                  <w:color w:val="000000" w:themeColor="text1"/>
                                  <w:sz w:val="16"/>
                                  <w:szCs w:val="16"/>
                                </w:rPr>
                                <w:t xml:space="preserve"> </w:t>
                              </w:r>
                              <w:proofErr w:type="spellStart"/>
                              <w:r w:rsidRPr="00666391">
                                <w:rPr>
                                  <w:rFonts w:ascii="Book Antiqua" w:hAnsi="Book Antiqua"/>
                                  <w:b/>
                                  <w:i/>
                                  <w:color w:val="000000" w:themeColor="text1"/>
                                  <w:sz w:val="16"/>
                                  <w:szCs w:val="16"/>
                                </w:rPr>
                                <w:t>Khalwat</w:t>
                              </w:r>
                              <w:proofErr w:type="spellEnd"/>
                              <w:r w:rsidRPr="00666391">
                                <w:rPr>
                                  <w:rFonts w:ascii="Book Antiqua" w:hAnsi="Book Antiqua"/>
                                  <w:b/>
                                  <w:i/>
                                  <w:color w:val="000000" w:themeColor="text1"/>
                                  <w:sz w:val="16"/>
                                  <w:szCs w:val="16"/>
                                </w:rPr>
                                <w:t xml:space="preserve"> In Aceh</w:t>
                              </w:r>
                              <w:r w:rsidR="0038264A" w:rsidRPr="0038264A">
                                <w:rPr>
                                  <w:rFonts w:ascii="Book Antiqua" w:hAnsi="Book Antiqua"/>
                                  <w:b/>
                                  <w:i/>
                                  <w:color w:val="000000" w:themeColor="text1"/>
                                  <w:sz w:val="16"/>
                                  <w:szCs w:val="16"/>
                                </w:rPr>
                                <w:t>”</w:t>
                              </w:r>
                            </w:p>
                            <w:p w:rsidR="0038264A" w:rsidRPr="0038264A" w:rsidRDefault="0038264A" w:rsidP="0038264A">
                              <w:pPr>
                                <w:spacing w:after="0" w:line="240" w:lineRule="auto"/>
                                <w:jc w:val="right"/>
                                <w:rPr>
                                  <w:rFonts w:ascii="Book Antiqua" w:hAnsi="Book Antiqua"/>
                                  <w:b/>
                                  <w:i/>
                                  <w:color w:val="000000" w:themeColor="text1"/>
                                  <w:sz w:val="16"/>
                                  <w:szCs w:val="16"/>
                                  <w:lang w:val="id-ID"/>
                                </w:rPr>
                              </w:pPr>
                              <w:r w:rsidRPr="0038264A">
                                <w:rPr>
                                  <w:rFonts w:ascii="Book Antiqua" w:hAnsi="Book Antiqua"/>
                                  <w:b/>
                                  <w:i/>
                                  <w:color w:val="000000" w:themeColor="text1"/>
                                  <w:sz w:val="16"/>
                                  <w:szCs w:val="16"/>
                                </w:rPr>
                                <w:t>SASI,</w:t>
                              </w:r>
                              <w:r w:rsidRPr="0038264A">
                                <w:rPr>
                                  <w:rFonts w:ascii="Book Antiqua" w:hAnsi="Book Antiqua"/>
                                  <w:b/>
                                  <w:i/>
                                  <w:color w:val="000000" w:themeColor="text1"/>
                                  <w:sz w:val="16"/>
                                  <w:szCs w:val="16"/>
                                  <w:lang w:val="id-ID"/>
                                </w:rPr>
                                <w:t xml:space="preserve"> </w:t>
                              </w:r>
                              <w:r w:rsidRPr="0038264A">
                                <w:rPr>
                                  <w:rFonts w:ascii="Book Antiqua" w:hAnsi="Book Antiqua"/>
                                  <w:b/>
                                  <w:i/>
                                  <w:color w:val="000000" w:themeColor="text1"/>
                                  <w:sz w:val="16"/>
                                  <w:szCs w:val="16"/>
                                </w:rPr>
                                <w:t>27</w:t>
                              </w:r>
                              <w:r w:rsidRPr="0038264A">
                                <w:rPr>
                                  <w:rFonts w:ascii="Book Antiqua" w:hAnsi="Book Antiqua"/>
                                  <w:b/>
                                  <w:i/>
                                  <w:color w:val="000000" w:themeColor="text1"/>
                                  <w:sz w:val="16"/>
                                  <w:szCs w:val="16"/>
                                  <w:lang w:val="id-ID"/>
                                </w:rPr>
                                <w:t>(1)</w:t>
                              </w:r>
                              <w:r w:rsidRPr="0038264A">
                                <w:rPr>
                                  <w:rFonts w:ascii="Book Antiqua" w:hAnsi="Book Antiqua"/>
                                  <w:b/>
                                  <w:i/>
                                  <w:color w:val="000000" w:themeColor="text1"/>
                                  <w:sz w:val="16"/>
                                  <w:szCs w:val="16"/>
                                </w:rPr>
                                <w:t xml:space="preserve"> 2022</w:t>
                              </w:r>
                              <w:r w:rsidRPr="0038264A">
                                <w:rPr>
                                  <w:rFonts w:ascii="Book Antiqua" w:hAnsi="Book Antiqua"/>
                                  <w:b/>
                                  <w:i/>
                                  <w:color w:val="000000" w:themeColor="text1"/>
                                  <w:sz w:val="16"/>
                                  <w:szCs w:val="16"/>
                                  <w:lang w:val="id-ID"/>
                                </w:rPr>
                                <w:t xml:space="preserve">: </w:t>
                              </w:r>
                              <w:r w:rsidRPr="0038264A">
                                <w:rPr>
                                  <w:rFonts w:ascii="Book Antiqua" w:hAnsi="Book Antiqua"/>
                                  <w:b/>
                                  <w:i/>
                                  <w:color w:val="000000" w:themeColor="text1"/>
                                  <w:sz w:val="16"/>
                                  <w:szCs w:val="16"/>
                                </w:rPr>
                                <w:t>1</w:t>
                              </w:r>
                              <w:r w:rsidRPr="0038264A">
                                <w:rPr>
                                  <w:rFonts w:ascii="Book Antiqua" w:hAnsi="Book Antiqua"/>
                                  <w:b/>
                                  <w:i/>
                                  <w:color w:val="000000" w:themeColor="text1"/>
                                  <w:sz w:val="16"/>
                                  <w:szCs w:val="16"/>
                                  <w:lang w:val="id-ID"/>
                                </w:rPr>
                                <w:t>-15</w:t>
                              </w:r>
                            </w:p>
                            <w:p w:rsidR="0038264A" w:rsidRPr="009D4306" w:rsidRDefault="0038264A" w:rsidP="0038264A">
                              <w:pPr>
                                <w:spacing w:after="0" w:line="240" w:lineRule="auto"/>
                                <w:jc w:val="right"/>
                                <w:rPr>
                                  <w:sz w:val="18"/>
                                  <w:szCs w:val="18"/>
                                </w:rPr>
                              </w:pPr>
                              <w:r w:rsidRPr="0038264A">
                                <w:rPr>
                                  <w:rFonts w:ascii="Book Antiqua" w:hAnsi="Book Antiqua"/>
                                  <w:b/>
                                  <w:i/>
                                  <w:color w:val="000000" w:themeColor="text1"/>
                                  <w:sz w:val="16"/>
                                  <w:szCs w:val="16"/>
                                  <w:lang w:val="id-ID"/>
                                </w:rPr>
                                <w:t>P-ISSN: 1693-0061, E-ISSN: 2614-2961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5pt;margin-top:0;width:456pt;height:50.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" fillcolor="white [3212]" stroked="f" strokeweight="1pt">
                  <v:textbox>
                    <w:txbxContent>
                      <w:p w:rsidR="0038264A" w:rsidRPr="0038264A" w:rsidRDefault="00666391" w:rsidP="0038264A">
                        <w:pPr>
                          <w:spacing w:after="0" w:line="240" w:lineRule="auto"/>
                          <w:jc w:val="right"/>
                          <w:rPr>
                            <w:rFonts w:ascii="Book Antiqua" w:hAnsi="Book Antiqua"/>
                            <w:b/>
                            <w:i/>
                            <w:color w:val="000000" w:themeColor="text1"/>
                            <w:sz w:val="16"/>
                            <w:szCs w:val="16"/>
                          </w:rPr>
                        </w:pPr>
                        <w:r w:rsidRPr="00666391">
                          <w:rPr>
                            <w:rFonts w:ascii="Book Antiqua" w:hAnsi="Book Antiqua"/>
                            <w:b/>
                            <w:i/>
                            <w:color w:val="000000" w:themeColor="text1"/>
                            <w:sz w:val="16"/>
                            <w:szCs w:val="16"/>
                          </w:rPr>
                          <w:t xml:space="preserve">Mahdi Abdullah </w:t>
                        </w:r>
                        <w:proofErr w:type="spellStart"/>
                        <w:r w:rsidRPr="00666391">
                          <w:rPr>
                            <w:rFonts w:ascii="Book Antiqua" w:hAnsi="Book Antiqua"/>
                            <w:b/>
                            <w:i/>
                            <w:color w:val="000000" w:themeColor="text1"/>
                            <w:sz w:val="16"/>
                            <w:szCs w:val="16"/>
                          </w:rPr>
                          <w:t>Syihab</w:t>
                        </w:r>
                        <w:proofErr w:type="spellEnd"/>
                        <w:r w:rsidR="0038264A" w:rsidRPr="0038264A">
                          <w:rPr>
                            <w:rFonts w:ascii="Book Antiqua" w:hAnsi="Book Antiqua"/>
                            <w:b/>
                            <w:i/>
                            <w:color w:val="000000" w:themeColor="text1"/>
                            <w:sz w:val="16"/>
                            <w:szCs w:val="16"/>
                          </w:rPr>
                          <w:t>, “</w:t>
                        </w:r>
                        <w:r w:rsidRPr="00666391">
                          <w:rPr>
                            <w:rFonts w:ascii="Book Antiqua" w:hAnsi="Book Antiqua"/>
                            <w:b/>
                            <w:i/>
                            <w:color w:val="000000" w:themeColor="text1"/>
                            <w:sz w:val="16"/>
                            <w:szCs w:val="16"/>
                          </w:rPr>
                          <w:t xml:space="preserve">Crime Settlement </w:t>
                        </w:r>
                        <w:proofErr w:type="gramStart"/>
                        <w:r w:rsidRPr="00666391">
                          <w:rPr>
                            <w:rFonts w:ascii="Book Antiqua" w:hAnsi="Book Antiqua"/>
                            <w:b/>
                            <w:i/>
                            <w:color w:val="000000" w:themeColor="text1"/>
                            <w:sz w:val="16"/>
                            <w:szCs w:val="16"/>
                          </w:rPr>
                          <w:t>Of</w:t>
                        </w:r>
                        <w:proofErr w:type="gramEnd"/>
                        <w:r w:rsidRPr="00666391">
                          <w:rPr>
                            <w:rFonts w:ascii="Book Antiqua" w:hAnsi="Book Antiqua"/>
                            <w:b/>
                            <w:i/>
                            <w:color w:val="000000" w:themeColor="text1"/>
                            <w:sz w:val="16"/>
                            <w:szCs w:val="16"/>
                          </w:rPr>
                          <w:t xml:space="preserve"> </w:t>
                        </w:r>
                        <w:proofErr w:type="spellStart"/>
                        <w:r w:rsidRPr="00666391">
                          <w:rPr>
                            <w:rFonts w:ascii="Book Antiqua" w:hAnsi="Book Antiqua"/>
                            <w:b/>
                            <w:i/>
                            <w:color w:val="000000" w:themeColor="text1"/>
                            <w:sz w:val="16"/>
                            <w:szCs w:val="16"/>
                          </w:rPr>
                          <w:t>Khalwat</w:t>
                        </w:r>
                        <w:proofErr w:type="spellEnd"/>
                        <w:r w:rsidRPr="00666391">
                          <w:rPr>
                            <w:rFonts w:ascii="Book Antiqua" w:hAnsi="Book Antiqua"/>
                            <w:b/>
                            <w:i/>
                            <w:color w:val="000000" w:themeColor="text1"/>
                            <w:sz w:val="16"/>
                            <w:szCs w:val="16"/>
                          </w:rPr>
                          <w:t xml:space="preserve"> In Aceh</w:t>
                        </w:r>
                        <w:r w:rsidR="0038264A" w:rsidRPr="0038264A">
                          <w:rPr>
                            <w:rFonts w:ascii="Book Antiqua" w:hAnsi="Book Antiqua"/>
                            <w:b/>
                            <w:i/>
                            <w:color w:val="000000" w:themeColor="text1"/>
                            <w:sz w:val="16"/>
                            <w:szCs w:val="16"/>
                          </w:rPr>
                          <w:t>”</w:t>
                        </w:r>
                      </w:p>
                      <w:p w:rsidR="0038264A" w:rsidRPr="0038264A" w:rsidRDefault="0038264A" w:rsidP="0038264A">
                        <w:pPr>
                          <w:spacing w:after="0" w:line="240" w:lineRule="auto"/>
                          <w:jc w:val="right"/>
                          <w:rPr>
                            <w:rFonts w:ascii="Book Antiqua" w:hAnsi="Book Antiqua"/>
                            <w:b/>
                            <w:i/>
                            <w:color w:val="000000" w:themeColor="text1"/>
                            <w:sz w:val="16"/>
                            <w:szCs w:val="16"/>
                            <w:lang w:val="id-ID"/>
                          </w:rPr>
                        </w:pPr>
                        <w:r w:rsidRPr="0038264A">
                          <w:rPr>
                            <w:rFonts w:ascii="Book Antiqua" w:hAnsi="Book Antiqua"/>
                            <w:b/>
                            <w:i/>
                            <w:color w:val="000000" w:themeColor="text1"/>
                            <w:sz w:val="16"/>
                            <w:szCs w:val="16"/>
                          </w:rPr>
                          <w:t>SASI,</w:t>
                        </w:r>
                        <w:r w:rsidRPr="0038264A">
                          <w:rPr>
                            <w:rFonts w:ascii="Book Antiqua" w:hAnsi="Book Antiqua"/>
                            <w:b/>
                            <w:i/>
                            <w:color w:val="000000" w:themeColor="text1"/>
                            <w:sz w:val="16"/>
                            <w:szCs w:val="16"/>
                            <w:lang w:val="id-ID"/>
                          </w:rPr>
                          <w:t xml:space="preserve"> </w:t>
                        </w:r>
                        <w:r w:rsidRPr="0038264A">
                          <w:rPr>
                            <w:rFonts w:ascii="Book Antiqua" w:hAnsi="Book Antiqua"/>
                            <w:b/>
                            <w:i/>
                            <w:color w:val="000000" w:themeColor="text1"/>
                            <w:sz w:val="16"/>
                            <w:szCs w:val="16"/>
                          </w:rPr>
                          <w:t>27</w:t>
                        </w:r>
                        <w:r w:rsidRPr="0038264A">
                          <w:rPr>
                            <w:rFonts w:ascii="Book Antiqua" w:hAnsi="Book Antiqua"/>
                            <w:b/>
                            <w:i/>
                            <w:color w:val="000000" w:themeColor="text1"/>
                            <w:sz w:val="16"/>
                            <w:szCs w:val="16"/>
                            <w:lang w:val="id-ID"/>
                          </w:rPr>
                          <w:t>(1)</w:t>
                        </w:r>
                        <w:r w:rsidRPr="0038264A">
                          <w:rPr>
                            <w:rFonts w:ascii="Book Antiqua" w:hAnsi="Book Antiqua"/>
                            <w:b/>
                            <w:i/>
                            <w:color w:val="000000" w:themeColor="text1"/>
                            <w:sz w:val="16"/>
                            <w:szCs w:val="16"/>
                          </w:rPr>
                          <w:t xml:space="preserve"> 2022</w:t>
                        </w:r>
                        <w:r w:rsidRPr="0038264A">
                          <w:rPr>
                            <w:rFonts w:ascii="Book Antiqua" w:hAnsi="Book Antiqua"/>
                            <w:b/>
                            <w:i/>
                            <w:color w:val="000000" w:themeColor="text1"/>
                            <w:sz w:val="16"/>
                            <w:szCs w:val="16"/>
                            <w:lang w:val="id-ID"/>
                          </w:rPr>
                          <w:t xml:space="preserve">: </w:t>
                        </w:r>
                        <w:r w:rsidRPr="0038264A">
                          <w:rPr>
                            <w:rFonts w:ascii="Book Antiqua" w:hAnsi="Book Antiqua"/>
                            <w:b/>
                            <w:i/>
                            <w:color w:val="000000" w:themeColor="text1"/>
                            <w:sz w:val="16"/>
                            <w:szCs w:val="16"/>
                          </w:rPr>
                          <w:t>1</w:t>
                        </w:r>
                        <w:r w:rsidRPr="0038264A">
                          <w:rPr>
                            <w:rFonts w:ascii="Book Antiqua" w:hAnsi="Book Antiqua"/>
                            <w:b/>
                            <w:i/>
                            <w:color w:val="000000" w:themeColor="text1"/>
                            <w:sz w:val="16"/>
                            <w:szCs w:val="16"/>
                            <w:lang w:val="id-ID"/>
                          </w:rPr>
                          <w:t>-15</w:t>
                        </w:r>
                      </w:p>
                      <w:p w:rsidR="0038264A" w:rsidRPr="009D4306" w:rsidRDefault="0038264A" w:rsidP="0038264A">
                        <w:pPr>
                          <w:spacing w:after="0" w:line="240" w:lineRule="auto"/>
                          <w:jc w:val="right"/>
                          <w:rPr>
                            <w:sz w:val="18"/>
                            <w:szCs w:val="18"/>
                          </w:rPr>
                        </w:pPr>
                        <w:r w:rsidRPr="0038264A">
                          <w:rPr>
                            <w:rFonts w:ascii="Book Antiqua" w:hAnsi="Book Antiqua"/>
                            <w:b/>
                            <w:i/>
                            <w:color w:val="000000" w:themeColor="text1"/>
                            <w:sz w:val="16"/>
                            <w:szCs w:val="16"/>
                            <w:lang w:val="id-ID"/>
                          </w:rPr>
                          <w:t>P-ISSN: 1693-0061, E-ISSN: 2614-2961</w:t>
                        </w:r>
                      </w:p>
                    </w:txbxContent>
                  </v:textbox>
                </v:shape>
              </w:pict>
            </mc:Fallback>
          </mc:AlternateContent>
        </w:r>
        <w:r w:rsidR="00F505F5" w:rsidRPr="0038264A">
          <w:rPr>
            <w:rFonts w:ascii="Book Antiqua" w:hAnsi="Book Antiqua"/>
            <w:b/>
            <w:color w:val="1F3864" w:themeColor="accent1" w:themeShade="80"/>
            <w:sz w:val="28"/>
          </w:rPr>
          <w:fldChar w:fldCharType="begin"/>
        </w:r>
        <w:r w:rsidR="00F505F5" w:rsidRPr="0038264A">
          <w:rPr>
            <w:rFonts w:ascii="Book Antiqua" w:hAnsi="Book Antiqua"/>
            <w:b/>
            <w:color w:val="1F3864" w:themeColor="accent1" w:themeShade="80"/>
            <w:sz w:val="28"/>
          </w:rPr>
          <w:instrText xml:space="preserve"> PAGE   \* MERGEFORMAT </w:instrText>
        </w:r>
        <w:r w:rsidR="00F505F5" w:rsidRPr="0038264A">
          <w:rPr>
            <w:rFonts w:ascii="Book Antiqua" w:hAnsi="Book Antiqua"/>
            <w:b/>
            <w:color w:val="1F3864" w:themeColor="accent1" w:themeShade="80"/>
            <w:sz w:val="28"/>
          </w:rPr>
          <w:fldChar w:fldCharType="separate"/>
        </w:r>
        <w:r w:rsidR="00015218" w:rsidRPr="00015218">
          <w:rPr>
            <w:rFonts w:ascii="Book Antiqua" w:hAnsi="Book Antiqua"/>
            <w:b/>
            <w:bCs/>
            <w:noProof/>
            <w:color w:val="1F3864" w:themeColor="accent1" w:themeShade="80"/>
            <w:sz w:val="28"/>
          </w:rPr>
          <w:t>10</w:t>
        </w:r>
        <w:r w:rsidR="00F505F5" w:rsidRPr="0038264A">
          <w:rPr>
            <w:rFonts w:ascii="Book Antiqua" w:hAnsi="Book Antiqua"/>
            <w:b/>
            <w:bCs/>
            <w:noProof/>
            <w:color w:val="1F3864" w:themeColor="accent1" w:themeShade="80"/>
            <w:sz w:val="28"/>
          </w:rPr>
          <w:fldChar w:fldCharType="end"/>
        </w:r>
        <w:r w:rsidR="00F505F5" w:rsidRPr="0038264A">
          <w:rPr>
            <w:b/>
            <w:bCs/>
            <w:color w:val="1F3864" w:themeColor="accent1" w:themeShade="80"/>
            <w:sz w:val="24"/>
          </w:rPr>
          <w:t xml:space="preserve"> </w:t>
        </w:r>
        <w:r w:rsidR="00F505F5">
          <w:rPr>
            <w:b/>
            <w:bCs/>
          </w:rPr>
          <w:t xml:space="preserve">| </w:t>
        </w:r>
        <w:r w:rsidR="00F14211">
          <w:rPr>
            <w:b/>
            <w:bCs/>
          </w:rPr>
          <w:t xml:space="preserve">   </w:t>
        </w:r>
      </w:p>
    </w:sdtContent>
  </w:sdt>
  <w:p w:rsidR="00334F9D" w:rsidRPr="00185CD9" w:rsidRDefault="00334F9D">
    <w:pPr>
      <w:pStyle w:val="Footer"/>
      <w:rPr>
        <w:rFonts w:asciiTheme="majorHAnsi" w:hAnsiTheme="majorHAnsi" w:cs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575198"/>
      <w:docPartObj>
        <w:docPartGallery w:val="Page Numbers (Bottom of Page)"/>
        <w:docPartUnique/>
      </w:docPartObj>
    </w:sdtPr>
    <w:sdtEndPr>
      <w:rPr>
        <w:color w:val="7F7F7F" w:themeColor="background1" w:themeShade="7F"/>
        <w:spacing w:val="60"/>
      </w:rPr>
    </w:sdtEndPr>
    <w:sdtContent>
      <w:p w:rsidR="00F505F5" w:rsidRDefault="0038264A" w:rsidP="0038264A">
        <w:pPr>
          <w:pStyle w:val="Footer"/>
          <w:pBdr>
            <w:top w:val="single" w:sz="4" w:space="1" w:color="D9D9D9" w:themeColor="background1" w:themeShade="D9"/>
          </w:pBdr>
          <w:rPr>
            <w:b/>
            <w:bCs/>
          </w:rPr>
        </w:pPr>
        <w:r w:rsidRPr="0038264A">
          <w:rPr>
            <w:rFonts w:asciiTheme="majorHAnsi" w:hAnsiTheme="majorHAnsi" w:cstheme="majorHAnsi"/>
            <w:b/>
            <w:noProof/>
            <w:sz w:val="24"/>
            <w:lang w:bidi="ar-SA"/>
          </w:rPr>
          <mc:AlternateContent>
            <mc:Choice Requires="wps">
              <w:drawing>
                <wp:anchor distT="45720" distB="45720" distL="114300" distR="114300" simplePos="0" relativeHeight="251676672" behindDoc="0" locked="0" layoutInCell="1" allowOverlap="1" wp14:anchorId="0A3B047A" wp14:editId="15277618">
                  <wp:simplePos x="0" y="0"/>
                  <wp:positionH relativeFrom="column">
                    <wp:posOffset>466725</wp:posOffset>
                  </wp:positionH>
                  <wp:positionV relativeFrom="paragraph">
                    <wp:posOffset>-6985</wp:posOffset>
                  </wp:positionV>
                  <wp:extent cx="5791200" cy="6381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38175"/>
                          </a:xfrm>
                          <a:prstGeom prst="rect">
                            <a:avLst/>
                          </a:prstGeom>
                          <a:solidFill>
                            <a:schemeClr val="bg1"/>
                          </a:solidFill>
                          <a:ln w="12700">
                            <a:noFill/>
                            <a:miter lim="800000"/>
                            <a:headEnd/>
                            <a:tailEnd/>
                          </a:ln>
                        </wps:spPr>
                        <wps:txbx>
                          <w:txbxContent>
                            <w:p w:rsidR="0038264A" w:rsidRPr="0038264A" w:rsidRDefault="00015218" w:rsidP="0038264A">
                              <w:pPr>
                                <w:spacing w:after="0" w:line="240" w:lineRule="auto"/>
                                <w:jc w:val="right"/>
                                <w:rPr>
                                  <w:rFonts w:ascii="Book Antiqua" w:hAnsi="Book Antiqua"/>
                                  <w:b/>
                                  <w:i/>
                                  <w:color w:val="000000" w:themeColor="text1"/>
                                  <w:sz w:val="16"/>
                                  <w:szCs w:val="18"/>
                                </w:rPr>
                              </w:pPr>
                              <w:r w:rsidRPr="00015218">
                                <w:rPr>
                                  <w:rFonts w:ascii="Book Antiqua" w:hAnsi="Book Antiqua"/>
                                  <w:b/>
                                  <w:i/>
                                  <w:color w:val="000000" w:themeColor="text1"/>
                                  <w:sz w:val="16"/>
                                  <w:szCs w:val="18"/>
                                </w:rPr>
                                <w:t xml:space="preserve">Mahdi Abdullah </w:t>
                              </w:r>
                              <w:proofErr w:type="spellStart"/>
                              <w:r w:rsidRPr="00015218">
                                <w:rPr>
                                  <w:rFonts w:ascii="Book Antiqua" w:hAnsi="Book Antiqua"/>
                                  <w:b/>
                                  <w:i/>
                                  <w:color w:val="000000" w:themeColor="text1"/>
                                  <w:sz w:val="16"/>
                                  <w:szCs w:val="18"/>
                                </w:rPr>
                                <w:t>Syihab</w:t>
                              </w:r>
                              <w:proofErr w:type="spellEnd"/>
                              <w:r w:rsidRPr="00015218">
                                <w:rPr>
                                  <w:rFonts w:ascii="Book Antiqua" w:hAnsi="Book Antiqua"/>
                                  <w:b/>
                                  <w:i/>
                                  <w:color w:val="000000" w:themeColor="text1"/>
                                  <w:sz w:val="16"/>
                                  <w:szCs w:val="18"/>
                                </w:rPr>
                                <w:t xml:space="preserve">, “Crime Settlement </w:t>
                              </w:r>
                              <w:proofErr w:type="gramStart"/>
                              <w:r w:rsidRPr="00015218">
                                <w:rPr>
                                  <w:rFonts w:ascii="Book Antiqua" w:hAnsi="Book Antiqua"/>
                                  <w:b/>
                                  <w:i/>
                                  <w:color w:val="000000" w:themeColor="text1"/>
                                  <w:sz w:val="16"/>
                                  <w:szCs w:val="18"/>
                                </w:rPr>
                                <w:t>Of</w:t>
                              </w:r>
                              <w:proofErr w:type="gramEnd"/>
                              <w:r w:rsidRPr="00015218">
                                <w:rPr>
                                  <w:rFonts w:ascii="Book Antiqua" w:hAnsi="Book Antiqua"/>
                                  <w:b/>
                                  <w:i/>
                                  <w:color w:val="000000" w:themeColor="text1"/>
                                  <w:sz w:val="16"/>
                                  <w:szCs w:val="18"/>
                                </w:rPr>
                                <w:t xml:space="preserve"> </w:t>
                              </w:r>
                              <w:proofErr w:type="spellStart"/>
                              <w:r w:rsidRPr="00015218">
                                <w:rPr>
                                  <w:rFonts w:ascii="Book Antiqua" w:hAnsi="Book Antiqua"/>
                                  <w:b/>
                                  <w:i/>
                                  <w:color w:val="000000" w:themeColor="text1"/>
                                  <w:sz w:val="16"/>
                                  <w:szCs w:val="18"/>
                                </w:rPr>
                                <w:t>Khalwat</w:t>
                              </w:r>
                              <w:proofErr w:type="spellEnd"/>
                              <w:r w:rsidRPr="00015218">
                                <w:rPr>
                                  <w:rFonts w:ascii="Book Antiqua" w:hAnsi="Book Antiqua"/>
                                  <w:b/>
                                  <w:i/>
                                  <w:color w:val="000000" w:themeColor="text1"/>
                                  <w:sz w:val="16"/>
                                  <w:szCs w:val="18"/>
                                </w:rPr>
                                <w:t xml:space="preserve"> In Aceh</w:t>
                              </w:r>
                              <w:r w:rsidR="0038264A" w:rsidRPr="0038264A">
                                <w:rPr>
                                  <w:rFonts w:ascii="Book Antiqua" w:hAnsi="Book Antiqua"/>
                                  <w:b/>
                                  <w:i/>
                                  <w:color w:val="000000" w:themeColor="text1"/>
                                  <w:sz w:val="16"/>
                                  <w:szCs w:val="18"/>
                                </w:rPr>
                                <w:t>”</w:t>
                              </w:r>
                            </w:p>
                            <w:p w:rsidR="0038264A" w:rsidRPr="0038264A" w:rsidRDefault="0038264A" w:rsidP="0038264A">
                              <w:pPr>
                                <w:spacing w:after="0" w:line="240" w:lineRule="auto"/>
                                <w:jc w:val="right"/>
                                <w:rPr>
                                  <w:rFonts w:ascii="Book Antiqua" w:hAnsi="Book Antiqua"/>
                                  <w:b/>
                                  <w:i/>
                                  <w:color w:val="000000" w:themeColor="text1"/>
                                  <w:sz w:val="16"/>
                                  <w:szCs w:val="18"/>
                                  <w:lang w:val="id-ID"/>
                                </w:rPr>
                              </w:pPr>
                              <w:r w:rsidRPr="0038264A">
                                <w:rPr>
                                  <w:rFonts w:ascii="Book Antiqua" w:hAnsi="Book Antiqua"/>
                                  <w:b/>
                                  <w:i/>
                                  <w:color w:val="000000" w:themeColor="text1"/>
                                  <w:sz w:val="16"/>
                                  <w:szCs w:val="18"/>
                                </w:rPr>
                                <w:t>SASI,</w:t>
                              </w:r>
                              <w:r w:rsidRPr="0038264A">
                                <w:rPr>
                                  <w:rFonts w:ascii="Book Antiqua" w:hAnsi="Book Antiqua"/>
                                  <w:b/>
                                  <w:i/>
                                  <w:color w:val="000000" w:themeColor="text1"/>
                                  <w:sz w:val="16"/>
                                  <w:szCs w:val="18"/>
                                  <w:lang w:val="id-ID"/>
                                </w:rPr>
                                <w:t xml:space="preserve"> </w:t>
                              </w:r>
                              <w:r w:rsidRPr="0038264A">
                                <w:rPr>
                                  <w:rFonts w:ascii="Book Antiqua" w:hAnsi="Book Antiqua"/>
                                  <w:b/>
                                  <w:i/>
                                  <w:color w:val="000000" w:themeColor="text1"/>
                                  <w:sz w:val="16"/>
                                  <w:szCs w:val="18"/>
                                </w:rPr>
                                <w:t>27</w:t>
                              </w:r>
                              <w:r w:rsidRPr="0038264A">
                                <w:rPr>
                                  <w:rFonts w:ascii="Book Antiqua" w:hAnsi="Book Antiqua"/>
                                  <w:b/>
                                  <w:i/>
                                  <w:color w:val="000000" w:themeColor="text1"/>
                                  <w:sz w:val="16"/>
                                  <w:szCs w:val="18"/>
                                  <w:lang w:val="id-ID"/>
                                </w:rPr>
                                <w:t>(1)</w:t>
                              </w:r>
                              <w:r w:rsidRPr="0038264A">
                                <w:rPr>
                                  <w:rFonts w:ascii="Book Antiqua" w:hAnsi="Book Antiqua"/>
                                  <w:b/>
                                  <w:i/>
                                  <w:color w:val="000000" w:themeColor="text1"/>
                                  <w:sz w:val="16"/>
                                  <w:szCs w:val="18"/>
                                </w:rPr>
                                <w:t xml:space="preserve"> 2022</w:t>
                              </w:r>
                              <w:r w:rsidRPr="0038264A">
                                <w:rPr>
                                  <w:rFonts w:ascii="Book Antiqua" w:hAnsi="Book Antiqua"/>
                                  <w:b/>
                                  <w:i/>
                                  <w:color w:val="000000" w:themeColor="text1"/>
                                  <w:sz w:val="16"/>
                                  <w:szCs w:val="18"/>
                                  <w:lang w:val="id-ID"/>
                                </w:rPr>
                                <w:t xml:space="preserve">: </w:t>
                              </w:r>
                              <w:r w:rsidRPr="0038264A">
                                <w:rPr>
                                  <w:rFonts w:ascii="Book Antiqua" w:hAnsi="Book Antiqua"/>
                                  <w:b/>
                                  <w:i/>
                                  <w:color w:val="000000" w:themeColor="text1"/>
                                  <w:sz w:val="16"/>
                                  <w:szCs w:val="18"/>
                                </w:rPr>
                                <w:t>1</w:t>
                              </w:r>
                              <w:r w:rsidRPr="0038264A">
                                <w:rPr>
                                  <w:rFonts w:ascii="Book Antiqua" w:hAnsi="Book Antiqua"/>
                                  <w:b/>
                                  <w:i/>
                                  <w:color w:val="000000" w:themeColor="text1"/>
                                  <w:sz w:val="16"/>
                                  <w:szCs w:val="18"/>
                                  <w:lang w:val="id-ID"/>
                                </w:rPr>
                                <w:t>-15</w:t>
                              </w:r>
                            </w:p>
                            <w:p w:rsidR="0038264A" w:rsidRPr="009D4306" w:rsidRDefault="0038264A" w:rsidP="0038264A">
                              <w:pPr>
                                <w:spacing w:after="0" w:line="240" w:lineRule="auto"/>
                                <w:jc w:val="right"/>
                                <w:rPr>
                                  <w:sz w:val="18"/>
                                  <w:szCs w:val="18"/>
                                </w:rPr>
                              </w:pPr>
                              <w:r w:rsidRPr="0038264A">
                                <w:rPr>
                                  <w:rFonts w:ascii="Book Antiqua" w:hAnsi="Book Antiqua"/>
                                  <w:b/>
                                  <w:i/>
                                  <w:color w:val="000000" w:themeColor="text1"/>
                                  <w:sz w:val="16"/>
                                  <w:szCs w:val="18"/>
                                  <w:lang w:val="id-ID"/>
                                </w:rPr>
                                <w:t>P-ISSN: 1693-0061, E-ISSN: 2614-2961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6.75pt;margin-top:-.55pt;width:456pt;height:50.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" fillcolor="white [3212]" stroked="f" strokeweight="1pt">
                  <v:textbox>
                    <w:txbxContent>
                      <w:p w:rsidR="0038264A" w:rsidRPr="0038264A" w:rsidRDefault="00015218" w:rsidP="0038264A">
                        <w:pPr>
                          <w:spacing w:after="0" w:line="240" w:lineRule="auto"/>
                          <w:jc w:val="right"/>
                          <w:rPr>
                            <w:rFonts w:ascii="Book Antiqua" w:hAnsi="Book Antiqua"/>
                            <w:b/>
                            <w:i/>
                            <w:color w:val="000000" w:themeColor="text1"/>
                            <w:sz w:val="16"/>
                            <w:szCs w:val="18"/>
                          </w:rPr>
                        </w:pPr>
                        <w:r w:rsidRPr="00015218">
                          <w:rPr>
                            <w:rFonts w:ascii="Book Antiqua" w:hAnsi="Book Antiqua"/>
                            <w:b/>
                            <w:i/>
                            <w:color w:val="000000" w:themeColor="text1"/>
                            <w:sz w:val="16"/>
                            <w:szCs w:val="18"/>
                          </w:rPr>
                          <w:t xml:space="preserve">Mahdi Abdullah </w:t>
                        </w:r>
                        <w:proofErr w:type="spellStart"/>
                        <w:r w:rsidRPr="00015218">
                          <w:rPr>
                            <w:rFonts w:ascii="Book Antiqua" w:hAnsi="Book Antiqua"/>
                            <w:b/>
                            <w:i/>
                            <w:color w:val="000000" w:themeColor="text1"/>
                            <w:sz w:val="16"/>
                            <w:szCs w:val="18"/>
                          </w:rPr>
                          <w:t>Syihab</w:t>
                        </w:r>
                        <w:proofErr w:type="spellEnd"/>
                        <w:r w:rsidRPr="00015218">
                          <w:rPr>
                            <w:rFonts w:ascii="Book Antiqua" w:hAnsi="Book Antiqua"/>
                            <w:b/>
                            <w:i/>
                            <w:color w:val="000000" w:themeColor="text1"/>
                            <w:sz w:val="16"/>
                            <w:szCs w:val="18"/>
                          </w:rPr>
                          <w:t xml:space="preserve">, “Crime Settlement </w:t>
                        </w:r>
                        <w:proofErr w:type="gramStart"/>
                        <w:r w:rsidRPr="00015218">
                          <w:rPr>
                            <w:rFonts w:ascii="Book Antiqua" w:hAnsi="Book Antiqua"/>
                            <w:b/>
                            <w:i/>
                            <w:color w:val="000000" w:themeColor="text1"/>
                            <w:sz w:val="16"/>
                            <w:szCs w:val="18"/>
                          </w:rPr>
                          <w:t>Of</w:t>
                        </w:r>
                        <w:proofErr w:type="gramEnd"/>
                        <w:r w:rsidRPr="00015218">
                          <w:rPr>
                            <w:rFonts w:ascii="Book Antiqua" w:hAnsi="Book Antiqua"/>
                            <w:b/>
                            <w:i/>
                            <w:color w:val="000000" w:themeColor="text1"/>
                            <w:sz w:val="16"/>
                            <w:szCs w:val="18"/>
                          </w:rPr>
                          <w:t xml:space="preserve"> </w:t>
                        </w:r>
                        <w:proofErr w:type="spellStart"/>
                        <w:r w:rsidRPr="00015218">
                          <w:rPr>
                            <w:rFonts w:ascii="Book Antiqua" w:hAnsi="Book Antiqua"/>
                            <w:b/>
                            <w:i/>
                            <w:color w:val="000000" w:themeColor="text1"/>
                            <w:sz w:val="16"/>
                            <w:szCs w:val="18"/>
                          </w:rPr>
                          <w:t>Khalwat</w:t>
                        </w:r>
                        <w:proofErr w:type="spellEnd"/>
                        <w:r w:rsidRPr="00015218">
                          <w:rPr>
                            <w:rFonts w:ascii="Book Antiqua" w:hAnsi="Book Antiqua"/>
                            <w:b/>
                            <w:i/>
                            <w:color w:val="000000" w:themeColor="text1"/>
                            <w:sz w:val="16"/>
                            <w:szCs w:val="18"/>
                          </w:rPr>
                          <w:t xml:space="preserve"> In Aceh</w:t>
                        </w:r>
                        <w:r w:rsidR="0038264A" w:rsidRPr="0038264A">
                          <w:rPr>
                            <w:rFonts w:ascii="Book Antiqua" w:hAnsi="Book Antiqua"/>
                            <w:b/>
                            <w:i/>
                            <w:color w:val="000000" w:themeColor="text1"/>
                            <w:sz w:val="16"/>
                            <w:szCs w:val="18"/>
                          </w:rPr>
                          <w:t>”</w:t>
                        </w:r>
                      </w:p>
                      <w:p w:rsidR="0038264A" w:rsidRPr="0038264A" w:rsidRDefault="0038264A" w:rsidP="0038264A">
                        <w:pPr>
                          <w:spacing w:after="0" w:line="240" w:lineRule="auto"/>
                          <w:jc w:val="right"/>
                          <w:rPr>
                            <w:rFonts w:ascii="Book Antiqua" w:hAnsi="Book Antiqua"/>
                            <w:b/>
                            <w:i/>
                            <w:color w:val="000000" w:themeColor="text1"/>
                            <w:sz w:val="16"/>
                            <w:szCs w:val="18"/>
                            <w:lang w:val="id-ID"/>
                          </w:rPr>
                        </w:pPr>
                        <w:r w:rsidRPr="0038264A">
                          <w:rPr>
                            <w:rFonts w:ascii="Book Antiqua" w:hAnsi="Book Antiqua"/>
                            <w:b/>
                            <w:i/>
                            <w:color w:val="000000" w:themeColor="text1"/>
                            <w:sz w:val="16"/>
                            <w:szCs w:val="18"/>
                          </w:rPr>
                          <w:t>SASI,</w:t>
                        </w:r>
                        <w:r w:rsidRPr="0038264A">
                          <w:rPr>
                            <w:rFonts w:ascii="Book Antiqua" w:hAnsi="Book Antiqua"/>
                            <w:b/>
                            <w:i/>
                            <w:color w:val="000000" w:themeColor="text1"/>
                            <w:sz w:val="16"/>
                            <w:szCs w:val="18"/>
                            <w:lang w:val="id-ID"/>
                          </w:rPr>
                          <w:t xml:space="preserve"> </w:t>
                        </w:r>
                        <w:r w:rsidRPr="0038264A">
                          <w:rPr>
                            <w:rFonts w:ascii="Book Antiqua" w:hAnsi="Book Antiqua"/>
                            <w:b/>
                            <w:i/>
                            <w:color w:val="000000" w:themeColor="text1"/>
                            <w:sz w:val="16"/>
                            <w:szCs w:val="18"/>
                          </w:rPr>
                          <w:t>27</w:t>
                        </w:r>
                        <w:r w:rsidRPr="0038264A">
                          <w:rPr>
                            <w:rFonts w:ascii="Book Antiqua" w:hAnsi="Book Antiqua"/>
                            <w:b/>
                            <w:i/>
                            <w:color w:val="000000" w:themeColor="text1"/>
                            <w:sz w:val="16"/>
                            <w:szCs w:val="18"/>
                            <w:lang w:val="id-ID"/>
                          </w:rPr>
                          <w:t>(1)</w:t>
                        </w:r>
                        <w:r w:rsidRPr="0038264A">
                          <w:rPr>
                            <w:rFonts w:ascii="Book Antiqua" w:hAnsi="Book Antiqua"/>
                            <w:b/>
                            <w:i/>
                            <w:color w:val="000000" w:themeColor="text1"/>
                            <w:sz w:val="16"/>
                            <w:szCs w:val="18"/>
                          </w:rPr>
                          <w:t xml:space="preserve"> 2022</w:t>
                        </w:r>
                        <w:r w:rsidRPr="0038264A">
                          <w:rPr>
                            <w:rFonts w:ascii="Book Antiqua" w:hAnsi="Book Antiqua"/>
                            <w:b/>
                            <w:i/>
                            <w:color w:val="000000" w:themeColor="text1"/>
                            <w:sz w:val="16"/>
                            <w:szCs w:val="18"/>
                            <w:lang w:val="id-ID"/>
                          </w:rPr>
                          <w:t xml:space="preserve">: </w:t>
                        </w:r>
                        <w:r w:rsidRPr="0038264A">
                          <w:rPr>
                            <w:rFonts w:ascii="Book Antiqua" w:hAnsi="Book Antiqua"/>
                            <w:b/>
                            <w:i/>
                            <w:color w:val="000000" w:themeColor="text1"/>
                            <w:sz w:val="16"/>
                            <w:szCs w:val="18"/>
                          </w:rPr>
                          <w:t>1</w:t>
                        </w:r>
                        <w:r w:rsidRPr="0038264A">
                          <w:rPr>
                            <w:rFonts w:ascii="Book Antiqua" w:hAnsi="Book Antiqua"/>
                            <w:b/>
                            <w:i/>
                            <w:color w:val="000000" w:themeColor="text1"/>
                            <w:sz w:val="16"/>
                            <w:szCs w:val="18"/>
                            <w:lang w:val="id-ID"/>
                          </w:rPr>
                          <w:t>-15</w:t>
                        </w:r>
                      </w:p>
                      <w:p w:rsidR="0038264A" w:rsidRPr="009D4306" w:rsidRDefault="0038264A" w:rsidP="0038264A">
                        <w:pPr>
                          <w:spacing w:after="0" w:line="240" w:lineRule="auto"/>
                          <w:jc w:val="right"/>
                          <w:rPr>
                            <w:sz w:val="18"/>
                            <w:szCs w:val="18"/>
                          </w:rPr>
                        </w:pPr>
                        <w:r w:rsidRPr="0038264A">
                          <w:rPr>
                            <w:rFonts w:ascii="Book Antiqua" w:hAnsi="Book Antiqua"/>
                            <w:b/>
                            <w:i/>
                            <w:color w:val="000000" w:themeColor="text1"/>
                            <w:sz w:val="16"/>
                            <w:szCs w:val="18"/>
                            <w:lang w:val="id-ID"/>
                          </w:rPr>
                          <w:t>P-ISSN: 1693-0061, E-ISSN: 2614-2961</w:t>
                        </w:r>
                      </w:p>
                    </w:txbxContent>
                  </v:textbox>
                </v:shape>
              </w:pict>
            </mc:Fallback>
          </mc:AlternateContent>
        </w:r>
        <w:r w:rsidR="00F505F5" w:rsidRPr="0038264A">
          <w:rPr>
            <w:rFonts w:ascii="Book Antiqua" w:hAnsi="Book Antiqua"/>
            <w:b/>
            <w:color w:val="2F5496" w:themeColor="accent1" w:themeShade="BF"/>
            <w:sz w:val="28"/>
          </w:rPr>
          <w:fldChar w:fldCharType="begin"/>
        </w:r>
        <w:r w:rsidR="00F505F5" w:rsidRPr="0038264A">
          <w:rPr>
            <w:rFonts w:ascii="Book Antiqua" w:hAnsi="Book Antiqua"/>
            <w:b/>
            <w:color w:val="2F5496" w:themeColor="accent1" w:themeShade="BF"/>
            <w:sz w:val="28"/>
          </w:rPr>
          <w:instrText xml:space="preserve"> PAGE   \* MERGEFORMAT </w:instrText>
        </w:r>
        <w:r w:rsidR="00F505F5" w:rsidRPr="0038264A">
          <w:rPr>
            <w:rFonts w:ascii="Book Antiqua" w:hAnsi="Book Antiqua"/>
            <w:b/>
            <w:color w:val="2F5496" w:themeColor="accent1" w:themeShade="BF"/>
            <w:sz w:val="28"/>
          </w:rPr>
          <w:fldChar w:fldCharType="separate"/>
        </w:r>
        <w:r w:rsidR="00015218" w:rsidRPr="00015218">
          <w:rPr>
            <w:rFonts w:ascii="Book Antiqua" w:hAnsi="Book Antiqua"/>
            <w:b/>
            <w:bCs/>
            <w:noProof/>
            <w:color w:val="2F5496" w:themeColor="accent1" w:themeShade="BF"/>
            <w:sz w:val="28"/>
          </w:rPr>
          <w:t>11</w:t>
        </w:r>
        <w:r w:rsidR="00F505F5" w:rsidRPr="0038264A">
          <w:rPr>
            <w:rFonts w:ascii="Book Antiqua" w:hAnsi="Book Antiqua"/>
            <w:b/>
            <w:bCs/>
            <w:noProof/>
            <w:color w:val="2F5496" w:themeColor="accent1" w:themeShade="BF"/>
            <w:sz w:val="28"/>
          </w:rPr>
          <w:fldChar w:fldCharType="end"/>
        </w:r>
        <w:r w:rsidR="00F505F5" w:rsidRPr="0038264A">
          <w:rPr>
            <w:b/>
            <w:bCs/>
            <w:sz w:val="24"/>
          </w:rPr>
          <w:t xml:space="preserve"> </w:t>
        </w:r>
        <w:r w:rsidR="00F505F5">
          <w:rPr>
            <w:b/>
            <w:bCs/>
          </w:rPr>
          <w:t xml:space="preserve">| </w:t>
        </w:r>
        <w:r w:rsidR="00F14211">
          <w:rPr>
            <w:b/>
            <w:bCs/>
          </w:rPr>
          <w:t xml:space="preserve">    </w:t>
        </w:r>
      </w:p>
    </w:sdtContent>
  </w:sdt>
  <w:p w:rsidR="003045E4" w:rsidRPr="00185CD9" w:rsidRDefault="003045E4">
    <w:pPr>
      <w:pStyle w:val="Footer"/>
      <w:rPr>
        <w:rFonts w:asciiTheme="majorHAnsi" w:hAnsiTheme="majorHAnsi" w:cstheme="majorHAnsi"/>
        <w:color w:val="C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5BE" w:rsidRDefault="007605BE" w:rsidP="00934130">
      <w:pPr>
        <w:spacing w:after="0" w:line="240" w:lineRule="auto"/>
      </w:pPr>
      <w:r>
        <w:separator/>
      </w:r>
    </w:p>
  </w:footnote>
  <w:footnote w:type="continuationSeparator" w:id="0">
    <w:p w:rsidR="007605BE" w:rsidRDefault="007605BE" w:rsidP="00934130">
      <w:pPr>
        <w:spacing w:after="0" w:line="240" w:lineRule="auto"/>
      </w:pPr>
      <w:r>
        <w:continuationSeparator/>
      </w:r>
    </w:p>
  </w:footnote>
  <w:footnote w:id="1">
    <w:p w:rsidR="00000B22" w:rsidRDefault="00000B22" w:rsidP="00D33090">
      <w:pPr>
        <w:pStyle w:val="FootnoteText"/>
        <w:ind w:firstLine="540"/>
        <w:jc w:val="both"/>
      </w:pPr>
      <w:r>
        <w:rPr>
          <w:rStyle w:val="FootnoteReference"/>
        </w:rPr>
        <w:footnoteRef/>
      </w:r>
      <w:r>
        <w:t xml:space="preserve"> </w:t>
      </w:r>
      <w:r>
        <w:fldChar w:fldCharType="begin" w:fldLock="1"/>
      </w:r>
      <w:r>
        <w:instrText>ADDIN CSL_CITATION {"citationItems":[{"id":"ITEM-1","itemData":{"author":[{"dropping-particle":"","family":"Mukhlis","given":"","non-dropping-particle":"","parse-names":false,"suffix":""}],"container-title":"Jurnal Imu Hukum","id":"ITEM-1","issue":"1","issued":{"date-parts":[["2018"]]},"page":"79-90","title":"Keistimewaan dan Kekhususan Aceh Dalam Perspektif Negara Kesatuan Republik Indonesia","type":"article-journal","volume":"4"},"uris":["http://www.mendeley.com/documents/?uuid=bb043b80-32bc-4ee1-957a-93b5babc2d7e"]}],"mendeley":{"formattedCitation":"Mukhlis, “Keistimewaan Dan Kekhususan Aceh Dalam Perspektif Negara Kesatuan Republik Indonesia,” &lt;i&gt;Jurnal Imu Hukum&lt;/i&gt; 4, no. 1 (2018): 79–90.","plainTextFormattedCitation":"Mukhlis, “Keistimewaan Dan Kekhususan Aceh Dalam Perspektif Negara Kesatuan Republik Indonesia,” Jurnal Imu Hukum 4, no. 1 (2018): 79–90.","previouslyFormattedCitation":"Mukhlis, “Keistimewaan Dan Kekhususan Aceh Dalam Perspektif Negara Kesatuan Republik Indonesia,” &lt;i&gt;Jurnal Imu Hukum&lt;/i&gt; 4, no. 1 (2018): 79–90."},"properties":{"noteIndex":1},"schema":"https://github.com/citation-style-language/schema/raw/master/csl-citation.json"}</w:instrText>
      </w:r>
      <w:r>
        <w:fldChar w:fldCharType="separate"/>
      </w:r>
      <w:r w:rsidRPr="00000B22">
        <w:rPr>
          <w:noProof/>
        </w:rPr>
        <w:t xml:space="preserve">Mukhlis, “Keistimewaan Dan Kekhususan Aceh Dalam Perspektif Negara Kesatuan Republik Indonesia,” </w:t>
      </w:r>
      <w:r w:rsidRPr="00000B22">
        <w:rPr>
          <w:i/>
          <w:noProof/>
        </w:rPr>
        <w:t>Jurnal Imu Hukum</w:t>
      </w:r>
      <w:r w:rsidRPr="00000B22">
        <w:rPr>
          <w:noProof/>
        </w:rPr>
        <w:t xml:space="preserve"> 4, no. 1 (2018): 79–90.</w:t>
      </w:r>
      <w:r>
        <w:fldChar w:fldCharType="end"/>
      </w:r>
    </w:p>
  </w:footnote>
  <w:footnote w:id="2">
    <w:p w:rsidR="00000B22" w:rsidRDefault="00000B22" w:rsidP="00D33090">
      <w:pPr>
        <w:pStyle w:val="FootnoteText"/>
        <w:ind w:firstLine="540"/>
        <w:jc w:val="both"/>
      </w:pPr>
      <w:r>
        <w:rPr>
          <w:rStyle w:val="FootnoteReference"/>
        </w:rPr>
        <w:footnoteRef/>
      </w:r>
      <w:r>
        <w:t xml:space="preserve"> </w:t>
      </w:r>
      <w:r>
        <w:fldChar w:fldCharType="begin" w:fldLock="1"/>
      </w:r>
      <w:r w:rsidR="00185CF4">
        <w:instrText>ADDIN CSL_CITATION {"citationItems":[{"id":"ITEM-1","itemData":{"author":[{"dropping-particle":"","family":"Badarulzaman","given":"Muhammad Hafiz","non-dropping-particle":"","parse-names":false,"suffix":""},{"dropping-particle":"","family":"Alias","given":"Azhar","non-dropping-particle":"","parse-names":false,"suffix":""},{"dropping-particle":"","family":"Hussain","given":"Mohammad Azam","non-dropping-particle":"","parse-names":false,"suffix":""},{"dropping-particle":"Bin","family":"Abdullah","given":"Shuhairimi","non-dropping-particle":"","parse-names":false,"suffix":""}],"container-title":"Journal of Global Business and Sosial Entrepreneurship (GBSE)","id":"ITEM-1","issue":"5","issued":{"date-parts":[["2016"]]},"page":"44-54","title":"A Review on Legal Interpretation of Khalwat Under the Syariah","type":"article-journal","volume":"2"},"uris":["http://www.mendeley.com/documents/?uuid=436ca2f5-52f2-4823-9ba9-0ef0db74c7f5"]}],"mendeley":{"formattedCitation":"Muhammad Hafiz Badarulzaman et al., “A Review on Legal Interpretation of Khalwat Under the Syariah,” &lt;i&gt;Journal of Global Business and Sosial Entrepreneurship (GBSE)&lt;/i&gt; 2, no. 5 (2016): 44–54.","plainTextFormattedCitation":"Muhammad Hafiz Badarulzaman et al., “A Review on Legal Interpretation of Khalwat Under the Syariah,” Journal of Global Business and Sosial Entrepreneurship (GBSE) 2, no. 5 (2016): 44–54.","previouslyFormattedCitation":"Muhammad Hafiz Badarulzaman et al., “A Review on Legal Interpretation of Khalwat Under the Syariah,” &lt;i&gt;Journal of Global Business and Sosial Entrepreneurship (GBSE)&lt;/i&gt; 2, no. 5 (2016): 44–54."},"properties":{"noteIndex":2},"schema":"https://github.com/citation-style-language/schema/raw/master/csl-citation.json"}</w:instrText>
      </w:r>
      <w:r>
        <w:fldChar w:fldCharType="separate"/>
      </w:r>
      <w:r w:rsidRPr="00000B22">
        <w:rPr>
          <w:noProof/>
        </w:rPr>
        <w:t xml:space="preserve">Muhammad Hafiz Badarulzaman et al., “A Review on Legal Interpretation of Khalwat Under the Syariah,” </w:t>
      </w:r>
      <w:r w:rsidRPr="00000B22">
        <w:rPr>
          <w:i/>
          <w:noProof/>
        </w:rPr>
        <w:t>Journal of Global Business and Sosial Entrepreneurship (GBSE)</w:t>
      </w:r>
      <w:r w:rsidRPr="00000B22">
        <w:rPr>
          <w:noProof/>
        </w:rPr>
        <w:t xml:space="preserve"> 2, no. 5 (2016): 44–54.</w:t>
      </w:r>
      <w:r>
        <w:fldChar w:fldCharType="end"/>
      </w:r>
    </w:p>
  </w:footnote>
  <w:footnote w:id="3">
    <w:p w:rsidR="00185CF4" w:rsidRDefault="00185CF4" w:rsidP="00D33090">
      <w:pPr>
        <w:pStyle w:val="FootnoteText"/>
        <w:ind w:firstLine="540"/>
        <w:jc w:val="both"/>
      </w:pPr>
      <w:r>
        <w:rPr>
          <w:rStyle w:val="FootnoteReference"/>
        </w:rPr>
        <w:footnoteRef/>
      </w:r>
      <w:r>
        <w:t xml:space="preserve"> </w:t>
      </w:r>
      <w:r>
        <w:fldChar w:fldCharType="begin" w:fldLock="1"/>
      </w:r>
      <w:r w:rsidR="00710561">
        <w:instrText>ADDIN CSL_CITATION {"citationItems":[{"id":"ITEM-1","itemData":{"author":[{"dropping-particle":"","family":"Kurniawan","given":"","non-dropping-particle":"","parse-names":false,"suffix":""}],"container-title":"KANUN : Jurnal Ilmu Hukum","id":"ITEM-1","issue":"3","issued":{"date-parts":[["2012"]]},"page":"423-447","title":"The Dynamics of Formalization of Islamic Law In Indonesia","type":"article-journal","volume":"14"},"uris":["http://www.mendeley.com/documents/?uuid=59b5b6a2-ce63-47c7-9bc3-af4cc412621c"]}],"mendeley":{"formattedCitation":"Kurniawan, “The Dynamics of Formalization of Islamic Law In Indonesia,” &lt;i&gt;KANUN : Jurnal Ilmu Hukum&lt;/i&gt; 14, no. 3 (2012): 423–47.","plainTextFormattedCitation":"Kurniawan, “The Dynamics of Formalization of Islamic Law In Indonesia,” KANUN : Jurnal Ilmu Hukum 14, no. 3 (2012): 423–47.","previouslyFormattedCitation":"Kurniawan, “The Dynamics of Formalization of Islamic Law In Indonesia,” &lt;i&gt;KANUN : Jurnal Ilmu Hukum&lt;/i&gt; 14, no. 3 (2012): 423–47."},"properties":{"noteIndex":3},"schema":"https://github.com/citation-style-language/schema/raw/master/csl-citation.json"}</w:instrText>
      </w:r>
      <w:r>
        <w:fldChar w:fldCharType="separate"/>
      </w:r>
      <w:r w:rsidRPr="00185CF4">
        <w:rPr>
          <w:noProof/>
        </w:rPr>
        <w:t xml:space="preserve">Kurniawan, “The Dynamics of Formalization of Islamic Law In Indonesia,” </w:t>
      </w:r>
      <w:r w:rsidRPr="00185CF4">
        <w:rPr>
          <w:i/>
          <w:noProof/>
        </w:rPr>
        <w:t>KANUN : Jurnal Ilmu Hukum</w:t>
      </w:r>
      <w:r w:rsidRPr="00185CF4">
        <w:rPr>
          <w:noProof/>
        </w:rPr>
        <w:t xml:space="preserve"> 14, no. 3 (2012): 423–47.</w:t>
      </w:r>
      <w:r>
        <w:fldChar w:fldCharType="end"/>
      </w:r>
    </w:p>
  </w:footnote>
  <w:footnote w:id="4">
    <w:p w:rsidR="00710561" w:rsidRDefault="00710561" w:rsidP="00D33090">
      <w:pPr>
        <w:pStyle w:val="FootnoteText"/>
        <w:ind w:firstLine="540"/>
        <w:jc w:val="both"/>
      </w:pPr>
      <w:r>
        <w:rPr>
          <w:rStyle w:val="FootnoteReference"/>
        </w:rPr>
        <w:footnoteRef/>
      </w:r>
      <w:r>
        <w:t xml:space="preserve"> </w:t>
      </w:r>
      <w:r>
        <w:fldChar w:fldCharType="begin" w:fldLock="1"/>
      </w:r>
      <w:r w:rsidR="001A0270">
        <w:instrText>ADDIN CSL_CITATION {"citationItems":[{"id":"ITEM-1","itemData":{"author":[{"dropping-particle":"","family":"Suroto","given":"Hari","non-dropping-particle":"","parse-names":false,"suffix":""}],"container-title":"Jurnal Ilmiah Mahasiswa FISIP Unsyiah","id":"ITEM-1","issue":"1","issued":{"date-parts":[["2020"]]},"page":"1-12","title":"Perlakuan Hukum yang Berbeda Bagi Pelaku Khalwat Antara Hukum Jinayat dan Hukum Adat","type":"article-journal","volume":"5"},"uris":["http://www.mendeley.com/documents/?uuid=b95afb82-99a2-4280-8316-e8afcb60b4f5"]}],"mendeley":{"formattedCitation":"Hari Suroto, “Perlakuan Hukum Yang Berbeda Bagi Pelaku Khalwat Antara Hukum Jinayat Dan Hukum Adat,” &lt;i&gt;Jurnal Ilmiah Mahasiswa FISIP Unsyiah&lt;/i&gt; 5, no. 1 (2020): 1–12.","plainTextFormattedCitation":"Hari Suroto, “Perlakuan Hukum Yang Berbeda Bagi Pelaku Khalwat Antara Hukum Jinayat Dan Hukum Adat,” Jurnal Ilmiah Mahasiswa FISIP Unsyiah 5, no. 1 (2020): 1–12.","previouslyFormattedCitation":"Hari Suroto, “Perlakuan Hukum Yang Berbeda Bagi Pelaku Khalwat Antara Hukum Jinayat Dan Hukum Adat,” &lt;i&gt;Jurnal Ilmiah Mahasiswa FISIP Unsyiah&lt;/i&gt; 5, no. 1 (2020): 1–12."},"properties":{"noteIndex":4},"schema":"https://github.com/citation-style-language/schema/raw/master/csl-citation.json"}</w:instrText>
      </w:r>
      <w:r>
        <w:fldChar w:fldCharType="separate"/>
      </w:r>
      <w:r w:rsidRPr="00710561">
        <w:rPr>
          <w:noProof/>
        </w:rPr>
        <w:t xml:space="preserve">Hari Suroto, “Perlakuan Hukum Yang Berbeda Bagi Pelaku Khalwat Antara Hukum Jinayat Dan Hukum Adat,” </w:t>
      </w:r>
      <w:r w:rsidRPr="00710561">
        <w:rPr>
          <w:i/>
          <w:noProof/>
        </w:rPr>
        <w:t>Jurnal Ilmiah Mahasiswa FISIP Unsyiah</w:t>
      </w:r>
      <w:r w:rsidRPr="00710561">
        <w:rPr>
          <w:noProof/>
        </w:rPr>
        <w:t xml:space="preserve"> 5, no. 1 (2020): 1–12.</w:t>
      </w:r>
      <w:r>
        <w:fldChar w:fldCharType="end"/>
      </w:r>
    </w:p>
  </w:footnote>
  <w:footnote w:id="5">
    <w:p w:rsidR="00185CF4" w:rsidRPr="0004404A" w:rsidRDefault="00185CF4" w:rsidP="00D33090">
      <w:pPr>
        <w:pStyle w:val="FootnoteText"/>
        <w:tabs>
          <w:tab w:val="left" w:pos="540"/>
        </w:tabs>
        <w:ind w:firstLine="540"/>
        <w:jc w:val="both"/>
      </w:pPr>
      <w:r w:rsidRPr="0004404A">
        <w:rPr>
          <w:rStyle w:val="FootnoteReference"/>
        </w:rPr>
        <w:footnoteRef/>
      </w:r>
      <w:r w:rsidRPr="0004404A">
        <w:t xml:space="preserve"> </w:t>
      </w:r>
      <w:r w:rsidRPr="0004404A">
        <w:fldChar w:fldCharType="begin" w:fldLock="1"/>
      </w:r>
      <w:r w:rsidR="001A0270">
        <w:instrText>ADDIN CSL_CITATION {"citationItems":[{"id":"ITEM-1","itemData":{"author":[{"dropping-particle":"","family":"Rowe","given":"Suzanne E.","non-dropping-particle":"","parse-names":false,"suffix":""}],"container-title":"SSRN eLibrary","id":"ITEM-1","issue":"2000","issued":{"date-parts":[["2009"]]},"page":"1-19","title":"Legal Research, Legal Analysis, and Legal Writing: Putting Law School into Practice","type":"article-journal","volume":"1193"},"uris":["http://www.mendeley.com/documents/?uuid=f5c8c10a-f4db-4697-a18e-7674e86f051c"]}],"mendeley":{"formattedCitation":"Suzanne E. Rowe, “Legal Research, Legal Analysis, and Legal Writing: Putting Law School into Practice,” &lt;i&gt;SSRN ELibrary&lt;/i&gt; 1193, no. 2000 (2009): 1–19.","manualFormatting":"Suzanne E. Rowe, \"Legal Research, Legal Analysis, and Legal Writing: Putting Law School into Practice,\" SSRN ELibrary, 1193, no. 2000 (2019): 1–19.","plainTextFormattedCitation":"Suzanne E. Rowe, “Legal Research, Legal Analysis, and Legal Writing: Putting Law School into Practice,” SSRN ELibrary 1193, no. 2000 (2009): 1–19.","previouslyFormattedCitation":"Suzanne E. Rowe, “Legal Research, Legal Analysis, and Legal Writing: Putting Law School into Practice,” &lt;i&gt;SSRN ELibrary&lt;/i&gt; 1193, no. 2000 (2009): 1–19."},"properties":{"noteIndex":5},"schema":"https://github.com/citation-style-language/schema/raw/master/csl-citation.json"}</w:instrText>
      </w:r>
      <w:r w:rsidRPr="0004404A">
        <w:fldChar w:fldCharType="separate"/>
      </w:r>
      <w:r w:rsidRPr="0004404A">
        <w:rPr>
          <w:noProof/>
        </w:rPr>
        <w:t xml:space="preserve">Suzanne E. Rowe, "Legal Research, Legal Analysis, and Legal Writing: Putting Law School into Practice," </w:t>
      </w:r>
      <w:r w:rsidRPr="0004404A">
        <w:rPr>
          <w:i/>
          <w:noProof/>
        </w:rPr>
        <w:t>SSRN ELibrary</w:t>
      </w:r>
      <w:r>
        <w:rPr>
          <w:noProof/>
        </w:rPr>
        <w:t>, 1193, no. 2000 (201</w:t>
      </w:r>
      <w:r w:rsidRPr="0004404A">
        <w:rPr>
          <w:noProof/>
        </w:rPr>
        <w:t>9): 1–19.</w:t>
      </w:r>
      <w:r w:rsidRPr="0004404A">
        <w:fldChar w:fldCharType="end"/>
      </w:r>
    </w:p>
  </w:footnote>
  <w:footnote w:id="6">
    <w:p w:rsidR="00185CF4" w:rsidRPr="0004404A" w:rsidRDefault="00185CF4" w:rsidP="00D33090">
      <w:pPr>
        <w:pStyle w:val="FootnoteText"/>
        <w:tabs>
          <w:tab w:val="left" w:pos="540"/>
        </w:tabs>
        <w:ind w:firstLine="540"/>
        <w:jc w:val="both"/>
      </w:pPr>
      <w:r w:rsidRPr="0004404A">
        <w:rPr>
          <w:rStyle w:val="FootnoteReference"/>
        </w:rPr>
        <w:footnoteRef/>
      </w:r>
      <w:r w:rsidRPr="0004404A">
        <w:t xml:space="preserve"> </w:t>
      </w:r>
      <w:r w:rsidRPr="0004404A">
        <w:fldChar w:fldCharType="begin" w:fldLock="1"/>
      </w:r>
      <w:r w:rsidR="00710561">
        <w:instrText>ADDIN CSL_CITATION {"citationItems":[{"id":"ITEM-1","itemData":{"author":[{"dropping-particle":"","family":"Diantha","given":"I Made Pasek","non-dropping-particle":"","parse-names":false,"suffix":""}],"id":"ITEM-1","issued":{"date-parts":[["2017"]]},"number-of-pages":"159","publisher":"Prenanda Media Group","publisher-place":"Jakarta","title":"Metodologi Penelitian Hukum Normatif Dalam Justifikasi Teori Hukum","type":"book"},"uris":["http://www.mendeley.com/documents/?uuid=b2086330-bd88-4bbb-b5f6-738d08f33f04"]}],"mendeley":{"formattedCitation":"I Made Pasek Diantha, &lt;i&gt;Metodologi Penelitian Hukum Normatif Dalam Justifikasi Teori Hukum&lt;/i&gt; (Jakarta: Prenanda Media Group, 2017).","manualFormatting":"I Made Pasek Diantha, \"Metodologi Penelitian Hukum Normatif Dalam Justifikasi Teori Hukum,\" (Jakarta: Prenanda Media Group, 2017), p. 41.","plainTextFormattedCitation":"I Made Pasek Diantha, Metodologi Penelitian Hukum Normatif Dalam Justifikasi Teori Hukum (Jakarta: Prenanda Media Group, 2017).","previouslyFormattedCitation":"I Made Pasek Diantha, &lt;i&gt;Metodologi Penelitian Hukum Normatif Dalam Justifikasi Teori Hukum&lt;/i&gt; (Jakarta: Prenanda Media Group, 2017)."},"properties":{"noteIndex":6},"schema":"https://github.com/citation-style-language/schema/raw/master/csl-citation.json"}</w:instrText>
      </w:r>
      <w:r w:rsidRPr="0004404A">
        <w:fldChar w:fldCharType="separate"/>
      </w:r>
      <w:r w:rsidRPr="0004404A">
        <w:rPr>
          <w:noProof/>
        </w:rPr>
        <w:t xml:space="preserve">I Made Pasek Diantha, </w:t>
      </w:r>
      <w:r w:rsidRPr="0004404A">
        <w:rPr>
          <w:i/>
          <w:noProof/>
        </w:rPr>
        <w:t>"Metodologi Penelitian Hukum Normatif Dalam Justifikasi Teori Hukum,"</w:t>
      </w:r>
      <w:r w:rsidRPr="0004404A">
        <w:rPr>
          <w:noProof/>
        </w:rPr>
        <w:t xml:space="preserve"> (Jakarta: Prenanda Media Group, 2017), p. 41.</w:t>
      </w:r>
      <w:r w:rsidRPr="0004404A">
        <w:fldChar w:fldCharType="end"/>
      </w:r>
    </w:p>
  </w:footnote>
  <w:footnote w:id="7">
    <w:p w:rsidR="001A0270" w:rsidRDefault="001A0270" w:rsidP="00D33090">
      <w:pPr>
        <w:pStyle w:val="FootnoteText"/>
        <w:ind w:firstLine="540"/>
        <w:jc w:val="both"/>
      </w:pPr>
      <w:r>
        <w:rPr>
          <w:rStyle w:val="FootnoteReference"/>
        </w:rPr>
        <w:footnoteRef/>
      </w:r>
      <w:r>
        <w:t xml:space="preserve"> </w:t>
      </w:r>
      <w:r>
        <w:fldChar w:fldCharType="begin" w:fldLock="1"/>
      </w:r>
      <w:r w:rsidR="00980C6B">
        <w:instrText>ADDIN CSL_CITATION {"citationItems":[{"id":"ITEM-1","itemData":{"author":[{"dropping-particle":"","family":"Suyanta","given":"Sri","non-dropping-particle":"","parse-names":false,"suffix":""}],"id":"ITEM-1","issued":{"date-parts":[["2018"]]},"number-of-pages":"279-280","publisher":"Dinas Syari'at Islam Provinsi NAD","publisher-place":"Banda Aceh","title":"Buku Pelaksanaan Panduan Syari’at Islam Untuk Remaja dan Mahasiswa","type":"book"},"uris":["http://www.mendeley.com/documents/?uuid=b2734f10-b30d-4b2f-9541-a33c596d07fb"]}],"mendeley":{"formattedCitation":"Sri Suyanta, &lt;i&gt;Buku Pelaksanaan Panduan Syari’at Islam Untuk Remaja Dan Mahasiswa&lt;/i&gt; (Banda Aceh: Dinas Syari’at Islam Provinsi NAD, 2018).","manualFormatting":"Sri Suyanta, Buku Pelaksanaan Panduan Syari’at Islam Untuk Remaja Dan Mahasiswa (Banda Aceh: Dinas Syari’at Islam Provinsi NAD, 2018), p. 12.","plainTextFormattedCitation":"Sri Suyanta, Buku Pelaksanaan Panduan Syari’at Islam Untuk Remaja Dan Mahasiswa (Banda Aceh: Dinas Syari’at Islam Provinsi NAD, 2018).","previouslyFormattedCitation":"Sri Suyanta, &lt;i&gt;Buku Pelaksanaan Panduan Syari’at Islam Untuk Remaja Dan Mahasiswa&lt;/i&gt; (Banda Aceh: Dinas Syari’at Islam Provinsi NAD, 2018)."},"properties":{"noteIndex":7},"schema":"https://github.com/citation-style-language/schema/raw/master/csl-citation.json"}</w:instrText>
      </w:r>
      <w:r>
        <w:fldChar w:fldCharType="separate"/>
      </w:r>
      <w:r w:rsidRPr="001A0270">
        <w:rPr>
          <w:noProof/>
        </w:rPr>
        <w:t xml:space="preserve">Sri Suyanta, </w:t>
      </w:r>
      <w:r w:rsidRPr="001A0270">
        <w:rPr>
          <w:i/>
          <w:noProof/>
        </w:rPr>
        <w:t>Buku Pelaksanaan Panduan Syari’at Islam Untuk Remaja Dan Mahasiswa</w:t>
      </w:r>
      <w:r w:rsidRPr="001A0270">
        <w:rPr>
          <w:noProof/>
        </w:rPr>
        <w:t xml:space="preserve"> (Banda Aceh: Dinas Syari’at Islam Provinsi NAD, 2018)</w:t>
      </w:r>
      <w:r w:rsidR="00D33090">
        <w:rPr>
          <w:noProof/>
        </w:rPr>
        <w:t>, p. 12</w:t>
      </w:r>
      <w:r w:rsidRPr="001A0270">
        <w:rPr>
          <w:noProof/>
        </w:rPr>
        <w:t>.</w:t>
      </w:r>
      <w:r>
        <w:fldChar w:fldCharType="end"/>
      </w:r>
    </w:p>
  </w:footnote>
  <w:footnote w:id="8">
    <w:p w:rsidR="001A0270" w:rsidRDefault="001A0270" w:rsidP="00D33090">
      <w:pPr>
        <w:pStyle w:val="FootnoteText"/>
        <w:ind w:firstLine="540"/>
        <w:jc w:val="both"/>
      </w:pPr>
      <w:r>
        <w:rPr>
          <w:rStyle w:val="FootnoteReference"/>
        </w:rPr>
        <w:footnoteRef/>
      </w:r>
      <w:r>
        <w:t xml:space="preserve"> </w:t>
      </w:r>
      <w:r>
        <w:fldChar w:fldCharType="begin" w:fldLock="1"/>
      </w:r>
      <w:r w:rsidR="00980C6B">
        <w:instrText>ADDIN CSL_CITATION {"citationItems":[{"id":"ITEM-1","itemData":{"author":[{"dropping-particle":"","family":"Hendra","given":"Dede","non-dropping-particle":"","parse-names":false,"suffix":""}],"id":"ITEM-1","issued":{"date-parts":[["2012"]]},"number-of-pages":"41","publisher":"UI Press","publisher-place":"Depok","title":"Eksistensi Penerapan Pidana Cambuk Terhadap Pelanggar Qanun Syariat Islam Di Provinsi Aceh","type":"book"},"uris":["http://www.mendeley.com/documents/?uuid=06c3511c-b478-4de7-ba9c-02060d070a25"]}],"mendeley":{"formattedCitation":"Dede Hendra, &lt;i&gt;Eksistensi Penerapan Pidana Cambuk Terhadap Pelanggar Qanun Syariat Islam Di Provinsi Aceh&lt;/i&gt; (Depok: UI Press, 2012).","manualFormatting":"Dede Hendra, Eksistensi Penerapan Pidana Cambuk Terhadap Pelanggar Qanun Syariat Islam Di Provinsi Aceh (Depok: UI Press, 2012), p. 23.","plainTextFormattedCitation":"Dede Hendra, Eksistensi Penerapan Pidana Cambuk Terhadap Pelanggar Qanun Syariat Islam Di Provinsi Aceh (Depok: UI Press, 2012).","previouslyFormattedCitation":"Dede Hendra, &lt;i&gt;Eksistensi Penerapan Pidana Cambuk Terhadap Pelanggar Qanun Syariat Islam Di Provinsi Aceh&lt;/i&gt; (Depok: UI Press, 2012)."},"properties":{"noteIndex":8},"schema":"https://github.com/citation-style-language/schema/raw/master/csl-citation.json"}</w:instrText>
      </w:r>
      <w:r>
        <w:fldChar w:fldCharType="separate"/>
      </w:r>
      <w:r w:rsidRPr="001A0270">
        <w:rPr>
          <w:noProof/>
        </w:rPr>
        <w:t xml:space="preserve">Dede Hendra, </w:t>
      </w:r>
      <w:r w:rsidRPr="001A0270">
        <w:rPr>
          <w:i/>
          <w:noProof/>
        </w:rPr>
        <w:t>Eksistensi Penerapan Pidana Cambuk Terhadap Pelanggar Qanun Syariat Islam Di Provinsi Aceh</w:t>
      </w:r>
      <w:r w:rsidRPr="001A0270">
        <w:rPr>
          <w:noProof/>
        </w:rPr>
        <w:t xml:space="preserve"> (Depok: UI Press, 2012)</w:t>
      </w:r>
      <w:r w:rsidR="00D33090">
        <w:rPr>
          <w:noProof/>
        </w:rPr>
        <w:t>, p. 23</w:t>
      </w:r>
      <w:r w:rsidRPr="001A0270">
        <w:rPr>
          <w:noProof/>
        </w:rPr>
        <w:t>.</w:t>
      </w:r>
      <w:r>
        <w:fldChar w:fldCharType="end"/>
      </w:r>
    </w:p>
  </w:footnote>
  <w:footnote w:id="9">
    <w:p w:rsidR="001A0270" w:rsidRDefault="001A0270" w:rsidP="00D33090">
      <w:pPr>
        <w:pStyle w:val="FootnoteText"/>
        <w:ind w:firstLine="540"/>
        <w:jc w:val="both"/>
      </w:pPr>
      <w:r>
        <w:rPr>
          <w:rStyle w:val="FootnoteReference"/>
        </w:rPr>
        <w:footnoteRef/>
      </w:r>
      <w:r>
        <w:t xml:space="preserve"> </w:t>
      </w:r>
      <w:r>
        <w:fldChar w:fldCharType="begin" w:fldLock="1"/>
      </w:r>
      <w:r w:rsidR="00980C6B">
        <w:instrText>ADDIN CSL_CITATION {"citationItems":[{"id":"ITEM-1","itemData":{"author":[{"dropping-particle":"","family":"L","given":"Ma’luf","non-dropping-particle":"","parse-names":false,"suffix":""}],"id":"ITEM-1","issued":{"date-parts":[["1986"]]},"number-of-pages":"45","publisher":"Al Matba’ah al-Katulikiyah","publisher-place":"Beirut","title":"Al-Munjid fi al-Adab wa al-‘Ulum","type":"book"},"uris":["http://www.mendeley.com/documents/?uuid=4b50025d-5ccb-4495-b0b4-8ca275e930ea"]}],"mendeley":{"formattedCitation":"Ma’luf L, &lt;i&gt;Al-Munjid Fi Al-Adab Wa Al-‘Ulum&lt;/i&gt; (Beirut: Al Matba’ah al-Katulikiyah, 1986).","manualFormatting":"Ma’luf L, Al-Munjid Fi Al-Adab Wa Al-‘Ulum (Beirut: Al Matba’ah al-Katulikiyah, 1986), p. 112.","plainTextFormattedCitation":"Ma’luf L, Al-Munjid Fi Al-Adab Wa Al-‘Ulum (Beirut: Al Matba’ah al-Katulikiyah, 1986).","previouslyFormattedCitation":"Ma’luf L, &lt;i&gt;Al-Munjid Fi Al-Adab Wa Al-‘Ulum&lt;/i&gt; (Beirut: Al Matba’ah al-Katulikiyah, 1986)."},"properties":{"noteIndex":9},"schema":"https://github.com/citation-style-language/schema/raw/master/csl-citation.json"}</w:instrText>
      </w:r>
      <w:r>
        <w:fldChar w:fldCharType="separate"/>
      </w:r>
      <w:r w:rsidRPr="001A0270">
        <w:rPr>
          <w:noProof/>
        </w:rPr>
        <w:t xml:space="preserve">Ma’luf L, </w:t>
      </w:r>
      <w:r w:rsidRPr="001A0270">
        <w:rPr>
          <w:i/>
          <w:noProof/>
        </w:rPr>
        <w:t>Al-Munjid Fi Al-Adab Wa Al-‘Ulum</w:t>
      </w:r>
      <w:r w:rsidRPr="001A0270">
        <w:rPr>
          <w:noProof/>
        </w:rPr>
        <w:t xml:space="preserve"> (Beirut: Al Matba’ah al-Katulikiyah, 1986)</w:t>
      </w:r>
      <w:r w:rsidR="00D33090">
        <w:rPr>
          <w:noProof/>
        </w:rPr>
        <w:t>, p. 112</w:t>
      </w:r>
      <w:r w:rsidRPr="001A0270">
        <w:rPr>
          <w:noProof/>
        </w:rPr>
        <w:t>.</w:t>
      </w:r>
      <w:r>
        <w:fldChar w:fldCharType="end"/>
      </w:r>
    </w:p>
  </w:footnote>
  <w:footnote w:id="10">
    <w:p w:rsidR="00C0172B" w:rsidRDefault="00C0172B" w:rsidP="00D33090">
      <w:pPr>
        <w:pStyle w:val="FootnoteText"/>
        <w:ind w:firstLine="540"/>
        <w:jc w:val="both"/>
      </w:pPr>
      <w:r>
        <w:rPr>
          <w:rStyle w:val="FootnoteReference"/>
        </w:rPr>
        <w:footnoteRef/>
      </w:r>
      <w:r>
        <w:t xml:space="preserve"> </w:t>
      </w:r>
      <w:r>
        <w:fldChar w:fldCharType="begin" w:fldLock="1"/>
      </w:r>
      <w:r w:rsidR="00980C6B">
        <w:instrText>ADDIN CSL_CITATION {"citationItems":[{"id":"ITEM-1","itemData":{"author":[{"dropping-particle":"","family":"Al-Asyqalani","given":"Ibnu Hajar","non-dropping-particle":"","parse-names":false,"suffix":""}],"edition":"9","id":"ITEM-1","issued":{"date-parts":[["2000"]]},"number-of-pages":"23","publisher":"Darus Salam","publisher-place":"Riyadl","title":"Fathu al-Bari","type":"book"},"uris":["http://www.mendeley.com/documents/?uuid=6ffd67ea-b501-4746-9384-468bc79cb204"]}],"mendeley":{"formattedCitation":"Ibnu Hajar Al-Asyqalani, &lt;i&gt;Fathu Al-Bari&lt;/i&gt;, 9th ed. (Riyadl: Darus Salam, 2000).","manualFormatting":"Ibnu Hajar Al-Asyqalani, Fathu Al-Bari, 9th ed. (Riyadl: Darus Salam, 2000), p. 121.","plainTextFormattedCitation":"Ibnu Hajar Al-Asyqalani, Fathu Al-Bari, 9th ed. (Riyadl: Darus Salam, 2000).","previouslyFormattedCitation":"Ibnu Hajar Al-Asyqalani, &lt;i&gt;Fathu Al-Bari&lt;/i&gt;, 9th ed. (Riyadl: Darus Salam, 2000)."},"properties":{"noteIndex":10},"schema":"https://github.com/citation-style-language/schema/raw/master/csl-citation.json"}</w:instrText>
      </w:r>
      <w:r>
        <w:fldChar w:fldCharType="separate"/>
      </w:r>
      <w:r w:rsidRPr="00C0172B">
        <w:rPr>
          <w:noProof/>
        </w:rPr>
        <w:t xml:space="preserve">Ibnu Hajar Al-Asyqalani, </w:t>
      </w:r>
      <w:r w:rsidRPr="00C0172B">
        <w:rPr>
          <w:i/>
          <w:noProof/>
        </w:rPr>
        <w:t>Fathu Al-Bari</w:t>
      </w:r>
      <w:r w:rsidRPr="00C0172B">
        <w:rPr>
          <w:noProof/>
        </w:rPr>
        <w:t>, 9th ed. (Riyadl: Darus Salam, 2000)</w:t>
      </w:r>
      <w:r w:rsidR="00D33090">
        <w:rPr>
          <w:noProof/>
        </w:rPr>
        <w:t>, p. 121</w:t>
      </w:r>
      <w:r w:rsidRPr="00C0172B">
        <w:rPr>
          <w:noProof/>
        </w:rPr>
        <w:t>.</w:t>
      </w:r>
      <w:r>
        <w:fldChar w:fldCharType="end"/>
      </w:r>
    </w:p>
  </w:footnote>
  <w:footnote w:id="11">
    <w:p w:rsidR="00C0172B" w:rsidRDefault="00C0172B" w:rsidP="00D33090">
      <w:pPr>
        <w:pStyle w:val="FootnoteText"/>
        <w:ind w:firstLine="540"/>
        <w:jc w:val="both"/>
      </w:pPr>
      <w:r>
        <w:rPr>
          <w:rStyle w:val="FootnoteReference"/>
        </w:rPr>
        <w:footnoteRef/>
      </w:r>
      <w:r>
        <w:t xml:space="preserve"> </w:t>
      </w:r>
      <w:r>
        <w:fldChar w:fldCharType="begin" w:fldLock="1"/>
      </w:r>
      <w:r w:rsidR="00980C6B">
        <w:instrText>ADDIN CSL_CITATION {"citationItems":[{"id":"ITEM-1","itemData":{"author":[{"dropping-particle":"","family":"Farhat","given":"Yusof Syukri","non-dropping-particle":"","parse-names":false,"suffix":""}],"id":"ITEM-1","issued":{"date-parts":[["2001"]]},"number-of-pages":"169","publisher":"Dar al-Kotob al-Ilmiyah","publisher-place":"Beirut","title":"Mu'jam al-Tullab, (Dar al-Kotob al-Ilmiyah","type":"book"},"uris":["http://www.mendeley.com/documents/?uuid=5d343bcb-5d80-40f3-a153-05a7f3e5768a"]}],"mendeley":{"formattedCitation":"Yusof Syukri Farhat, &lt;i&gt;Mu’jam Al-Tullab, (Dar Al-Kotob Al-Ilmiyah&lt;/i&gt; (Beirut: Dar al-Kotob al-Ilmiyah, 2001).","manualFormatting":"Yusof Syukri Farhat, Mu’jam Al-Tullab, (Dar Al-Kotob Al-Ilmiyah (Beirut: Dar al-Kotob al-Ilmiyah, 2001), p. 142.","plainTextFormattedCitation":"Yusof Syukri Farhat, Mu’jam Al-Tullab, (Dar Al-Kotob Al-Ilmiyah (Beirut: Dar al-Kotob al-Ilmiyah, 2001).","previouslyFormattedCitation":"Yusof Syukri Farhat, &lt;i&gt;Mu’jam Al-Tullab, (Dar Al-Kotob Al-Ilmiyah&lt;/i&gt; (Beirut: Dar al-Kotob al-Ilmiyah, 2001)."},"properties":{"noteIndex":11},"schema":"https://github.com/citation-style-language/schema/raw/master/csl-citation.json"}</w:instrText>
      </w:r>
      <w:r>
        <w:fldChar w:fldCharType="separate"/>
      </w:r>
      <w:r w:rsidRPr="00C0172B">
        <w:rPr>
          <w:noProof/>
        </w:rPr>
        <w:t xml:space="preserve">Yusof Syukri Farhat, </w:t>
      </w:r>
      <w:r w:rsidRPr="00C0172B">
        <w:rPr>
          <w:i/>
          <w:noProof/>
        </w:rPr>
        <w:t>Mu’jam Al-Tullab, (Dar Al-Kotob Al-Ilmiyah</w:t>
      </w:r>
      <w:r w:rsidRPr="00C0172B">
        <w:rPr>
          <w:noProof/>
        </w:rPr>
        <w:t xml:space="preserve"> (Beirut: Dar al-Kotob al-Ilmiyah, 2001)</w:t>
      </w:r>
      <w:r w:rsidR="00D33090">
        <w:rPr>
          <w:noProof/>
        </w:rPr>
        <w:t>, p. 142</w:t>
      </w:r>
      <w:r w:rsidRPr="00C0172B">
        <w:rPr>
          <w:noProof/>
        </w:rPr>
        <w:t>.</w:t>
      </w:r>
      <w:r>
        <w:fldChar w:fldCharType="end"/>
      </w:r>
    </w:p>
  </w:footnote>
  <w:footnote w:id="12">
    <w:p w:rsidR="00C0172B" w:rsidRDefault="00C0172B" w:rsidP="00D33090">
      <w:pPr>
        <w:pStyle w:val="FootnoteText"/>
        <w:ind w:firstLine="540"/>
        <w:jc w:val="both"/>
      </w:pPr>
      <w:r>
        <w:rPr>
          <w:rStyle w:val="FootnoteReference"/>
        </w:rPr>
        <w:footnoteRef/>
      </w:r>
      <w:r>
        <w:t xml:space="preserve"> </w:t>
      </w:r>
      <w:r>
        <w:fldChar w:fldCharType="begin" w:fldLock="1"/>
      </w:r>
      <w:r w:rsidR="00980C6B">
        <w:instrText>ADDIN CSL_CITATION {"citationItems":[{"id":"ITEM-1","itemData":{"author":[{"dropping-particle":"","family":"Al-Asyqalani","given":"Ibnu Hajar","non-dropping-particle":"","parse-names":false,"suffix":""}],"edition":"9","id":"ITEM-1","issued":{"date-parts":[["2000"]]},"number-of-pages":"23","publisher":"Darus Salam","publisher-place":"Riyadl","title":"Fathu al-Bari","type":"book"},"uris":["http://www.mendeley.com/documents/?uuid=6ffd67ea-b501-4746-9384-468bc79cb204"]}],"mendeley":{"formattedCitation":"Al-Asyqalani, &lt;i&gt;Fathu Al-Bari&lt;/i&gt;.","manualFormatting":"Al-Asyqalani, Fathu Al-Bari (Riyadl: Darus Salam), p. 23.","plainTextFormattedCitation":"Al-Asyqalani, Fathu Al-Bari.","previouslyFormattedCitation":"Al-Asyqalani, &lt;i&gt;Fathu Al-Bari&lt;/i&gt;."},"properties":{"noteIndex":12},"schema":"https://github.com/citation-style-language/schema/raw/master/csl-citation.json"}</w:instrText>
      </w:r>
      <w:r>
        <w:fldChar w:fldCharType="separate"/>
      </w:r>
      <w:r w:rsidRPr="00C0172B">
        <w:rPr>
          <w:noProof/>
        </w:rPr>
        <w:t xml:space="preserve">Al-Asyqalani, </w:t>
      </w:r>
      <w:r w:rsidRPr="00C0172B">
        <w:rPr>
          <w:i/>
          <w:noProof/>
        </w:rPr>
        <w:t>Fathu Al-Bari</w:t>
      </w:r>
      <w:r w:rsidR="00333A94">
        <w:rPr>
          <w:i/>
          <w:noProof/>
        </w:rPr>
        <w:t xml:space="preserve"> </w:t>
      </w:r>
      <w:r w:rsidR="00333A94" w:rsidRPr="00333A94">
        <w:rPr>
          <w:noProof/>
        </w:rPr>
        <w:t>(</w:t>
      </w:r>
      <w:r w:rsidR="00333A94">
        <w:rPr>
          <w:noProof/>
        </w:rPr>
        <w:t>Riyadl: Darus Salam), p.</w:t>
      </w:r>
      <w:r w:rsidR="00333A94" w:rsidRPr="007C160C">
        <w:rPr>
          <w:noProof/>
        </w:rPr>
        <w:t xml:space="preserve"> 23</w:t>
      </w:r>
      <w:r w:rsidRPr="00C0172B">
        <w:rPr>
          <w:noProof/>
        </w:rPr>
        <w:t>.</w:t>
      </w:r>
      <w:r>
        <w:fldChar w:fldCharType="end"/>
      </w:r>
    </w:p>
  </w:footnote>
  <w:footnote w:id="13">
    <w:p w:rsidR="00C0172B" w:rsidRDefault="00C0172B" w:rsidP="00D33090">
      <w:pPr>
        <w:pStyle w:val="FootnoteText"/>
        <w:ind w:firstLine="540"/>
        <w:jc w:val="both"/>
      </w:pPr>
      <w:r>
        <w:rPr>
          <w:rStyle w:val="FootnoteReference"/>
        </w:rPr>
        <w:footnoteRef/>
      </w:r>
      <w:r>
        <w:fldChar w:fldCharType="begin" w:fldLock="1"/>
      </w:r>
      <w:r w:rsidR="00980C6B">
        <w:instrText>ADDIN CSL_CITATION {"citationItems":[{"id":"ITEM-1","itemData":{"author":[{"dropping-particle":"","family":"Taufik","given":"M.","non-dropping-particle":"","parse-names":false,"suffix":""}],"container-title":"www.wordpress.com","id":"ITEM-1","issued":{"date-parts":[["2010"]]},"page":"1-2","title":"Khalwat Halal Vs Khalwat Haram","type":"webpage"},"uris":["http://www.mendeley.com/documents/?uuid=b90bb82e-760f-484e-9628-0c0818d8dbae"]}],"mendeley":{"formattedCitation":"M. Taufik, “Khalwat Halal Vs Khalwat Haram,” www.wordpress.com, 2010.","manualFormatting":"M. Taufik, “Khalwat Halal Vs Khalwat Haram,” https://mtaufiknt.wordpress.com/2010/01/13/khalwat-halal-vs-khalwat-haram/, 2010.","plainTextFormattedCitation":"M. Taufik, “Khalwat Halal Vs Khalwat Haram,” www.wordpress.com, 2010.","previouslyFormattedCitation":"M. Taufik, “Khalwat Halal Vs Khalwat Haram,” www.wordpress.com, 2010."},"properties":{"noteIndex":13},"schema":"https://github.com/citation-style-language/schema/raw/master/csl-citation.json"}</w:instrText>
      </w:r>
      <w:r>
        <w:fldChar w:fldCharType="separate"/>
      </w:r>
      <w:r w:rsidRPr="00C0172B">
        <w:rPr>
          <w:noProof/>
        </w:rPr>
        <w:t>M. Taufik</w:t>
      </w:r>
      <w:r w:rsidRPr="00333A94">
        <w:rPr>
          <w:rFonts w:ascii="Book Antiqua" w:hAnsi="Book Antiqua"/>
          <w:noProof/>
        </w:rPr>
        <w:t xml:space="preserve">, “Khalwat Halal Vs Khalwat Haram,” </w:t>
      </w:r>
      <w:hyperlink r:id="rId1" w:history="1">
        <w:r w:rsidR="00333A94" w:rsidRPr="00333A94">
          <w:rPr>
            <w:rStyle w:val="Hyperlink"/>
            <w:rFonts w:ascii="Book Antiqua" w:hAnsi="Book Antiqua"/>
            <w:noProof/>
            <w:color w:val="auto"/>
            <w:u w:val="none"/>
          </w:rPr>
          <w:t>https://mtaufiknt.wordpress.com/2010/01/13/khalwat-halal-vs-khalwat-haram/</w:t>
        </w:r>
      </w:hyperlink>
      <w:r w:rsidRPr="00333A94">
        <w:rPr>
          <w:rFonts w:ascii="Book Antiqua" w:hAnsi="Book Antiqua"/>
          <w:noProof/>
        </w:rPr>
        <w:t>, 2010.</w:t>
      </w:r>
      <w:r>
        <w:fldChar w:fldCharType="end"/>
      </w:r>
    </w:p>
  </w:footnote>
  <w:footnote w:id="14">
    <w:p w:rsidR="00C0172B" w:rsidRDefault="00C0172B" w:rsidP="00D33090">
      <w:pPr>
        <w:pStyle w:val="FootnoteText"/>
        <w:ind w:firstLine="540"/>
        <w:jc w:val="both"/>
      </w:pPr>
      <w:r>
        <w:rPr>
          <w:rStyle w:val="FootnoteReference"/>
        </w:rPr>
        <w:footnoteRef/>
      </w:r>
      <w:r>
        <w:t xml:space="preserve"> </w:t>
      </w:r>
      <w:r>
        <w:fldChar w:fldCharType="begin" w:fldLock="1"/>
      </w:r>
      <w:r w:rsidR="005F06F0">
        <w:instrText>ADDIN CSL_CITATION {"citationItems":[{"id":"ITEM-1","itemData":{"author":[{"dropping-particle":"","family":"Berutu","given":"Ali Geno","non-dropping-particle":"","parse-names":false,"suffix":""}],"container-title":"Muslim Heritage","id":"ITEM-1","issue":"2","issued":{"date-parts":[["2017"]]},"page":"87-106","title":"Qanun Aceh No. 14 Tahun 2003 Tentang Khalwat Dalam Pandangan FikIh Dan KUHP","type":"article-journal","volume":"1"},"uris":["http://www.mendeley.com/documents/?uuid=f7f12eea-9115-4d46-a0ba-1697d9f07791"]}],"mendeley":{"formattedCitation":"Ali Geno Berutu, “Qanun Aceh No. 14 Tahun 2003 Tentang Khalwat Dalam Pandangan FikIh Dan KUHP,” &lt;i&gt;Muslim Heritage&lt;/i&gt; 1, no. 2 (2017): 87–106.","plainTextFormattedCitation":"Ali Geno Berutu, “Qanun Aceh No. 14 Tahun 2003 Tentang Khalwat Dalam Pandangan FikIh Dan KUHP,” Muslim Heritage 1, no. 2 (2017): 87–106.","previouslyFormattedCitation":"Ali Geno Berutu, “Qanun Aceh No. 14 Tahun 2003 Tentang Khalwat Dalam Pandangan FikIh Dan KUHP,” &lt;i&gt;Muslim Heritage&lt;/i&gt; 1, no. 2 (2017): 87–106."},"properties":{"noteIndex":14},"schema":"https://github.com/citation-style-language/schema/raw/master/csl-citation.json"}</w:instrText>
      </w:r>
      <w:r>
        <w:fldChar w:fldCharType="separate"/>
      </w:r>
      <w:r w:rsidRPr="00C0172B">
        <w:rPr>
          <w:noProof/>
        </w:rPr>
        <w:t xml:space="preserve">Ali Geno Berutu, “Qanun Aceh No. 14 Tahun 2003 Tentang Khalwat Dalam Pandangan FikIh Dan KUHP,” </w:t>
      </w:r>
      <w:r w:rsidRPr="00C0172B">
        <w:rPr>
          <w:i/>
          <w:noProof/>
        </w:rPr>
        <w:t>Muslim Heritage</w:t>
      </w:r>
      <w:r w:rsidRPr="00C0172B">
        <w:rPr>
          <w:noProof/>
        </w:rPr>
        <w:t xml:space="preserve"> 1, no. 2 (2017): 87–106.</w:t>
      </w:r>
      <w:r>
        <w:fldChar w:fldCharType="end"/>
      </w:r>
    </w:p>
  </w:footnote>
  <w:footnote w:id="15">
    <w:p w:rsidR="005F06F0" w:rsidRDefault="005F06F0" w:rsidP="00D33090">
      <w:pPr>
        <w:pStyle w:val="FootnoteText"/>
        <w:ind w:firstLine="540"/>
        <w:jc w:val="both"/>
      </w:pPr>
      <w:r>
        <w:rPr>
          <w:rStyle w:val="FootnoteReference"/>
        </w:rPr>
        <w:footnoteRef/>
      </w:r>
      <w:r>
        <w:t xml:space="preserve"> </w:t>
      </w:r>
      <w:r>
        <w:fldChar w:fldCharType="begin" w:fldLock="1"/>
      </w:r>
      <w:r w:rsidR="00980C6B">
        <w:instrText>ADDIN CSL_CITATION {"citationItems":[{"id":"ITEM-1","itemData":{"author":[{"dropping-particle":"","family":"Berutu","given":"Ali Geno","non-dropping-particle":"","parse-names":false,"suffix":""}],"container-title":"Muslim Heritage","id":"ITEM-1","issue":"2","issued":{"date-parts":[["2017"]]},"page":"87-106","title":"Qanun Aceh No. 14 Tahun 2003 Tentang Khalwat Dalam Pandangan FikIh Dan KUHP","type":"article-journal","volume":"1"},"uris":["http://www.mendeley.com/documents/?uuid=f7f12eea-9115-4d46-a0ba-1697d9f07791"]}],"mendeley":{"formattedCitation":"Berutu.","manualFormatting":"Ibid.","plainTextFormattedCitation":"Berutu.","previouslyFormattedCitation":"Berutu."},"properties":{"noteIndex":15},"schema":"https://github.com/citation-style-language/schema/raw/master/csl-citation.json"}</w:instrText>
      </w:r>
      <w:r>
        <w:fldChar w:fldCharType="separate"/>
      </w:r>
      <w:r w:rsidR="00333A94">
        <w:rPr>
          <w:noProof/>
        </w:rPr>
        <w:t>Ibid</w:t>
      </w:r>
      <w:r w:rsidRPr="005F06F0">
        <w:rPr>
          <w:noProof/>
        </w:rPr>
        <w:t>.</w:t>
      </w:r>
      <w:r>
        <w:fldChar w:fldCharType="end"/>
      </w:r>
    </w:p>
  </w:footnote>
  <w:footnote w:id="16">
    <w:p w:rsidR="005F06F0" w:rsidRDefault="005F06F0" w:rsidP="00D33090">
      <w:pPr>
        <w:pStyle w:val="FootnoteText"/>
        <w:ind w:firstLine="540"/>
        <w:jc w:val="both"/>
      </w:pPr>
      <w:r>
        <w:rPr>
          <w:rStyle w:val="FootnoteReference"/>
        </w:rPr>
        <w:footnoteRef/>
      </w:r>
      <w:r>
        <w:t xml:space="preserve"> </w:t>
      </w:r>
      <w:r>
        <w:fldChar w:fldCharType="begin" w:fldLock="1"/>
      </w:r>
      <w:r w:rsidR="00980C6B">
        <w:instrText>ADDIN CSL_CITATION {"citationItems":[{"id":"ITEM-1","itemData":{"author":[{"dropping-particle":"","family":"Berutu","given":"Ali Geno","non-dropping-particle":"","parse-names":false,"suffix":""}],"container-title":"Muslim Heritage","id":"ITEM-1","issue":"2","issued":{"date-parts":[["2017"]]},"page":"87-106","title":"Qanun Aceh No. 14 Tahun 2003 Tentang Khalwat Dalam Pandangan FikIh Dan KUHP","type":"article-journal","volume":"1"},"uris":["http://www.mendeley.com/documents/?uuid=f7f12eea-9115-4d46-a0ba-1697d9f07791"]}],"mendeley":{"formattedCitation":"Berutu.","manualFormatting":"Ibid.","plainTextFormattedCitation":"Berutu.","previouslyFormattedCitation":"Berutu."},"properties":{"noteIndex":16},"schema":"https://github.com/citation-style-language/schema/raw/master/csl-citation.json"}</w:instrText>
      </w:r>
      <w:r>
        <w:fldChar w:fldCharType="separate"/>
      </w:r>
      <w:r w:rsidR="00333A94">
        <w:rPr>
          <w:noProof/>
        </w:rPr>
        <w:t>Ibid</w:t>
      </w:r>
      <w:r w:rsidRPr="005F06F0">
        <w:rPr>
          <w:noProof/>
        </w:rPr>
        <w:t>.</w:t>
      </w:r>
      <w:r>
        <w:fldChar w:fldCharType="end"/>
      </w:r>
    </w:p>
  </w:footnote>
  <w:footnote w:id="17">
    <w:p w:rsidR="005F06F0" w:rsidRDefault="005F06F0" w:rsidP="00D33090">
      <w:pPr>
        <w:pStyle w:val="FootnoteText"/>
        <w:ind w:firstLine="540"/>
        <w:jc w:val="both"/>
      </w:pPr>
      <w:r>
        <w:rPr>
          <w:rStyle w:val="FootnoteReference"/>
        </w:rPr>
        <w:footnoteRef/>
      </w:r>
      <w:r>
        <w:t xml:space="preserve"> </w:t>
      </w:r>
      <w:r>
        <w:fldChar w:fldCharType="begin" w:fldLock="1"/>
      </w:r>
      <w:r w:rsidR="00980C6B">
        <w:instrText>ADDIN CSL_CITATION {"citationItems":[{"id":"ITEM-1","itemData":{"author":[{"dropping-particle":"","family":"Al-Munawi","given":"Abdurrouf","non-dropping-particle":"","parse-names":false,"suffix":""}],"edition":"3","id":"ITEM-1","issued":{"date-parts":[["0"]]},"number-of-pages":"78","publisher":"Al-Maktabah At-Tijariah","publisher-place":"Kairo","title":"Faidul Qodir","type":"book"},"uris":["http://www.mendeley.com/documents/?uuid=5854fca2-c634-41bd-bd49-90300362f260"]}],"mendeley":{"formattedCitation":"Abdurrouf Al-Munawi, &lt;i&gt;Faidul Qodir&lt;/i&gt;, 3rd ed. (Kairo: Al-Maktabah At-Tijariah, n.d.).","manualFormatting":"Abdurrouf Al-Munawi, Faidul Qodir, 3rd ed. (Kairo: Al-Maktabah At-Tijariah, n.d.), p. 78.","plainTextFormattedCitation":"Abdurrouf Al-Munawi, Faidul Qodir, 3rd ed. (Kairo: Al-Maktabah At-Tijariah, n.d.).","previouslyFormattedCitation":"Abdurrouf Al-Munawi, &lt;i&gt;Faidul Qodir&lt;/i&gt;, 3rd ed. (Kairo: Al-Maktabah At-Tijariah, n.d.)."},"properties":{"noteIndex":17},"schema":"https://github.com/citation-style-language/schema/raw/master/csl-citation.json"}</w:instrText>
      </w:r>
      <w:r>
        <w:fldChar w:fldCharType="separate"/>
      </w:r>
      <w:r w:rsidRPr="005F06F0">
        <w:rPr>
          <w:noProof/>
        </w:rPr>
        <w:t xml:space="preserve">Abdurrouf Al-Munawi, </w:t>
      </w:r>
      <w:r w:rsidRPr="005F06F0">
        <w:rPr>
          <w:i/>
          <w:noProof/>
        </w:rPr>
        <w:t>Faidul Qodir</w:t>
      </w:r>
      <w:r w:rsidRPr="005F06F0">
        <w:rPr>
          <w:noProof/>
        </w:rPr>
        <w:t>, 3rd ed. (Kairo: Al-Maktabah At-Tijariah, n.d.)</w:t>
      </w:r>
      <w:r w:rsidR="00333A94">
        <w:rPr>
          <w:noProof/>
        </w:rPr>
        <w:t>, p. 78</w:t>
      </w:r>
      <w:r w:rsidRPr="005F06F0">
        <w:rPr>
          <w:noProof/>
        </w:rPr>
        <w:t>.</w:t>
      </w:r>
      <w:r>
        <w:fldChar w:fldCharType="end"/>
      </w:r>
    </w:p>
  </w:footnote>
  <w:footnote w:id="18">
    <w:p w:rsidR="005F06F0" w:rsidRDefault="005F06F0" w:rsidP="00D33090">
      <w:pPr>
        <w:pStyle w:val="FootnoteText"/>
        <w:ind w:firstLine="540"/>
        <w:jc w:val="both"/>
      </w:pPr>
      <w:r>
        <w:rPr>
          <w:rStyle w:val="FootnoteReference"/>
        </w:rPr>
        <w:footnoteRef/>
      </w:r>
      <w:r>
        <w:t xml:space="preserve"> </w:t>
      </w:r>
      <w:r>
        <w:fldChar w:fldCharType="begin" w:fldLock="1"/>
      </w:r>
      <w:r w:rsidR="00980C6B">
        <w:instrText>ADDIN CSL_CITATION {"citationItems":[{"id":"ITEM-1","itemData":{"author":[{"dropping-particle":"","family":"Al-Syaukani","given":"","non-dropping-particle":"","parse-names":false,"suffix":""}],"editor":[{"dropping-particle":"","family":"Fachrudin","given":"Amir Hamzah","non-dropping-particle":"","parse-names":false,"suffix":""}],"id":"ITEM-1","issued":{"date-parts":[["2006"]]},"number-of-pages":"417","publisher":"Pustaka Azam","publisher-place":"Jakarta","title":"Bustanul Akhbar Mukhtasar Nail Authar","type":"book"},"uris":["http://www.mendeley.com/documents/?uuid=0458de54-378d-4ebb-a6d7-b7e2cb4fe39a"]}],"mendeley":{"formattedCitation":"Al-Syaukani, &lt;i&gt;Bustanul Akhbar Mukhtasar Nail Authar&lt;/i&gt;, ed. Amir Hamzah Fachrudin (Jakarta: Pustaka Azam, 2006).","manualFormatting":"Al-Syaukani, Bustanul Akhbar Mukhtasar Nail Authar, ed. Amir Hamzah Fachrudin (Jakarta: Pustaka Azam, 2006), p. 231.","plainTextFormattedCitation":"Al-Syaukani, Bustanul Akhbar Mukhtasar Nail Authar, ed. Amir Hamzah Fachrudin (Jakarta: Pustaka Azam, 2006).","previouslyFormattedCitation":"Al-Syaukani, &lt;i&gt;Bustanul Akhbar Mukhtasar Nail Authar&lt;/i&gt;, ed. Amir Hamzah Fachrudin (Jakarta: Pustaka Azam, 2006)."},"properties":{"noteIndex":18},"schema":"https://github.com/citation-style-language/schema/raw/master/csl-citation.json"}</w:instrText>
      </w:r>
      <w:r>
        <w:fldChar w:fldCharType="separate"/>
      </w:r>
      <w:r w:rsidRPr="005F06F0">
        <w:rPr>
          <w:noProof/>
        </w:rPr>
        <w:t xml:space="preserve">Al-Syaukani, </w:t>
      </w:r>
      <w:r w:rsidRPr="005F06F0">
        <w:rPr>
          <w:i/>
          <w:noProof/>
        </w:rPr>
        <w:t>Bustanul Akhbar Mukhtasar Nail Authar</w:t>
      </w:r>
      <w:r w:rsidRPr="005F06F0">
        <w:rPr>
          <w:noProof/>
        </w:rPr>
        <w:t>, ed. Amir Hamzah Fachrudin (Jakarta: Pustaka Azam, 2006)</w:t>
      </w:r>
      <w:r w:rsidR="00333A94">
        <w:rPr>
          <w:noProof/>
        </w:rPr>
        <w:t>, p. 231</w:t>
      </w:r>
      <w:r w:rsidRPr="005F06F0">
        <w:rPr>
          <w:noProof/>
        </w:rPr>
        <w:t>.</w:t>
      </w:r>
      <w:r>
        <w:fldChar w:fldCharType="end"/>
      </w:r>
    </w:p>
  </w:footnote>
  <w:footnote w:id="19">
    <w:p w:rsidR="005F06F0" w:rsidRDefault="005F06F0" w:rsidP="00D33090">
      <w:pPr>
        <w:pStyle w:val="FootnoteText"/>
        <w:ind w:firstLine="540"/>
        <w:jc w:val="both"/>
      </w:pPr>
      <w:r>
        <w:rPr>
          <w:rStyle w:val="FootnoteReference"/>
        </w:rPr>
        <w:footnoteRef/>
      </w:r>
      <w:r>
        <w:t xml:space="preserve"> </w:t>
      </w:r>
      <w:r>
        <w:fldChar w:fldCharType="begin" w:fldLock="1"/>
      </w:r>
      <w:r w:rsidR="0078403C">
        <w:instrText>ADDIN CSL_CITATION {"citationItems":[{"id":"ITEM-1","itemData":{"author":[{"dropping-particle":"","family":"Rakib","given":"Abdur","non-dropping-particle":"","parse-names":false,"suffix":""}],"container-title":"At-Turāṡ: Jurnal Studi Keislaman","id":"ITEM-1","issue":"1","issued":{"date-parts":[["2019"]]},"page":"23-45","title":"Pergaulan Dalam Pertunangan Dan Khalwat : Studi Budaya Pertunangan di daerah Madura","type":"article-journal","volume":"6"},"uris":["http://www.mendeley.com/documents/?uuid=d4831c4c-5664-40ba-b431-bf5fe0179a10"]}],"mendeley":{"formattedCitation":"Abdur Rakib, “Pergaulan Dalam Pertunangan Dan Khalwat : Studi Budaya Pertunangan Di Daerah Madura,” &lt;i&gt;At-Turāṡ: Jurnal Studi Keislaman&lt;/i&gt; 6, no. 1 (2019): 23–45.","plainTextFormattedCitation":"Abdur Rakib, “Pergaulan Dalam Pertunangan Dan Khalwat : Studi Budaya Pertunangan Di Daerah Madura,” At-Turāṡ: Jurnal Studi Keislaman 6, no. 1 (2019): 23–45.","previouslyFormattedCitation":"Abdur Rakib, “Pergaulan Dalam Pertunangan Dan Khalwat : Studi Budaya Pertunangan Di Daerah Madura,” &lt;i&gt;At-Turāṡ: Jurnal Studi Keislaman&lt;/i&gt; 6, no. 1 (2019): 23–45."},"properties":{"noteIndex":19},"schema":"https://github.com/citation-style-language/schema/raw/master/csl-citation.json"}</w:instrText>
      </w:r>
      <w:r>
        <w:fldChar w:fldCharType="separate"/>
      </w:r>
      <w:r w:rsidR="009A00FE" w:rsidRPr="009A00FE">
        <w:rPr>
          <w:noProof/>
        </w:rPr>
        <w:t xml:space="preserve">Abdur Rakib, “Pergaulan Dalam Pertunangan Dan Khalwat : Studi Budaya Pertunangan Di Daerah Madura,” </w:t>
      </w:r>
      <w:r w:rsidR="009A00FE" w:rsidRPr="009A00FE">
        <w:rPr>
          <w:i/>
          <w:noProof/>
        </w:rPr>
        <w:t>At-Turāṡ: Jurnal Studi Keislaman</w:t>
      </w:r>
      <w:r w:rsidR="009A00FE" w:rsidRPr="009A00FE">
        <w:rPr>
          <w:noProof/>
        </w:rPr>
        <w:t xml:space="preserve"> 6, no. 1 (2019): 23–45.</w:t>
      </w:r>
      <w:r>
        <w:fldChar w:fldCharType="end"/>
      </w:r>
    </w:p>
  </w:footnote>
  <w:footnote w:id="20">
    <w:p w:rsidR="005F06F0" w:rsidRDefault="005F06F0" w:rsidP="00D33090">
      <w:pPr>
        <w:pStyle w:val="FootnoteText"/>
        <w:ind w:firstLine="540"/>
        <w:jc w:val="both"/>
      </w:pPr>
      <w:r>
        <w:rPr>
          <w:rStyle w:val="FootnoteReference"/>
        </w:rPr>
        <w:footnoteRef/>
      </w:r>
      <w:r>
        <w:t xml:space="preserve"> </w:t>
      </w:r>
      <w:r>
        <w:fldChar w:fldCharType="begin" w:fldLock="1"/>
      </w:r>
      <w:r w:rsidR="00980C6B">
        <w:instrText>ADDIN CSL_CITATION {"citationItems":[{"id":"ITEM-1","itemData":{"author":[{"dropping-particle":"","family":"An-Nawawi","given":"Imam","non-dropping-particle":"","parse-names":false,"suffix":""}],"id":"ITEM-1","issued":{"date-parts":[["1991"]]},"number-of-pages":"153","publisher":"Dar al-Kutub al-'Ilmiyyah","publisher-place":"Beirut","title":"Al-Minhaj Syarah Shahih Muslim","type":"book"},"uris":["http://www.mendeley.com/documents/?uuid=a024a038-7478-4fda-9ba0-2e4f7b1208e5"]}],"mendeley":{"formattedCitation":"Imam An-Nawawi, &lt;i&gt;Al-Minhaj Syarah Shahih Muslim&lt;/i&gt; (Beirut: Dar al-Kutub al-’Ilmiyyah, 1991).","manualFormatting":"Imam An-Nawawi, Al-Minhaj Syarah Shahih Muslim (Beirut: Dar al-Kutub al-’Ilmiyyah, 1991), p. 153.","plainTextFormattedCitation":"Imam An-Nawawi, Al-Minhaj Syarah Shahih Muslim (Beirut: Dar al-Kutub al-’Ilmiyyah, 1991).","previouslyFormattedCitation":"Imam An-Nawawi, &lt;i&gt;Al-Minhaj Syarah Shahih Muslim&lt;/i&gt; (Beirut: Dar al-Kutub al-’Ilmiyyah, 1991)."},"properties":{"noteIndex":20},"schema":"https://github.com/citation-style-language/schema/raw/master/csl-citation.json"}</w:instrText>
      </w:r>
      <w:r>
        <w:fldChar w:fldCharType="separate"/>
      </w:r>
      <w:r w:rsidRPr="005F06F0">
        <w:rPr>
          <w:noProof/>
        </w:rPr>
        <w:t xml:space="preserve">Imam An-Nawawi, </w:t>
      </w:r>
      <w:r w:rsidRPr="005F06F0">
        <w:rPr>
          <w:i/>
          <w:noProof/>
        </w:rPr>
        <w:t>Al-Minhaj Syarah Shahih Muslim</w:t>
      </w:r>
      <w:r w:rsidRPr="005F06F0">
        <w:rPr>
          <w:noProof/>
        </w:rPr>
        <w:t xml:space="preserve"> (Beirut: Dar al-Kutub al-’Ilmiyyah, 1991)</w:t>
      </w:r>
      <w:r w:rsidR="00333A94">
        <w:rPr>
          <w:noProof/>
        </w:rPr>
        <w:t>, p. 153</w:t>
      </w:r>
      <w:r w:rsidRPr="005F06F0">
        <w:rPr>
          <w:noProof/>
        </w:rPr>
        <w:t>.</w:t>
      </w:r>
      <w:r>
        <w:fldChar w:fldCharType="end"/>
      </w:r>
    </w:p>
  </w:footnote>
  <w:footnote w:id="21">
    <w:p w:rsidR="006A2654" w:rsidRDefault="006A2654" w:rsidP="00D33090">
      <w:pPr>
        <w:pStyle w:val="FootnoteText"/>
        <w:ind w:firstLine="540"/>
        <w:jc w:val="both"/>
      </w:pPr>
      <w:r>
        <w:rPr>
          <w:rStyle w:val="FootnoteReference"/>
        </w:rPr>
        <w:footnoteRef/>
      </w:r>
      <w:r>
        <w:t xml:space="preserve"> </w:t>
      </w:r>
      <w:r>
        <w:fldChar w:fldCharType="begin" w:fldLock="1"/>
      </w:r>
      <w:r w:rsidR="00980C6B">
        <w:instrText>ADDIN CSL_CITATION {"citationItems":[{"id":"ITEM-1","itemData":{"author":[{"dropping-particle":"","family":"As-Suyuthi","given":"","non-dropping-particle":"","parse-names":false,"suffix":""}],"id":"ITEM-1","issued":{"date-parts":[["1995"]]},"number-of-pages":"40","publisher":"Dar al-Fikr","publisher-place":"Beirut","title":"Al-Asybah Wa al-Nazair","type":"book"},"uris":["http://www.mendeley.com/documents/?uuid=fa29d677-a0a2-40af-ac8d-72be14380528"]}],"mendeley":{"formattedCitation":"As-Suyuthi, &lt;i&gt;Al-Asybah Wa Al-Nazair&lt;/i&gt; (Beirut: Dar al-Fikr, 1995).","manualFormatting":"As-Suyuthi, Al-Asybah Wa Al-Nazair (Beirut: Dar al-Fikr, 1995), p. 121.","plainTextFormattedCitation":"As-Suyuthi, Al-Asybah Wa Al-Nazair (Beirut: Dar al-Fikr, 1995).","previouslyFormattedCitation":"As-Suyuthi, &lt;i&gt;Al-Asybah Wa Al-Nazair&lt;/i&gt; (Beirut: Dar al-Fikr, 1995)."},"properties":{"noteIndex":21},"schema":"https://github.com/citation-style-language/schema/raw/master/csl-citation.json"}</w:instrText>
      </w:r>
      <w:r>
        <w:fldChar w:fldCharType="separate"/>
      </w:r>
      <w:r w:rsidRPr="006A2654">
        <w:rPr>
          <w:noProof/>
        </w:rPr>
        <w:t xml:space="preserve">As-Suyuthi, </w:t>
      </w:r>
      <w:r w:rsidRPr="006A2654">
        <w:rPr>
          <w:i/>
          <w:noProof/>
        </w:rPr>
        <w:t>Al-Asybah Wa Al-Nazair</w:t>
      </w:r>
      <w:r w:rsidRPr="006A2654">
        <w:rPr>
          <w:noProof/>
        </w:rPr>
        <w:t xml:space="preserve"> (Beirut: Dar al-Fikr, 1995)</w:t>
      </w:r>
      <w:r w:rsidR="00333A94">
        <w:rPr>
          <w:noProof/>
        </w:rPr>
        <w:t>, p. 121</w:t>
      </w:r>
      <w:r w:rsidRPr="006A2654">
        <w:rPr>
          <w:noProof/>
        </w:rPr>
        <w:t>.</w:t>
      </w:r>
      <w:r>
        <w:fldChar w:fldCharType="end"/>
      </w:r>
    </w:p>
  </w:footnote>
  <w:footnote w:id="22">
    <w:p w:rsidR="005F06F0" w:rsidRDefault="005F06F0" w:rsidP="00D33090">
      <w:pPr>
        <w:pStyle w:val="FootnoteText"/>
        <w:ind w:firstLine="540"/>
        <w:jc w:val="both"/>
      </w:pPr>
      <w:r>
        <w:rPr>
          <w:rStyle w:val="FootnoteReference"/>
        </w:rPr>
        <w:footnoteRef/>
      </w:r>
      <w:r>
        <w:t xml:space="preserve"> </w:t>
      </w:r>
      <w:r>
        <w:fldChar w:fldCharType="begin" w:fldLock="1"/>
      </w:r>
      <w:r w:rsidR="00980C6B">
        <w:instrText>ADDIN CSL_CITATION {"citationItems":[{"id":"ITEM-1","itemData":{"author":[{"dropping-particle":"","family":"An-Nawawi","given":"Imam","non-dropping-particle":"","parse-names":false,"suffix":""}],"id":"ITEM-1","issued":{"date-parts":[["1991"]]},"number-of-pages":"153","publisher":"Dar al-Kutub al-'Ilmiyyah","publisher-place":"Beirut","title":"Al-Minhaj Syarah Shahih Muslim","type":"book"},"uris":["http://www.mendeley.com/documents/?uuid=a024a038-7478-4fda-9ba0-2e4f7b1208e5"]}],"mendeley":{"formattedCitation":"An-Nawawi, &lt;i&gt;Al-Minhaj Syarah Shahih Muslim&lt;/i&gt;.","manualFormatting":"An-Nawawi, Al-Minhaj Syarah Shahih Muslim (Beirut: Dar al-Kutub al-’Ilmiyyah, 1991), p. 153.","plainTextFormattedCitation":"An-Nawawi, Al-Minhaj Syarah Shahih Muslim.","previouslyFormattedCitation":"An-Nawawi, &lt;i&gt;Al-Minhaj Syarah Shahih Muslim&lt;/i&gt;."},"properties":{"noteIndex":22},"schema":"https://github.com/citation-style-language/schema/raw/master/csl-citation.json"}</w:instrText>
      </w:r>
      <w:r>
        <w:fldChar w:fldCharType="separate"/>
      </w:r>
      <w:r w:rsidR="006A2654" w:rsidRPr="006A2654">
        <w:rPr>
          <w:noProof/>
        </w:rPr>
        <w:t xml:space="preserve">An-Nawawi, </w:t>
      </w:r>
      <w:r w:rsidR="006A2654" w:rsidRPr="006A2654">
        <w:rPr>
          <w:i/>
          <w:noProof/>
        </w:rPr>
        <w:t>Al-Minhaj Syarah Shahih Muslim</w:t>
      </w:r>
      <w:r w:rsidR="00333A94">
        <w:rPr>
          <w:i/>
          <w:noProof/>
        </w:rPr>
        <w:t xml:space="preserve"> </w:t>
      </w:r>
      <w:r w:rsidR="00333A94" w:rsidRPr="005F06F0">
        <w:rPr>
          <w:noProof/>
        </w:rPr>
        <w:t>(Beirut: Dar al-Kutub al-’Ilmiyyah, 1991)</w:t>
      </w:r>
      <w:r w:rsidR="00333A94">
        <w:rPr>
          <w:noProof/>
        </w:rPr>
        <w:t>, p. 153</w:t>
      </w:r>
      <w:r w:rsidR="006A2654" w:rsidRPr="006A2654">
        <w:rPr>
          <w:noProof/>
        </w:rPr>
        <w:t>.</w:t>
      </w:r>
      <w:r>
        <w:fldChar w:fldCharType="end"/>
      </w:r>
    </w:p>
  </w:footnote>
  <w:footnote w:id="23">
    <w:p w:rsidR="006A2654" w:rsidRDefault="006A2654" w:rsidP="00D33090">
      <w:pPr>
        <w:pStyle w:val="FootnoteText"/>
        <w:ind w:firstLine="540"/>
        <w:jc w:val="both"/>
      </w:pPr>
      <w:r>
        <w:rPr>
          <w:rStyle w:val="FootnoteReference"/>
        </w:rPr>
        <w:footnoteRef/>
      </w:r>
      <w:r>
        <w:t xml:space="preserve"> </w:t>
      </w:r>
      <w:r>
        <w:fldChar w:fldCharType="begin" w:fldLock="1"/>
      </w:r>
      <w:r w:rsidR="00980C6B">
        <w:instrText>ADDIN CSL_CITATION {"citationItems":[{"id":"ITEM-1","itemData":{"author":[{"dropping-particle":"","family":"Muhammad","given":"Rusjdi Ali","non-dropping-particle":"","parse-names":false,"suffix":""}],"id":"ITEM-1","issued":{"date-parts":[["2013"]]},"number-of-pages":"132-140","publisher":"Logos Wacana Ilmu","publisher-place":"Jakarta","title":"Revitalisasi Syariat Islam di Aceh: Problem, Solusi dan Implementasi","type":"book"},"uris":["http://www.mendeley.com/documents/?uuid=8804beed-f1cc-4a8a-a604-0e93172b0338"]}],"mendeley":{"formattedCitation":"Rusjdi Ali Muhammad, &lt;i&gt;Revitalisasi Syariat Islam Di Aceh: Problem, Solusi Dan Implementasi&lt;/i&gt; (Jakarta: Logos Wacana Ilmu, 2013).","manualFormatting":"Rusjdi Ali Muhammad, Revitalisasi Syariat Islam di Aceh: Problem, Solusi Dan Implementasi (Jakarta: Logos Wacana Ilmu, 2013), p. 132-140.","plainTextFormattedCitation":"Rusjdi Ali Muhammad, Revitalisasi Syariat Islam Di Aceh: Problem, Solusi Dan Implementasi (Jakarta: Logos Wacana Ilmu, 2013).","previouslyFormattedCitation":"Rusjdi Ali Muhammad, &lt;i&gt;Revitalisasi Syariat Islam Di Aceh: Problem, Solusi Dan Implementasi&lt;/i&gt; (Jakarta: Logos Wacana Ilmu, 2013)."},"properties":{"noteIndex":23},"schema":"https://github.com/citation-style-language/schema/raw/master/csl-citation.json"}</w:instrText>
      </w:r>
      <w:r>
        <w:fldChar w:fldCharType="separate"/>
      </w:r>
      <w:r w:rsidRPr="006A2654">
        <w:rPr>
          <w:noProof/>
        </w:rPr>
        <w:t xml:space="preserve">Rusjdi Ali Muhammad, </w:t>
      </w:r>
      <w:r w:rsidR="00333A94">
        <w:rPr>
          <w:i/>
          <w:noProof/>
        </w:rPr>
        <w:t>Revitalisasi Syariat Islam d</w:t>
      </w:r>
      <w:r w:rsidRPr="006A2654">
        <w:rPr>
          <w:i/>
          <w:noProof/>
        </w:rPr>
        <w:t>i Aceh: Problem, Solusi Dan Implementasi</w:t>
      </w:r>
      <w:r w:rsidRPr="006A2654">
        <w:rPr>
          <w:noProof/>
        </w:rPr>
        <w:t xml:space="preserve"> (Jakarta: Logos Wacana Ilmu, 2013)</w:t>
      </w:r>
      <w:r w:rsidR="00333A94">
        <w:rPr>
          <w:noProof/>
        </w:rPr>
        <w:t xml:space="preserve">, p. </w:t>
      </w:r>
      <w:r w:rsidR="00333A94" w:rsidRPr="001240BA">
        <w:rPr>
          <w:rFonts w:eastAsia="Times New Roman"/>
          <w:noProof/>
          <w:color w:val="000000" w:themeColor="text1"/>
          <w:lang w:val="x-none"/>
        </w:rPr>
        <w:t>132-140</w:t>
      </w:r>
      <w:r w:rsidRPr="006A2654">
        <w:rPr>
          <w:noProof/>
        </w:rPr>
        <w:t>.</w:t>
      </w:r>
      <w:r>
        <w:fldChar w:fldCharType="end"/>
      </w:r>
    </w:p>
  </w:footnote>
  <w:footnote w:id="24">
    <w:p w:rsidR="002618BF" w:rsidRDefault="002618BF" w:rsidP="00D33090">
      <w:pPr>
        <w:pStyle w:val="FootnoteText"/>
        <w:ind w:firstLine="540"/>
        <w:jc w:val="both"/>
      </w:pPr>
      <w:r>
        <w:rPr>
          <w:rStyle w:val="FootnoteReference"/>
        </w:rPr>
        <w:footnoteRef/>
      </w:r>
      <w:r>
        <w:t xml:space="preserve"> </w:t>
      </w:r>
      <w:r>
        <w:fldChar w:fldCharType="begin" w:fldLock="1"/>
      </w:r>
      <w:r w:rsidR="00980C6B">
        <w:instrText>ADDIN CSL_CITATION {"citationItems":[{"id":"ITEM-1","itemData":{"author":[{"dropping-particle":"","family":"Syukur","given":"Fatilah A.","non-dropping-particle":"","parse-names":false,"suffix":""}],"id":"ITEM-1","issued":{"date-parts":[["2011"]]},"number-of-pages":"78","publisher":"Indie Publishing","publisher-place":"Depok","title":"Mediasi Penal: Penerapan Restorative Justice di Pengadilan Anak Indonesia","type":"book"},"uris":["http://www.mendeley.com/documents/?uuid=9739c2e0-51a8-4431-8cb2-724bbe9fd90e"]}],"mendeley":{"formattedCitation":"Fatilah A. Syukur, &lt;i&gt;Mediasi Penal: Penerapan Restorative Justice Di Pengadilan Anak Indonesia&lt;/i&gt; (Depok: Indie Publishing, 2011).","manualFormatting":"Fatilah A. Syukur, Mediasi Penal: Penerapan Restorative Justice Di Pengadilan Anak Indonesia (Depok: Indie Publishing, 2011), p. 78.","plainTextFormattedCitation":"Fatilah A. Syukur, Mediasi Penal: Penerapan Restorative Justice Di Pengadilan Anak Indonesia (Depok: Indie Publishing, 2011).","previouslyFormattedCitation":"Fatilah A. Syukur, &lt;i&gt;Mediasi Penal: Penerapan Restorative Justice Di Pengadilan Anak Indonesia&lt;/i&gt; (Depok: Indie Publishing, 2011)."},"properties":{"noteIndex":24},"schema":"https://github.com/citation-style-language/schema/raw/master/csl-citation.json"}</w:instrText>
      </w:r>
      <w:r>
        <w:fldChar w:fldCharType="separate"/>
      </w:r>
      <w:r w:rsidRPr="002618BF">
        <w:rPr>
          <w:noProof/>
        </w:rPr>
        <w:t xml:space="preserve">Fatilah A. Syukur, </w:t>
      </w:r>
      <w:r w:rsidRPr="002618BF">
        <w:rPr>
          <w:i/>
          <w:noProof/>
        </w:rPr>
        <w:t>Mediasi Penal: Penerapan Restorative Justice Di Pengadilan Anak Indonesia</w:t>
      </w:r>
      <w:r w:rsidRPr="002618BF">
        <w:rPr>
          <w:noProof/>
        </w:rPr>
        <w:t xml:space="preserve"> (Depok: Indie Publishing, 2011)</w:t>
      </w:r>
      <w:r w:rsidR="00333A94">
        <w:rPr>
          <w:noProof/>
        </w:rPr>
        <w:t>, p. 78</w:t>
      </w:r>
      <w:r w:rsidRPr="002618BF">
        <w:rPr>
          <w:noProof/>
        </w:rPr>
        <w:t>.</w:t>
      </w:r>
      <w:r>
        <w:fldChar w:fldCharType="end"/>
      </w:r>
    </w:p>
  </w:footnote>
  <w:footnote w:id="25">
    <w:p w:rsidR="00312AE0" w:rsidRDefault="00312AE0" w:rsidP="00D33090">
      <w:pPr>
        <w:pStyle w:val="FootnoteText"/>
        <w:ind w:firstLine="540"/>
        <w:jc w:val="both"/>
      </w:pPr>
      <w:r>
        <w:rPr>
          <w:rStyle w:val="FootnoteReference"/>
        </w:rPr>
        <w:footnoteRef/>
      </w:r>
      <w:r>
        <w:fldChar w:fldCharType="begin" w:fldLock="1"/>
      </w:r>
      <w:r w:rsidR="009A00FE">
        <w:instrText>ADDIN CSL_CITATION {"citationItems":[{"id":"ITEM-1","itemData":{"author":[{"dropping-particle":"","family":"Lesmana","given":"Teddy","non-dropping-particle":"","parse-names":false,"suffix":""}],"container-title":"Jurnal Rechten : Riset Hukum Dan Hak Asasi Manusia","id":"ITEM-1","issue":"1","issued":{"date-parts":[["2019"]]},"page":"1-20","title":"Mediasi Penal Sebagai Alternatif Penyelesaian Perkara Pidana Dalam Perspektif Pembaharuan Sistem Peradilan Pidana Indonesia","type":"article-journal","volume":"1"},"uris":["http://www.mendeley.com/documents/?uuid=f5928e12-71ca-4eda-876a-392abc97a25e"]}],"mendeley":{"formattedCitation":"Teddy Lesmana, “Mediasi Penal Sebagai Alternatif Penyelesaian Perkara Pidana Dalam Perspektif Pembaharuan Sistem Peradilan Pidana Indonesia,” &lt;i&gt;Jurnal Rechten : Riset Hukum Dan Hak Asasi Manusia&lt;/i&gt; 1, no. 1 (2019): 1–20.","plainTextFormattedCitation":"Teddy Lesmana, “Mediasi Penal Sebagai Alternatif Penyelesaian Perkara Pidana Dalam Perspektif Pembaharuan Sistem Peradilan Pidana Indonesia,” Jurnal Rechten : Riset Hukum Dan Hak Asasi Manusia 1, no. 1 (2019): 1–20.","previouslyFormattedCitation":"Teddy Lesmana, “Mediasi Penal Sebagai Alternatif Penyelesaian Perkara Pidana Dalam Perspektif Pembaharuan Sistem Peradilan Pidana Indonesia,” &lt;i&gt;Jurnal Rechten : Riset Hukum Dan Hak Asasi Manusia&lt;/i&gt; 1, no. 1 (2019): 1–20."},"properties":{"noteIndex":25},"schema":"https://github.com/citation-style-language/schema/raw/master/csl-citation.json"}</w:instrText>
      </w:r>
      <w:r>
        <w:fldChar w:fldCharType="separate"/>
      </w:r>
      <w:r w:rsidRPr="00312AE0">
        <w:rPr>
          <w:noProof/>
        </w:rPr>
        <w:t xml:space="preserve">Teddy Lesmana, “Mediasi Penal Sebagai Alternatif Penyelesaian Perkara Pidana Dalam Perspektif Pembaharuan Sistem Peradilan Pidana Indonesia,” </w:t>
      </w:r>
      <w:r w:rsidRPr="00312AE0">
        <w:rPr>
          <w:i/>
          <w:noProof/>
        </w:rPr>
        <w:t>Jurnal Rechten : Riset Hukum Dan Hak Asasi Manusia</w:t>
      </w:r>
      <w:r w:rsidRPr="00312AE0">
        <w:rPr>
          <w:noProof/>
        </w:rPr>
        <w:t xml:space="preserve"> 1, no. 1 (2019): 1–20.</w:t>
      </w:r>
      <w:r>
        <w:fldChar w:fldCharType="end"/>
      </w:r>
    </w:p>
  </w:footnote>
  <w:footnote w:id="26">
    <w:p w:rsidR="0078403C" w:rsidRDefault="0078403C" w:rsidP="00D33090">
      <w:pPr>
        <w:pStyle w:val="FootnoteText"/>
        <w:ind w:firstLine="540"/>
        <w:jc w:val="both"/>
      </w:pPr>
      <w:r>
        <w:rPr>
          <w:rStyle w:val="FootnoteReference"/>
        </w:rPr>
        <w:footnoteRef/>
      </w:r>
      <w:r>
        <w:t xml:space="preserve"> </w:t>
      </w:r>
      <w:r>
        <w:fldChar w:fldCharType="begin" w:fldLock="1"/>
      </w:r>
      <w:r>
        <w:instrText>ADDIN CSL_CITATION {"citationItems":[{"id":"ITEM-1","itemData":{"author":[{"dropping-particle":"","family":"Muntaza","given":"","non-dropping-particle":"","parse-names":false,"suffix":""}],"container-title":"Media Syari'ah : Wahana Kajian Hukum Islam dan Pranata Sosial","id":"ITEM-1","issue":"1","issued":{"date-parts":[["2017"]]},"page":"159 - 194","title":"Penyelesaian Kasus Khalwat melalui Peradilan Adat Aceh","type":"article-journal","volume":"19"},"uris":["http://www.mendeley.com/documents/?uuid=c77770a5-c1f2-46ca-a39c-6db682ad0054"]}],"mendeley":{"formattedCitation":"Muntaza, “Penyelesaian Kasus Khalwat Melalui Peradilan Adat Aceh,” &lt;i&gt;Media Syari’ah : Wahana Kajian Hukum Islam Dan Pranata Sosial&lt;/i&gt; 19, no. 1 (2017): 159–94.","plainTextFormattedCitation":"Muntaza, “Penyelesaian Kasus Khalwat Melalui Peradilan Adat Aceh,” Media Syari’ah : Wahana Kajian Hukum Islam Dan Pranata Sosial 19, no. 1 (2017): 159–94.","previouslyFormattedCitation":"Muntaza, “Penyelesaian Kasus Khalwat Melalui Peradilan Adat Aceh,” &lt;i&gt;Media Syari’ah : Wahana Kajian Hukum Islam Dan Pranata Sosial&lt;/i&gt; 19, no. 1 (2017): 159–94."},"properties":{"noteIndex":26},"schema":"https://github.com/citation-style-language/schema/raw/master/csl-citation.json"}</w:instrText>
      </w:r>
      <w:r>
        <w:fldChar w:fldCharType="separate"/>
      </w:r>
      <w:r w:rsidRPr="0078403C">
        <w:rPr>
          <w:noProof/>
        </w:rPr>
        <w:t xml:space="preserve">Muntaza, “Penyelesaian Kasus Khalwat Melalui Peradilan Adat Aceh,” </w:t>
      </w:r>
      <w:r w:rsidRPr="0078403C">
        <w:rPr>
          <w:i/>
          <w:noProof/>
        </w:rPr>
        <w:t>Media Syari’ah : Wahana Kajian Hukum Islam Dan Pranata Sosial</w:t>
      </w:r>
      <w:r w:rsidRPr="0078403C">
        <w:rPr>
          <w:noProof/>
        </w:rPr>
        <w:t xml:space="preserve"> 19, no. 1 (2017): 159–94.</w:t>
      </w:r>
      <w:r>
        <w:fldChar w:fldCharType="end"/>
      </w:r>
    </w:p>
  </w:footnote>
  <w:footnote w:id="27">
    <w:p w:rsidR="00772183" w:rsidRDefault="00772183" w:rsidP="00772183">
      <w:pPr>
        <w:pStyle w:val="FootnoteText"/>
        <w:tabs>
          <w:tab w:val="left" w:pos="540"/>
        </w:tabs>
        <w:jc w:val="both"/>
      </w:pPr>
      <w:r>
        <w:tab/>
      </w:r>
      <w:r>
        <w:rPr>
          <w:rStyle w:val="FootnoteReference"/>
        </w:rPr>
        <w:footnoteRef/>
      </w:r>
      <w:r>
        <w:t xml:space="preserve"> </w:t>
      </w:r>
      <w:r>
        <w:fldChar w:fldCharType="begin" w:fldLock="1"/>
      </w:r>
      <w:r>
        <w:instrText>ADDIN CSL_CITATION {"citationItems":[{"id":"ITEM-1","itemData":{"author":[{"dropping-particle":"","family":"Rizki","given":"Wahyu Fahrul","non-dropping-particle":"","parse-names":false,"suffix":""}],"container-title":"Asy-Syir’ah Jurnal Ilmu Syari’ah dan Hukum","id":"ITEM-1","issue":"2","issued":{"date-parts":[["2020"]]},"page":"342-350","title":"Khalwat Marriage Adat and Practices in Aceh: A Study on Adat Sanctions and Settlement Process of Khalwat Case","type":"article-journal","volume":"54"},"uris":["http://www.mendeley.com/documents/?uuid=ef5cde2e-d24c-4379-8825-3d01a9163b04"]}],"mendeley":{"formattedCitation":"Wahyu Fahrul Rizki, “Khalwat Marriage Adat and Practices in Aceh: A Study on Adat Sanctions and Settlement Process of Khalwat Case,” &lt;i&gt;Asy-Syir’ah Jurnal Ilmu Syari’ah Dan Hukum&lt;/i&gt; 54, no. 2 (2020): 342–50.","plainTextFormattedCitation":"Wahyu Fahrul Rizki, “Khalwat Marriage Adat and Practices in Aceh: A Study on Adat Sanctions and Settlement Process of Khalwat Case,” Asy-Syir’ah Jurnal Ilmu Syari’ah Dan Hukum 54, no. 2 (2020): 342–50.","previouslyFormattedCitation":"Wahyu Fahrul Rizki, “Khalwat Marriage Adat and Practices in Aceh: A Study on Adat Sanctions and Settlement Process of Khalwat Case,” &lt;i&gt;Asy-Syir’ah Jurnal Ilmu Syari’ah Dan Hukum&lt;/i&gt; 54, no. 2 (2020): 342–50."},"properties":{"noteIndex":27},"schema":"https://github.com/citation-style-language/schema/raw/master/csl-citation.json"}</w:instrText>
      </w:r>
      <w:r>
        <w:fldChar w:fldCharType="separate"/>
      </w:r>
      <w:r w:rsidRPr="00772183">
        <w:rPr>
          <w:noProof/>
        </w:rPr>
        <w:t xml:space="preserve">Wahyu Fahrul Rizki, “Khalwat Marriage Adat and Practices in Aceh: A Study on Adat Sanctions and Settlement Process of Khalwat Case,” </w:t>
      </w:r>
      <w:r w:rsidRPr="00772183">
        <w:rPr>
          <w:i/>
          <w:noProof/>
        </w:rPr>
        <w:t>Asy-Syir’ah Jurnal Ilmu Syari’ah Dan Hukum</w:t>
      </w:r>
      <w:r w:rsidRPr="00772183">
        <w:rPr>
          <w:noProof/>
        </w:rPr>
        <w:t xml:space="preserve"> 54, no. 2 (2020): 342–50.</w:t>
      </w:r>
      <w:r>
        <w:fldChar w:fldCharType="end"/>
      </w:r>
    </w:p>
  </w:footnote>
  <w:footnote w:id="28">
    <w:p w:rsidR="0078403C" w:rsidRDefault="0078403C" w:rsidP="00D33090">
      <w:pPr>
        <w:pStyle w:val="FootnoteText"/>
        <w:ind w:firstLine="540"/>
        <w:jc w:val="both"/>
      </w:pPr>
      <w:r>
        <w:rPr>
          <w:rStyle w:val="FootnoteReference"/>
        </w:rPr>
        <w:footnoteRef/>
      </w:r>
      <w:r>
        <w:t xml:space="preserve"> </w:t>
      </w:r>
      <w:r>
        <w:fldChar w:fldCharType="begin" w:fldLock="1"/>
      </w:r>
      <w:r w:rsidR="00772183">
        <w:instrText>ADDIN CSL_CITATION {"citationItems":[{"id":"ITEM-1","itemData":{"author":[{"dropping-particle":"","family":"Syahrizal","given":"","non-dropping-particle":"","parse-names":false,"suffix":""}],"id":"ITEM-1","issued":{"date-parts":[["2004"]]},"number-of-pages":"12","publisher":"Nadiya Foundation","publisher-place":"Lhokseumawe","title":"Hukum Adat Dan Hukum Islam Di Indonesia","type":"book"},"uris":["http://www.mendeley.com/documents/?uuid=2f5286e1-a85e-4a31-9728-588b581e796f"]}],"mendeley":{"formattedCitation":"Syahrizal, &lt;i&gt;Hukum Adat Dan Hukum Islam Di Indonesia&lt;/i&gt; (Lhokseumawe: Nadiya Foundation, 2004).","manualFormatting":"Syahrizal, Hukum Adat Dan Hukum Islam Di Indonesia (Lhokseumawe: Nadiya Foundation, 2004), p. 12.","plainTextFormattedCitation":"Syahrizal, Hukum Adat Dan Hukum Islam Di Indonesia (Lhokseumawe: Nadiya Foundation, 2004).","previouslyFormattedCitation":"Syahrizal, &lt;i&gt;Hukum Adat Dan Hukum Islam Di Indonesia&lt;/i&gt; (Lhokseumawe: Nadiya Foundation, 2004)."},"properties":{"noteIndex":28},"schema":"https://github.com/citation-style-language/schema/raw/master/csl-citation.json"}</w:instrText>
      </w:r>
      <w:r>
        <w:fldChar w:fldCharType="separate"/>
      </w:r>
      <w:r w:rsidRPr="0078403C">
        <w:rPr>
          <w:noProof/>
        </w:rPr>
        <w:t xml:space="preserve">Syahrizal, </w:t>
      </w:r>
      <w:r w:rsidRPr="0078403C">
        <w:rPr>
          <w:i/>
          <w:noProof/>
        </w:rPr>
        <w:t>Hukum Adat Dan Hukum Islam Di Indonesia</w:t>
      </w:r>
      <w:r w:rsidRPr="0078403C">
        <w:rPr>
          <w:noProof/>
        </w:rPr>
        <w:t xml:space="preserve"> (Lhokseumawe: Nadiya Foundation, 2004)</w:t>
      </w:r>
      <w:r w:rsidR="00333A94">
        <w:rPr>
          <w:noProof/>
        </w:rPr>
        <w:t>, p. 12</w:t>
      </w:r>
      <w:r w:rsidRPr="0078403C">
        <w:rPr>
          <w:noProof/>
        </w:rPr>
        <w:t>.</w:t>
      </w:r>
      <w:r>
        <w:fldChar w:fldCharType="end"/>
      </w:r>
    </w:p>
  </w:footnote>
  <w:footnote w:id="29">
    <w:p w:rsidR="008253B7" w:rsidRDefault="008253B7" w:rsidP="00D33090">
      <w:pPr>
        <w:pStyle w:val="FootnoteText"/>
        <w:ind w:firstLine="540"/>
        <w:jc w:val="both"/>
      </w:pPr>
      <w:r>
        <w:rPr>
          <w:rStyle w:val="FootnoteReference"/>
        </w:rPr>
        <w:footnoteRef/>
      </w:r>
      <w:r>
        <w:t xml:space="preserve"> </w:t>
      </w:r>
      <w:r>
        <w:fldChar w:fldCharType="begin" w:fldLock="1"/>
      </w:r>
      <w:r w:rsidR="00772183">
        <w:instrText>ADDIN CSL_CITATION {"citationItems":[{"id":"ITEM-1","itemData":{"author":[{"dropping-particle":"","family":"Sulaiman","given":"M. Isa","non-dropping-particle":"","parse-names":false,"suffix":""}],"id":"ITEM-1","issued":{"date-parts":[["2002"]]},"number-of-pages":"31","publisher":"Lembaga Adat Dan Kebudayaan Aceh (LAKA), Provinsi Nanggroe Aceh Darussalam","publisher-place":"Banda Aceh","title":"Historis Tentang Peradilan Adat Di Aceh, Dalam Pedoman Adat Aceh, Peradilan Dan Hukum Adat","type":"book"},"uris":["http://www.mendeley.com/documents/?uuid=bc5a6858-42c8-453c-b168-a3a5a07a7d23"]}],"mendeley":{"formattedCitation":"M. Isa Sulaiman, &lt;i&gt;Historis Tentang Peradilan Adat Di Aceh, Dalam Pedoman Adat Aceh, Peradilan Dan Hukum Adat&lt;/i&gt; (Banda Aceh: Lembaga Adat Dan Kebudayaan Aceh (LAKA), Provinsi Nanggroe Aceh Darussalam, 2002).","manualFormatting":"M. Isa Sulaiman, Historis Tentang Peradilan Adat Di Aceh, Dalam Pedoman Adat Aceh, Peradilan Dan Hukum Adat (Banda Aceh: Lembaga Adat Dan Kebudayaan Aceh (LAKA), Provinsi Nanggroe Aceh Darussalam, 2002), 45.","plainTextFormattedCitation":"M. Isa Sulaiman, Historis Tentang Peradilan Adat Di Aceh, Dalam Pedoman Adat Aceh, Peradilan Dan Hukum Adat (Banda Aceh: Lembaga Adat Dan Kebudayaan Aceh (LAKA), Provinsi Nanggroe Aceh Darussalam, 2002).","previouslyFormattedCitation":"M. Isa Sulaiman, &lt;i&gt;Historis Tentang Peradilan Adat Di Aceh, Dalam Pedoman Adat Aceh, Peradilan Dan Hukum Adat&lt;/i&gt; (Banda Aceh: Lembaga Adat Dan Kebudayaan Aceh (LAKA), Provinsi Nanggroe Aceh Darussalam, 2002)."},"properties":{"noteIndex":29},"schema":"https://github.com/citation-style-language/schema/raw/master/csl-citation.json"}</w:instrText>
      </w:r>
      <w:r>
        <w:fldChar w:fldCharType="separate"/>
      </w:r>
      <w:r w:rsidRPr="008253B7">
        <w:rPr>
          <w:noProof/>
        </w:rPr>
        <w:t xml:space="preserve">M. Isa Sulaiman, </w:t>
      </w:r>
      <w:r w:rsidRPr="008253B7">
        <w:rPr>
          <w:i/>
          <w:noProof/>
        </w:rPr>
        <w:t>Historis Tentang Peradilan Adat Di Aceh, Dalam Pedoman Adat Aceh, Peradilan Dan Hukum Adat</w:t>
      </w:r>
      <w:r w:rsidRPr="008253B7">
        <w:rPr>
          <w:noProof/>
        </w:rPr>
        <w:t xml:space="preserve"> (Banda Aceh: Lembaga Adat Dan Kebudayaan Aceh (LAKA), Provinsi Nanggroe Aceh Darussalam, 2002)</w:t>
      </w:r>
      <w:r w:rsidR="00333A94">
        <w:rPr>
          <w:noProof/>
        </w:rPr>
        <w:t>, 45</w:t>
      </w:r>
      <w:r w:rsidRPr="008253B7">
        <w:rPr>
          <w:noProof/>
        </w:rPr>
        <w:t>.</w:t>
      </w:r>
      <w:r>
        <w:fldChar w:fldCharType="end"/>
      </w:r>
    </w:p>
  </w:footnote>
  <w:footnote w:id="30">
    <w:p w:rsidR="00D46C99" w:rsidRDefault="00D46C99" w:rsidP="00D33090">
      <w:pPr>
        <w:pStyle w:val="FootnoteText"/>
        <w:ind w:firstLine="540"/>
        <w:jc w:val="both"/>
      </w:pPr>
      <w:r>
        <w:rPr>
          <w:rStyle w:val="FootnoteReference"/>
        </w:rPr>
        <w:footnoteRef/>
      </w:r>
      <w:r>
        <w:t xml:space="preserve"> </w:t>
      </w:r>
      <w:r>
        <w:fldChar w:fldCharType="begin" w:fldLock="1"/>
      </w:r>
      <w:r w:rsidR="00772183">
        <w:instrText>ADDIN CSL_CITATION {"citationItems":[{"id":"ITEM-1","itemData":{"author":[{"dropping-particle":"","family":"Feener","given":"R. Michael","non-dropping-particle":"","parse-names":false,"suffix":""}],"id":"ITEM-1","issued":{"date-parts":[["2013"]]},"number-of-pages":"245","publisher":"Oxford University Press","publisher-place":"Oxford","title":"Shari’a and Social Engineering: The Implementation of Islamic Law in Contemporary Aceh Indonesia","type":"book"},"uris":["http://www.mendeley.com/documents/?uuid=826e7cac-472a-4ff7-9415-f3c33b309ace"]}],"mendeley":{"formattedCitation":"R. Michael Feener, &lt;i&gt;Shari’a and Social Engineering: The Implementation of Islamic Law in Contemporary Aceh Indonesia&lt;/i&gt; (Oxford: Oxford University Press, 2013).","manualFormatting":"R. Michael Feener, Shari’a and Social Engineering: The Implementation of Islamic Law in Contemporary Aceh Indonesia (Oxford: Oxford University Press, 2013), p. 245.","plainTextFormattedCitation":"R. Michael Feener, Shari’a and Social Engineering: The Implementation of Islamic Law in Contemporary Aceh Indonesia (Oxford: Oxford University Press, 2013).","previouslyFormattedCitation":"R. Michael Feener, &lt;i&gt;Shari’a and Social Engineering: The Implementation of Islamic Law in Contemporary Aceh Indonesia&lt;/i&gt; (Oxford: Oxford University Press, 2013)."},"properties":{"noteIndex":30},"schema":"https://github.com/citation-style-language/schema/raw/master/csl-citation.json"}</w:instrText>
      </w:r>
      <w:r>
        <w:fldChar w:fldCharType="separate"/>
      </w:r>
      <w:r w:rsidRPr="00D46C99">
        <w:rPr>
          <w:noProof/>
        </w:rPr>
        <w:t xml:space="preserve">R. Michael Feener, </w:t>
      </w:r>
      <w:r w:rsidRPr="00D46C99">
        <w:rPr>
          <w:i/>
          <w:noProof/>
        </w:rPr>
        <w:t>Shari’a and Social Engineering: The Implementation of Islamic Law in Contemporary Aceh Indonesia</w:t>
      </w:r>
      <w:r w:rsidRPr="00D46C99">
        <w:rPr>
          <w:noProof/>
        </w:rPr>
        <w:t xml:space="preserve"> (Oxford: Oxford University Press, 2013)</w:t>
      </w:r>
      <w:r w:rsidR="00333A94">
        <w:rPr>
          <w:noProof/>
        </w:rPr>
        <w:t>, p. 245</w:t>
      </w:r>
      <w:r w:rsidRPr="00D46C99">
        <w:rPr>
          <w:noProof/>
        </w:rPr>
        <w:t>.</w:t>
      </w:r>
      <w:r>
        <w:fldChar w:fldCharType="end"/>
      </w:r>
    </w:p>
  </w:footnote>
  <w:footnote w:id="31">
    <w:p w:rsidR="00D46C99" w:rsidRDefault="00D46C99" w:rsidP="00D33090">
      <w:pPr>
        <w:pStyle w:val="FootnoteText"/>
        <w:ind w:firstLine="540"/>
        <w:jc w:val="both"/>
      </w:pPr>
      <w:r>
        <w:rPr>
          <w:rStyle w:val="FootnoteReference"/>
        </w:rPr>
        <w:footnoteRef/>
      </w:r>
      <w:r>
        <w:t xml:space="preserve"> </w:t>
      </w:r>
      <w:r>
        <w:fldChar w:fldCharType="begin" w:fldLock="1"/>
      </w:r>
      <w:r w:rsidR="00772183">
        <w:instrText>ADDIN CSL_CITATION {"citationItems":[{"id":"ITEM-1","itemData":{"author":[{"dropping-particle":"","family":"Feener","given":"R. Michael","non-dropping-particle":"","parse-names":false,"suffix":""}],"id":"ITEM-1","issued":{"date-parts":[["2013"]]},"number-of-pages":"245","publisher":"Oxford University Press","publisher-place":"Oxford","title":"Shari’a and Social Engineering: The Implementation of Islamic Law in Contemporary Aceh Indonesia","type":"book"},"uris":["http://www.mendeley.com/documents/?uuid=826e7cac-472a-4ff7-9415-f3c33b309ace"]}],"mendeley":{"formattedCitation":"Feener.","manualFormatting":"Ibid.","plainTextFormattedCitation":"Feener.","previouslyFormattedCitation":"Feener."},"properties":{"noteIndex":31},"schema":"https://github.com/citation-style-language/schema/raw/master/csl-citation.json"}</w:instrText>
      </w:r>
      <w:r>
        <w:fldChar w:fldCharType="separate"/>
      </w:r>
      <w:r w:rsidR="00333A94">
        <w:rPr>
          <w:noProof/>
        </w:rPr>
        <w:t>Ibid</w:t>
      </w:r>
      <w:r w:rsidRPr="00D46C99">
        <w:rPr>
          <w:noProof/>
        </w:rPr>
        <w:t>.</w:t>
      </w:r>
      <w:r>
        <w:fldChar w:fldCharType="end"/>
      </w:r>
    </w:p>
  </w:footnote>
  <w:footnote w:id="32">
    <w:p w:rsidR="00056D8B" w:rsidRDefault="00056D8B" w:rsidP="00D33090">
      <w:pPr>
        <w:pStyle w:val="FootnoteText"/>
        <w:ind w:firstLine="540"/>
        <w:jc w:val="both"/>
      </w:pPr>
      <w:r>
        <w:rPr>
          <w:rStyle w:val="FootnoteReference"/>
        </w:rPr>
        <w:footnoteRef/>
      </w:r>
      <w:r>
        <w:t xml:space="preserve"> </w:t>
      </w:r>
      <w:r>
        <w:fldChar w:fldCharType="begin" w:fldLock="1"/>
      </w:r>
      <w:r w:rsidR="00772183">
        <w:instrText>ADDIN CSL_CITATION {"citationItems":[{"id":"ITEM-1","itemData":{"author":[{"dropping-particle":"","family":"Muhammad Siddiq","given":"","non-dropping-particle":"","parse-names":false,"suffix":""}],"id":"ITEM-1","issued":{"date-parts":[["2019"]]},"number-of-pages":"21","publisher":"Aceh Justice Resorce Center (Ajrc)","publisher-place":"Banda Aceh","title":"Problematika Qanun Khalwat Analisis Terhadap Perspektif Mahasiswa Aceh","type":"book"},"uris":["http://www.mendeley.com/documents/?uuid=c6b39c47-26cd-437d-8c64-eb1e47847d0c"]}],"mendeley":{"formattedCitation":"Muhammad Siddiq, &lt;i&gt;Problematika Qanun Khalwat Analisis Terhadap Perspektif Mahasiswa Aceh&lt;/i&gt; (Banda Aceh: Aceh Justice Resorce Center (Ajrc), 2019).","manualFormatting":"Muhammad Siddiq, Problematika Qanun Khalwat Analisis Terhadap Perspektif Mahasiswa Aceh (Banda Aceh: Aceh Justice Resorce Center, 2019), p. 34.","plainTextFormattedCitation":"Muhammad Siddiq, Problematika Qanun Khalwat Analisis Terhadap Perspektif Mahasiswa Aceh (Banda Aceh: Aceh Justice Resorce Center (Ajrc), 2019).","previouslyFormattedCitation":"Muhammad Siddiq, &lt;i&gt;Problematika Qanun Khalwat Analisis Terhadap Perspektif Mahasiswa Aceh&lt;/i&gt; (Banda Aceh: Aceh Justice Resorce Center (Ajrc), 2019)."},"properties":{"noteIndex":32},"schema":"https://github.com/citation-style-language/schema/raw/master/csl-citation.json"}</w:instrText>
      </w:r>
      <w:r>
        <w:fldChar w:fldCharType="separate"/>
      </w:r>
      <w:r w:rsidRPr="00056D8B">
        <w:rPr>
          <w:noProof/>
        </w:rPr>
        <w:t xml:space="preserve">Muhammad Siddiq, </w:t>
      </w:r>
      <w:r w:rsidRPr="00056D8B">
        <w:rPr>
          <w:i/>
          <w:noProof/>
        </w:rPr>
        <w:t>Problematika Qanun Khalwat Analisis Terhadap Perspektif Mahasiswa Aceh</w:t>
      </w:r>
      <w:r w:rsidRPr="00056D8B">
        <w:rPr>
          <w:noProof/>
        </w:rPr>
        <w:t xml:space="preserve"> (Banda Aceh: </w:t>
      </w:r>
      <w:r w:rsidR="00333A94">
        <w:rPr>
          <w:noProof/>
        </w:rPr>
        <w:t>Aceh Justice Resorce Center</w:t>
      </w:r>
      <w:r w:rsidRPr="00056D8B">
        <w:rPr>
          <w:noProof/>
        </w:rPr>
        <w:t>, 2019)</w:t>
      </w:r>
      <w:r w:rsidR="00333A94">
        <w:rPr>
          <w:noProof/>
        </w:rPr>
        <w:t>, p. 34</w:t>
      </w:r>
      <w:r w:rsidRPr="00056D8B">
        <w:rPr>
          <w:noProof/>
        </w:rPr>
        <w:t>.</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_Hlk490921290"/>
  <w:bookmarkStart w:id="4" w:name="_Hlk490921291"/>
  <w:bookmarkStart w:id="5" w:name="_Hlk490921292"/>
  <w:p w:rsidR="00EF357F" w:rsidRPr="000D479C" w:rsidRDefault="005E4573" w:rsidP="000D479C">
    <w:pPr>
      <w:pStyle w:val="Header"/>
      <w:jc w:val="right"/>
      <w:rPr>
        <w:rFonts w:ascii="Century Gothic" w:hAnsi="Century Gothic" w:cs="Devanagari MT"/>
        <w:color w:val="B00000"/>
        <w:sz w:val="76"/>
      </w:rPr>
    </w:pPr>
    <w:r w:rsidRPr="00384A23">
      <w:rPr>
        <w:rFonts w:ascii="Century Gothic" w:hAnsi="Century Gothic" w:cs="Devanagari MT"/>
        <w:b/>
        <w:noProof/>
        <w:sz w:val="40"/>
        <w:szCs w:val="60"/>
        <w:lang w:bidi="ar-SA"/>
      </w:rPr>
      <mc:AlternateContent>
        <mc:Choice Requires="wps">
          <w:drawing>
            <wp:anchor distT="0" distB="0" distL="114300" distR="114300" simplePos="0" relativeHeight="251666432" behindDoc="0" locked="0" layoutInCell="1" allowOverlap="1" wp14:anchorId="0BF8FBCA" wp14:editId="51A8AA62">
              <wp:simplePos x="0" y="0"/>
              <wp:positionH relativeFrom="column">
                <wp:posOffset>-396240</wp:posOffset>
              </wp:positionH>
              <wp:positionV relativeFrom="paragraph">
                <wp:posOffset>-47625</wp:posOffset>
              </wp:positionV>
              <wp:extent cx="3581400" cy="281940"/>
              <wp:effectExtent l="0" t="0" r="0" b="3810"/>
              <wp:wrapNone/>
              <wp:docPr id="16" name="Rectangle 16"/>
              <wp:cNvGraphicFramePr/>
              <a:graphic xmlns:a="http://schemas.openxmlformats.org/drawingml/2006/main">
                <a:graphicData uri="http://schemas.microsoft.com/office/word/2010/wordprocessingShape">
                  <wps:wsp>
                    <wps:cNvSpPr/>
                    <wps:spPr>
                      <a:xfrm>
                        <a:off x="0" y="0"/>
                        <a:ext cx="3581400"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571BD" w:rsidRPr="0026676C" w:rsidRDefault="00446AFC"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 xml:space="preserve">National Accredited in </w:t>
                          </w:r>
                          <w:proofErr w:type="spellStart"/>
                          <w:r>
                            <w:rPr>
                              <w:rFonts w:ascii="Book Antiqua" w:hAnsi="Book Antiqua" w:cs="Helvetica"/>
                              <w:color w:val="000000"/>
                              <w:sz w:val="16"/>
                              <w:shd w:val="clear" w:color="auto" w:fill="FFFFFF"/>
                            </w:rPr>
                            <w:t>Sinta</w:t>
                          </w:r>
                          <w:proofErr w:type="spellEnd"/>
                          <w:r>
                            <w:rPr>
                              <w:rFonts w:ascii="Book Antiqua" w:hAnsi="Book Antiqua" w:cs="Helvetica"/>
                              <w:color w:val="000000"/>
                              <w:sz w:val="16"/>
                              <w:shd w:val="clear" w:color="auto" w:fill="FFFFFF"/>
                            </w:rPr>
                            <w:t xml:space="preserve"> 2 Decree</w:t>
                          </w:r>
                          <w:r w:rsidR="0026676C" w:rsidRPr="0026676C">
                            <w:rPr>
                              <w:rFonts w:ascii="Book Antiqua" w:hAnsi="Book Antiqua" w:cs="Helvetica"/>
                              <w:color w:val="000000"/>
                              <w:sz w:val="16"/>
                              <w:shd w:val="clear" w:color="auto" w:fill="FFFFFF"/>
                            </w:rPr>
                            <w:t xml:space="preserve"> No. </w:t>
                          </w:r>
                          <w:r w:rsidR="0026676C" w:rsidRPr="0026676C">
                            <w:rPr>
                              <w:rFonts w:ascii="Book Antiqua" w:hAnsi="Book Antiqua" w:cs="Helvetica"/>
                              <w:sz w:val="16"/>
                              <w:bdr w:val="none" w:sz="0" w:space="0" w:color="auto" w:frame="1"/>
                              <w:shd w:val="clear" w:color="auto" w:fill="FFFFFF"/>
                            </w:rPr>
                            <w:t>158/E/KPT/2021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8" style="position:absolute;left:0;text-align:left;margin-left:-31.2pt;margin-top:-3.75pt;width:282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" filled="f" stroked="f" strokeweight="1pt">
              <v:textbox>
                <w:txbxContent>
                  <w:p w:rsidR="00D571BD" w:rsidRPr="0026676C" w:rsidRDefault="00446AFC"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 xml:space="preserve">National Accredited in </w:t>
                    </w:r>
                    <w:proofErr w:type="spellStart"/>
                    <w:r>
                      <w:rPr>
                        <w:rFonts w:ascii="Book Antiqua" w:hAnsi="Book Antiqua" w:cs="Helvetica"/>
                        <w:color w:val="000000"/>
                        <w:sz w:val="16"/>
                        <w:shd w:val="clear" w:color="auto" w:fill="FFFFFF"/>
                      </w:rPr>
                      <w:t>Sinta</w:t>
                    </w:r>
                    <w:proofErr w:type="spellEnd"/>
                    <w:r>
                      <w:rPr>
                        <w:rFonts w:ascii="Book Antiqua" w:hAnsi="Book Antiqua" w:cs="Helvetica"/>
                        <w:color w:val="000000"/>
                        <w:sz w:val="16"/>
                        <w:shd w:val="clear" w:color="auto" w:fill="FFFFFF"/>
                      </w:rPr>
                      <w:t xml:space="preserve"> 2 Decree</w:t>
                    </w:r>
                    <w:r w:rsidR="0026676C" w:rsidRPr="0026676C">
                      <w:rPr>
                        <w:rFonts w:ascii="Book Antiqua" w:hAnsi="Book Antiqua" w:cs="Helvetica"/>
                        <w:color w:val="000000"/>
                        <w:sz w:val="16"/>
                        <w:shd w:val="clear" w:color="auto" w:fill="FFFFFF"/>
                      </w:rPr>
                      <w:t xml:space="preserve"> No. </w:t>
                    </w:r>
                    <w:r w:rsidR="0026676C" w:rsidRPr="0026676C">
                      <w:rPr>
                        <w:rFonts w:ascii="Book Antiqua" w:hAnsi="Book Antiqua" w:cs="Helvetica"/>
                        <w:sz w:val="16"/>
                        <w:bdr w:val="none" w:sz="0" w:space="0" w:color="auto" w:frame="1"/>
                        <w:shd w:val="clear" w:color="auto" w:fill="FFFFFF"/>
                      </w:rPr>
                      <w:t>158/E/KPT/2021</w:t>
                    </w:r>
                  </w:p>
                </w:txbxContent>
              </v:textbox>
            </v:rect>
          </w:pict>
        </mc:Fallback>
      </mc:AlternateContent>
    </w:r>
    <w:r w:rsidR="0026676C" w:rsidRPr="00384A23">
      <w:rPr>
        <w:noProof/>
        <w:sz w:val="28"/>
        <w:lang w:bidi="ar-SA"/>
      </w:rPr>
      <w:drawing>
        <wp:anchor distT="0" distB="0" distL="114300" distR="114300" simplePos="0" relativeHeight="251668480" behindDoc="0" locked="0" layoutInCell="1" allowOverlap="1" wp14:anchorId="097DA479" wp14:editId="341B6BC2">
          <wp:simplePos x="0" y="0"/>
          <wp:positionH relativeFrom="column">
            <wp:posOffset>-43815</wp:posOffset>
          </wp:positionH>
          <wp:positionV relativeFrom="paragraph">
            <wp:posOffset>-276225</wp:posOffset>
          </wp:positionV>
          <wp:extent cx="877570" cy="308610"/>
          <wp:effectExtent l="0" t="0" r="0" b="0"/>
          <wp:wrapNone/>
          <wp:docPr id="5" name="Picture 5" descr="E:\FileKu\JURNAL FH UNPATTI\Sin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FH UNPATTI\Sint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26A" w:rsidRPr="00384A23">
      <w:rPr>
        <w:rFonts w:ascii="Century Gothic" w:hAnsi="Century Gothic" w:cs="Devanagari MT"/>
        <w:b/>
        <w:noProof/>
        <w:sz w:val="40"/>
        <w:szCs w:val="60"/>
        <w:lang w:bidi="ar-SA"/>
      </w:rPr>
      <mc:AlternateContent>
        <mc:Choice Requires="wps">
          <w:drawing>
            <wp:anchor distT="0" distB="0" distL="114300" distR="114300" simplePos="0" relativeHeight="251665408" behindDoc="1" locked="0" layoutInCell="1" allowOverlap="1" wp14:anchorId="44E2F749" wp14:editId="03BAB493">
              <wp:simplePos x="0" y="0"/>
              <wp:positionH relativeFrom="column">
                <wp:posOffset>-1396365</wp:posOffset>
              </wp:positionH>
              <wp:positionV relativeFrom="paragraph">
                <wp:posOffset>152400</wp:posOffset>
              </wp:positionV>
              <wp:extent cx="8267700" cy="2476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67700" cy="247650"/>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F3748E" id="Rectangle 5" o:spid="_x0000_s1026" style="position:absolute;margin-left:-109.95pt;margin-top:12pt;width:651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" fillcolor="#d8d8d8 [2732]" stroked="f">
              <v:path arrowok="t"/>
            </v:rect>
          </w:pict>
        </mc:Fallback>
      </mc:AlternateContent>
    </w:r>
    <w:r w:rsidR="00EB46BA" w:rsidRPr="00384A23">
      <w:rPr>
        <w:rFonts w:ascii="Algerian" w:hAnsi="Algerian"/>
        <w:b/>
        <w:color w:val="2F5496" w:themeColor="accent1" w:themeShade="BF"/>
        <w:sz w:val="56"/>
        <w:szCs w:val="80"/>
      </w:rPr>
      <w:t>SASI</w:t>
    </w:r>
    <w:r w:rsidR="00EF357F" w:rsidRPr="000D479C">
      <w:rPr>
        <w:rFonts w:ascii="Century Gothic" w:hAnsi="Century Gothic" w:cs="Devanagari MT"/>
        <w:sz w:val="48"/>
        <w:szCs w:val="60"/>
      </w:rPr>
      <w:t xml:space="preserve"> </w:t>
    </w:r>
  </w:p>
  <w:p w:rsidR="00D571BD" w:rsidRPr="00EB46BA" w:rsidRDefault="00D571BD" w:rsidP="00AF20D0">
    <w:pPr>
      <w:pStyle w:val="Header"/>
      <w:tabs>
        <w:tab w:val="clear" w:pos="9360"/>
      </w:tabs>
      <w:jc w:val="right"/>
      <w:rPr>
        <w:rFonts w:ascii="Book Antiqua" w:hAnsi="Book Antiqua" w:cstheme="majorHAnsi"/>
        <w:color w:val="000000" w:themeColor="text1"/>
        <w:sz w:val="20"/>
        <w:szCs w:val="20"/>
      </w:rPr>
    </w:pPr>
    <w:r w:rsidRPr="00EB46BA">
      <w:rPr>
        <w:rFonts w:ascii="Book Antiqua" w:hAnsi="Book Antiqua" w:cstheme="majorHAnsi"/>
        <w:color w:val="000000" w:themeColor="text1"/>
        <w:sz w:val="20"/>
        <w:szCs w:val="20"/>
      </w:rPr>
      <w:t>Volume … Issue …, XXXX</w:t>
    </w:r>
  </w:p>
  <w:p w:rsidR="00D571BD" w:rsidRPr="00D571BD" w:rsidRDefault="007605BE" w:rsidP="00AF20D0">
    <w:pPr>
      <w:pStyle w:val="Header"/>
      <w:tabs>
        <w:tab w:val="clear" w:pos="9360"/>
      </w:tabs>
      <w:jc w:val="right"/>
      <w:rPr>
        <w:rFonts w:asciiTheme="majorHAnsi" w:hAnsiTheme="majorHAnsi" w:cstheme="majorHAnsi"/>
        <w:color w:val="000000" w:themeColor="text1"/>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left:0;text-align:left;margin-left:350.55pt;margin-top:11.35pt;width:14.25pt;height:14.25pt;z-index:251672576;visibility:visible;mso-wrap-style:square;mso-position-horizontal-relative:text;mso-position-vertical-relative:text;mso-width-relative:page;mso-height-relative:page">
          <v:imagedata r:id="rId2" o:title="1200px-DOI_logo"/>
        </v:shape>
      </w:pict>
    </w:r>
    <w:r w:rsidR="00D571BD" w:rsidRPr="00EB46BA">
      <w:rPr>
        <w:rFonts w:ascii="Book Antiqua" w:hAnsi="Book Antiqua" w:cstheme="majorHAnsi"/>
        <w:color w:val="000000" w:themeColor="text1"/>
        <w:sz w:val="20"/>
        <w:szCs w:val="20"/>
      </w:rPr>
      <w:t xml:space="preserve">P-ISSN: </w:t>
    </w:r>
    <w:r w:rsidR="00EB46BA" w:rsidRPr="00EB46BA">
      <w:rPr>
        <w:rFonts w:ascii="Book Antiqua" w:hAnsi="Book Antiqua" w:cstheme="majorHAnsi"/>
        <w:color w:val="000000" w:themeColor="text1"/>
        <w:sz w:val="20"/>
        <w:szCs w:val="20"/>
      </w:rPr>
      <w:t>1693-0061</w:t>
    </w:r>
    <w:r w:rsidR="00D571BD" w:rsidRPr="00EB46BA">
      <w:rPr>
        <w:rFonts w:ascii="Book Antiqua" w:hAnsi="Book Antiqua" w:cstheme="majorHAnsi"/>
        <w:color w:val="000000" w:themeColor="text1"/>
        <w:sz w:val="20"/>
        <w:szCs w:val="20"/>
      </w:rPr>
      <w:t xml:space="preserve">, E-ISSN: </w:t>
    </w:r>
    <w:r w:rsidR="00EB46BA" w:rsidRPr="00EB46BA">
      <w:rPr>
        <w:rFonts w:ascii="Book Antiqua" w:hAnsi="Book Antiqua" w:cstheme="majorHAnsi"/>
        <w:color w:val="000000" w:themeColor="text1"/>
        <w:sz w:val="20"/>
        <w:szCs w:val="20"/>
      </w:rPr>
      <w:t>2614-2961</w:t>
    </w:r>
  </w:p>
  <w:p w:rsidR="00B4626A" w:rsidRDefault="00B4626A" w:rsidP="00AF20D0">
    <w:pPr>
      <w:spacing w:after="20"/>
      <w:jc w:val="right"/>
      <w:rPr>
        <w:rStyle w:val="Hyperlink"/>
        <w:rFonts w:ascii="Book Antiqua" w:hAnsi="Book Antiqua"/>
        <w:color w:val="2F5496" w:themeColor="accent1" w:themeShade="BF"/>
        <w:sz w:val="18"/>
        <w:u w:val="none"/>
      </w:rPr>
    </w:pPr>
    <w:r w:rsidRPr="00EB46BA">
      <w:rPr>
        <w:rFonts w:ascii="Book Antiqua" w:hAnsi="Book Antiqua" w:cstheme="majorHAnsi"/>
        <w:color w:val="2F5496" w:themeColor="accent1" w:themeShade="BF"/>
        <w:sz w:val="18"/>
        <w:szCs w:val="12"/>
      </w:rPr>
      <w:t xml:space="preserve">: </w:t>
    </w:r>
    <w:hyperlink r:id="rId3" w:history="1">
      <w:r w:rsidRPr="00EB46BA">
        <w:rPr>
          <w:rStyle w:val="Hyperlink"/>
          <w:rFonts w:ascii="Book Antiqua" w:hAnsi="Book Antiqua" w:cstheme="majorHAnsi"/>
          <w:color w:val="2F5496" w:themeColor="accent1" w:themeShade="BF"/>
          <w:sz w:val="18"/>
          <w:szCs w:val="12"/>
          <w:u w:val="none"/>
        </w:rPr>
        <w:t>10.47268/</w:t>
      </w:r>
      <w:proofErr w:type="spellStart"/>
      <w:r w:rsidRPr="00EB46BA">
        <w:rPr>
          <w:rStyle w:val="Hyperlink"/>
          <w:rFonts w:ascii="Book Antiqua" w:hAnsi="Book Antiqua" w:cstheme="majorHAnsi"/>
          <w:color w:val="2F5496" w:themeColor="accent1" w:themeShade="BF"/>
          <w:sz w:val="18"/>
          <w:szCs w:val="12"/>
          <w:u w:val="none"/>
        </w:rPr>
        <w:t>sasi.</w:t>
      </w:r>
    </w:hyperlink>
    <w:r w:rsidRPr="00EB46BA">
      <w:rPr>
        <w:rStyle w:val="Hyperlink"/>
        <w:rFonts w:ascii="Book Antiqua" w:hAnsi="Book Antiqua" w:cstheme="majorHAnsi"/>
        <w:color w:val="2F5496" w:themeColor="accent1" w:themeShade="BF"/>
        <w:sz w:val="18"/>
        <w:szCs w:val="12"/>
        <w:u w:val="none"/>
      </w:rPr>
      <w:t>vXXXX.</w:t>
    </w:r>
    <w:r>
      <w:rPr>
        <w:rStyle w:val="Hyperlink"/>
        <w:rFonts w:ascii="Book Antiqua" w:hAnsi="Book Antiqua" w:cstheme="majorHAnsi"/>
        <w:color w:val="2F5496" w:themeColor="accent1" w:themeShade="BF"/>
        <w:sz w:val="18"/>
        <w:szCs w:val="12"/>
        <w:u w:val="none"/>
      </w:rPr>
      <w:t>XXXX</w:t>
    </w:r>
    <w:proofErr w:type="spellEnd"/>
    <w:r w:rsidRPr="00EB46BA">
      <w:rPr>
        <w:rFonts w:ascii="Book Antiqua" w:hAnsi="Book Antiqua" w:cstheme="majorHAnsi"/>
        <w:color w:val="2F5496" w:themeColor="accent1" w:themeShade="BF"/>
        <w:sz w:val="18"/>
        <w:szCs w:val="12"/>
      </w:rPr>
      <w:t xml:space="preserve"> </w:t>
    </w:r>
    <w:r w:rsidRPr="008953F1">
      <w:rPr>
        <w:noProof/>
        <w:color w:val="000000" w:themeColor="text1"/>
        <w:lang w:bidi="ar-SA"/>
      </w:rPr>
      <w:drawing>
        <wp:anchor distT="0" distB="0" distL="114300" distR="114300" simplePos="0" relativeHeight="251670528" behindDoc="0" locked="0" layoutInCell="1" allowOverlap="1" wp14:anchorId="224A3CAA" wp14:editId="1505FF75">
          <wp:simplePos x="0" y="0"/>
          <wp:positionH relativeFrom="column">
            <wp:posOffset>5686425</wp:posOffset>
          </wp:positionH>
          <wp:positionV relativeFrom="paragraph">
            <wp:posOffset>159385</wp:posOffset>
          </wp:positionV>
          <wp:extent cx="424180" cy="211455"/>
          <wp:effectExtent l="0" t="0" r="0" b="0"/>
          <wp:wrapNone/>
          <wp:docPr id="6" name="Picture 6"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46BA" w:rsidRPr="00B4626A" w:rsidRDefault="007605BE" w:rsidP="00B4626A">
    <w:pPr>
      <w:spacing w:after="20"/>
      <w:ind w:right="707"/>
      <w:jc w:val="right"/>
      <w:rPr>
        <w:rFonts w:ascii="Book Antiqua" w:hAnsi="Book Antiqua"/>
        <w:color w:val="2F5496" w:themeColor="accent1" w:themeShade="BF"/>
        <w:sz w:val="18"/>
      </w:rPr>
    </w:pPr>
    <w:hyperlink r:id="rId5" w:history="1">
      <w:proofErr w:type="spellStart"/>
      <w:r w:rsidR="00EB46BA" w:rsidRPr="004B1F20">
        <w:rPr>
          <w:rStyle w:val="Hyperlink"/>
          <w:rFonts w:ascii="Book Antiqua" w:hAnsi="Book Antiqua"/>
          <w:color w:val="2F5496" w:themeColor="accent1" w:themeShade="BF"/>
          <w:sz w:val="18"/>
          <w:u w:val="none"/>
        </w:rPr>
        <w:t>Lisensi</w:t>
      </w:r>
      <w:proofErr w:type="spellEnd"/>
      <w:r w:rsidR="00EB46BA" w:rsidRPr="004B1F20">
        <w:rPr>
          <w:rStyle w:val="Hyperlink"/>
          <w:rFonts w:ascii="Book Antiqua" w:hAnsi="Book Antiqua"/>
          <w:color w:val="2F5496" w:themeColor="accent1" w:themeShade="BF"/>
          <w:sz w:val="18"/>
          <w:u w:val="none"/>
        </w:rPr>
        <w:t xml:space="preserve"> Creative Commons </w:t>
      </w:r>
      <w:proofErr w:type="spellStart"/>
      <w:r w:rsidR="00EB46BA" w:rsidRPr="004B1F20">
        <w:rPr>
          <w:rStyle w:val="Hyperlink"/>
          <w:rFonts w:ascii="Book Antiqua" w:hAnsi="Book Antiqua"/>
          <w:color w:val="2F5496" w:themeColor="accent1" w:themeShade="BF"/>
          <w:sz w:val="18"/>
          <w:u w:val="none"/>
        </w:rPr>
        <w:t>Atribusi-NonCommercial</w:t>
      </w:r>
      <w:proofErr w:type="spellEnd"/>
      <w:r w:rsidR="00EB46BA" w:rsidRPr="004B1F20">
        <w:rPr>
          <w:rStyle w:val="Hyperlink"/>
          <w:rFonts w:ascii="Book Antiqua" w:hAnsi="Book Antiqua"/>
          <w:color w:val="2F5496" w:themeColor="accent1" w:themeShade="BF"/>
          <w:sz w:val="18"/>
          <w:u w:val="none"/>
        </w:rPr>
        <w:t xml:space="preserve"> 4.0 </w:t>
      </w:r>
      <w:proofErr w:type="spellStart"/>
      <w:r w:rsidR="00EB46BA" w:rsidRPr="004B1F20">
        <w:rPr>
          <w:rStyle w:val="Hyperlink"/>
          <w:rFonts w:ascii="Book Antiqua" w:hAnsi="Book Antiqua"/>
          <w:color w:val="2F5496" w:themeColor="accent1" w:themeShade="BF"/>
          <w:sz w:val="18"/>
          <w:u w:val="none"/>
        </w:rPr>
        <w:t>Internasional</w:t>
      </w:r>
      <w:proofErr w:type="spellEnd"/>
    </w:hyperlink>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6.5pt;height:14.25pt;visibility:visible;mso-wrap-style:square" o:bullet="t">
        <v:imagedata r:id="rId1" o:title="1200px-DOI_logo"/>
      </v:shape>
    </w:pict>
  </w:numPicBullet>
  <w:abstractNum w:abstractNumId="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nsid w:val="0909498D"/>
    <w:multiLevelType w:val="multilevel"/>
    <w:tmpl w:val="2E0495F8"/>
    <w:lvl w:ilvl="0">
      <w:start w:val="1"/>
      <w:numFmt w:val="decimal"/>
      <w:lvlText w:val="%1."/>
      <w:lvlJc w:val="left"/>
      <w:pPr>
        <w:ind w:left="720" w:hanging="360"/>
      </w:pPr>
      <w:rPr>
        <w:color w:val="2F5496" w:themeColor="accent1" w:themeShade="BF"/>
        <w:sz w:val="24"/>
      </w:rPr>
    </w:lvl>
    <w:lvl w:ilvl="1">
      <w:start w:val="1"/>
      <w:numFmt w:val="decimal"/>
      <w:isLgl/>
      <w:lvlText w:val="%1.%2"/>
      <w:lvlJc w:val="left"/>
      <w:pPr>
        <w:ind w:left="720" w:hanging="360"/>
      </w:pPr>
      <w:rPr>
        <w:rFonts w:eastAsia="Batang" w:cs="Times New Roman" w:hint="default"/>
        <w:b w:val="0"/>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9">
    <w:nsid w:val="13402266"/>
    <w:multiLevelType w:val="hybridMultilevel"/>
    <w:tmpl w:val="C0CCD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BC32385"/>
    <w:multiLevelType w:val="hybridMultilevel"/>
    <w:tmpl w:val="6180F148"/>
    <w:lvl w:ilvl="0" w:tplc="0409000F">
      <w:start w:val="1"/>
      <w:numFmt w:val="decimal"/>
      <w:lvlText w:val="%1."/>
      <w:lvlJc w:val="left"/>
      <w:pPr>
        <w:ind w:left="720" w:hanging="360"/>
      </w:pPr>
      <w:rPr>
        <w:rFonts w:hint="default"/>
      </w:rPr>
    </w:lvl>
    <w:lvl w:ilvl="1" w:tplc="D6ECBD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3">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2941230"/>
    <w:multiLevelType w:val="hybridMultilevel"/>
    <w:tmpl w:val="EC24E2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8">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9">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BA6E99"/>
    <w:multiLevelType w:val="hybridMultilevel"/>
    <w:tmpl w:val="8ED2A5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530469"/>
    <w:multiLevelType w:val="hybridMultilevel"/>
    <w:tmpl w:val="52862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553B71"/>
    <w:multiLevelType w:val="hybridMultilevel"/>
    <w:tmpl w:val="697A048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6"/>
  </w:num>
  <w:num w:numId="2">
    <w:abstractNumId w:val="17"/>
  </w:num>
  <w:num w:numId="3">
    <w:abstractNumId w:val="7"/>
  </w:num>
  <w:num w:numId="4">
    <w:abstractNumId w:val="12"/>
  </w:num>
  <w:num w:numId="5">
    <w:abstractNumId w:val="18"/>
  </w:num>
  <w:num w:numId="6">
    <w:abstractNumId w:val="0"/>
  </w:num>
  <w:num w:numId="7">
    <w:abstractNumId w:val="4"/>
  </w:num>
  <w:num w:numId="8">
    <w:abstractNumId w:val="3"/>
  </w:num>
  <w:num w:numId="9">
    <w:abstractNumId w:val="2"/>
  </w:num>
  <w:num w:numId="10">
    <w:abstractNumId w:val="1"/>
  </w:num>
  <w:num w:numId="11">
    <w:abstractNumId w:val="6"/>
  </w:num>
  <w:num w:numId="12">
    <w:abstractNumId w:val="13"/>
  </w:num>
  <w:num w:numId="13">
    <w:abstractNumId w:val="20"/>
  </w:num>
  <w:num w:numId="14">
    <w:abstractNumId w:val="19"/>
  </w:num>
  <w:num w:numId="15">
    <w:abstractNumId w:val="10"/>
  </w:num>
  <w:num w:numId="16">
    <w:abstractNumId w:val="15"/>
  </w:num>
  <w:num w:numId="17">
    <w:abstractNumId w:val="5"/>
  </w:num>
  <w:num w:numId="18">
    <w:abstractNumId w:val="8"/>
  </w:num>
  <w:num w:numId="19">
    <w:abstractNumId w:val="21"/>
  </w:num>
  <w:num w:numId="20">
    <w:abstractNumId w:val="9"/>
  </w:num>
  <w:num w:numId="21">
    <w:abstractNumId w:val="11"/>
  </w:num>
  <w:num w:numId="22">
    <w:abstractNumId w:val="22"/>
  </w:num>
  <w:num w:numId="23">
    <w:abstractNumId w:val="24"/>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73"/>
    <w:rsid w:val="00000B22"/>
    <w:rsid w:val="00003122"/>
    <w:rsid w:val="00003C43"/>
    <w:rsid w:val="00005A2E"/>
    <w:rsid w:val="0001120B"/>
    <w:rsid w:val="00014A2C"/>
    <w:rsid w:val="00015218"/>
    <w:rsid w:val="00023880"/>
    <w:rsid w:val="00023DA6"/>
    <w:rsid w:val="00046A90"/>
    <w:rsid w:val="00046AF5"/>
    <w:rsid w:val="00050546"/>
    <w:rsid w:val="0005128B"/>
    <w:rsid w:val="00052E06"/>
    <w:rsid w:val="000554A5"/>
    <w:rsid w:val="00056D8B"/>
    <w:rsid w:val="00063C82"/>
    <w:rsid w:val="000715EA"/>
    <w:rsid w:val="000775E8"/>
    <w:rsid w:val="000822BD"/>
    <w:rsid w:val="00087494"/>
    <w:rsid w:val="0009788A"/>
    <w:rsid w:val="000A05AE"/>
    <w:rsid w:val="000A091C"/>
    <w:rsid w:val="000A5878"/>
    <w:rsid w:val="000B09AB"/>
    <w:rsid w:val="000B14BF"/>
    <w:rsid w:val="000B1CE8"/>
    <w:rsid w:val="000B3752"/>
    <w:rsid w:val="000B5F04"/>
    <w:rsid w:val="000C5F58"/>
    <w:rsid w:val="000C62F7"/>
    <w:rsid w:val="000D29BA"/>
    <w:rsid w:val="000D41BE"/>
    <w:rsid w:val="000D479C"/>
    <w:rsid w:val="000D6448"/>
    <w:rsid w:val="000E018D"/>
    <w:rsid w:val="000E6D81"/>
    <w:rsid w:val="000F3B4F"/>
    <w:rsid w:val="000F4488"/>
    <w:rsid w:val="000F7008"/>
    <w:rsid w:val="0010788E"/>
    <w:rsid w:val="001161B0"/>
    <w:rsid w:val="00116CDD"/>
    <w:rsid w:val="00123CDB"/>
    <w:rsid w:val="001242D9"/>
    <w:rsid w:val="00124D8C"/>
    <w:rsid w:val="00136A1D"/>
    <w:rsid w:val="00141AEB"/>
    <w:rsid w:val="00141B61"/>
    <w:rsid w:val="0014772F"/>
    <w:rsid w:val="001520B9"/>
    <w:rsid w:val="001539AC"/>
    <w:rsid w:val="00167CC3"/>
    <w:rsid w:val="001720AE"/>
    <w:rsid w:val="00177044"/>
    <w:rsid w:val="00184949"/>
    <w:rsid w:val="00185CD9"/>
    <w:rsid w:val="00185CF4"/>
    <w:rsid w:val="001A0270"/>
    <w:rsid w:val="001A42EB"/>
    <w:rsid w:val="001A55CA"/>
    <w:rsid w:val="001A6FE1"/>
    <w:rsid w:val="001B027D"/>
    <w:rsid w:val="001B4FFE"/>
    <w:rsid w:val="001B7BE7"/>
    <w:rsid w:val="001C13EC"/>
    <w:rsid w:val="001D204F"/>
    <w:rsid w:val="001E0B40"/>
    <w:rsid w:val="001F2BA3"/>
    <w:rsid w:val="001F73E9"/>
    <w:rsid w:val="00200DA7"/>
    <w:rsid w:val="00201A60"/>
    <w:rsid w:val="00203F76"/>
    <w:rsid w:val="00204D8C"/>
    <w:rsid w:val="0020773C"/>
    <w:rsid w:val="002119FE"/>
    <w:rsid w:val="00213935"/>
    <w:rsid w:val="00215AA9"/>
    <w:rsid w:val="00222ABB"/>
    <w:rsid w:val="0022358B"/>
    <w:rsid w:val="00223602"/>
    <w:rsid w:val="0023165A"/>
    <w:rsid w:val="00244694"/>
    <w:rsid w:val="00247B6A"/>
    <w:rsid w:val="0025070C"/>
    <w:rsid w:val="00251F9C"/>
    <w:rsid w:val="00256527"/>
    <w:rsid w:val="0025739B"/>
    <w:rsid w:val="002618BF"/>
    <w:rsid w:val="0026676C"/>
    <w:rsid w:val="00274CBB"/>
    <w:rsid w:val="00284DA6"/>
    <w:rsid w:val="002903F0"/>
    <w:rsid w:val="00292DF3"/>
    <w:rsid w:val="0029509B"/>
    <w:rsid w:val="00297E00"/>
    <w:rsid w:val="002B0C1A"/>
    <w:rsid w:val="002B48D9"/>
    <w:rsid w:val="002B6553"/>
    <w:rsid w:val="002C01AB"/>
    <w:rsid w:val="002C02F0"/>
    <w:rsid w:val="002C65DB"/>
    <w:rsid w:val="002D252C"/>
    <w:rsid w:val="002E4144"/>
    <w:rsid w:val="002F15D6"/>
    <w:rsid w:val="002F2A28"/>
    <w:rsid w:val="002F4EAC"/>
    <w:rsid w:val="002F7873"/>
    <w:rsid w:val="003028A1"/>
    <w:rsid w:val="00302AAA"/>
    <w:rsid w:val="00303BA8"/>
    <w:rsid w:val="003045E4"/>
    <w:rsid w:val="00307758"/>
    <w:rsid w:val="00311B81"/>
    <w:rsid w:val="0031227B"/>
    <w:rsid w:val="00312AE0"/>
    <w:rsid w:val="00322CC7"/>
    <w:rsid w:val="00323A6E"/>
    <w:rsid w:val="0032739E"/>
    <w:rsid w:val="003317B7"/>
    <w:rsid w:val="00332D4B"/>
    <w:rsid w:val="00333A94"/>
    <w:rsid w:val="00334F9D"/>
    <w:rsid w:val="00337CB5"/>
    <w:rsid w:val="00342C78"/>
    <w:rsid w:val="00351324"/>
    <w:rsid w:val="0035446F"/>
    <w:rsid w:val="0035562C"/>
    <w:rsid w:val="00363A61"/>
    <w:rsid w:val="0036504F"/>
    <w:rsid w:val="003655C2"/>
    <w:rsid w:val="00374F43"/>
    <w:rsid w:val="00375FE4"/>
    <w:rsid w:val="00381694"/>
    <w:rsid w:val="00381D74"/>
    <w:rsid w:val="0038264A"/>
    <w:rsid w:val="003844F8"/>
    <w:rsid w:val="00384A23"/>
    <w:rsid w:val="00385250"/>
    <w:rsid w:val="00385623"/>
    <w:rsid w:val="00385B3D"/>
    <w:rsid w:val="00394924"/>
    <w:rsid w:val="003962B0"/>
    <w:rsid w:val="003962F6"/>
    <w:rsid w:val="003A0113"/>
    <w:rsid w:val="003A0FB5"/>
    <w:rsid w:val="003B6B36"/>
    <w:rsid w:val="003B7F17"/>
    <w:rsid w:val="003C34DF"/>
    <w:rsid w:val="003C6CE2"/>
    <w:rsid w:val="003D3F19"/>
    <w:rsid w:val="003D70E2"/>
    <w:rsid w:val="003E1887"/>
    <w:rsid w:val="003E5D47"/>
    <w:rsid w:val="003E62C7"/>
    <w:rsid w:val="003F35CB"/>
    <w:rsid w:val="003F3B04"/>
    <w:rsid w:val="003F3EE6"/>
    <w:rsid w:val="0040054B"/>
    <w:rsid w:val="004021A6"/>
    <w:rsid w:val="00405FC2"/>
    <w:rsid w:val="00410C32"/>
    <w:rsid w:val="00411302"/>
    <w:rsid w:val="0041449D"/>
    <w:rsid w:val="00414A05"/>
    <w:rsid w:val="00420F09"/>
    <w:rsid w:val="004218C6"/>
    <w:rsid w:val="00424F59"/>
    <w:rsid w:val="0042782F"/>
    <w:rsid w:val="004344BE"/>
    <w:rsid w:val="004369F4"/>
    <w:rsid w:val="00440F28"/>
    <w:rsid w:val="00446AFC"/>
    <w:rsid w:val="00450DBC"/>
    <w:rsid w:val="0045607A"/>
    <w:rsid w:val="0046034D"/>
    <w:rsid w:val="00461F3D"/>
    <w:rsid w:val="00465420"/>
    <w:rsid w:val="00465841"/>
    <w:rsid w:val="00473181"/>
    <w:rsid w:val="0047374A"/>
    <w:rsid w:val="0047619A"/>
    <w:rsid w:val="0048351B"/>
    <w:rsid w:val="00484C66"/>
    <w:rsid w:val="00487496"/>
    <w:rsid w:val="004902FB"/>
    <w:rsid w:val="004A66B4"/>
    <w:rsid w:val="004B0527"/>
    <w:rsid w:val="004B0D01"/>
    <w:rsid w:val="004B1F20"/>
    <w:rsid w:val="004C1DE7"/>
    <w:rsid w:val="004C26B9"/>
    <w:rsid w:val="004D1003"/>
    <w:rsid w:val="004D3400"/>
    <w:rsid w:val="004D6FAE"/>
    <w:rsid w:val="00501798"/>
    <w:rsid w:val="0050336D"/>
    <w:rsid w:val="00503FAE"/>
    <w:rsid w:val="005105AC"/>
    <w:rsid w:val="00521EA6"/>
    <w:rsid w:val="005242C5"/>
    <w:rsid w:val="00526541"/>
    <w:rsid w:val="005270E6"/>
    <w:rsid w:val="0053356F"/>
    <w:rsid w:val="005425A6"/>
    <w:rsid w:val="00544531"/>
    <w:rsid w:val="005458E3"/>
    <w:rsid w:val="00566C4D"/>
    <w:rsid w:val="00570E3D"/>
    <w:rsid w:val="005767DA"/>
    <w:rsid w:val="0058474D"/>
    <w:rsid w:val="00585EE9"/>
    <w:rsid w:val="005878E8"/>
    <w:rsid w:val="00591AE2"/>
    <w:rsid w:val="00594198"/>
    <w:rsid w:val="00597B07"/>
    <w:rsid w:val="005A08C9"/>
    <w:rsid w:val="005A6549"/>
    <w:rsid w:val="005B7C97"/>
    <w:rsid w:val="005C5C9C"/>
    <w:rsid w:val="005D205A"/>
    <w:rsid w:val="005D316F"/>
    <w:rsid w:val="005D6A36"/>
    <w:rsid w:val="005E4573"/>
    <w:rsid w:val="005E53BC"/>
    <w:rsid w:val="005F06F0"/>
    <w:rsid w:val="005F2A78"/>
    <w:rsid w:val="005F5543"/>
    <w:rsid w:val="00601209"/>
    <w:rsid w:val="0060246F"/>
    <w:rsid w:val="00606089"/>
    <w:rsid w:val="00613923"/>
    <w:rsid w:val="00613B80"/>
    <w:rsid w:val="00620ABC"/>
    <w:rsid w:val="00622843"/>
    <w:rsid w:val="00622AEE"/>
    <w:rsid w:val="00624D16"/>
    <w:rsid w:val="0063023C"/>
    <w:rsid w:val="00630AD4"/>
    <w:rsid w:val="00643BF3"/>
    <w:rsid w:val="00645A53"/>
    <w:rsid w:val="006520AB"/>
    <w:rsid w:val="00654158"/>
    <w:rsid w:val="006629B3"/>
    <w:rsid w:val="00663DC7"/>
    <w:rsid w:val="00666391"/>
    <w:rsid w:val="00667E24"/>
    <w:rsid w:val="00680AA0"/>
    <w:rsid w:val="00685074"/>
    <w:rsid w:val="00693A54"/>
    <w:rsid w:val="006940A8"/>
    <w:rsid w:val="00694633"/>
    <w:rsid w:val="006A2654"/>
    <w:rsid w:val="006A5313"/>
    <w:rsid w:val="006A7CFB"/>
    <w:rsid w:val="006B11D6"/>
    <w:rsid w:val="006B7DF4"/>
    <w:rsid w:val="006C41A2"/>
    <w:rsid w:val="006C4CB2"/>
    <w:rsid w:val="006C56C8"/>
    <w:rsid w:val="006D0D57"/>
    <w:rsid w:val="006D2787"/>
    <w:rsid w:val="006E0F53"/>
    <w:rsid w:val="006E4CA1"/>
    <w:rsid w:val="006E6514"/>
    <w:rsid w:val="006E718A"/>
    <w:rsid w:val="006E7C55"/>
    <w:rsid w:val="006F24E2"/>
    <w:rsid w:val="0070136C"/>
    <w:rsid w:val="00702E17"/>
    <w:rsid w:val="00705CA5"/>
    <w:rsid w:val="00710561"/>
    <w:rsid w:val="00713165"/>
    <w:rsid w:val="0071604D"/>
    <w:rsid w:val="00717018"/>
    <w:rsid w:val="00717391"/>
    <w:rsid w:val="00723814"/>
    <w:rsid w:val="00730927"/>
    <w:rsid w:val="007326F3"/>
    <w:rsid w:val="00740136"/>
    <w:rsid w:val="00752701"/>
    <w:rsid w:val="0075523B"/>
    <w:rsid w:val="007605BE"/>
    <w:rsid w:val="00764503"/>
    <w:rsid w:val="00770909"/>
    <w:rsid w:val="00772183"/>
    <w:rsid w:val="007811FE"/>
    <w:rsid w:val="00783571"/>
    <w:rsid w:val="0078403C"/>
    <w:rsid w:val="007855DD"/>
    <w:rsid w:val="007872A9"/>
    <w:rsid w:val="00787978"/>
    <w:rsid w:val="00787E5C"/>
    <w:rsid w:val="0079118D"/>
    <w:rsid w:val="007916B7"/>
    <w:rsid w:val="00792095"/>
    <w:rsid w:val="007922F9"/>
    <w:rsid w:val="00793043"/>
    <w:rsid w:val="00796396"/>
    <w:rsid w:val="007A1886"/>
    <w:rsid w:val="007A5CA5"/>
    <w:rsid w:val="007B0722"/>
    <w:rsid w:val="007B2B10"/>
    <w:rsid w:val="007B38C2"/>
    <w:rsid w:val="007B6169"/>
    <w:rsid w:val="007C216D"/>
    <w:rsid w:val="007C24AB"/>
    <w:rsid w:val="007C3937"/>
    <w:rsid w:val="007C6644"/>
    <w:rsid w:val="007C70F8"/>
    <w:rsid w:val="007D17F8"/>
    <w:rsid w:val="007D23AE"/>
    <w:rsid w:val="007D5770"/>
    <w:rsid w:val="007E163D"/>
    <w:rsid w:val="007E78AA"/>
    <w:rsid w:val="007F1550"/>
    <w:rsid w:val="007F5BFF"/>
    <w:rsid w:val="008134DE"/>
    <w:rsid w:val="00820DAF"/>
    <w:rsid w:val="008231E2"/>
    <w:rsid w:val="008253B7"/>
    <w:rsid w:val="008315D7"/>
    <w:rsid w:val="00832D3F"/>
    <w:rsid w:val="00840805"/>
    <w:rsid w:val="0084140D"/>
    <w:rsid w:val="00846CB2"/>
    <w:rsid w:val="00853D94"/>
    <w:rsid w:val="0085433C"/>
    <w:rsid w:val="0085517E"/>
    <w:rsid w:val="0085741A"/>
    <w:rsid w:val="00862B71"/>
    <w:rsid w:val="00864789"/>
    <w:rsid w:val="00867951"/>
    <w:rsid w:val="00873B54"/>
    <w:rsid w:val="008771B1"/>
    <w:rsid w:val="00881666"/>
    <w:rsid w:val="00884C1F"/>
    <w:rsid w:val="00886166"/>
    <w:rsid w:val="008936AE"/>
    <w:rsid w:val="00893C20"/>
    <w:rsid w:val="0089533E"/>
    <w:rsid w:val="008A0E02"/>
    <w:rsid w:val="008A35A3"/>
    <w:rsid w:val="008B5150"/>
    <w:rsid w:val="008B55B8"/>
    <w:rsid w:val="008B6079"/>
    <w:rsid w:val="008C42E8"/>
    <w:rsid w:val="008D2F11"/>
    <w:rsid w:val="008E6270"/>
    <w:rsid w:val="008E7385"/>
    <w:rsid w:val="008E7C43"/>
    <w:rsid w:val="008F1860"/>
    <w:rsid w:val="008F2DE5"/>
    <w:rsid w:val="008F6AD8"/>
    <w:rsid w:val="009001C8"/>
    <w:rsid w:val="00900C57"/>
    <w:rsid w:val="00911ABD"/>
    <w:rsid w:val="00916825"/>
    <w:rsid w:val="00923DF9"/>
    <w:rsid w:val="00925D4D"/>
    <w:rsid w:val="00927804"/>
    <w:rsid w:val="00932498"/>
    <w:rsid w:val="0093286C"/>
    <w:rsid w:val="00934130"/>
    <w:rsid w:val="00934385"/>
    <w:rsid w:val="00935655"/>
    <w:rsid w:val="00945376"/>
    <w:rsid w:val="00946D79"/>
    <w:rsid w:val="009538EB"/>
    <w:rsid w:val="00954C5B"/>
    <w:rsid w:val="00954CC1"/>
    <w:rsid w:val="00956651"/>
    <w:rsid w:val="009649F5"/>
    <w:rsid w:val="00965143"/>
    <w:rsid w:val="00970186"/>
    <w:rsid w:val="00971E13"/>
    <w:rsid w:val="00972AB1"/>
    <w:rsid w:val="00972E25"/>
    <w:rsid w:val="00980C6B"/>
    <w:rsid w:val="00983212"/>
    <w:rsid w:val="009840F8"/>
    <w:rsid w:val="009900A2"/>
    <w:rsid w:val="00991217"/>
    <w:rsid w:val="00994A9F"/>
    <w:rsid w:val="00996760"/>
    <w:rsid w:val="009A00FE"/>
    <w:rsid w:val="009A2E58"/>
    <w:rsid w:val="009B07E0"/>
    <w:rsid w:val="009B0E19"/>
    <w:rsid w:val="009B586D"/>
    <w:rsid w:val="009C00D6"/>
    <w:rsid w:val="009C756F"/>
    <w:rsid w:val="009D187D"/>
    <w:rsid w:val="009D5489"/>
    <w:rsid w:val="009E1086"/>
    <w:rsid w:val="009E6FFA"/>
    <w:rsid w:val="009F25DA"/>
    <w:rsid w:val="009F4E05"/>
    <w:rsid w:val="00A00C6D"/>
    <w:rsid w:val="00A018D9"/>
    <w:rsid w:val="00A07F33"/>
    <w:rsid w:val="00A12DDC"/>
    <w:rsid w:val="00A15029"/>
    <w:rsid w:val="00A30694"/>
    <w:rsid w:val="00A341DC"/>
    <w:rsid w:val="00A34FD4"/>
    <w:rsid w:val="00A350E6"/>
    <w:rsid w:val="00A355A1"/>
    <w:rsid w:val="00A4291B"/>
    <w:rsid w:val="00A57BBC"/>
    <w:rsid w:val="00A601F0"/>
    <w:rsid w:val="00A64982"/>
    <w:rsid w:val="00A81BFA"/>
    <w:rsid w:val="00A84BDE"/>
    <w:rsid w:val="00A85FBA"/>
    <w:rsid w:val="00A93A6E"/>
    <w:rsid w:val="00A94285"/>
    <w:rsid w:val="00A947DF"/>
    <w:rsid w:val="00AA17B4"/>
    <w:rsid w:val="00AA1A42"/>
    <w:rsid w:val="00AA71C4"/>
    <w:rsid w:val="00AB395C"/>
    <w:rsid w:val="00AB3E19"/>
    <w:rsid w:val="00AB6E89"/>
    <w:rsid w:val="00AC017F"/>
    <w:rsid w:val="00AC6E2E"/>
    <w:rsid w:val="00AE0369"/>
    <w:rsid w:val="00AE0A5E"/>
    <w:rsid w:val="00AE24FF"/>
    <w:rsid w:val="00AE44B2"/>
    <w:rsid w:val="00AE617A"/>
    <w:rsid w:val="00AF1307"/>
    <w:rsid w:val="00AF20D0"/>
    <w:rsid w:val="00AF2E6D"/>
    <w:rsid w:val="00AF45B3"/>
    <w:rsid w:val="00AF4C7B"/>
    <w:rsid w:val="00B00767"/>
    <w:rsid w:val="00B01B42"/>
    <w:rsid w:val="00B03490"/>
    <w:rsid w:val="00B15D99"/>
    <w:rsid w:val="00B20AE2"/>
    <w:rsid w:val="00B211FB"/>
    <w:rsid w:val="00B27A6A"/>
    <w:rsid w:val="00B310CC"/>
    <w:rsid w:val="00B31F1B"/>
    <w:rsid w:val="00B322EB"/>
    <w:rsid w:val="00B33F01"/>
    <w:rsid w:val="00B41D4F"/>
    <w:rsid w:val="00B4626A"/>
    <w:rsid w:val="00B468F5"/>
    <w:rsid w:val="00B51127"/>
    <w:rsid w:val="00B544EB"/>
    <w:rsid w:val="00B54585"/>
    <w:rsid w:val="00B55168"/>
    <w:rsid w:val="00B561E6"/>
    <w:rsid w:val="00B619BB"/>
    <w:rsid w:val="00B63600"/>
    <w:rsid w:val="00B66E85"/>
    <w:rsid w:val="00B70955"/>
    <w:rsid w:val="00B72BBC"/>
    <w:rsid w:val="00B73B77"/>
    <w:rsid w:val="00B7604B"/>
    <w:rsid w:val="00B76F87"/>
    <w:rsid w:val="00B81674"/>
    <w:rsid w:val="00B85F52"/>
    <w:rsid w:val="00B940BC"/>
    <w:rsid w:val="00B96F32"/>
    <w:rsid w:val="00BA66CC"/>
    <w:rsid w:val="00BA7FA9"/>
    <w:rsid w:val="00BC1226"/>
    <w:rsid w:val="00BC3AF0"/>
    <w:rsid w:val="00BC46E1"/>
    <w:rsid w:val="00BD1E61"/>
    <w:rsid w:val="00BF366D"/>
    <w:rsid w:val="00BF4739"/>
    <w:rsid w:val="00C0172B"/>
    <w:rsid w:val="00C0529B"/>
    <w:rsid w:val="00C05EEA"/>
    <w:rsid w:val="00C0667C"/>
    <w:rsid w:val="00C1367B"/>
    <w:rsid w:val="00C223DA"/>
    <w:rsid w:val="00C30873"/>
    <w:rsid w:val="00C34485"/>
    <w:rsid w:val="00C37A21"/>
    <w:rsid w:val="00C37AC1"/>
    <w:rsid w:val="00C43AB2"/>
    <w:rsid w:val="00C50E91"/>
    <w:rsid w:val="00C6023D"/>
    <w:rsid w:val="00C626DB"/>
    <w:rsid w:val="00C63A86"/>
    <w:rsid w:val="00C71B1D"/>
    <w:rsid w:val="00C72977"/>
    <w:rsid w:val="00C76AB6"/>
    <w:rsid w:val="00C85CDA"/>
    <w:rsid w:val="00C879E7"/>
    <w:rsid w:val="00C90F41"/>
    <w:rsid w:val="00C92ADD"/>
    <w:rsid w:val="00C96BD0"/>
    <w:rsid w:val="00CA3468"/>
    <w:rsid w:val="00CA47C1"/>
    <w:rsid w:val="00CA64E6"/>
    <w:rsid w:val="00CB19BE"/>
    <w:rsid w:val="00CB3F24"/>
    <w:rsid w:val="00CC2C92"/>
    <w:rsid w:val="00CE1163"/>
    <w:rsid w:val="00CE3571"/>
    <w:rsid w:val="00CF1AB1"/>
    <w:rsid w:val="00D021FB"/>
    <w:rsid w:val="00D067DD"/>
    <w:rsid w:val="00D26AC0"/>
    <w:rsid w:val="00D33090"/>
    <w:rsid w:val="00D34927"/>
    <w:rsid w:val="00D35BE1"/>
    <w:rsid w:val="00D35CCA"/>
    <w:rsid w:val="00D372C4"/>
    <w:rsid w:val="00D41AF6"/>
    <w:rsid w:val="00D44E17"/>
    <w:rsid w:val="00D46C99"/>
    <w:rsid w:val="00D50F76"/>
    <w:rsid w:val="00D5381E"/>
    <w:rsid w:val="00D571BD"/>
    <w:rsid w:val="00D7217F"/>
    <w:rsid w:val="00D77BBE"/>
    <w:rsid w:val="00D815C4"/>
    <w:rsid w:val="00D87DA2"/>
    <w:rsid w:val="00D950D2"/>
    <w:rsid w:val="00D96084"/>
    <w:rsid w:val="00D962C2"/>
    <w:rsid w:val="00D97188"/>
    <w:rsid w:val="00D976FC"/>
    <w:rsid w:val="00DA4B6A"/>
    <w:rsid w:val="00DB2A2F"/>
    <w:rsid w:val="00DC293C"/>
    <w:rsid w:val="00DC2EA0"/>
    <w:rsid w:val="00DC61EA"/>
    <w:rsid w:val="00DE233D"/>
    <w:rsid w:val="00DE3CDB"/>
    <w:rsid w:val="00DF0E65"/>
    <w:rsid w:val="00DF126A"/>
    <w:rsid w:val="00DF43AC"/>
    <w:rsid w:val="00DF7785"/>
    <w:rsid w:val="00E05A73"/>
    <w:rsid w:val="00E067BD"/>
    <w:rsid w:val="00E07E37"/>
    <w:rsid w:val="00E17D65"/>
    <w:rsid w:val="00E2583E"/>
    <w:rsid w:val="00E34FAC"/>
    <w:rsid w:val="00E36CE4"/>
    <w:rsid w:val="00E37C5D"/>
    <w:rsid w:val="00E42395"/>
    <w:rsid w:val="00E54694"/>
    <w:rsid w:val="00E54E28"/>
    <w:rsid w:val="00E55074"/>
    <w:rsid w:val="00E56FA1"/>
    <w:rsid w:val="00E71049"/>
    <w:rsid w:val="00E754EB"/>
    <w:rsid w:val="00E76685"/>
    <w:rsid w:val="00E77F00"/>
    <w:rsid w:val="00E822E0"/>
    <w:rsid w:val="00E90247"/>
    <w:rsid w:val="00E9032F"/>
    <w:rsid w:val="00EA3CAC"/>
    <w:rsid w:val="00EA63B5"/>
    <w:rsid w:val="00EA684F"/>
    <w:rsid w:val="00EA7773"/>
    <w:rsid w:val="00EB0E10"/>
    <w:rsid w:val="00EB14D6"/>
    <w:rsid w:val="00EB46BA"/>
    <w:rsid w:val="00EB6864"/>
    <w:rsid w:val="00EC610A"/>
    <w:rsid w:val="00ED00F7"/>
    <w:rsid w:val="00ED3A3F"/>
    <w:rsid w:val="00ED5C56"/>
    <w:rsid w:val="00ED74BD"/>
    <w:rsid w:val="00EE0A92"/>
    <w:rsid w:val="00EE3327"/>
    <w:rsid w:val="00EF0E1A"/>
    <w:rsid w:val="00EF26FE"/>
    <w:rsid w:val="00EF297A"/>
    <w:rsid w:val="00EF357F"/>
    <w:rsid w:val="00EF6CAC"/>
    <w:rsid w:val="00F005E2"/>
    <w:rsid w:val="00F02D26"/>
    <w:rsid w:val="00F03107"/>
    <w:rsid w:val="00F049D3"/>
    <w:rsid w:val="00F061E1"/>
    <w:rsid w:val="00F14211"/>
    <w:rsid w:val="00F14EDE"/>
    <w:rsid w:val="00F25CC6"/>
    <w:rsid w:val="00F34468"/>
    <w:rsid w:val="00F35C49"/>
    <w:rsid w:val="00F47F06"/>
    <w:rsid w:val="00F505F5"/>
    <w:rsid w:val="00F5480D"/>
    <w:rsid w:val="00F553F0"/>
    <w:rsid w:val="00F5692C"/>
    <w:rsid w:val="00F70D71"/>
    <w:rsid w:val="00F7535E"/>
    <w:rsid w:val="00F774C4"/>
    <w:rsid w:val="00F808B8"/>
    <w:rsid w:val="00F84226"/>
    <w:rsid w:val="00FA0B62"/>
    <w:rsid w:val="00FA1981"/>
    <w:rsid w:val="00FA77AA"/>
    <w:rsid w:val="00FB3E87"/>
    <w:rsid w:val="00FC3C56"/>
    <w:rsid w:val="00FC68CF"/>
    <w:rsid w:val="00FC7368"/>
    <w:rsid w:val="00FC7AE1"/>
    <w:rsid w:val="00FD0140"/>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qFormat/>
    <w:rsid w:val="00934130"/>
    <w:rPr>
      <w:rFonts w:ascii="Times New Roman" w:eastAsia="SimSun" w:hAnsi="Times New Roman" w:cs="Times New Roman"/>
      <w:sz w:val="20"/>
      <w:szCs w:val="20"/>
      <w:lang w:eastAsia="zh-CN" w:bidi="ar-SA"/>
    </w:rPr>
  </w:style>
  <w:style w:type="character" w:styleId="FootnoteReference">
    <w:name w:val="footnote reference"/>
    <w:aliases w:val="fr"/>
    <w:uiPriority w:val="99"/>
    <w:qFormat/>
    <w:rsid w:val="00934130"/>
    <w:rPr>
      <w:vertAlign w:val="superscript"/>
    </w:rPr>
  </w:style>
  <w:style w:type="paragraph" w:styleId="ListParagraph">
    <w:name w:val="List Paragraph"/>
    <w:basedOn w:val="Normal"/>
    <w:uiPriority w:val="34"/>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
    <w:name w:val="Mention"/>
    <w:uiPriority w:val="99"/>
    <w:semiHidden/>
    <w:unhideWhenUsed/>
    <w:rsid w:val="0035562C"/>
    <w:rPr>
      <w:color w:val="2B579A"/>
      <w:shd w:val="clear" w:color="auto" w:fill="E6E6E6"/>
    </w:rPr>
  </w:style>
  <w:style w:type="character" w:customStyle="1" w:styleId="UnresolvedMention">
    <w:name w:val="Unresolved Mention"/>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qFormat/>
    <w:rsid w:val="00934130"/>
    <w:rPr>
      <w:rFonts w:ascii="Times New Roman" w:eastAsia="SimSun" w:hAnsi="Times New Roman" w:cs="Times New Roman"/>
      <w:sz w:val="20"/>
      <w:szCs w:val="20"/>
      <w:lang w:eastAsia="zh-CN" w:bidi="ar-SA"/>
    </w:rPr>
  </w:style>
  <w:style w:type="character" w:styleId="FootnoteReference">
    <w:name w:val="footnote reference"/>
    <w:aliases w:val="fr"/>
    <w:uiPriority w:val="99"/>
    <w:qFormat/>
    <w:rsid w:val="00934130"/>
    <w:rPr>
      <w:vertAlign w:val="superscript"/>
    </w:rPr>
  </w:style>
  <w:style w:type="paragraph" w:styleId="ListParagraph">
    <w:name w:val="List Paragraph"/>
    <w:basedOn w:val="Normal"/>
    <w:uiPriority w:val="34"/>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
    <w:name w:val="Mention"/>
    <w:uiPriority w:val="99"/>
    <w:semiHidden/>
    <w:unhideWhenUsed/>
    <w:rsid w:val="0035562C"/>
    <w:rPr>
      <w:color w:val="2B579A"/>
      <w:shd w:val="clear" w:color="auto" w:fill="E6E6E6"/>
    </w:rPr>
  </w:style>
  <w:style w:type="character" w:customStyle="1" w:styleId="UnresolvedMention">
    <w:name w:val="Unresolved Mention"/>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crossmark.crossref.org/dialog/?doi=10.47268/sasi.v26i3.247&amp;domain=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mtaufiknt.wordpress.com/2010/01/13/khalwat-halal-vs-khalwat-hara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doi.org/10.47268/sasi.v27i4.679" TargetMode="External"/><Relationship Id="rId2" Type="http://schemas.openxmlformats.org/officeDocument/2006/relationships/image" Target="media/image1.png"/><Relationship Id="rId1" Type="http://schemas.openxmlformats.org/officeDocument/2006/relationships/image" Target="media/image4.jpeg"/><Relationship Id="rId5" Type="http://schemas.openxmlformats.org/officeDocument/2006/relationships/hyperlink" Target="http://creativecommons.org/licenses/by-nc/4.0/" TargetMode="External"/><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3CE865A7-9642-421B-8531-6B4AAAE3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Template>
  <TotalTime>302</TotalTime>
  <Pages>11</Pages>
  <Words>4982</Words>
  <Characters>28401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33317</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ACER</cp:lastModifiedBy>
  <cp:revision>12</cp:revision>
  <cp:lastPrinted>2022-02-09T13:22:00Z</cp:lastPrinted>
  <dcterms:created xsi:type="dcterms:W3CDTF">2022-07-22T16:58:00Z</dcterms:created>
  <dcterms:modified xsi:type="dcterms:W3CDTF">2022-08-11T09:40:00Z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f6713fc7-c890-3437-ad50-96a8466b5a4a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http://www.zotero.org/styles/chicago-fullnote-bibliography</vt:lpwstr>
  </property>
</Properties>
</file>