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FCF3"/>
  <w:body>
    <w:p w:rsidR="007B4987" w:rsidRDefault="007B4987">
      <w:pPr>
        <w:widowControl w:val="0"/>
        <w:pBdr>
          <w:top w:val="nil"/>
          <w:left w:val="nil"/>
          <w:bottom w:val="nil"/>
          <w:right w:val="nil"/>
          <w:between w:val="nil"/>
        </w:pBdr>
        <w:spacing w:after="0"/>
      </w:pPr>
    </w:p>
    <w:p w:rsidR="007B4987" w:rsidRPr="003C7C13" w:rsidRDefault="007B4987" w:rsidP="003C7C13">
      <w:pPr>
        <w:pStyle w:val="Heading3"/>
        <w:spacing w:before="0" w:after="0" w:line="240" w:lineRule="auto"/>
        <w:rPr>
          <w:rFonts w:ascii="Book Antiqua" w:eastAsia="Calibri" w:hAnsi="Book Antiqua"/>
          <w:b/>
          <w:sz w:val="32"/>
          <w:szCs w:val="32"/>
        </w:rPr>
      </w:pPr>
      <w:bookmarkStart w:id="0" w:name="_heading=h.gjdgxs" w:colFirst="0" w:colLast="0"/>
      <w:bookmarkEnd w:id="0"/>
    </w:p>
    <w:p w:rsidR="003C7C13" w:rsidRPr="003C7C13" w:rsidRDefault="003C7C13" w:rsidP="003C7C13">
      <w:pPr>
        <w:widowControl w:val="0"/>
        <w:spacing w:after="240" w:line="240" w:lineRule="auto"/>
        <w:rPr>
          <w:rFonts w:ascii="Book Antiqua" w:eastAsia="Times New Roman" w:hAnsi="Book Antiqua" w:cs="Times New Roman"/>
          <w:sz w:val="32"/>
          <w:szCs w:val="32"/>
        </w:rPr>
      </w:pPr>
      <w:r w:rsidRPr="003C7C13">
        <w:rPr>
          <w:rFonts w:ascii="Book Antiqua" w:eastAsia="Times New Roman" w:hAnsi="Book Antiqua" w:cs="Times New Roman"/>
          <w:b/>
          <w:bCs/>
          <w:sz w:val="32"/>
          <w:szCs w:val="32"/>
        </w:rPr>
        <w:t xml:space="preserve">RECOGNITION OF CUSTOMARY LAND RIGHTS BASED OF </w:t>
      </w:r>
      <w:r w:rsidRPr="003C7C13">
        <w:rPr>
          <w:rFonts w:ascii="Book Antiqua" w:eastAsia="Times New Roman" w:hAnsi="Book Antiqua" w:cs="Times New Roman"/>
          <w:b/>
          <w:bCs/>
          <w:i/>
          <w:iCs/>
          <w:sz w:val="32"/>
          <w:szCs w:val="32"/>
        </w:rPr>
        <w:t xml:space="preserve">KRIK SLAMAT </w:t>
      </w:r>
      <w:r w:rsidRPr="003C7C13">
        <w:rPr>
          <w:rFonts w:ascii="Book Antiqua" w:eastAsia="Times New Roman" w:hAnsi="Book Antiqua" w:cs="Times New Roman"/>
          <w:b/>
          <w:bCs/>
          <w:sz w:val="32"/>
          <w:szCs w:val="32"/>
        </w:rPr>
        <w:t xml:space="preserve"> IN SUMBAWA</w:t>
      </w:r>
    </w:p>
    <w:p w:rsidR="007B4987" w:rsidRDefault="007B4987">
      <w:pPr>
        <w:pBdr>
          <w:top w:val="nil"/>
          <w:left w:val="nil"/>
          <w:bottom w:val="nil"/>
          <w:right w:val="nil"/>
          <w:between w:val="nil"/>
        </w:pBdr>
        <w:spacing w:after="0" w:line="240" w:lineRule="auto"/>
        <w:rPr>
          <w:rFonts w:ascii="Book Antiqua" w:eastAsia="Book Antiqua" w:hAnsi="Book Antiqua" w:cs="Book Antiqua"/>
          <w:b/>
          <w:color w:val="000000"/>
          <w:sz w:val="28"/>
        </w:rPr>
      </w:pPr>
    </w:p>
    <w:p w:rsidR="007B4987" w:rsidRPr="003C7C13" w:rsidRDefault="003C7C13">
      <w:pPr>
        <w:spacing w:after="0" w:line="240" w:lineRule="auto"/>
        <w:rPr>
          <w:rFonts w:ascii="Times New Roman" w:hAnsi="Times New Roman" w:cs="Times New Roman"/>
          <w:noProof/>
          <w:color w:val="000000" w:themeColor="text1"/>
        </w:rPr>
      </w:pPr>
      <w:r w:rsidRPr="003C7C13">
        <w:rPr>
          <w:rFonts w:ascii="Book Antiqua" w:eastAsia="Book Antiqua" w:hAnsi="Book Antiqua" w:cs="Book Antiqua"/>
          <w:sz w:val="24"/>
          <w:szCs w:val="24"/>
        </w:rPr>
        <w:t>Dianto</w:t>
      </w:r>
      <w:r w:rsidR="00451A51" w:rsidRPr="003C7C13">
        <w:rPr>
          <w:rFonts w:ascii="Book Antiqua" w:eastAsia="Book Antiqua" w:hAnsi="Book Antiqua" w:cs="Book Antiqua"/>
          <w:sz w:val="24"/>
          <w:szCs w:val="24"/>
          <w:vertAlign w:val="superscript"/>
        </w:rPr>
        <w:t xml:space="preserve"> </w:t>
      </w:r>
      <w:r w:rsidR="00451A51" w:rsidRPr="003C7C13">
        <w:rPr>
          <w:rFonts w:ascii="Book Antiqua" w:eastAsia="Book Antiqua" w:hAnsi="Book Antiqua" w:cs="Book Antiqua"/>
          <w:sz w:val="24"/>
          <w:szCs w:val="24"/>
          <w:vertAlign w:val="superscript"/>
        </w:rPr>
        <w:t>1</w:t>
      </w:r>
      <w:r w:rsidR="00451A51" w:rsidRPr="003C7C13">
        <w:rPr>
          <w:rFonts w:ascii="Book Antiqua" w:eastAsia="Book Antiqua" w:hAnsi="Book Antiqua" w:cs="Book Antiqua"/>
          <w:sz w:val="24"/>
          <w:szCs w:val="24"/>
          <w:vertAlign w:val="superscript"/>
        </w:rPr>
        <w:t>*</w:t>
      </w:r>
      <w:r w:rsidR="00451A51" w:rsidRPr="003C7C13">
        <w:rPr>
          <w:rFonts w:ascii="Book Antiqua" w:eastAsia="Book Antiqua" w:hAnsi="Book Antiqua" w:cs="Book Antiqua"/>
          <w:sz w:val="24"/>
          <w:szCs w:val="24"/>
        </w:rPr>
        <w:t>,</w:t>
      </w:r>
      <w:r w:rsidRPr="003C7C13">
        <w:rPr>
          <w:rFonts w:ascii="Book Antiqua" w:eastAsia="Book Antiqua" w:hAnsi="Book Antiqua" w:cs="Book Antiqua"/>
          <w:sz w:val="24"/>
          <w:szCs w:val="24"/>
        </w:rPr>
        <w:t xml:space="preserve"> Absori</w:t>
      </w:r>
      <w:r w:rsidR="00451A51" w:rsidRPr="003C7C13">
        <w:rPr>
          <w:rFonts w:ascii="Book Antiqua" w:eastAsia="Book Antiqua" w:hAnsi="Book Antiqua" w:cs="Book Antiqua"/>
          <w:sz w:val="24"/>
          <w:szCs w:val="24"/>
          <w:vertAlign w:val="superscript"/>
        </w:rPr>
        <w:t>2</w:t>
      </w:r>
      <w:r w:rsidRPr="003C7C13">
        <w:rPr>
          <w:rFonts w:ascii="Book Antiqua" w:eastAsia="Book Antiqua" w:hAnsi="Book Antiqua" w:cs="Book Antiqua"/>
          <w:sz w:val="24"/>
          <w:szCs w:val="24"/>
          <w:vertAlign w:val="superscript"/>
        </w:rPr>
        <w:t xml:space="preserve">   </w:t>
      </w:r>
      <w:r w:rsidRPr="003C7C13">
        <w:rPr>
          <w:rFonts w:ascii="Times New Roman" w:hAnsi="Times New Roman" w:cs="Times New Roman"/>
          <w:noProof/>
          <w:color w:val="000000" w:themeColor="text1"/>
        </w:rPr>
        <w:t>Khudzaifah Dimyati</w:t>
      </w:r>
      <w:r w:rsidRPr="003C7C13">
        <w:rPr>
          <w:rFonts w:ascii="Book Antiqua" w:eastAsia="Book Antiqua" w:hAnsi="Book Antiqua" w:cs="Book Antiqua"/>
          <w:sz w:val="24"/>
          <w:szCs w:val="24"/>
          <w:vertAlign w:val="superscript"/>
        </w:rPr>
        <w:t xml:space="preserve">3 , </w:t>
      </w:r>
      <w:r w:rsidRPr="003C7C13">
        <w:rPr>
          <w:rFonts w:ascii="Times New Roman" w:hAnsi="Times New Roman" w:cs="Times New Roman"/>
          <w:noProof/>
          <w:color w:val="000000" w:themeColor="text1"/>
        </w:rPr>
        <w:t>Kelik Wardiono</w:t>
      </w:r>
      <w:r w:rsidRPr="003C7C13">
        <w:rPr>
          <w:rFonts w:ascii="Book Antiqua" w:eastAsia="Book Antiqua" w:hAnsi="Book Antiqua" w:cs="Book Antiqua"/>
          <w:sz w:val="24"/>
          <w:szCs w:val="24"/>
          <w:vertAlign w:val="superscript"/>
        </w:rPr>
        <w:t>4</w:t>
      </w:r>
    </w:p>
    <w:p w:rsidR="007B4987" w:rsidRDefault="007B4987">
      <w:pPr>
        <w:spacing w:after="0" w:line="240" w:lineRule="auto"/>
        <w:rPr>
          <w:rFonts w:ascii="Book Antiqua" w:eastAsia="Book Antiqua" w:hAnsi="Book Antiqua" w:cs="Book Antiqua"/>
          <w:b/>
        </w:rPr>
      </w:pPr>
    </w:p>
    <w:p w:rsidR="00917CF6" w:rsidRDefault="00451A51">
      <w:pPr>
        <w:spacing w:after="0" w:line="240" w:lineRule="auto"/>
        <w:rPr>
          <w:rFonts w:ascii="Book Antiqua" w:eastAsia="Book Antiqua" w:hAnsi="Book Antiqua" w:cs="Book Antiqua"/>
          <w:szCs w:val="22"/>
        </w:rPr>
      </w:pPr>
      <w:r>
        <w:rPr>
          <w:rFonts w:ascii="Book Antiqua" w:eastAsia="Book Antiqua" w:hAnsi="Book Antiqua" w:cs="Book Antiqua"/>
          <w:vertAlign w:val="superscript"/>
        </w:rPr>
        <w:t>1,</w:t>
      </w:r>
      <w:r w:rsidR="00917CF6">
        <w:rPr>
          <w:rFonts w:ascii="Book Antiqua" w:eastAsia="Book Antiqua" w:hAnsi="Book Antiqua" w:cs="Book Antiqua"/>
          <w:vertAlign w:val="superscript"/>
        </w:rPr>
        <w:t xml:space="preserve">  </w:t>
      </w:r>
      <w:r w:rsidR="00917CF6">
        <w:rPr>
          <w:rFonts w:ascii="Book Antiqua" w:eastAsia="Book Antiqua" w:hAnsi="Book Antiqua" w:cs="Book Antiqua"/>
          <w:szCs w:val="22"/>
        </w:rPr>
        <w:t xml:space="preserve">Student of Program Doctoral </w:t>
      </w:r>
      <w:r w:rsidR="00917CF6" w:rsidRPr="00917CF6">
        <w:rPr>
          <w:rFonts w:ascii="Book Antiqua" w:eastAsia="Book Antiqua" w:hAnsi="Book Antiqua" w:cs="Book Antiqua"/>
          <w:szCs w:val="22"/>
        </w:rPr>
        <w:t xml:space="preserve">of Law Muhammadiyah  Surakarta </w:t>
      </w:r>
      <w:r w:rsidR="00917CF6">
        <w:rPr>
          <w:rFonts w:ascii="Book Antiqua" w:eastAsia="Book Antiqua" w:hAnsi="Book Antiqua" w:cs="Book Antiqua"/>
          <w:szCs w:val="22"/>
        </w:rPr>
        <w:t>University, Indonesia</w:t>
      </w:r>
    </w:p>
    <w:p w:rsidR="007B4987" w:rsidRPr="00917CF6" w:rsidRDefault="003C7C13">
      <w:pPr>
        <w:spacing w:after="0" w:line="240" w:lineRule="auto"/>
        <w:rPr>
          <w:rFonts w:ascii="Book Antiqua" w:eastAsia="Book Antiqua" w:hAnsi="Book Antiqua" w:cs="Book Antiqua"/>
          <w:vertAlign w:val="superscript"/>
        </w:rPr>
      </w:pPr>
      <w:r>
        <w:rPr>
          <w:rFonts w:ascii="Book Antiqua" w:eastAsia="Book Antiqua" w:hAnsi="Book Antiqua" w:cs="Book Antiqua"/>
          <w:vertAlign w:val="superscript"/>
        </w:rPr>
        <w:t xml:space="preserve">2,3,4 </w:t>
      </w:r>
      <w:r>
        <w:rPr>
          <w:rFonts w:ascii="Book Antiqua" w:eastAsia="Book Antiqua" w:hAnsi="Book Antiqua" w:cs="Book Antiqua"/>
        </w:rPr>
        <w:t xml:space="preserve">Faculty of Law Muhammadiyah  Surakarta University,  </w:t>
      </w:r>
      <w:r w:rsidR="00451A51">
        <w:rPr>
          <w:rFonts w:ascii="Book Antiqua" w:eastAsia="Book Antiqua" w:hAnsi="Book Antiqua" w:cs="Book Antiqua"/>
        </w:rPr>
        <w:t xml:space="preserve"> Indonesia.</w:t>
      </w:r>
      <w:r w:rsidR="00451A51">
        <w:rPr>
          <w:noProof/>
          <w:lang w:val="en-GB" w:bidi="ar-SA"/>
        </w:rPr>
        <w:drawing>
          <wp:anchor distT="0" distB="0" distL="0" distR="0" simplePos="0" relativeHeight="251658240" behindDoc="1" locked="0" layoutInCell="1" hidden="0" allowOverlap="1">
            <wp:simplePos x="0" y="0"/>
            <wp:positionH relativeFrom="column">
              <wp:posOffset>5722620</wp:posOffset>
            </wp:positionH>
            <wp:positionV relativeFrom="paragraph">
              <wp:posOffset>67310</wp:posOffset>
            </wp:positionV>
            <wp:extent cx="426720" cy="44577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426720" cy="445770"/>
                    </a:xfrm>
                    <a:prstGeom prst="rect">
                      <a:avLst/>
                    </a:prstGeom>
                    <a:ln/>
                  </pic:spPr>
                </pic:pic>
              </a:graphicData>
            </a:graphic>
          </wp:anchor>
        </w:drawing>
      </w:r>
    </w:p>
    <w:p w:rsidR="007B4987" w:rsidRDefault="00451A51">
      <w:pPr>
        <w:spacing w:after="0" w:line="240" w:lineRule="auto"/>
        <w:rPr>
          <w:rFonts w:ascii="Book Antiqua" w:eastAsia="Book Antiqua" w:hAnsi="Book Antiqua" w:cs="Book Antiqua"/>
          <w:color w:val="000000"/>
        </w:rPr>
      </w:pPr>
      <w:r>
        <w:rPr>
          <w:rFonts w:ascii="Book Antiqua" w:eastAsia="Book Antiqua" w:hAnsi="Book Antiqua" w:cs="Book Antiqua"/>
          <w:sz w:val="18"/>
          <w:szCs w:val="18"/>
        </w:rPr>
        <w:t xml:space="preserve">        </w:t>
      </w:r>
      <w:r>
        <w:rPr>
          <w:rFonts w:ascii="Book Antiqua" w:eastAsia="Book Antiqua" w:hAnsi="Book Antiqua" w:cs="Book Antiqua"/>
        </w:rPr>
        <w:t>:</w:t>
      </w:r>
      <w:r>
        <w:rPr>
          <w:rFonts w:ascii="Book Antiqua" w:eastAsia="Book Antiqua" w:hAnsi="Book Antiqua" w:cs="Book Antiqua"/>
          <w:vertAlign w:val="superscript"/>
        </w:rPr>
        <w:t xml:space="preserve"> </w:t>
      </w:r>
      <w:hyperlink r:id="rId9" w:history="1">
        <w:r w:rsidR="003C7C13" w:rsidRPr="00917CF6">
          <w:rPr>
            <w:rStyle w:val="Hyperlink"/>
            <w:rFonts w:ascii="Book Antiqua" w:eastAsia="Book Antiqua" w:hAnsi="Book Antiqua" w:cs="Book Antiqua"/>
            <w:color w:val="000000" w:themeColor="text1"/>
            <w:u w:val="none"/>
          </w:rPr>
          <w:t>diantosubiyanto@gmail.com</w:t>
        </w:r>
      </w:hyperlink>
      <w:hyperlink r:id="rId10">
        <w:r w:rsidRPr="00917CF6">
          <w:rPr>
            <w:rFonts w:ascii="Book Antiqua" w:eastAsia="Book Antiqua" w:hAnsi="Book Antiqua" w:cs="Book Antiqua"/>
            <w:color w:val="000000" w:themeColor="text1"/>
            <w:vertAlign w:val="superscript"/>
          </w:rPr>
          <w:t>1</w:t>
        </w:r>
      </w:hyperlink>
      <w:r w:rsidRPr="00917CF6">
        <w:rPr>
          <w:rFonts w:ascii="Book Antiqua" w:eastAsia="Book Antiqua" w:hAnsi="Book Antiqua" w:cs="Book Antiqua"/>
          <w:color w:val="000000" w:themeColor="text1"/>
          <w:vertAlign w:val="superscript"/>
        </w:rPr>
        <w:t>*</w:t>
      </w:r>
      <w:r w:rsidRPr="00917CF6">
        <w:rPr>
          <w:rFonts w:ascii="Book Antiqua" w:eastAsia="Book Antiqua" w:hAnsi="Book Antiqua" w:cs="Book Antiqua"/>
          <w:color w:val="000000" w:themeColor="text1"/>
        </w:rPr>
        <w:t>,</w:t>
      </w:r>
      <w:r w:rsidR="003C7C13" w:rsidRPr="00917CF6">
        <w:rPr>
          <w:rFonts w:ascii="Book Antiqua" w:eastAsia="Book Antiqua" w:hAnsi="Book Antiqua" w:cs="Book Antiqua"/>
          <w:color w:val="000000" w:themeColor="text1"/>
        </w:rPr>
        <w:t xml:space="preserve">   </w:t>
      </w:r>
      <w:hyperlink r:id="rId11" w:history="1">
        <w:r w:rsidR="003C7C13" w:rsidRPr="00917CF6">
          <w:rPr>
            <w:rStyle w:val="Hyperlink"/>
            <w:rFonts w:ascii="Book Antiqua" w:eastAsia="Times New Roman" w:hAnsi="Book Antiqua" w:cs="Times New Roman"/>
            <w:color w:val="000000" w:themeColor="text1"/>
            <w:u w:val="none"/>
          </w:rPr>
          <w:t>abs154@ums.ac.id</w:t>
        </w:r>
      </w:hyperlink>
      <w:hyperlink r:id="rId12">
        <w:r w:rsidRPr="00917CF6">
          <w:rPr>
            <w:rFonts w:ascii="Book Antiqua" w:eastAsia="Book Antiqua" w:hAnsi="Book Antiqua" w:cs="Book Antiqua"/>
            <w:color w:val="000000" w:themeColor="text1"/>
            <w:vertAlign w:val="superscript"/>
          </w:rPr>
          <w:t>2</w:t>
        </w:r>
      </w:hyperlink>
      <w:r w:rsidRPr="00917CF6">
        <w:rPr>
          <w:rFonts w:ascii="Book Antiqua" w:hAnsi="Book Antiqua"/>
          <w:noProof/>
          <w:color w:val="000000" w:themeColor="text1"/>
          <w:lang w:val="en-GB" w:bidi="ar-SA"/>
        </w:rPr>
        <w:drawing>
          <wp:anchor distT="0" distB="0" distL="114300" distR="114300" simplePos="0" relativeHeight="251659264" behindDoc="0" locked="0" layoutInCell="1" hidden="0" allowOverlap="1" wp14:anchorId="48FEFF28" wp14:editId="798F8EA0">
            <wp:simplePos x="0" y="0"/>
            <wp:positionH relativeFrom="column">
              <wp:posOffset>1</wp:posOffset>
            </wp:positionH>
            <wp:positionV relativeFrom="paragraph">
              <wp:posOffset>0</wp:posOffset>
            </wp:positionV>
            <wp:extent cx="208169" cy="144000"/>
            <wp:effectExtent l="0" t="0" r="0" b="0"/>
            <wp:wrapNone/>
            <wp:docPr id="21" name="image3.png" descr="E:\FileKu\Jurnal BALOBE\download.png"/>
            <wp:cNvGraphicFramePr/>
            <a:graphic xmlns:a="http://schemas.openxmlformats.org/drawingml/2006/main">
              <a:graphicData uri="http://schemas.openxmlformats.org/drawingml/2006/picture">
                <pic:pic xmlns:pic="http://schemas.openxmlformats.org/drawingml/2006/picture">
                  <pic:nvPicPr>
                    <pic:cNvPr id="0" name="image3.png" descr="E:\FileKu\Jurnal BALOBE\download.png"/>
                    <pic:cNvPicPr preferRelativeResize="0"/>
                  </pic:nvPicPr>
                  <pic:blipFill>
                    <a:blip r:embed="rId13"/>
                    <a:srcRect/>
                    <a:stretch>
                      <a:fillRect/>
                    </a:stretch>
                  </pic:blipFill>
                  <pic:spPr>
                    <a:xfrm>
                      <a:off x="0" y="0"/>
                      <a:ext cx="208169" cy="144000"/>
                    </a:xfrm>
                    <a:prstGeom prst="rect">
                      <a:avLst/>
                    </a:prstGeom>
                    <a:ln/>
                  </pic:spPr>
                </pic:pic>
              </a:graphicData>
            </a:graphic>
          </wp:anchor>
        </w:drawing>
      </w:r>
      <w:r w:rsidR="00917CF6" w:rsidRPr="00917CF6">
        <w:rPr>
          <w:rFonts w:ascii="Book Antiqua" w:eastAsia="Book Antiqua" w:hAnsi="Book Antiqua" w:cs="Book Antiqua"/>
          <w:color w:val="000000" w:themeColor="text1"/>
          <w:vertAlign w:val="superscript"/>
        </w:rPr>
        <w:t xml:space="preserve">  , </w:t>
      </w:r>
      <w:hyperlink r:id="rId14" w:history="1">
        <w:r w:rsidR="00917CF6" w:rsidRPr="00917CF6">
          <w:rPr>
            <w:rStyle w:val="Hyperlink"/>
            <w:rFonts w:ascii="Book Antiqua" w:hAnsi="Book Antiqua" w:cs="Times New Roman"/>
            <w:color w:val="000000" w:themeColor="text1"/>
            <w:u w:val="none"/>
          </w:rPr>
          <w:t>kd255@ums.ac.id</w:t>
        </w:r>
        <w:r w:rsidR="00917CF6" w:rsidRPr="00917CF6">
          <w:rPr>
            <w:rStyle w:val="Hyperlink"/>
            <w:rFonts w:ascii="Book Antiqua" w:eastAsia="Book Antiqua" w:hAnsi="Book Antiqua" w:cs="Book Antiqua"/>
            <w:color w:val="000000" w:themeColor="text1"/>
            <w:u w:val="none"/>
            <w:vertAlign w:val="superscript"/>
          </w:rPr>
          <w:t>3</w:t>
        </w:r>
      </w:hyperlink>
      <w:r w:rsidR="00917CF6" w:rsidRPr="00917CF6">
        <w:rPr>
          <w:rFonts w:ascii="Book Antiqua" w:eastAsia="Book Antiqua" w:hAnsi="Book Antiqua" w:cs="Book Antiqua"/>
          <w:color w:val="000000" w:themeColor="text1"/>
          <w:vertAlign w:val="superscript"/>
        </w:rPr>
        <w:t xml:space="preserve"> ,</w:t>
      </w:r>
      <w:hyperlink r:id="rId15" w:history="1">
        <w:r w:rsidR="00917CF6" w:rsidRPr="00917CF6">
          <w:rPr>
            <w:rStyle w:val="Hyperlink"/>
            <w:rFonts w:ascii="Book Antiqua" w:eastAsia="Times New Roman" w:hAnsi="Book Antiqua" w:cs="Times New Roman"/>
            <w:color w:val="000000" w:themeColor="text1"/>
            <w:u w:val="none"/>
          </w:rPr>
          <w:t>kw268@ums.ac.id</w:t>
        </w:r>
      </w:hyperlink>
      <w:r w:rsidR="00917CF6" w:rsidRPr="00917CF6">
        <w:rPr>
          <w:rFonts w:ascii="Book Antiqua" w:eastAsia="Book Antiqua" w:hAnsi="Book Antiqua" w:cs="Book Antiqua"/>
          <w:color w:val="000000" w:themeColor="text1"/>
          <w:vertAlign w:val="superscript"/>
        </w:rPr>
        <w:t xml:space="preserve">  4</w:t>
      </w:r>
    </w:p>
    <w:p w:rsidR="007B4987" w:rsidRDefault="00451A51">
      <w:pPr>
        <w:spacing w:after="0" w:line="240" w:lineRule="auto"/>
        <w:ind w:left="426"/>
        <w:rPr>
          <w:rFonts w:ascii="Book Antiqua" w:eastAsia="Book Antiqua" w:hAnsi="Book Antiqua" w:cs="Book Antiqua"/>
          <w:vertAlign w:val="superscript"/>
        </w:rPr>
      </w:pPr>
      <w:r>
        <w:rPr>
          <w:rFonts w:ascii="Book Antiqua" w:eastAsia="Book Antiqua" w:hAnsi="Book Antiqua" w:cs="Book Antiqua"/>
          <w:sz w:val="20"/>
          <w:szCs w:val="20"/>
        </w:rPr>
        <w:t>Corresp</w:t>
      </w:r>
      <w:r>
        <w:rPr>
          <w:rFonts w:ascii="Book Antiqua" w:eastAsia="Book Antiqua" w:hAnsi="Book Antiqua" w:cs="Book Antiqua"/>
          <w:sz w:val="20"/>
          <w:szCs w:val="20"/>
        </w:rPr>
        <w:t xml:space="preserve">onding Author </w:t>
      </w:r>
      <w:r>
        <w:rPr>
          <w:rFonts w:ascii="Book Antiqua" w:eastAsia="Book Antiqua" w:hAnsi="Book Antiqua" w:cs="Book Antiqua"/>
          <w:sz w:val="20"/>
          <w:szCs w:val="20"/>
          <w:vertAlign w:val="superscript"/>
        </w:rPr>
        <w:t>*</w:t>
      </w:r>
    </w:p>
    <w:tbl>
      <w:tblPr>
        <w:tblStyle w:val="a"/>
        <w:tblW w:w="9639" w:type="dxa"/>
        <w:tblLayout w:type="fixed"/>
        <w:tblLook w:val="0400" w:firstRow="0" w:lastRow="0" w:firstColumn="0" w:lastColumn="0" w:noHBand="0" w:noVBand="1"/>
      </w:tblPr>
      <w:tblGrid>
        <w:gridCol w:w="2694"/>
        <w:gridCol w:w="96"/>
        <w:gridCol w:w="338"/>
        <w:gridCol w:w="2401"/>
        <w:gridCol w:w="4110"/>
      </w:tblGrid>
      <w:tr w:rsidR="007B4987">
        <w:tc>
          <w:tcPr>
            <w:tcW w:w="2694" w:type="dxa"/>
            <w:tcBorders>
              <w:bottom w:val="single" w:sz="4" w:space="0" w:color="000000"/>
            </w:tcBorders>
            <w:shd w:val="clear" w:color="auto" w:fill="D0CECE"/>
          </w:tcPr>
          <w:p w:rsidR="007B4987" w:rsidRDefault="00451A51">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Submitted:</w:t>
            </w:r>
          </w:p>
        </w:tc>
        <w:tc>
          <w:tcPr>
            <w:tcW w:w="2835" w:type="dxa"/>
            <w:gridSpan w:val="3"/>
            <w:shd w:val="clear" w:color="auto" w:fill="D0CECE"/>
          </w:tcPr>
          <w:p w:rsidR="007B4987" w:rsidRDefault="00451A51">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Revised:</w:t>
            </w:r>
          </w:p>
        </w:tc>
        <w:tc>
          <w:tcPr>
            <w:tcW w:w="4110" w:type="dxa"/>
            <w:tcBorders>
              <w:bottom w:val="single" w:sz="4" w:space="0" w:color="000000"/>
            </w:tcBorders>
            <w:shd w:val="clear" w:color="auto" w:fill="D0CECE"/>
          </w:tcPr>
          <w:p w:rsidR="007B4987" w:rsidRDefault="00451A51">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Published:</w:t>
            </w:r>
          </w:p>
        </w:tc>
      </w:tr>
      <w:tr w:rsidR="007B4987">
        <w:tc>
          <w:tcPr>
            <w:tcW w:w="2790" w:type="dxa"/>
            <w:gridSpan w:val="2"/>
            <w:tcBorders>
              <w:top w:val="single" w:sz="4" w:space="0" w:color="000000"/>
              <w:bottom w:val="single" w:sz="4" w:space="0" w:color="000000"/>
            </w:tcBorders>
            <w:shd w:val="clear" w:color="auto" w:fill="D9E2F3"/>
          </w:tcPr>
          <w:p w:rsidR="007B4987" w:rsidRDefault="00451A51">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Article Info</w:t>
            </w:r>
          </w:p>
        </w:tc>
        <w:tc>
          <w:tcPr>
            <w:tcW w:w="338" w:type="dxa"/>
          </w:tcPr>
          <w:p w:rsidR="007B4987" w:rsidRDefault="007B4987">
            <w:pPr>
              <w:spacing w:after="0" w:line="240" w:lineRule="auto"/>
              <w:rPr>
                <w:rFonts w:ascii="Book Antiqua" w:eastAsia="Book Antiqua" w:hAnsi="Book Antiqua" w:cs="Book Antiqua"/>
                <w:b/>
                <w:i/>
                <w:color w:val="000000"/>
              </w:rPr>
            </w:pPr>
          </w:p>
        </w:tc>
        <w:tc>
          <w:tcPr>
            <w:tcW w:w="6511" w:type="dxa"/>
            <w:gridSpan w:val="2"/>
            <w:tcBorders>
              <w:top w:val="single" w:sz="4" w:space="0" w:color="000000"/>
              <w:bottom w:val="single" w:sz="4" w:space="0" w:color="000000"/>
            </w:tcBorders>
            <w:shd w:val="clear" w:color="auto" w:fill="D9E2F3"/>
          </w:tcPr>
          <w:p w:rsidR="007B4987" w:rsidRDefault="00451A51">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Abstract</w:t>
            </w:r>
          </w:p>
        </w:tc>
      </w:tr>
      <w:tr w:rsidR="007B4987">
        <w:trPr>
          <w:trHeight w:val="2551"/>
        </w:trPr>
        <w:tc>
          <w:tcPr>
            <w:tcW w:w="2790" w:type="dxa"/>
            <w:gridSpan w:val="2"/>
            <w:vMerge w:val="restart"/>
            <w:shd w:val="clear" w:color="auto" w:fill="B4C6E7"/>
          </w:tcPr>
          <w:p w:rsidR="007B4987" w:rsidRDefault="007B4987">
            <w:pPr>
              <w:tabs>
                <w:tab w:val="left" w:pos="330"/>
              </w:tabs>
              <w:spacing w:after="0" w:line="240" w:lineRule="auto"/>
              <w:rPr>
                <w:rFonts w:ascii="Book Antiqua" w:eastAsia="Book Antiqua" w:hAnsi="Book Antiqua" w:cs="Book Antiqua"/>
                <w:b/>
                <w:i/>
                <w:color w:val="000000"/>
              </w:rPr>
            </w:pPr>
          </w:p>
          <w:p w:rsidR="007B4987" w:rsidRDefault="00451A51">
            <w:pPr>
              <w:tabs>
                <w:tab w:val="left" w:pos="330"/>
              </w:tabs>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Keywords:</w:t>
            </w:r>
          </w:p>
          <w:p w:rsidR="007B4987" w:rsidRPr="00917CF6" w:rsidRDefault="00917CF6">
            <w:pPr>
              <w:tabs>
                <w:tab w:val="left" w:pos="330"/>
              </w:tabs>
              <w:spacing w:after="0" w:line="240" w:lineRule="auto"/>
              <w:rPr>
                <w:rFonts w:ascii="Book Antiqua" w:eastAsia="Book Antiqua" w:hAnsi="Book Antiqua" w:cs="Book Antiqua"/>
                <w:i/>
                <w:szCs w:val="22"/>
              </w:rPr>
            </w:pPr>
            <w:r w:rsidRPr="00917CF6">
              <w:rPr>
                <w:rFonts w:ascii="Book Antiqua" w:eastAsia="Times New Roman" w:hAnsi="Book Antiqua" w:cs="Times New Roman"/>
                <w:b/>
                <w:i/>
                <w:szCs w:val="22"/>
              </w:rPr>
              <w:t>Recognition, Customary land, 'krik slamat'</w:t>
            </w: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rPr>
            </w:pPr>
          </w:p>
          <w:p w:rsidR="007B4987" w:rsidRDefault="007B4987">
            <w:pPr>
              <w:tabs>
                <w:tab w:val="left" w:pos="330"/>
              </w:tabs>
              <w:spacing w:after="0" w:line="240" w:lineRule="auto"/>
              <w:rPr>
                <w:rFonts w:ascii="Book Antiqua" w:eastAsia="Book Antiqua" w:hAnsi="Book Antiqua" w:cs="Book Antiqua"/>
                <w:i/>
                <w:color w:val="000000"/>
              </w:rPr>
            </w:pPr>
          </w:p>
        </w:tc>
        <w:tc>
          <w:tcPr>
            <w:tcW w:w="338" w:type="dxa"/>
          </w:tcPr>
          <w:p w:rsidR="007B4987" w:rsidRDefault="007B4987">
            <w:pPr>
              <w:spacing w:after="0" w:line="240" w:lineRule="auto"/>
              <w:jc w:val="both"/>
              <w:rPr>
                <w:rFonts w:ascii="Book Antiqua" w:eastAsia="Book Antiqua" w:hAnsi="Book Antiqua" w:cs="Book Antiqua"/>
                <w:i/>
                <w:sz w:val="24"/>
                <w:szCs w:val="24"/>
              </w:rPr>
            </w:pPr>
          </w:p>
        </w:tc>
        <w:tc>
          <w:tcPr>
            <w:tcW w:w="6511" w:type="dxa"/>
            <w:gridSpan w:val="2"/>
            <w:vMerge w:val="restart"/>
            <w:tcBorders>
              <w:top w:val="single" w:sz="4" w:space="0" w:color="000000"/>
              <w:bottom w:val="single" w:sz="4" w:space="0" w:color="000000"/>
            </w:tcBorders>
            <w:shd w:val="clear" w:color="auto" w:fill="auto"/>
          </w:tcPr>
          <w:p w:rsidR="00305ECC" w:rsidRPr="00305ECC" w:rsidRDefault="00305ECC" w:rsidP="00305ECC">
            <w:pPr>
              <w:spacing w:before="240" w:after="240" w:line="240" w:lineRule="auto"/>
              <w:ind w:firstLine="720"/>
              <w:jc w:val="both"/>
              <w:rPr>
                <w:rFonts w:ascii="Book Antiqua" w:eastAsia="Times New Roman" w:hAnsi="Book Antiqua" w:cs="Times New Roman"/>
                <w:b/>
                <w:i/>
                <w:sz w:val="20"/>
                <w:szCs w:val="20"/>
              </w:rPr>
            </w:pPr>
            <w:r w:rsidRPr="00305ECC">
              <w:rPr>
                <w:rFonts w:ascii="Book Antiqua" w:eastAsia="Times New Roman" w:hAnsi="Book Antiqua" w:cs="Times New Roman"/>
                <w:b/>
                <w:i/>
                <w:sz w:val="20"/>
                <w:szCs w:val="20"/>
              </w:rPr>
              <w:t>Rekoginsi hak atas tanah adat berbasis nilai lokal telah banyak mengalami pergeseran nilai sehingga menimbulkan keraguan negara atas eksistensi tanah adatt. Tujuan penelitian ini adalah untuk mengkaji rekognisi hak atas tanah adat masyarakat adat Pusu, Sumbawa yang berbasis nilai ‘krik slamat’. Metode penelitian ini adalah penelitian nondoktrinal dengan melihat bagaimana terbentuk dan bekerjanya hukum di masyarakat dengan pendekatan sosiologis. Hasil penelitian ini, pertama, rekognisi hak atas tanah adat masyarakat adat Pusu dilakukan dengan ‘rpulung’ yang dilandasi dengan nilai ‘krik slamat’ yang mana ‘krik slamat’ mengandung unsur-unsur religius, demokratis dan keadilan. Kedua, nilai ‘krik slamat’ sebagai landasan  filosofis dalam pembentukan hukum adat masyarakat adat Pusu terkait rekognisi hak atas tanah adatnya dengan ‘rpulung’ (musyawarah) adat sehingga lahir ‘pulung’ berupa norma-norma hukum adat. Filosofi Nilai ‘krik slamat’ diadopsi dari hukum Islam dengan menyakini agama Islam sebagai keyakinan dan adat sebagai pandangan hidup masyarakat adat Pusu.</w:t>
            </w:r>
          </w:p>
          <w:p w:rsidR="007B4987" w:rsidRPr="00305ECC" w:rsidRDefault="00305ECC" w:rsidP="00305ECC">
            <w:pPr>
              <w:spacing w:before="240" w:after="240" w:line="240" w:lineRule="auto"/>
              <w:ind w:firstLine="720"/>
              <w:jc w:val="both"/>
              <w:rPr>
                <w:rFonts w:ascii="Book Antiqua" w:eastAsia="Times New Roman" w:hAnsi="Book Antiqua" w:cs="Times New Roman"/>
                <w:i/>
                <w:sz w:val="20"/>
                <w:szCs w:val="20"/>
              </w:rPr>
            </w:pPr>
            <w:r w:rsidRPr="00305ECC">
              <w:rPr>
                <w:rFonts w:ascii="Book Antiqua" w:eastAsia="Times New Roman" w:hAnsi="Book Antiqua" w:cs="Times New Roman"/>
                <w:i/>
                <w:sz w:val="20"/>
                <w:szCs w:val="20"/>
              </w:rPr>
              <w:t>The recognition of customary land rights based on local values has undergone several shifts in value, giving rise to state doubts about its existence. Therefore, this research aimed to examine the recognition of customary land rights of the Pusu customary community in Sumbawa based on the value of 'krik slamat'. This non-doctrinal research was conducted using a sociological approach to investigate the formation and functioning of the law. The results showed that, first, the recognition of land rights of the Pusu community was conducted with 'rpulung' based on the value of 'krik slamat' containing elements of religion, democracy, and justice. Second, in 'krik slamat', which serves as a philosophical foundation in the formation of the law, the recognition of the land rights was performed with 'rpulung' (consultation), hence, 'pulung' is born in the form of norms. The philosophy of 'krik slamat' is adopted from Islamic law by believing in the religion as a belief, custom, and way of life.</w:t>
            </w:r>
          </w:p>
        </w:tc>
      </w:tr>
      <w:tr w:rsidR="007B4987">
        <w:trPr>
          <w:trHeight w:val="292"/>
        </w:trPr>
        <w:tc>
          <w:tcPr>
            <w:tcW w:w="2790" w:type="dxa"/>
            <w:gridSpan w:val="2"/>
            <w:vMerge/>
            <w:shd w:val="clear" w:color="auto" w:fill="B4C6E7"/>
          </w:tcPr>
          <w:p w:rsidR="007B4987" w:rsidRDefault="007B4987">
            <w:pPr>
              <w:widowControl w:val="0"/>
              <w:pBdr>
                <w:top w:val="nil"/>
                <w:left w:val="nil"/>
                <w:bottom w:val="nil"/>
                <w:right w:val="nil"/>
                <w:between w:val="nil"/>
              </w:pBdr>
              <w:spacing w:after="0"/>
              <w:rPr>
                <w:rFonts w:ascii="Book Antiqua" w:eastAsia="Book Antiqua" w:hAnsi="Book Antiqua" w:cs="Book Antiqua"/>
                <w:i/>
              </w:rPr>
            </w:pPr>
          </w:p>
        </w:tc>
        <w:tc>
          <w:tcPr>
            <w:tcW w:w="338" w:type="dxa"/>
          </w:tcPr>
          <w:p w:rsidR="007B4987" w:rsidRDefault="007B4987">
            <w:pPr>
              <w:rPr>
                <w:rFonts w:ascii="Book Antiqua" w:eastAsia="Book Antiqua" w:hAnsi="Book Antiqua" w:cs="Book Antiqua"/>
                <w:b/>
                <w:i/>
                <w:color w:val="000000"/>
                <w:sz w:val="24"/>
                <w:szCs w:val="24"/>
              </w:rPr>
            </w:pPr>
          </w:p>
        </w:tc>
        <w:tc>
          <w:tcPr>
            <w:tcW w:w="6511" w:type="dxa"/>
            <w:gridSpan w:val="2"/>
            <w:vMerge/>
            <w:tcBorders>
              <w:top w:val="single" w:sz="4" w:space="0" w:color="000000"/>
              <w:bottom w:val="single" w:sz="4" w:space="0" w:color="000000"/>
            </w:tcBorders>
            <w:shd w:val="clear" w:color="auto" w:fill="auto"/>
          </w:tcPr>
          <w:p w:rsidR="007B4987" w:rsidRDefault="007B4987">
            <w:pPr>
              <w:widowControl w:val="0"/>
              <w:pBdr>
                <w:top w:val="nil"/>
                <w:left w:val="nil"/>
                <w:bottom w:val="nil"/>
                <w:right w:val="nil"/>
                <w:between w:val="nil"/>
              </w:pBdr>
              <w:spacing w:after="0"/>
              <w:rPr>
                <w:rFonts w:ascii="Book Antiqua" w:eastAsia="Book Antiqua" w:hAnsi="Book Antiqua" w:cs="Book Antiqua"/>
                <w:b/>
                <w:i/>
                <w:color w:val="000000"/>
                <w:sz w:val="24"/>
                <w:szCs w:val="24"/>
              </w:rPr>
            </w:pPr>
          </w:p>
        </w:tc>
      </w:tr>
    </w:tbl>
    <w:p w:rsidR="007B4987" w:rsidRDefault="007B4987">
      <w:pPr>
        <w:spacing w:after="120" w:line="240" w:lineRule="auto"/>
        <w:jc w:val="both"/>
        <w:rPr>
          <w:rFonts w:ascii="Book Antiqua" w:eastAsia="Book Antiqua" w:hAnsi="Book Antiqua" w:cs="Book Antiqua"/>
          <w:b/>
          <w:i/>
          <w:color w:val="FFC000"/>
          <w:sz w:val="24"/>
          <w:szCs w:val="24"/>
        </w:rPr>
      </w:pPr>
    </w:p>
    <w:p w:rsidR="00305ECC" w:rsidRDefault="00305ECC">
      <w:pPr>
        <w:spacing w:after="120" w:line="240" w:lineRule="auto"/>
        <w:jc w:val="both"/>
        <w:rPr>
          <w:rFonts w:ascii="Book Antiqua" w:eastAsia="Book Antiqua" w:hAnsi="Book Antiqua" w:cs="Book Antiqua"/>
          <w:b/>
          <w:i/>
          <w:color w:val="FFC000"/>
          <w:sz w:val="24"/>
          <w:szCs w:val="24"/>
        </w:rPr>
      </w:pPr>
    </w:p>
    <w:p w:rsidR="007B4987" w:rsidRPr="00305ECC" w:rsidRDefault="00451A51" w:rsidP="00305ECC">
      <w:pPr>
        <w:numPr>
          <w:ilvl w:val="0"/>
          <w:numId w:val="1"/>
        </w:numPr>
        <w:spacing w:after="120" w:line="240" w:lineRule="auto"/>
        <w:ind w:left="284" w:hanging="284"/>
        <w:rPr>
          <w:rFonts w:ascii="Book Antiqua" w:eastAsia="Book Antiqua" w:hAnsi="Book Antiqua" w:cs="Book Antiqua"/>
          <w:b/>
          <w:color w:val="4472C4"/>
          <w:sz w:val="24"/>
          <w:szCs w:val="24"/>
        </w:rPr>
      </w:pPr>
      <w:r>
        <w:rPr>
          <w:rFonts w:ascii="Book Antiqua" w:eastAsia="Book Antiqua" w:hAnsi="Book Antiqua" w:cs="Book Antiqua"/>
          <w:b/>
          <w:color w:val="2F5496"/>
          <w:sz w:val="24"/>
          <w:szCs w:val="24"/>
        </w:rPr>
        <w:lastRenderedPageBreak/>
        <w:t>INTRODUCTION</w:t>
      </w:r>
      <w:r>
        <w:rPr>
          <w:rFonts w:ascii="Book Antiqua" w:eastAsia="Book Antiqua" w:hAnsi="Book Antiqua" w:cs="Book Antiqua"/>
          <w:b/>
          <w:color w:val="4472C4"/>
          <w:sz w:val="24"/>
          <w:szCs w:val="24"/>
        </w:rPr>
        <w:t xml:space="preserve"> </w:t>
      </w:r>
    </w:p>
    <w:p w:rsidR="00305ECC" w:rsidRPr="00B81DC3" w:rsidRDefault="00305ECC" w:rsidP="00305ECC">
      <w:pPr>
        <w:ind w:left="284" w:firstLine="720"/>
        <w:jc w:val="both"/>
        <w:rPr>
          <w:rFonts w:ascii="Times New Roman" w:hAnsi="Times New Roman" w:cs="Times New Roman"/>
          <w:sz w:val="24"/>
          <w:szCs w:val="24"/>
        </w:rPr>
      </w:pPr>
      <w:r w:rsidRPr="00B81DC3">
        <w:rPr>
          <w:rFonts w:ascii="Times New Roman" w:hAnsi="Times New Roman" w:cs="Times New Roman"/>
          <w:sz w:val="24"/>
          <w:szCs w:val="24"/>
        </w:rPr>
        <w:t>The land is often symbolized as a mother as evidence of its strong relationship with humans. Due to this strong bond, humans recognize their origin and will return to the land. The dynamics of their life and relationship to the land began to change, including increased land-related conflicts due to the economic value. Therefore, legal relations between land and humans should be regulated to create happiness or benefit. The concept of human happiness was formulated by classical philosophers such as Aristotle with the formulation of justice as moral and ethical. This ethical theory cannot survive because it is considered shackled by destiny, fear of gods, and religious myths.</w:t>
      </w:r>
    </w:p>
    <w:p w:rsidR="00305ECC" w:rsidRDefault="00305ECC" w:rsidP="00305ECC">
      <w:pPr>
        <w:ind w:left="284" w:firstLine="720"/>
        <w:jc w:val="both"/>
        <w:rPr>
          <w:rFonts w:ascii="Times New Roman" w:hAnsi="Times New Roman" w:cs="Times New Roman"/>
          <w:bCs/>
          <w:sz w:val="24"/>
          <w:szCs w:val="24"/>
        </w:rPr>
      </w:pPr>
      <w:r w:rsidRPr="00B81DC3">
        <w:rPr>
          <w:rFonts w:ascii="Times New Roman" w:hAnsi="Times New Roman" w:cs="Times New Roman"/>
          <w:sz w:val="24"/>
          <w:szCs w:val="24"/>
        </w:rPr>
        <w:t>In the Middle Ages, Jeremy Betham offered the concept of happiness or well-being. This is the theory of utilitarianism, which focuses on the 'outcome', such as happiness for many people as possible. Furthermore, the concept of happiness was refuted by the minority because Betham measured the maximization in the majority</w:t>
      </w:r>
      <w:r w:rsidRPr="00B81DC3">
        <w:rPr>
          <w:rStyle w:val="FootnoteReference"/>
          <w:rFonts w:ascii="Times New Roman" w:hAnsi="Times New Roman" w:cs="Times New Roman"/>
          <w:sz w:val="24"/>
          <w:szCs w:val="24"/>
        </w:rPr>
        <w:footnoteReference w:id="1"/>
      </w:r>
      <w:r w:rsidRPr="00B81DC3">
        <w:rPr>
          <w:rFonts w:ascii="Times New Roman" w:hAnsi="Times New Roman" w:cs="Times New Roman"/>
          <w:bCs/>
          <w:sz w:val="24"/>
          <w:szCs w:val="24"/>
        </w:rPr>
        <w:t>. The minority in question are workers, poor people, and the customary community. They tend to be neglected and are far from being happy.</w:t>
      </w:r>
    </w:p>
    <w:p w:rsidR="00305ECC" w:rsidRPr="00305ECC" w:rsidRDefault="00305ECC" w:rsidP="00305ECC">
      <w:pPr>
        <w:ind w:left="284" w:firstLine="720"/>
        <w:jc w:val="both"/>
        <w:rPr>
          <w:rFonts w:ascii="Times New Roman" w:hAnsi="Times New Roman" w:cs="Times New Roman"/>
          <w:bCs/>
          <w:sz w:val="24"/>
          <w:szCs w:val="24"/>
        </w:rPr>
      </w:pPr>
      <w:r w:rsidRPr="00B81DC3">
        <w:rPr>
          <w:rFonts w:ascii="Times New Roman" w:hAnsi="Times New Roman" w:cs="Times New Roman"/>
          <w:sz w:val="24"/>
          <w:szCs w:val="24"/>
        </w:rPr>
        <w:t>The law is ideally formed for the community's happiness, but it still encounters problems, such as the lack of understanding of lawmakers about legal products made, as stated in the regional regulation of Sumbawa Regency on the Recognition and Protection of the community. This regulation was 'rejected' by the factions in the Regional Parliament because there was no community in Sumbawa other than LATS (</w:t>
      </w:r>
      <w:r w:rsidRPr="00B81DC3">
        <w:rPr>
          <w:rFonts w:ascii="Times New Roman" w:hAnsi="Times New Roman" w:cs="Times New Roman"/>
          <w:i/>
          <w:iCs/>
          <w:sz w:val="24"/>
          <w:szCs w:val="24"/>
        </w:rPr>
        <w:t xml:space="preserve">Tana' Samawa </w:t>
      </w:r>
      <w:r w:rsidRPr="00B81DC3">
        <w:rPr>
          <w:rFonts w:ascii="Times New Roman" w:hAnsi="Times New Roman" w:cs="Times New Roman"/>
          <w:sz w:val="24"/>
          <w:szCs w:val="24"/>
        </w:rPr>
        <w:t>customary institutions)</w:t>
      </w:r>
      <w:r w:rsidRPr="00B81DC3">
        <w:rPr>
          <w:rStyle w:val="FootnoteReference"/>
          <w:rFonts w:ascii="Times New Roman" w:hAnsi="Times New Roman" w:cs="Times New Roman"/>
          <w:sz w:val="24"/>
          <w:szCs w:val="24"/>
        </w:rPr>
        <w:footnoteReference w:id="2"/>
      </w:r>
      <w:r w:rsidRPr="00B81DC3">
        <w:rPr>
          <w:rFonts w:ascii="Times New Roman" w:hAnsi="Times New Roman" w:cs="Times New Roman"/>
          <w:sz w:val="24"/>
          <w:szCs w:val="24"/>
        </w:rPr>
        <w:t xml:space="preserve">. The community with LATS is two different subjects. Customary community is alliances formed due to geological and territorial laws based on their law, while LATS is a manifestation of the Sumbawa sultanate as stated in the Regional Regulation Number 9 of 2015 concerning the </w:t>
      </w:r>
      <w:r w:rsidRPr="00B81DC3">
        <w:rPr>
          <w:rFonts w:ascii="Times New Roman" w:hAnsi="Times New Roman" w:cs="Times New Roman"/>
          <w:i/>
          <w:iCs/>
          <w:sz w:val="24"/>
          <w:szCs w:val="24"/>
        </w:rPr>
        <w:t>Tana' Samawa</w:t>
      </w:r>
      <w:r w:rsidRPr="00B81DC3">
        <w:rPr>
          <w:rFonts w:ascii="Times New Roman" w:hAnsi="Times New Roman" w:cs="Times New Roman"/>
          <w:sz w:val="24"/>
          <w:szCs w:val="24"/>
        </w:rPr>
        <w:t xml:space="preserve"> Institution. The de-recognition of land rights also occurs because negative stereotypes, such as old-fashioned, left behind, poor, stupid, and desa bao, are developing against the customary community</w:t>
      </w:r>
      <w:r w:rsidRPr="00B81DC3">
        <w:rPr>
          <w:rStyle w:val="FootnoteReference"/>
          <w:rFonts w:ascii="Times New Roman" w:hAnsi="Times New Roman" w:cs="Times New Roman"/>
          <w:sz w:val="24"/>
          <w:szCs w:val="24"/>
        </w:rPr>
        <w:footnoteReference w:id="3"/>
      </w:r>
      <w:r w:rsidRPr="00B81DC3">
        <w:rPr>
          <w:rFonts w:ascii="Times New Roman" w:hAnsi="Times New Roman" w:cs="Times New Roman"/>
          <w:i/>
          <w:iCs/>
          <w:sz w:val="24"/>
          <w:szCs w:val="24"/>
        </w:rPr>
        <w:t>.</w:t>
      </w:r>
      <w:r w:rsidRPr="00B81DC3">
        <w:rPr>
          <w:rFonts w:ascii="Times New Roman" w:hAnsi="Times New Roman" w:cs="Times New Roman"/>
          <w:sz w:val="24"/>
          <w:szCs w:val="24"/>
        </w:rPr>
        <w:t xml:space="preserve"> Consequently, there is a reluctance in the formation of policies to recognize the rights of the community. The battle between the concepts</w:t>
      </w:r>
      <w:r w:rsidRPr="00B81DC3">
        <w:rPr>
          <w:rFonts w:ascii="Times New Roman" w:hAnsi="Times New Roman" w:cs="Times New Roman"/>
          <w:sz w:val="24"/>
          <w:szCs w:val="24"/>
          <w:vertAlign w:val="superscript"/>
        </w:rPr>
        <w:footnoteReference w:id="4"/>
      </w:r>
      <w:r w:rsidRPr="00B81DC3">
        <w:rPr>
          <w:rFonts w:ascii="Times New Roman" w:hAnsi="Times New Roman" w:cs="Times New Roman"/>
          <w:sz w:val="24"/>
          <w:szCs w:val="24"/>
        </w:rPr>
        <w:t xml:space="preserve"> of recognition by the state (legality) and the community (legitimacy) is still a debate in several circles. For example, the rejection of the community recognition and their land by the regional Parliament of Sumbawa Regency and how to protect the land rights of the Pusu community are often debated. Pusu community existed before Indonesia's independence, and they have a personal relationship with their land. Their legal formation is based on values ​​ believed, practiced, and attached to the souls, hence, they become the soul of the law or </w:t>
      </w:r>
      <w:r w:rsidRPr="00B81DC3">
        <w:rPr>
          <w:rFonts w:ascii="Times New Roman" w:hAnsi="Times New Roman" w:cs="Times New Roman"/>
          <w:i/>
          <w:iCs/>
          <w:sz w:val="24"/>
          <w:szCs w:val="24"/>
        </w:rPr>
        <w:t>Volkgeist,</w:t>
      </w:r>
      <w:r w:rsidRPr="00B81DC3">
        <w:rPr>
          <w:rFonts w:ascii="Times New Roman" w:hAnsi="Times New Roman" w:cs="Times New Roman"/>
          <w:sz w:val="24"/>
          <w:szCs w:val="24"/>
        </w:rPr>
        <w:t xml:space="preserve"> as named by Vin Savigny. For example, </w:t>
      </w:r>
      <w:r w:rsidRPr="00B81DC3">
        <w:rPr>
          <w:rFonts w:ascii="Times New Roman" w:hAnsi="Times New Roman" w:cs="Times New Roman"/>
          <w:i/>
          <w:iCs/>
          <w:sz w:val="24"/>
          <w:szCs w:val="24"/>
        </w:rPr>
        <w:t>krik slamat,</w:t>
      </w:r>
      <w:r w:rsidRPr="00B81DC3">
        <w:rPr>
          <w:rFonts w:ascii="Times New Roman" w:hAnsi="Times New Roman" w:cs="Times New Roman"/>
          <w:sz w:val="24"/>
          <w:szCs w:val="24"/>
        </w:rPr>
        <w:t xml:space="preserve"> interpreted as 'blessing or salvation,' is the basis for the formation and ideals of customary law through </w:t>
      </w:r>
      <w:r w:rsidRPr="00B81DC3">
        <w:rPr>
          <w:rFonts w:ascii="Times New Roman" w:hAnsi="Times New Roman" w:cs="Times New Roman"/>
          <w:i/>
          <w:iCs/>
          <w:sz w:val="24"/>
          <w:szCs w:val="24"/>
        </w:rPr>
        <w:t>'rpulung</w:t>
      </w:r>
      <w:r w:rsidRPr="00B81DC3">
        <w:rPr>
          <w:rFonts w:ascii="Times New Roman" w:hAnsi="Times New Roman" w:cs="Times New Roman"/>
          <w:sz w:val="24"/>
          <w:szCs w:val="24"/>
        </w:rPr>
        <w:t xml:space="preserve">' (consultation) to produce </w:t>
      </w:r>
      <w:r w:rsidRPr="00B81DC3">
        <w:rPr>
          <w:rFonts w:ascii="Times New Roman" w:hAnsi="Times New Roman" w:cs="Times New Roman"/>
          <w:i/>
          <w:iCs/>
          <w:sz w:val="24"/>
          <w:szCs w:val="24"/>
        </w:rPr>
        <w:t>'pulung'</w:t>
      </w:r>
      <w:r w:rsidRPr="00B81DC3">
        <w:rPr>
          <w:rFonts w:ascii="Times New Roman" w:hAnsi="Times New Roman" w:cs="Times New Roman"/>
          <w:sz w:val="24"/>
          <w:szCs w:val="24"/>
        </w:rPr>
        <w:t xml:space="preserve"> (customary law norms) related to the recognition of their land. Customary laws that grow and develop in the Pusu community are based on the philosophy of tau samawa</w:t>
      </w:r>
      <w:r w:rsidRPr="00B81DC3">
        <w:rPr>
          <w:rFonts w:ascii="Times New Roman" w:hAnsi="Times New Roman" w:cs="Times New Roman"/>
          <w:sz w:val="24"/>
          <w:szCs w:val="24"/>
          <w:vertAlign w:val="superscript"/>
        </w:rPr>
        <w:footnoteReference w:id="5"/>
      </w:r>
      <w:r w:rsidRPr="00B81DC3">
        <w:rPr>
          <w:rStyle w:val="FootnoteReference"/>
          <w:rFonts w:ascii="Times New Roman" w:hAnsi="Times New Roman" w:cs="Times New Roman"/>
          <w:sz w:val="24"/>
          <w:szCs w:val="24"/>
        </w:rPr>
        <w:t xml:space="preserve"> </w:t>
      </w:r>
      <w:r w:rsidRPr="00B81DC3">
        <w:rPr>
          <w:rFonts w:ascii="Times New Roman" w:hAnsi="Times New Roman" w:cs="Times New Roman"/>
          <w:i/>
          <w:sz w:val="24"/>
          <w:szCs w:val="24"/>
        </w:rPr>
        <w:t>'adat barenti ko syara', syara' barenti ko kitabullah'</w:t>
      </w:r>
      <w:r w:rsidRPr="00B81DC3">
        <w:rPr>
          <w:rFonts w:ascii="Times New Roman" w:hAnsi="Times New Roman" w:cs="Times New Roman"/>
          <w:sz w:val="24"/>
          <w:szCs w:val="24"/>
        </w:rPr>
        <w:t xml:space="preserve"> with the boundaries being the provisions in the book of Allah. </w:t>
      </w:r>
    </w:p>
    <w:p w:rsidR="00305ECC" w:rsidRDefault="00305ECC">
      <w:pPr>
        <w:spacing w:after="0" w:line="240" w:lineRule="auto"/>
        <w:jc w:val="both"/>
        <w:rPr>
          <w:sz w:val="24"/>
          <w:szCs w:val="24"/>
        </w:rPr>
      </w:pPr>
    </w:p>
    <w:p w:rsidR="007B4987" w:rsidRPr="00305ECC" w:rsidRDefault="00451A51">
      <w:pPr>
        <w:numPr>
          <w:ilvl w:val="0"/>
          <w:numId w:val="1"/>
        </w:numPr>
        <w:spacing w:after="120" w:line="240" w:lineRule="auto"/>
        <w:ind w:left="284" w:hanging="284"/>
        <w:rPr>
          <w:rFonts w:ascii="Book Antiqua" w:eastAsia="Book Antiqua" w:hAnsi="Book Antiqua" w:cs="Book Antiqua"/>
          <w:b/>
          <w:color w:val="4472C4"/>
          <w:sz w:val="28"/>
        </w:rPr>
      </w:pPr>
      <w:r>
        <w:rPr>
          <w:rFonts w:ascii="Book Antiqua" w:eastAsia="Book Antiqua" w:hAnsi="Book Antiqua" w:cs="Book Antiqua"/>
          <w:b/>
          <w:color w:val="2F5496"/>
          <w:sz w:val="24"/>
          <w:szCs w:val="24"/>
        </w:rPr>
        <w:t>METHOD</w:t>
      </w:r>
    </w:p>
    <w:p w:rsidR="00305ECC" w:rsidRPr="00305ECC" w:rsidRDefault="00305ECC" w:rsidP="00305ECC">
      <w:pPr>
        <w:ind w:left="284" w:firstLine="720"/>
        <w:jc w:val="both"/>
        <w:rPr>
          <w:rFonts w:ascii="Times New Roman" w:hAnsi="Times New Roman" w:cs="Times New Roman"/>
          <w:color w:val="000000"/>
          <w:sz w:val="24"/>
          <w:szCs w:val="24"/>
        </w:rPr>
      </w:pPr>
      <w:r w:rsidRPr="00305ECC">
        <w:rPr>
          <w:rFonts w:ascii="Times New Roman" w:hAnsi="Times New Roman" w:cs="Times New Roman"/>
          <w:color w:val="000000"/>
          <w:sz w:val="24"/>
          <w:szCs w:val="24"/>
          <w:lang w:val="id-ID"/>
        </w:rPr>
        <w:t>This non-doctrinal or empirical legal research</w:t>
      </w:r>
      <w:r w:rsidRPr="00B81DC3">
        <w:rPr>
          <w:rStyle w:val="FootnoteReference"/>
          <w:rFonts w:ascii="Times New Roman" w:hAnsi="Times New Roman" w:cs="Times New Roman"/>
          <w:sz w:val="24"/>
          <w:szCs w:val="24"/>
        </w:rPr>
        <w:footnoteReference w:id="6"/>
      </w:r>
      <w:r w:rsidRPr="00305ECC">
        <w:rPr>
          <w:rFonts w:ascii="Times New Roman" w:hAnsi="Times New Roman" w:cs="Times New Roman"/>
          <w:color w:val="000000"/>
          <w:sz w:val="24"/>
          <w:szCs w:val="24"/>
        </w:rPr>
        <w:t xml:space="preserve"> was conducted to examine</w:t>
      </w:r>
      <w:r w:rsidRPr="00305ECC">
        <w:rPr>
          <w:rFonts w:ascii="Times New Roman" w:hAnsi="Times New Roman" w:cs="Times New Roman"/>
          <w:color w:val="000000"/>
          <w:sz w:val="24"/>
          <w:szCs w:val="24"/>
          <w:lang w:val="id-ID"/>
        </w:rPr>
        <w:t xml:space="preserve"> the formation and operation of law in the community. According to Roscou Pound, empirical research is not focused on the text of norms but on practice in the community</w:t>
      </w:r>
      <w:r w:rsidRPr="00B81DC3">
        <w:rPr>
          <w:rStyle w:val="FootnoteReference"/>
          <w:rFonts w:ascii="Times New Roman" w:hAnsi="Times New Roman" w:cs="Times New Roman"/>
          <w:sz w:val="24"/>
          <w:szCs w:val="24"/>
        </w:rPr>
        <w:footnoteReference w:id="7"/>
      </w:r>
      <w:r w:rsidRPr="00305ECC">
        <w:rPr>
          <w:rFonts w:ascii="Times New Roman" w:hAnsi="Times New Roman" w:cs="Times New Roman"/>
          <w:color w:val="000000"/>
          <w:sz w:val="24"/>
          <w:szCs w:val="24"/>
          <w:lang w:val="id-ID"/>
        </w:rPr>
        <w:t xml:space="preserve"> </w:t>
      </w:r>
      <w:r w:rsidRPr="00305ECC">
        <w:rPr>
          <w:rFonts w:ascii="Times New Roman" w:hAnsi="Times New Roman" w:cs="Times New Roman"/>
          <w:color w:val="000000"/>
          <w:sz w:val="24"/>
          <w:szCs w:val="24"/>
          <w:lang w:val="en-GB"/>
        </w:rPr>
        <w:t>to prove the truth of the natural world or can be perceived by the five senses</w:t>
      </w:r>
      <w:r w:rsidRPr="00B81DC3">
        <w:rPr>
          <w:rStyle w:val="FootnoteReference"/>
          <w:rFonts w:ascii="Times New Roman" w:hAnsi="Times New Roman" w:cs="Times New Roman"/>
          <w:sz w:val="24"/>
          <w:szCs w:val="24"/>
        </w:rPr>
        <w:footnoteReference w:id="8"/>
      </w:r>
      <w:r w:rsidRPr="00305ECC">
        <w:rPr>
          <w:rFonts w:ascii="Times New Roman" w:hAnsi="Times New Roman" w:cs="Times New Roman"/>
          <w:color w:val="000000"/>
          <w:sz w:val="24"/>
          <w:szCs w:val="24"/>
          <w:lang w:val="en-GB"/>
        </w:rPr>
        <w:t xml:space="preserve">. </w:t>
      </w:r>
      <w:r w:rsidRPr="00305ECC">
        <w:rPr>
          <w:rFonts w:ascii="Times New Roman" w:hAnsi="Times New Roman" w:cs="Times New Roman"/>
          <w:color w:val="000000"/>
          <w:sz w:val="24"/>
          <w:szCs w:val="24"/>
          <w:lang w:val="id-ID"/>
        </w:rPr>
        <w:t>Th</w:t>
      </w:r>
      <w:r w:rsidRPr="00305ECC">
        <w:rPr>
          <w:rFonts w:ascii="Times New Roman" w:hAnsi="Times New Roman" w:cs="Times New Roman"/>
          <w:color w:val="000000"/>
          <w:sz w:val="24"/>
          <w:szCs w:val="24"/>
        </w:rPr>
        <w:t>e approaches used are sociological</w:t>
      </w:r>
      <w:r w:rsidRPr="00305ECC">
        <w:rPr>
          <w:rFonts w:ascii="Times New Roman" w:hAnsi="Times New Roman" w:cs="Times New Roman"/>
          <w:color w:val="000000"/>
          <w:sz w:val="24"/>
          <w:szCs w:val="24"/>
          <w:lang w:val="id-ID"/>
        </w:rPr>
        <w:t xml:space="preserve"> and conceptual. Th</w:t>
      </w:r>
      <w:r w:rsidRPr="00305ECC">
        <w:rPr>
          <w:rFonts w:ascii="Times New Roman" w:hAnsi="Times New Roman" w:cs="Times New Roman"/>
          <w:color w:val="000000"/>
          <w:sz w:val="24"/>
          <w:szCs w:val="24"/>
        </w:rPr>
        <w:t>erefore, this research aims to</w:t>
      </w:r>
      <w:r w:rsidRPr="00305ECC">
        <w:rPr>
          <w:rFonts w:ascii="Times New Roman" w:hAnsi="Times New Roman" w:cs="Times New Roman"/>
          <w:color w:val="000000"/>
          <w:sz w:val="24"/>
          <w:szCs w:val="24"/>
          <w:lang w:val="id-ID"/>
        </w:rPr>
        <w:t xml:space="preserve"> examine the recognition of customary land rights </w:t>
      </w:r>
      <w:r w:rsidRPr="00305ECC">
        <w:rPr>
          <w:rFonts w:ascii="Times New Roman" w:hAnsi="Times New Roman" w:cs="Times New Roman"/>
          <w:color w:val="000000"/>
          <w:sz w:val="24"/>
          <w:szCs w:val="24"/>
        </w:rPr>
        <w:t xml:space="preserve">of </w:t>
      </w:r>
      <w:r w:rsidRPr="00305ECC">
        <w:rPr>
          <w:rFonts w:ascii="Times New Roman" w:hAnsi="Times New Roman" w:cs="Times New Roman"/>
          <w:color w:val="000000"/>
          <w:sz w:val="24"/>
          <w:szCs w:val="24"/>
          <w:lang w:val="id-ID"/>
        </w:rPr>
        <w:t xml:space="preserve">the Pusu customary community, Sumbawa, and to analyze the value of </w:t>
      </w:r>
      <w:r w:rsidRPr="00305ECC">
        <w:rPr>
          <w:rFonts w:ascii="Times New Roman" w:hAnsi="Times New Roman" w:cs="Times New Roman"/>
          <w:i/>
          <w:iCs/>
          <w:color w:val="000000"/>
          <w:sz w:val="24"/>
          <w:szCs w:val="24"/>
          <w:lang w:val="id-ID"/>
        </w:rPr>
        <w:t xml:space="preserve">krik slamat </w:t>
      </w:r>
      <w:r w:rsidRPr="00305ECC">
        <w:rPr>
          <w:rFonts w:ascii="Times New Roman" w:hAnsi="Times New Roman" w:cs="Times New Roman"/>
          <w:color w:val="000000"/>
          <w:sz w:val="24"/>
          <w:szCs w:val="24"/>
          <w:lang w:val="id-ID"/>
        </w:rPr>
        <w:t>as the basis for forming legal ideals</w:t>
      </w:r>
      <w:r w:rsidRPr="00305ECC">
        <w:rPr>
          <w:rFonts w:ascii="Times New Roman" w:hAnsi="Times New Roman" w:cs="Times New Roman"/>
          <w:color w:val="000000"/>
          <w:sz w:val="24"/>
          <w:szCs w:val="24"/>
        </w:rPr>
        <w:t xml:space="preserve">. </w:t>
      </w:r>
    </w:p>
    <w:p w:rsidR="00305ECC" w:rsidRPr="00305ECC" w:rsidRDefault="00451A51" w:rsidP="00305ECC">
      <w:pPr>
        <w:numPr>
          <w:ilvl w:val="0"/>
          <w:numId w:val="1"/>
        </w:numPr>
        <w:spacing w:after="120" w:line="240" w:lineRule="auto"/>
        <w:ind w:left="284" w:hanging="284"/>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RESULTS AND DISCUSSION</w:t>
      </w:r>
    </w:p>
    <w:p w:rsidR="00305ECC" w:rsidRPr="00B81DC3" w:rsidRDefault="00305ECC" w:rsidP="00305ECC">
      <w:pPr>
        <w:pStyle w:val="ListParagraph"/>
        <w:numPr>
          <w:ilvl w:val="1"/>
          <w:numId w:val="1"/>
        </w:numPr>
        <w:spacing w:after="160" w:line="259" w:lineRule="auto"/>
        <w:rPr>
          <w:rFonts w:ascii="Times New Roman" w:hAnsi="Times New Roman" w:cs="Times New Roman"/>
          <w:b/>
          <w:sz w:val="24"/>
          <w:szCs w:val="24"/>
        </w:rPr>
      </w:pPr>
      <w:r w:rsidRPr="00B81DC3">
        <w:rPr>
          <w:rFonts w:ascii="Times New Roman" w:hAnsi="Times New Roman" w:cs="Times New Roman"/>
          <w:b/>
          <w:sz w:val="24"/>
          <w:szCs w:val="24"/>
        </w:rPr>
        <w:t>Recognition of Customary Land Rights of the Pusu Customary Community</w:t>
      </w:r>
    </w:p>
    <w:p w:rsidR="00305ECC" w:rsidRPr="00B81DC3" w:rsidRDefault="00305ECC" w:rsidP="00305ECC">
      <w:pPr>
        <w:ind w:left="720" w:firstLine="360"/>
        <w:jc w:val="both"/>
        <w:rPr>
          <w:rFonts w:ascii="Times New Roman" w:hAnsi="Times New Roman" w:cs="Times New Roman"/>
          <w:sz w:val="24"/>
          <w:szCs w:val="24"/>
          <w:lang w:eastAsia="en-US"/>
        </w:rPr>
      </w:pPr>
      <w:r w:rsidRPr="00B81DC3">
        <w:rPr>
          <w:rFonts w:ascii="Times New Roman" w:hAnsi="Times New Roman" w:cs="Times New Roman"/>
          <w:sz w:val="24"/>
          <w:szCs w:val="24"/>
        </w:rPr>
        <w:t xml:space="preserve">Theoretically, recognition consists of declarative and constitutive recognitions. A state has rights and obligations when it fulfills statehood requirements with respect to the community and territory. This kind of recognition is often called declarative recognition </w:t>
      </w:r>
      <w:r w:rsidRPr="00B81DC3">
        <w:rPr>
          <w:rStyle w:val="FootnoteReference"/>
          <w:rFonts w:ascii="Times New Roman" w:hAnsi="Times New Roman" w:cs="Times New Roman"/>
          <w:sz w:val="24"/>
          <w:szCs w:val="24"/>
        </w:rPr>
        <w:footnoteReference w:id="9"/>
      </w:r>
      <w:r w:rsidRPr="00B81DC3">
        <w:rPr>
          <w:rFonts w:ascii="Times New Roman" w:hAnsi="Times New Roman" w:cs="Times New Roman"/>
          <w:sz w:val="24"/>
          <w:szCs w:val="24"/>
        </w:rPr>
        <w:t>. J.G Starke stated that 'the state or power of a new government already exists before recognition which is only a formal agreement about that fact'</w:t>
      </w:r>
      <w:r w:rsidRPr="00B81DC3">
        <w:rPr>
          <w:rFonts w:ascii="Times New Roman" w:hAnsi="Times New Roman" w:cs="Times New Roman"/>
          <w:sz w:val="24"/>
          <w:szCs w:val="24"/>
          <w:vertAlign w:val="superscript"/>
        </w:rPr>
        <w:footnoteReference w:id="10"/>
      </w:r>
      <w:r w:rsidRPr="00B81DC3">
        <w:rPr>
          <w:rFonts w:ascii="Times New Roman" w:hAnsi="Times New Roman" w:cs="Times New Roman"/>
          <w:sz w:val="24"/>
          <w:szCs w:val="24"/>
        </w:rPr>
        <w:t>. Meanwhile, in the constitutive aspect, 'a state requires recognition from another state that has fulfilled the requirements'</w:t>
      </w:r>
      <w:r w:rsidRPr="00B81DC3">
        <w:rPr>
          <w:rStyle w:val="FootnoteReference"/>
          <w:rFonts w:ascii="Times New Roman" w:hAnsi="Times New Roman" w:cs="Times New Roman"/>
          <w:sz w:val="24"/>
          <w:szCs w:val="24"/>
        </w:rPr>
        <w:footnoteReference w:id="11"/>
      </w:r>
      <w:r w:rsidRPr="00B81DC3">
        <w:rPr>
          <w:rFonts w:ascii="Times New Roman" w:hAnsi="Times New Roman" w:cs="Times New Roman"/>
          <w:sz w:val="24"/>
          <w:szCs w:val="24"/>
        </w:rPr>
        <w:t xml:space="preserve">. In this context, the recognition was based on how to respect, protect, and restore customary land rights of the Pusu customary community according to the local value of </w:t>
      </w:r>
      <w:r w:rsidRPr="00B81DC3">
        <w:rPr>
          <w:rFonts w:ascii="Times New Roman" w:hAnsi="Times New Roman" w:cs="Times New Roman"/>
          <w:i/>
          <w:iCs/>
          <w:sz w:val="24"/>
          <w:szCs w:val="24"/>
        </w:rPr>
        <w:t>krik slamat</w:t>
      </w:r>
      <w:r w:rsidRPr="00B81DC3">
        <w:rPr>
          <w:rFonts w:ascii="Times New Roman" w:hAnsi="Times New Roman" w:cs="Times New Roman"/>
          <w:i/>
          <w:sz w:val="24"/>
          <w:szCs w:val="24"/>
        </w:rPr>
        <w:t xml:space="preserve">. </w:t>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sz w:val="24"/>
          <w:szCs w:val="24"/>
        </w:rPr>
        <w:t>The recognition of customary land rights is a topic that continues to be debated by many groups, including activists. There is an increase in its related conflict, as recorded in the end-year notes of the Customary Community Alliance of the Archipelago (CCSS). It reported 13 cases of confiscation of customary territories with an area of 251,000 hectares and 103,717 victims.</w:t>
      </w:r>
      <w:r w:rsidRPr="00B81DC3">
        <w:rPr>
          <w:rStyle w:val="FootnoteReference"/>
          <w:rFonts w:ascii="Times New Roman" w:hAnsi="Times New Roman" w:cs="Times New Roman"/>
          <w:sz w:val="24"/>
          <w:szCs w:val="24"/>
        </w:rPr>
        <w:footnoteReference w:id="12"/>
      </w:r>
      <w:r w:rsidRPr="00B81DC3">
        <w:rPr>
          <w:rFonts w:ascii="Times New Roman" w:hAnsi="Times New Roman" w:cs="Times New Roman"/>
          <w:sz w:val="24"/>
          <w:szCs w:val="24"/>
        </w:rPr>
        <w:t xml:space="preserve"> The recognition is the Regional Regulations, and Head Decrees stipulated in Law Number 5 of 1990 concerning Agrarian Principles Jo. Law No. 41 of 1999 concerning Forestry Jo. Minister of Home Affairs Regulation Number 52 of 2014 concerning Guidelines for the Recognition and Protection of Customary Community is strengthened by the Constitutional Court Number: 35/PUU-X/2012. There are 158 regional legal products in Indonesia, consisting of 11 Provincial, 1 Governor, 57 Regional, 2 Regents, and 87 Regent Decree Regulations spread over 23 Provinces and 65 Regencies.</w:t>
      </w:r>
      <w:r w:rsidRPr="00B81DC3">
        <w:rPr>
          <w:rStyle w:val="FootnoteReference"/>
          <w:rFonts w:ascii="Times New Roman" w:hAnsi="Times New Roman" w:cs="Times New Roman"/>
          <w:sz w:val="24"/>
          <w:szCs w:val="24"/>
        </w:rPr>
        <w:footnoteReference w:id="13"/>
      </w:r>
      <w:r w:rsidRPr="00B81DC3">
        <w:rPr>
          <w:rFonts w:ascii="Times New Roman" w:hAnsi="Times New Roman" w:cs="Times New Roman"/>
          <w:sz w:val="24"/>
          <w:szCs w:val="24"/>
        </w:rPr>
        <w:t xml:space="preserve"> This does not include the West Nusa Tenggara Provincial Regulation, which was recently enacted. Regional regulations are considered very effective in resolving land disputes</w:t>
      </w:r>
      <w:r w:rsidRPr="00B81DC3">
        <w:rPr>
          <w:rStyle w:val="FootnoteReference"/>
          <w:rFonts w:ascii="Times New Roman" w:hAnsi="Times New Roman" w:cs="Times New Roman"/>
          <w:sz w:val="24"/>
          <w:szCs w:val="24"/>
        </w:rPr>
        <w:footnoteReference w:id="14"/>
      </w:r>
      <w:r w:rsidRPr="00B81DC3">
        <w:rPr>
          <w:rFonts w:ascii="Times New Roman" w:hAnsi="Times New Roman" w:cs="Times New Roman"/>
          <w:sz w:val="24"/>
          <w:szCs w:val="24"/>
        </w:rPr>
        <w:t xml:space="preserve">. However, this is in contrast to Sumbawa Regency, which threatens the existence of Regional Regulations regarding customary community and their land rights. The regulation on recognition of land rights has been established by the Regent of Sumbawa decree concerning </w:t>
      </w:r>
      <w:r w:rsidRPr="00B81DC3">
        <w:rPr>
          <w:rFonts w:ascii="Times New Roman" w:hAnsi="Times New Roman" w:cs="Times New Roman"/>
          <w:i/>
          <w:iCs/>
          <w:sz w:val="24"/>
          <w:szCs w:val="24"/>
        </w:rPr>
        <w:t xml:space="preserve">Lar </w:t>
      </w:r>
      <w:r w:rsidRPr="00B81DC3">
        <w:rPr>
          <w:rFonts w:ascii="Times New Roman" w:hAnsi="Times New Roman" w:cs="Times New Roman"/>
          <w:sz w:val="24"/>
          <w:szCs w:val="24"/>
        </w:rPr>
        <w:t xml:space="preserve">land (the land where traditional grazing lands are). On the other hand, local values were not accommodated in the regulations for managing </w:t>
      </w:r>
      <w:r w:rsidRPr="00B81DC3">
        <w:rPr>
          <w:rFonts w:ascii="Times New Roman" w:hAnsi="Times New Roman" w:cs="Times New Roman"/>
          <w:i/>
          <w:iCs/>
          <w:sz w:val="24"/>
          <w:szCs w:val="24"/>
        </w:rPr>
        <w:t>Lar</w:t>
      </w:r>
      <w:r w:rsidRPr="00B81DC3">
        <w:rPr>
          <w:rFonts w:ascii="Times New Roman" w:hAnsi="Times New Roman" w:cs="Times New Roman"/>
          <w:sz w:val="24"/>
          <w:szCs w:val="24"/>
        </w:rPr>
        <w:t xml:space="preserve"> land in Sumbawa </w:t>
      </w:r>
      <w:r w:rsidRPr="00B81DC3">
        <w:rPr>
          <w:rStyle w:val="FootnoteReference"/>
          <w:rFonts w:ascii="Times New Roman" w:hAnsi="Times New Roman" w:cs="Times New Roman"/>
          <w:sz w:val="24"/>
          <w:szCs w:val="24"/>
        </w:rPr>
        <w:footnoteReference w:id="15"/>
      </w:r>
      <w:r w:rsidRPr="00B81DC3">
        <w:rPr>
          <w:rFonts w:ascii="Times New Roman" w:hAnsi="Times New Roman" w:cs="Times New Roman"/>
          <w:sz w:val="24"/>
          <w:szCs w:val="24"/>
        </w:rPr>
        <w:t>.  The customary land of the Pusu customary community is different from West Sumatra, which has been registered to ensure legal certainty</w:t>
      </w:r>
      <w:r w:rsidRPr="00B81DC3">
        <w:rPr>
          <w:rStyle w:val="FootnoteReference"/>
          <w:rFonts w:ascii="Times New Roman" w:hAnsi="Times New Roman" w:cs="Times New Roman"/>
          <w:sz w:val="24"/>
          <w:szCs w:val="24"/>
        </w:rPr>
        <w:footnoteReference w:id="16"/>
      </w:r>
      <w:r w:rsidRPr="00B81DC3">
        <w:rPr>
          <w:rFonts w:ascii="Times New Roman" w:hAnsi="Times New Roman" w:cs="Times New Roman"/>
          <w:sz w:val="24"/>
          <w:szCs w:val="24"/>
        </w:rPr>
        <w:t xml:space="preserve">. </w:t>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sz w:val="24"/>
          <w:szCs w:val="24"/>
        </w:rPr>
        <w:t xml:space="preserve">Law Number 5 of 1960 concerning Agrarian Principles calls it </w:t>
      </w:r>
      <w:r w:rsidRPr="00B81DC3">
        <w:rPr>
          <w:rFonts w:ascii="Times New Roman" w:hAnsi="Times New Roman" w:cs="Times New Roman"/>
          <w:i/>
          <w:iCs/>
          <w:sz w:val="24"/>
          <w:szCs w:val="24"/>
        </w:rPr>
        <w:t xml:space="preserve">ulayat </w:t>
      </w:r>
      <w:r w:rsidRPr="00B81DC3">
        <w:rPr>
          <w:rFonts w:ascii="Times New Roman" w:hAnsi="Times New Roman" w:cs="Times New Roman"/>
          <w:sz w:val="24"/>
          <w:szCs w:val="24"/>
        </w:rPr>
        <w:t xml:space="preserve">rights. In various regions in Indonesia, customary lands are referred to by different names, including </w:t>
      </w:r>
      <w:r w:rsidRPr="00B81DC3">
        <w:rPr>
          <w:rFonts w:ascii="Times New Roman" w:hAnsi="Times New Roman" w:cs="Times New Roman"/>
          <w:i/>
          <w:iCs/>
          <w:sz w:val="24"/>
          <w:szCs w:val="24"/>
        </w:rPr>
        <w:t xml:space="preserve">paer </w:t>
      </w:r>
      <w:r w:rsidRPr="00B81DC3">
        <w:rPr>
          <w:rFonts w:ascii="Times New Roman" w:hAnsi="Times New Roman" w:cs="Times New Roman"/>
          <w:sz w:val="24"/>
          <w:szCs w:val="24"/>
        </w:rPr>
        <w:t xml:space="preserve">in Lombok, </w:t>
      </w:r>
      <w:r w:rsidRPr="00B81DC3">
        <w:rPr>
          <w:rFonts w:ascii="Times New Roman" w:hAnsi="Times New Roman" w:cs="Times New Roman"/>
          <w:i/>
          <w:iCs/>
          <w:sz w:val="24"/>
          <w:szCs w:val="24"/>
        </w:rPr>
        <w:t xml:space="preserve">padukuhan </w:t>
      </w:r>
      <w:r w:rsidRPr="00B81DC3">
        <w:rPr>
          <w:rFonts w:ascii="Times New Roman" w:hAnsi="Times New Roman" w:cs="Times New Roman"/>
          <w:sz w:val="24"/>
          <w:szCs w:val="24"/>
        </w:rPr>
        <w:t xml:space="preserve">in Talonang, </w:t>
      </w:r>
      <w:r w:rsidRPr="00B81DC3">
        <w:rPr>
          <w:rFonts w:ascii="Times New Roman" w:hAnsi="Times New Roman" w:cs="Times New Roman"/>
          <w:i/>
          <w:iCs/>
          <w:sz w:val="24"/>
          <w:szCs w:val="24"/>
        </w:rPr>
        <w:t xml:space="preserve">wewenkon </w:t>
      </w:r>
      <w:r w:rsidRPr="00B81DC3">
        <w:rPr>
          <w:rFonts w:ascii="Times New Roman" w:hAnsi="Times New Roman" w:cs="Times New Roman"/>
          <w:sz w:val="24"/>
          <w:szCs w:val="24"/>
        </w:rPr>
        <w:t xml:space="preserve">in Java, </w:t>
      </w:r>
      <w:r w:rsidRPr="00B81DC3">
        <w:rPr>
          <w:rFonts w:ascii="Times New Roman" w:hAnsi="Times New Roman" w:cs="Times New Roman"/>
          <w:i/>
          <w:iCs/>
          <w:sz w:val="24"/>
          <w:szCs w:val="24"/>
        </w:rPr>
        <w:t xml:space="preserve">prabumian </w:t>
      </w:r>
      <w:r w:rsidRPr="00B81DC3">
        <w:rPr>
          <w:rFonts w:ascii="Times New Roman" w:hAnsi="Times New Roman" w:cs="Times New Roman"/>
          <w:sz w:val="24"/>
          <w:szCs w:val="24"/>
        </w:rPr>
        <w:t xml:space="preserve">in Bali, and </w:t>
      </w:r>
      <w:r w:rsidRPr="00B81DC3">
        <w:rPr>
          <w:rFonts w:ascii="Times New Roman" w:hAnsi="Times New Roman" w:cs="Times New Roman"/>
          <w:i/>
          <w:iCs/>
          <w:sz w:val="24"/>
          <w:szCs w:val="24"/>
        </w:rPr>
        <w:t xml:space="preserve">lar lamat </w:t>
      </w:r>
      <w:r w:rsidRPr="00B81DC3">
        <w:rPr>
          <w:rFonts w:ascii="Times New Roman" w:hAnsi="Times New Roman" w:cs="Times New Roman"/>
          <w:sz w:val="24"/>
          <w:szCs w:val="24"/>
        </w:rPr>
        <w:t xml:space="preserve">in Sumbawa. Experts also differ in customary lands, such as </w:t>
      </w:r>
      <w:r w:rsidRPr="00B81DC3">
        <w:rPr>
          <w:rFonts w:ascii="Times New Roman" w:hAnsi="Times New Roman" w:cs="Times New Roman"/>
          <w:i/>
          <w:iCs/>
          <w:sz w:val="24"/>
          <w:szCs w:val="24"/>
        </w:rPr>
        <w:t>'beshhikkingrecht',</w:t>
      </w:r>
      <w:r w:rsidRPr="00B81DC3">
        <w:rPr>
          <w:rFonts w:ascii="Times New Roman" w:hAnsi="Times New Roman" w:cs="Times New Roman"/>
          <w:sz w:val="24"/>
          <w:szCs w:val="24"/>
        </w:rPr>
        <w:t xml:space="preserve"> lordship rights, and ancient rights by Van Vollenhoven </w:t>
      </w:r>
      <w:r w:rsidRPr="00B81DC3">
        <w:rPr>
          <w:rStyle w:val="FootnoteReference"/>
          <w:rFonts w:ascii="Times New Roman" w:hAnsi="Times New Roman" w:cs="Times New Roman"/>
          <w:sz w:val="24"/>
          <w:szCs w:val="24"/>
        </w:rPr>
        <w:footnoteReference w:id="17"/>
      </w:r>
      <w:r w:rsidRPr="00B81DC3">
        <w:rPr>
          <w:rFonts w:ascii="Times New Roman" w:hAnsi="Times New Roman" w:cs="Times New Roman"/>
          <w:sz w:val="24"/>
          <w:szCs w:val="24"/>
        </w:rPr>
        <w:t xml:space="preserve">, Supomo </w:t>
      </w:r>
      <w:r w:rsidRPr="00B81DC3">
        <w:rPr>
          <w:rStyle w:val="FootnoteReference"/>
          <w:rFonts w:ascii="Times New Roman" w:hAnsi="Times New Roman" w:cs="Times New Roman"/>
          <w:sz w:val="24"/>
          <w:szCs w:val="24"/>
        </w:rPr>
        <w:footnoteReference w:id="18"/>
      </w:r>
      <w:r w:rsidRPr="00B81DC3">
        <w:rPr>
          <w:rFonts w:ascii="Times New Roman" w:hAnsi="Times New Roman" w:cs="Times New Roman"/>
          <w:sz w:val="24"/>
          <w:szCs w:val="24"/>
        </w:rPr>
        <w:t xml:space="preserve">,  and Iman Sudiyat, respectively. </w:t>
      </w:r>
      <w:r w:rsidRPr="00B81DC3">
        <w:rPr>
          <w:rStyle w:val="FootnoteReference"/>
          <w:rFonts w:ascii="Times New Roman" w:hAnsi="Times New Roman" w:cs="Times New Roman"/>
          <w:sz w:val="24"/>
          <w:szCs w:val="24"/>
        </w:rPr>
        <w:footnoteReference w:id="19"/>
      </w:r>
      <w:r w:rsidRPr="00B81DC3">
        <w:rPr>
          <w:rFonts w:ascii="Times New Roman" w:hAnsi="Times New Roman" w:cs="Times New Roman"/>
          <w:sz w:val="24"/>
          <w:szCs w:val="24"/>
        </w:rPr>
        <w:t xml:space="preserve"> </w:t>
      </w:r>
    </w:p>
    <w:p w:rsidR="00305ECC" w:rsidRPr="00B81DC3"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sz w:val="24"/>
          <w:szCs w:val="24"/>
        </w:rPr>
        <w:t>Recognition is 'recognizing the right of the origin'.</w:t>
      </w:r>
      <w:r w:rsidRPr="00B81DC3">
        <w:rPr>
          <w:rStyle w:val="FootnoteReference"/>
          <w:rFonts w:ascii="Times New Roman" w:hAnsi="Times New Roman" w:cs="Times New Roman"/>
          <w:sz w:val="24"/>
          <w:szCs w:val="24"/>
        </w:rPr>
        <w:footnoteReference w:id="20"/>
      </w:r>
      <w:r w:rsidRPr="00B81DC3">
        <w:rPr>
          <w:rFonts w:ascii="Times New Roman" w:hAnsi="Times New Roman" w:cs="Times New Roman"/>
          <w:color w:val="000000"/>
          <w:sz w:val="24"/>
          <w:szCs w:val="24"/>
        </w:rPr>
        <w:t xml:space="preserve"> Customary land, one of the rights of origin of the Pusu community, has economic and spiritual values. Maria Sumardjono indicated its existence by the presence of the community, customary lands, and the authority to connect the community with their lands.</w:t>
      </w:r>
      <w:r w:rsidRPr="00B81DC3">
        <w:rPr>
          <w:rStyle w:val="FootnoteReference"/>
          <w:rFonts w:ascii="Times New Roman" w:hAnsi="Times New Roman" w:cs="Times New Roman"/>
          <w:sz w:val="24"/>
          <w:szCs w:val="24"/>
        </w:rPr>
        <w:footnoteReference w:id="21"/>
      </w:r>
      <w:r w:rsidRPr="00B81DC3">
        <w:rPr>
          <w:rFonts w:ascii="Times New Roman" w:hAnsi="Times New Roman" w:cs="Times New Roman"/>
          <w:color w:val="000000"/>
          <w:sz w:val="24"/>
          <w:szCs w:val="24"/>
        </w:rPr>
        <w:t xml:space="preserve"> Furthermore, the lands are divided into three forms</w:t>
      </w:r>
      <w:r w:rsidRPr="00B81DC3">
        <w:rPr>
          <w:rStyle w:val="FootnoteReference"/>
          <w:rFonts w:ascii="Times New Roman" w:hAnsi="Times New Roman" w:cs="Times New Roman"/>
          <w:sz w:val="24"/>
          <w:szCs w:val="24"/>
        </w:rPr>
        <w:footnoteReference w:id="22"/>
      </w:r>
      <w:r w:rsidRPr="00B81DC3">
        <w:rPr>
          <w:rFonts w:ascii="Times New Roman" w:hAnsi="Times New Roman" w:cs="Times New Roman"/>
          <w:color w:val="000000"/>
          <w:sz w:val="24"/>
          <w:szCs w:val="24"/>
        </w:rPr>
        <w:t xml:space="preserve">, namely </w:t>
      </w:r>
      <w:r w:rsidRPr="00B81DC3">
        <w:rPr>
          <w:rFonts w:ascii="Times New Roman" w:hAnsi="Times New Roman" w:cs="Times New Roman"/>
          <w:i/>
          <w:iCs/>
          <w:color w:val="000000"/>
          <w:sz w:val="24"/>
          <w:szCs w:val="24"/>
        </w:rPr>
        <w:t>tana' tue ria</w:t>
      </w:r>
      <w:r w:rsidRPr="00B81DC3">
        <w:rPr>
          <w:rFonts w:ascii="Times New Roman" w:hAnsi="Times New Roman" w:cs="Times New Roman"/>
          <w:color w:val="000000"/>
          <w:sz w:val="24"/>
          <w:szCs w:val="24"/>
        </w:rPr>
        <w:t xml:space="preserve">, </w:t>
      </w:r>
      <w:r w:rsidRPr="00B81DC3">
        <w:rPr>
          <w:rFonts w:ascii="Times New Roman" w:hAnsi="Times New Roman" w:cs="Times New Roman"/>
          <w:i/>
          <w:iCs/>
          <w:color w:val="000000"/>
          <w:sz w:val="24"/>
          <w:szCs w:val="24"/>
        </w:rPr>
        <w:t>tana' balo tolo</w:t>
      </w:r>
      <w:r w:rsidRPr="00B81DC3">
        <w:rPr>
          <w:rFonts w:ascii="Times New Roman" w:hAnsi="Times New Roman" w:cs="Times New Roman"/>
          <w:color w:val="000000"/>
          <w:sz w:val="24"/>
          <w:szCs w:val="24"/>
        </w:rPr>
        <w:t xml:space="preserve">, and </w:t>
      </w:r>
      <w:r w:rsidRPr="00B81DC3">
        <w:rPr>
          <w:rFonts w:ascii="Times New Roman" w:hAnsi="Times New Roman" w:cs="Times New Roman"/>
          <w:i/>
          <w:iCs/>
          <w:color w:val="000000"/>
          <w:sz w:val="24"/>
          <w:szCs w:val="24"/>
        </w:rPr>
        <w:t>tana' jompang</w:t>
      </w:r>
      <w:r w:rsidRPr="00B81DC3">
        <w:rPr>
          <w:rFonts w:ascii="Times New Roman" w:hAnsi="Times New Roman" w:cs="Times New Roman"/>
          <w:color w:val="000000"/>
          <w:sz w:val="24"/>
          <w:szCs w:val="24"/>
        </w:rPr>
        <w:t>.</w:t>
      </w:r>
      <w:r w:rsidRPr="00B81DC3">
        <w:rPr>
          <w:rFonts w:ascii="Times New Roman" w:hAnsi="Times New Roman" w:cs="Times New Roman"/>
          <w:i/>
          <w:iCs/>
          <w:color w:val="000000"/>
          <w:sz w:val="24"/>
          <w:szCs w:val="24"/>
        </w:rPr>
        <w:t xml:space="preserve"> Tana' tue ria</w:t>
      </w:r>
      <w:r w:rsidRPr="00B81DC3">
        <w:rPr>
          <w:rFonts w:ascii="Times New Roman" w:hAnsi="Times New Roman" w:cs="Times New Roman"/>
          <w:color w:val="000000"/>
          <w:sz w:val="24"/>
          <w:szCs w:val="24"/>
        </w:rPr>
        <w:t xml:space="preserve"> is a traditional forest used by the Pusu community for hunting, taking medicines, and sourcing traditional house tools, ritual places, and springs. </w:t>
      </w:r>
      <w:r w:rsidRPr="00B81DC3">
        <w:rPr>
          <w:rFonts w:ascii="Times New Roman" w:hAnsi="Times New Roman" w:cs="Times New Roman"/>
          <w:i/>
          <w:iCs/>
          <w:color w:val="000000"/>
          <w:sz w:val="24"/>
          <w:szCs w:val="24"/>
        </w:rPr>
        <w:t>Tana 'balo tolo</w:t>
      </w:r>
      <w:r w:rsidRPr="00B81DC3">
        <w:rPr>
          <w:rFonts w:ascii="Times New Roman" w:hAnsi="Times New Roman" w:cs="Times New Roman"/>
          <w:color w:val="000000"/>
          <w:sz w:val="24"/>
          <w:szCs w:val="24"/>
        </w:rPr>
        <w:t xml:space="preserve"> is a traditional land inherited from the ancestors. This large amount of land was inherited because the Pusu community moved to other areas in Sumbawa after being afflicted by three residential fires. Meanwhile, </w:t>
      </w:r>
      <w:r w:rsidRPr="00B81DC3">
        <w:rPr>
          <w:rFonts w:ascii="Times New Roman" w:hAnsi="Times New Roman" w:cs="Times New Roman"/>
          <w:i/>
          <w:iCs/>
          <w:color w:val="000000"/>
          <w:sz w:val="24"/>
          <w:szCs w:val="24"/>
        </w:rPr>
        <w:t>Tana 'jompang</w:t>
      </w:r>
      <w:r w:rsidRPr="00B81DC3">
        <w:rPr>
          <w:rFonts w:ascii="Times New Roman" w:hAnsi="Times New Roman" w:cs="Times New Roman"/>
          <w:color w:val="000000"/>
          <w:sz w:val="24"/>
          <w:szCs w:val="24"/>
        </w:rPr>
        <w:t xml:space="preserve"> is a former land for settlement. The community is created from several </w:t>
      </w:r>
      <w:r w:rsidRPr="00B81DC3">
        <w:rPr>
          <w:rFonts w:ascii="Times New Roman" w:hAnsi="Times New Roman" w:cs="Times New Roman"/>
          <w:i/>
          <w:iCs/>
          <w:color w:val="000000"/>
          <w:sz w:val="24"/>
          <w:szCs w:val="24"/>
        </w:rPr>
        <w:t>jompangs</w:t>
      </w:r>
      <w:r w:rsidRPr="00B81DC3">
        <w:rPr>
          <w:rFonts w:ascii="Times New Roman" w:hAnsi="Times New Roman" w:cs="Times New Roman"/>
          <w:color w:val="000000"/>
          <w:sz w:val="24"/>
          <w:szCs w:val="24"/>
        </w:rPr>
        <w:t xml:space="preserve"> that united to form their institutions and government, hence, the others became communal land. Additionally, Pusu customary land has been mapped using a participatory approach to determine the boundaries and area. This Participatory Mapping is presented to the State, giving the existence of customary land a recognition</w:t>
      </w:r>
      <w:r w:rsidRPr="00B81DC3">
        <w:rPr>
          <w:rStyle w:val="FootnoteReference"/>
          <w:rFonts w:ascii="Times New Roman" w:hAnsi="Times New Roman" w:cs="Times New Roman"/>
          <w:sz w:val="24"/>
          <w:szCs w:val="24"/>
        </w:rPr>
        <w:footnoteReference w:id="23"/>
      </w:r>
      <w:r w:rsidRPr="00B81DC3">
        <w:rPr>
          <w:rFonts w:ascii="Times New Roman" w:hAnsi="Times New Roman" w:cs="Times New Roman"/>
          <w:color w:val="000000"/>
          <w:sz w:val="24"/>
          <w:szCs w:val="24"/>
        </w:rPr>
        <w:t>.</w:t>
      </w:r>
    </w:p>
    <w:p w:rsidR="00305ECC" w:rsidRPr="00B81DC3"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sz w:val="24"/>
          <w:szCs w:val="24"/>
        </w:rPr>
        <w:t>Recognition is an act of respect, protection and restoration of rights to achieve equality. Gobar Rona explained that all these acts are known as human rights.</w:t>
      </w:r>
      <w:r w:rsidRPr="00B81DC3">
        <w:rPr>
          <w:rStyle w:val="FootnoteReference"/>
          <w:rFonts w:ascii="Times New Roman" w:hAnsi="Times New Roman" w:cs="Times New Roman"/>
          <w:sz w:val="24"/>
          <w:szCs w:val="24"/>
        </w:rPr>
        <w:footnoteReference w:id="24"/>
      </w:r>
      <w:r w:rsidRPr="00B81DC3">
        <w:rPr>
          <w:rFonts w:ascii="Times New Roman" w:hAnsi="Times New Roman" w:cs="Times New Roman"/>
          <w:sz w:val="24"/>
          <w:szCs w:val="24"/>
        </w:rPr>
        <w:t xml:space="preserve"> </w:t>
      </w:r>
      <w:r w:rsidRPr="00B81DC3">
        <w:rPr>
          <w:rFonts w:ascii="Times New Roman" w:hAnsi="Times New Roman" w:cs="Times New Roman"/>
          <w:color w:val="000000"/>
          <w:sz w:val="24"/>
          <w:szCs w:val="24"/>
        </w:rPr>
        <w:t xml:space="preserve">Recognition of customary land rights of the Pusu community with </w:t>
      </w:r>
      <w:r w:rsidRPr="00B81DC3">
        <w:rPr>
          <w:rFonts w:ascii="Times New Roman" w:hAnsi="Times New Roman" w:cs="Times New Roman"/>
          <w:i/>
          <w:iCs/>
          <w:color w:val="000000"/>
          <w:sz w:val="24"/>
          <w:szCs w:val="24"/>
        </w:rPr>
        <w:t>'rpulung'</w:t>
      </w:r>
      <w:r w:rsidRPr="00B81DC3">
        <w:rPr>
          <w:rFonts w:ascii="Times New Roman" w:hAnsi="Times New Roman" w:cs="Times New Roman"/>
          <w:color w:val="000000"/>
          <w:sz w:val="24"/>
          <w:szCs w:val="24"/>
        </w:rPr>
        <w:t xml:space="preserve"> aims to respect and protect the lands. </w:t>
      </w:r>
      <w:r w:rsidRPr="00B81DC3">
        <w:rPr>
          <w:rFonts w:ascii="Times New Roman" w:hAnsi="Times New Roman" w:cs="Times New Roman"/>
          <w:i/>
          <w:iCs/>
          <w:color w:val="000000"/>
          <w:sz w:val="24"/>
          <w:szCs w:val="24"/>
        </w:rPr>
        <w:t xml:space="preserve">Rpulung </w:t>
      </w:r>
      <w:r w:rsidRPr="00B81DC3">
        <w:rPr>
          <w:rFonts w:ascii="Times New Roman" w:hAnsi="Times New Roman" w:cs="Times New Roman"/>
          <w:color w:val="000000"/>
          <w:sz w:val="24"/>
          <w:szCs w:val="24"/>
        </w:rPr>
        <w:t xml:space="preserve">is a deliberation for consensus among the communities led by a leader called </w:t>
      </w:r>
      <w:r w:rsidRPr="00B81DC3">
        <w:rPr>
          <w:rFonts w:ascii="Times New Roman" w:hAnsi="Times New Roman" w:cs="Times New Roman"/>
          <w:i/>
          <w:iCs/>
          <w:color w:val="000000"/>
          <w:sz w:val="24"/>
          <w:szCs w:val="24"/>
        </w:rPr>
        <w:t>ine adat</w:t>
      </w:r>
      <w:r w:rsidRPr="00B81DC3">
        <w:rPr>
          <w:rFonts w:ascii="Times New Roman" w:hAnsi="Times New Roman" w:cs="Times New Roman"/>
          <w:color w:val="000000"/>
          <w:sz w:val="24"/>
          <w:szCs w:val="24"/>
        </w:rPr>
        <w:t xml:space="preserve"> to obtain decisions. </w:t>
      </w:r>
      <w:r w:rsidRPr="00B81DC3">
        <w:rPr>
          <w:rFonts w:ascii="Times New Roman" w:hAnsi="Times New Roman" w:cs="Times New Roman"/>
          <w:i/>
          <w:iCs/>
          <w:color w:val="000000"/>
          <w:sz w:val="24"/>
          <w:szCs w:val="24"/>
        </w:rPr>
        <w:t>Ine adat</w:t>
      </w:r>
      <w:r w:rsidRPr="00B81DC3">
        <w:rPr>
          <w:rFonts w:ascii="Times New Roman" w:hAnsi="Times New Roman" w:cs="Times New Roman"/>
          <w:color w:val="000000"/>
          <w:sz w:val="24"/>
          <w:szCs w:val="24"/>
        </w:rPr>
        <w:t xml:space="preserve"> in other areas, such as in Rejang Regency, is called </w:t>
      </w:r>
      <w:r w:rsidRPr="00B81DC3">
        <w:rPr>
          <w:rFonts w:ascii="Times New Roman" w:hAnsi="Times New Roman" w:cs="Times New Roman"/>
          <w:i/>
          <w:iCs/>
          <w:color w:val="000000"/>
          <w:sz w:val="24"/>
          <w:szCs w:val="24"/>
        </w:rPr>
        <w:t>'jenang kutai'</w:t>
      </w:r>
      <w:r w:rsidRPr="00B81DC3">
        <w:rPr>
          <w:rStyle w:val="FootnoteReference"/>
          <w:rFonts w:ascii="Times New Roman" w:hAnsi="Times New Roman" w:cs="Times New Roman"/>
          <w:sz w:val="24"/>
          <w:szCs w:val="24"/>
        </w:rPr>
        <w:footnoteReference w:id="25"/>
      </w:r>
      <w:r w:rsidRPr="00B81DC3">
        <w:rPr>
          <w:rFonts w:ascii="Times New Roman" w:hAnsi="Times New Roman" w:cs="Times New Roman"/>
          <w:i/>
          <w:color w:val="000000"/>
          <w:sz w:val="24"/>
          <w:szCs w:val="24"/>
        </w:rPr>
        <w:t xml:space="preserve"> </w:t>
      </w:r>
      <w:r w:rsidRPr="00B81DC3">
        <w:rPr>
          <w:rFonts w:ascii="Times New Roman" w:hAnsi="Times New Roman" w:cs="Times New Roman"/>
          <w:color w:val="000000"/>
          <w:sz w:val="24"/>
          <w:szCs w:val="24"/>
        </w:rPr>
        <w:t>because they possess wisdom and maturity in making decisions. This</w:t>
      </w:r>
      <w:r w:rsidRPr="00B81DC3">
        <w:rPr>
          <w:rFonts w:ascii="Times New Roman" w:hAnsi="Times New Roman" w:cs="Times New Roman"/>
          <w:i/>
          <w:iCs/>
          <w:color w:val="000000"/>
          <w:sz w:val="24"/>
          <w:szCs w:val="24"/>
        </w:rPr>
        <w:t xml:space="preserve"> </w:t>
      </w:r>
      <w:r w:rsidRPr="00B81DC3">
        <w:rPr>
          <w:rFonts w:ascii="Times New Roman" w:hAnsi="Times New Roman" w:cs="Times New Roman"/>
          <w:color w:val="000000"/>
          <w:sz w:val="24"/>
          <w:szCs w:val="24"/>
        </w:rPr>
        <w:t xml:space="preserve">is a institution where the authority is obtained based on deliberations that should be maintained because the value of </w:t>
      </w:r>
      <w:r w:rsidRPr="00B81DC3">
        <w:rPr>
          <w:rFonts w:ascii="Times New Roman" w:hAnsi="Times New Roman" w:cs="Times New Roman"/>
          <w:i/>
          <w:iCs/>
          <w:color w:val="000000"/>
          <w:sz w:val="24"/>
          <w:szCs w:val="24"/>
        </w:rPr>
        <w:t>krik slamat</w:t>
      </w:r>
      <w:r w:rsidRPr="00B81DC3">
        <w:rPr>
          <w:rFonts w:ascii="Times New Roman" w:hAnsi="Times New Roman" w:cs="Times New Roman"/>
          <w:color w:val="000000"/>
          <w:sz w:val="24"/>
          <w:szCs w:val="24"/>
        </w:rPr>
        <w:t xml:space="preserve"> identifies that authority comes from God</w:t>
      </w:r>
      <w:r w:rsidRPr="00B81DC3">
        <w:rPr>
          <w:rFonts w:ascii="Times New Roman" w:hAnsi="Times New Roman" w:cs="Times New Roman"/>
          <w:sz w:val="24"/>
          <w:szCs w:val="24"/>
        </w:rPr>
        <w:t>.</w:t>
      </w:r>
      <w:r w:rsidRPr="00B81DC3">
        <w:rPr>
          <w:rStyle w:val="FootnoteReference"/>
          <w:rFonts w:ascii="Times New Roman" w:hAnsi="Times New Roman" w:cs="Times New Roman"/>
          <w:sz w:val="24"/>
          <w:szCs w:val="24"/>
        </w:rPr>
        <w:footnoteReference w:id="26"/>
      </w:r>
      <w:r w:rsidRPr="00B81DC3">
        <w:rPr>
          <w:rFonts w:ascii="Times New Roman" w:hAnsi="Times New Roman" w:cs="Times New Roman"/>
          <w:color w:val="000000"/>
          <w:sz w:val="24"/>
          <w:szCs w:val="24"/>
        </w:rPr>
        <w:t xml:space="preserve">  </w:t>
      </w:r>
      <w:r w:rsidRPr="00B81DC3">
        <w:rPr>
          <w:rFonts w:ascii="Times New Roman" w:hAnsi="Times New Roman" w:cs="Times New Roman"/>
          <w:sz w:val="24"/>
          <w:szCs w:val="24"/>
        </w:rPr>
        <w:t>It institution has a role in preventing conflict, conflict handling, and post-conflict management.</w:t>
      </w:r>
      <w:r w:rsidRPr="00B81DC3">
        <w:rPr>
          <w:rStyle w:val="FootnoteReference"/>
          <w:rFonts w:ascii="Times New Roman" w:hAnsi="Times New Roman" w:cs="Times New Roman"/>
          <w:sz w:val="24"/>
          <w:szCs w:val="24"/>
        </w:rPr>
        <w:footnoteReference w:id="27"/>
      </w:r>
      <w:r w:rsidRPr="00B81DC3">
        <w:rPr>
          <w:rFonts w:ascii="Times New Roman" w:hAnsi="Times New Roman" w:cs="Times New Roman"/>
          <w:color w:val="000000"/>
          <w:sz w:val="24"/>
          <w:szCs w:val="24"/>
        </w:rPr>
        <w:t xml:space="preserve"> </w:t>
      </w:r>
      <w:r w:rsidRPr="00B81DC3">
        <w:rPr>
          <w:rFonts w:ascii="Times New Roman" w:hAnsi="Times New Roman" w:cs="Times New Roman"/>
          <w:i/>
          <w:iCs/>
          <w:color w:val="000000"/>
          <w:sz w:val="24"/>
          <w:szCs w:val="24"/>
        </w:rPr>
        <w:t xml:space="preserve">Rpulung </w:t>
      </w:r>
      <w:r w:rsidRPr="00B81DC3">
        <w:rPr>
          <w:rFonts w:ascii="Times New Roman" w:hAnsi="Times New Roman" w:cs="Times New Roman"/>
          <w:iCs/>
          <w:color w:val="000000"/>
          <w:sz w:val="24"/>
          <w:szCs w:val="24"/>
        </w:rPr>
        <w:t xml:space="preserve">is conducted according to the principles that 1) the customary community recognizes land as a place of return, 2) the members have the right to express opinions, 3) </w:t>
      </w:r>
      <w:r w:rsidRPr="00B81DC3">
        <w:rPr>
          <w:rFonts w:ascii="Times New Roman" w:hAnsi="Times New Roman" w:cs="Times New Roman"/>
          <w:i/>
          <w:iCs/>
          <w:color w:val="000000"/>
          <w:sz w:val="24"/>
          <w:szCs w:val="24"/>
        </w:rPr>
        <w:t xml:space="preserve">buwat </w:t>
      </w:r>
      <w:r w:rsidRPr="00B81DC3">
        <w:rPr>
          <w:rFonts w:ascii="Times New Roman" w:hAnsi="Times New Roman" w:cs="Times New Roman"/>
          <w:iCs/>
          <w:color w:val="000000"/>
          <w:sz w:val="24"/>
          <w:szCs w:val="24"/>
        </w:rPr>
        <w:t xml:space="preserve">rights on customary land are divided equally, 4) the result is a mutual agreement, and 5) no one should be harmed. These are based on the local value of </w:t>
      </w:r>
      <w:r w:rsidRPr="00B81DC3">
        <w:rPr>
          <w:rFonts w:ascii="Times New Roman" w:hAnsi="Times New Roman" w:cs="Times New Roman"/>
          <w:i/>
          <w:iCs/>
          <w:color w:val="000000"/>
          <w:sz w:val="24"/>
          <w:szCs w:val="24"/>
        </w:rPr>
        <w:t>krik slamat.</w:t>
      </w:r>
      <w:r w:rsidRPr="00B81DC3">
        <w:rPr>
          <w:rFonts w:ascii="Times New Roman" w:hAnsi="Times New Roman" w:cs="Times New Roman"/>
          <w:iCs/>
          <w:color w:val="000000"/>
          <w:sz w:val="24"/>
          <w:szCs w:val="24"/>
        </w:rPr>
        <w:t xml:space="preserve"> Therefore, the recognition of customary land rights of the Pusu community contains elements of religious, democratic, and justice values. These decisions become law. This follows the report by Ter Haar</w:t>
      </w:r>
      <w:r w:rsidRPr="00B81DC3">
        <w:rPr>
          <w:rStyle w:val="FootnoteReference"/>
          <w:rFonts w:ascii="Times New Roman" w:hAnsi="Times New Roman" w:cs="Times New Roman"/>
          <w:sz w:val="24"/>
          <w:szCs w:val="24"/>
        </w:rPr>
        <w:footnoteReference w:id="28"/>
      </w:r>
      <w:r w:rsidRPr="00B81DC3">
        <w:rPr>
          <w:rFonts w:ascii="Times New Roman" w:hAnsi="Times New Roman" w:cs="Times New Roman"/>
          <w:color w:val="000000"/>
          <w:sz w:val="24"/>
          <w:szCs w:val="24"/>
        </w:rPr>
        <w:t>, which stated that the law is decisions made by officials with authority and influence that apply spontaneously and wholeheartedly.</w:t>
      </w:r>
    </w:p>
    <w:p w:rsidR="00305ECC" w:rsidRPr="00B81DC3" w:rsidRDefault="00305ECC" w:rsidP="00305ECC">
      <w:pPr>
        <w:spacing w:after="0"/>
        <w:ind w:left="720" w:firstLine="708"/>
        <w:jc w:val="both"/>
        <w:rPr>
          <w:rFonts w:ascii="Times New Roman" w:hAnsi="Times New Roman" w:cs="Times New Roman"/>
          <w:sz w:val="24"/>
          <w:szCs w:val="24"/>
          <w:lang w:eastAsia="en-US"/>
        </w:rPr>
      </w:pPr>
      <w:r w:rsidRPr="00B81DC3">
        <w:rPr>
          <w:rFonts w:ascii="Times New Roman" w:hAnsi="Times New Roman" w:cs="Times New Roman"/>
          <w:color w:val="000000"/>
          <w:sz w:val="24"/>
          <w:szCs w:val="24"/>
        </w:rPr>
        <w:t xml:space="preserve">Respect for the Pusu community's customary land is shown by recognizing that the land is a place to return, specifically by completing traditional ceremonies such as the </w:t>
      </w:r>
      <w:r w:rsidRPr="00B81DC3">
        <w:rPr>
          <w:rFonts w:ascii="Times New Roman" w:hAnsi="Times New Roman" w:cs="Times New Roman"/>
          <w:i/>
          <w:color w:val="000000"/>
          <w:sz w:val="24"/>
          <w:szCs w:val="24"/>
        </w:rPr>
        <w:t>buke tanah</w:t>
      </w:r>
      <w:r w:rsidRPr="00B81DC3">
        <w:rPr>
          <w:rFonts w:ascii="Times New Roman" w:hAnsi="Times New Roman" w:cs="Times New Roman"/>
          <w:color w:val="000000"/>
          <w:sz w:val="24"/>
          <w:szCs w:val="24"/>
        </w:rPr>
        <w:t xml:space="preserve"> ceremony</w:t>
      </w:r>
      <w:r w:rsidRPr="00B81DC3">
        <w:rPr>
          <w:rFonts w:ascii="Times New Roman" w:hAnsi="Times New Roman" w:cs="Times New Roman"/>
          <w:sz w:val="24"/>
          <w:szCs w:val="24"/>
          <w:vertAlign w:val="superscript"/>
        </w:rPr>
        <w:footnoteReference w:id="29"/>
      </w:r>
      <w:r w:rsidRPr="00B81DC3">
        <w:rPr>
          <w:rFonts w:ascii="Times New Roman" w:hAnsi="Times New Roman" w:cs="Times New Roman"/>
          <w:i/>
          <w:color w:val="000000"/>
          <w:sz w:val="24"/>
          <w:szCs w:val="24"/>
        </w:rPr>
        <w:t xml:space="preserve">. </w:t>
      </w:r>
      <w:r w:rsidRPr="00B81DC3">
        <w:rPr>
          <w:rFonts w:ascii="Times New Roman" w:hAnsi="Times New Roman" w:cs="Times New Roman"/>
          <w:color w:val="000000"/>
          <w:sz w:val="24"/>
          <w:szCs w:val="24"/>
        </w:rPr>
        <w:t xml:space="preserve">This ritual is performed at the beginning of land clearing for farming. The place is in the mosque where the community prays together, expecting the harvest will be successful. Afterward, they eat together. The next is the </w:t>
      </w:r>
      <w:r w:rsidRPr="00B81DC3">
        <w:rPr>
          <w:rFonts w:ascii="Times New Roman" w:hAnsi="Times New Roman" w:cs="Times New Roman"/>
          <w:i/>
          <w:iCs/>
          <w:color w:val="000000"/>
          <w:sz w:val="24"/>
          <w:szCs w:val="24"/>
        </w:rPr>
        <w:t xml:space="preserve">sedeka bao jeremi </w:t>
      </w:r>
      <w:r w:rsidRPr="00B81DC3">
        <w:rPr>
          <w:rFonts w:ascii="Times New Roman" w:hAnsi="Times New Roman" w:cs="Times New Roman"/>
          <w:color w:val="000000"/>
          <w:sz w:val="24"/>
          <w:szCs w:val="24"/>
        </w:rPr>
        <w:t>ritual which is a form of gratitude for agricultural products. This ritual is performed in the fields by eating their farm produce together, entertained with tambourine music. It is because customary land is a place of return and should be thoroughly guarded to the sky and the earth's core according to the principle of</w:t>
      </w:r>
      <w:r w:rsidRPr="00B81DC3">
        <w:rPr>
          <w:rFonts w:ascii="Times New Roman" w:hAnsi="Times New Roman" w:cs="Times New Roman"/>
          <w:i/>
          <w:iCs/>
          <w:color w:val="000000"/>
          <w:sz w:val="24"/>
          <w:szCs w:val="24"/>
        </w:rPr>
        <w:t xml:space="preserve"> 'cujus est solum ejus est usque ad caelum et ad inferos' </w:t>
      </w:r>
      <w:r w:rsidRPr="00B81DC3">
        <w:rPr>
          <w:rStyle w:val="FootnoteReference"/>
          <w:rFonts w:ascii="Times New Roman" w:hAnsi="Times New Roman" w:cs="Times New Roman"/>
          <w:sz w:val="24"/>
          <w:szCs w:val="24"/>
        </w:rPr>
        <w:footnoteReference w:id="30"/>
      </w:r>
      <w:r w:rsidRPr="00B81DC3">
        <w:rPr>
          <w:rFonts w:ascii="Times New Roman" w:hAnsi="Times New Roman" w:cs="Times New Roman"/>
          <w:color w:val="000000"/>
          <w:sz w:val="24"/>
          <w:szCs w:val="24"/>
        </w:rPr>
        <w:t xml:space="preserve"> and with traditional rituals</w:t>
      </w:r>
      <w:r w:rsidRPr="00B81DC3">
        <w:rPr>
          <w:rStyle w:val="FootnoteReference"/>
          <w:rFonts w:ascii="Times New Roman" w:hAnsi="Times New Roman" w:cs="Times New Roman"/>
          <w:sz w:val="24"/>
          <w:szCs w:val="24"/>
        </w:rPr>
        <w:footnoteReference w:id="31"/>
      </w:r>
      <w:r w:rsidRPr="00B81DC3">
        <w:rPr>
          <w:rFonts w:ascii="Times New Roman" w:hAnsi="Times New Roman" w:cs="Times New Roman"/>
          <w:color w:val="000000"/>
          <w:sz w:val="24"/>
          <w:szCs w:val="24"/>
        </w:rPr>
        <w:t>.</w:t>
      </w:r>
    </w:p>
    <w:p w:rsidR="00305ECC" w:rsidRPr="00B81DC3"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sz w:val="24"/>
          <w:szCs w:val="24"/>
        </w:rPr>
        <w:t xml:space="preserve">Satjipto Raharjo stated that legal protection aims to protect the community rights in law </w:t>
      </w:r>
      <w:r w:rsidRPr="00B81DC3">
        <w:rPr>
          <w:rStyle w:val="FootnoteReference"/>
          <w:rFonts w:ascii="Times New Roman" w:hAnsi="Times New Roman" w:cs="Times New Roman"/>
          <w:sz w:val="24"/>
          <w:szCs w:val="24"/>
        </w:rPr>
        <w:footnoteReference w:id="32"/>
      </w:r>
      <w:r w:rsidRPr="00B81DC3">
        <w:rPr>
          <w:rFonts w:ascii="Times New Roman" w:hAnsi="Times New Roman" w:cs="Times New Roman"/>
          <w:sz w:val="24"/>
          <w:szCs w:val="24"/>
        </w:rPr>
        <w:t>.</w:t>
      </w:r>
      <w:r w:rsidRPr="00B81DC3">
        <w:rPr>
          <w:rFonts w:ascii="Times New Roman" w:hAnsi="Times New Roman" w:cs="Times New Roman"/>
          <w:color w:val="000000"/>
          <w:sz w:val="24"/>
          <w:szCs w:val="24"/>
        </w:rPr>
        <w:t xml:space="preserve"> Recognition in the form of protecting the lands is regulated by laws that have evolved within the community. The arrangements are regulated in relation to the </w:t>
      </w:r>
      <w:r w:rsidRPr="00B81DC3">
        <w:rPr>
          <w:rFonts w:ascii="Times New Roman" w:hAnsi="Times New Roman" w:cs="Times New Roman"/>
          <w:i/>
          <w:iCs/>
          <w:color w:val="000000"/>
          <w:sz w:val="24"/>
          <w:szCs w:val="24"/>
        </w:rPr>
        <w:t>buwat</w:t>
      </w:r>
      <w:r w:rsidRPr="00B81DC3">
        <w:rPr>
          <w:rFonts w:ascii="Times New Roman" w:hAnsi="Times New Roman" w:cs="Times New Roman"/>
          <w:color w:val="000000"/>
          <w:sz w:val="24"/>
          <w:szCs w:val="24"/>
        </w:rPr>
        <w:t xml:space="preserve"> rights of the community that manages the lands. The</w:t>
      </w:r>
      <w:r w:rsidRPr="00B81DC3">
        <w:rPr>
          <w:rFonts w:ascii="Times New Roman" w:hAnsi="Times New Roman" w:cs="Times New Roman"/>
          <w:i/>
          <w:iCs/>
          <w:color w:val="000000"/>
          <w:sz w:val="24"/>
          <w:szCs w:val="24"/>
        </w:rPr>
        <w:t xml:space="preserve"> buwat</w:t>
      </w:r>
      <w:r w:rsidRPr="00B81DC3">
        <w:rPr>
          <w:rFonts w:ascii="Times New Roman" w:hAnsi="Times New Roman" w:cs="Times New Roman"/>
          <w:color w:val="000000"/>
          <w:sz w:val="24"/>
          <w:szCs w:val="24"/>
        </w:rPr>
        <w:t xml:space="preserve"> rights aim to manage the community over the land by paying rent in the form of agricultural products. Furthermore, regulating the land in the Pusu community has been going on for a long time and has been passed down over generations, originating from magical and socio-cultural values</w:t>
      </w:r>
      <w:r w:rsidRPr="00B81DC3">
        <w:rPr>
          <w:rStyle w:val="FootnoteReference"/>
          <w:rFonts w:ascii="Times New Roman" w:hAnsi="Times New Roman" w:cs="Times New Roman"/>
          <w:sz w:val="24"/>
          <w:szCs w:val="24"/>
        </w:rPr>
        <w:footnoteReference w:id="33"/>
      </w:r>
      <w:r w:rsidRPr="00B81DC3">
        <w:rPr>
          <w:rFonts w:ascii="Times New Roman" w:hAnsi="Times New Roman" w:cs="Times New Roman"/>
          <w:color w:val="000000"/>
          <w:sz w:val="24"/>
          <w:szCs w:val="24"/>
        </w:rPr>
        <w:t xml:space="preserve">. </w:t>
      </w:r>
      <w:r w:rsidRPr="00B81DC3">
        <w:rPr>
          <w:rFonts w:ascii="Times New Roman" w:hAnsi="Times New Roman" w:cs="Times New Roman"/>
          <w:i/>
          <w:color w:val="000000"/>
          <w:sz w:val="24"/>
          <w:szCs w:val="24"/>
        </w:rPr>
        <w:t xml:space="preserve">Buwat rights </w:t>
      </w:r>
      <w:r w:rsidRPr="00B81DC3">
        <w:rPr>
          <w:rFonts w:ascii="Times New Roman" w:hAnsi="Times New Roman" w:cs="Times New Roman"/>
          <w:iCs/>
          <w:color w:val="000000"/>
          <w:sz w:val="24"/>
          <w:szCs w:val="24"/>
        </w:rPr>
        <w:t xml:space="preserve">are the same as </w:t>
      </w:r>
      <w:r w:rsidRPr="00B81DC3">
        <w:rPr>
          <w:rFonts w:ascii="Times New Roman" w:hAnsi="Times New Roman" w:cs="Times New Roman"/>
          <w:i/>
          <w:color w:val="000000"/>
          <w:sz w:val="24"/>
          <w:szCs w:val="24"/>
        </w:rPr>
        <w:t xml:space="preserve">paer </w:t>
      </w:r>
      <w:r w:rsidRPr="00B81DC3">
        <w:rPr>
          <w:rFonts w:ascii="Times New Roman" w:hAnsi="Times New Roman" w:cs="Times New Roman"/>
          <w:iCs/>
          <w:color w:val="000000"/>
          <w:sz w:val="24"/>
          <w:szCs w:val="24"/>
        </w:rPr>
        <w:t xml:space="preserve">and voting rights in Lombok and Aceh or the general term for usufructuary rights. Finally, protection is conducted vertically and horizontally like </w:t>
      </w:r>
      <w:r w:rsidRPr="00B81DC3">
        <w:rPr>
          <w:rFonts w:ascii="Times New Roman" w:hAnsi="Times New Roman" w:cs="Times New Roman"/>
          <w:i/>
          <w:color w:val="000000"/>
          <w:sz w:val="24"/>
          <w:szCs w:val="24"/>
        </w:rPr>
        <w:t>adigium 'cujus est solum</w:t>
      </w:r>
      <w:r w:rsidRPr="00B81DC3">
        <w:rPr>
          <w:rFonts w:ascii="Times New Roman" w:hAnsi="Times New Roman" w:cs="Times New Roman"/>
          <w:color w:val="000000"/>
          <w:sz w:val="24"/>
          <w:szCs w:val="24"/>
        </w:rPr>
        <w:t>.</w:t>
      </w:r>
      <w:r w:rsidRPr="00B81DC3">
        <w:rPr>
          <w:rStyle w:val="FootnoteReference"/>
          <w:rFonts w:ascii="Times New Roman" w:hAnsi="Times New Roman" w:cs="Times New Roman"/>
          <w:sz w:val="24"/>
          <w:szCs w:val="24"/>
        </w:rPr>
        <w:footnoteReference w:id="34"/>
      </w:r>
    </w:p>
    <w:p w:rsidR="00305ECC" w:rsidRPr="00B81DC3" w:rsidRDefault="00305ECC" w:rsidP="00305ECC">
      <w:pPr>
        <w:pStyle w:val="ListParagraph"/>
        <w:numPr>
          <w:ilvl w:val="1"/>
          <w:numId w:val="1"/>
        </w:numPr>
        <w:spacing w:after="160" w:line="259" w:lineRule="auto"/>
        <w:jc w:val="both"/>
        <w:rPr>
          <w:rFonts w:ascii="Times New Roman" w:hAnsi="Times New Roman" w:cs="Times New Roman"/>
          <w:b/>
          <w:sz w:val="24"/>
          <w:szCs w:val="24"/>
        </w:rPr>
      </w:pPr>
      <w:r w:rsidRPr="00B81DC3">
        <w:rPr>
          <w:rFonts w:ascii="Times New Roman" w:hAnsi="Times New Roman" w:cs="Times New Roman"/>
          <w:b/>
          <w:sz w:val="24"/>
          <w:szCs w:val="24"/>
        </w:rPr>
        <w:t xml:space="preserve">The Value of </w:t>
      </w:r>
      <w:r w:rsidRPr="00B81DC3">
        <w:rPr>
          <w:rFonts w:ascii="Times New Roman" w:hAnsi="Times New Roman" w:cs="Times New Roman"/>
          <w:b/>
          <w:i/>
          <w:iCs/>
          <w:sz w:val="24"/>
          <w:szCs w:val="24"/>
        </w:rPr>
        <w:t xml:space="preserve">Krik Slamat </w:t>
      </w:r>
      <w:r w:rsidRPr="00B81DC3">
        <w:rPr>
          <w:rFonts w:ascii="Times New Roman" w:hAnsi="Times New Roman" w:cs="Times New Roman"/>
          <w:b/>
          <w:sz w:val="24"/>
          <w:szCs w:val="24"/>
        </w:rPr>
        <w:t>as the Basis for Customary Law Formation in Recognition of Customary Land Rights of the Pusu Community</w:t>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sz w:val="24"/>
          <w:szCs w:val="24"/>
        </w:rPr>
        <w:t>Customary law lives over generations (living law), hence, the rights and obligations are not formed and created but are innate values from cultural values and wisdom, which are the foundation for the customary community.</w:t>
      </w:r>
      <w:r w:rsidRPr="00B81DC3">
        <w:rPr>
          <w:rStyle w:val="FootnoteReference"/>
          <w:rFonts w:ascii="Times New Roman" w:hAnsi="Times New Roman" w:cs="Times New Roman"/>
          <w:sz w:val="24"/>
          <w:szCs w:val="24"/>
        </w:rPr>
        <w:footnoteReference w:id="35"/>
      </w:r>
      <w:r w:rsidRPr="00B81DC3">
        <w:rPr>
          <w:rFonts w:ascii="Times New Roman" w:hAnsi="Times New Roman" w:cs="Times New Roman"/>
          <w:sz w:val="24"/>
          <w:szCs w:val="24"/>
        </w:rPr>
        <w:t xml:space="preserve"> It is not universally applicable in any area, as elopement in Malaysia is also a problem. Otherwise, Lombok has various interesting customs and habits.</w:t>
      </w:r>
      <w:r w:rsidRPr="00B81DC3">
        <w:rPr>
          <w:rStyle w:val="FootnoteReference"/>
          <w:rFonts w:ascii="Times New Roman" w:hAnsi="Times New Roman" w:cs="Times New Roman"/>
          <w:sz w:val="24"/>
          <w:szCs w:val="24"/>
        </w:rPr>
        <w:footnoteReference w:id="36"/>
      </w:r>
      <w:r w:rsidRPr="00B81DC3">
        <w:rPr>
          <w:rFonts w:ascii="Times New Roman" w:hAnsi="Times New Roman" w:cs="Times New Roman"/>
          <w:sz w:val="24"/>
          <w:szCs w:val="24"/>
        </w:rPr>
        <w:t xml:space="preserve"> The growth and development of customary law adhere to a magical religious style. This law manifests the psyche through works, ideas, and reason</w:t>
      </w:r>
      <w:r w:rsidRPr="00B81DC3">
        <w:rPr>
          <w:rStyle w:val="FootnoteReference"/>
          <w:rFonts w:ascii="Times New Roman" w:hAnsi="Times New Roman" w:cs="Times New Roman"/>
          <w:sz w:val="24"/>
          <w:szCs w:val="24"/>
        </w:rPr>
        <w:footnoteReference w:id="37"/>
      </w:r>
      <w:r w:rsidRPr="00B81DC3">
        <w:rPr>
          <w:rFonts w:ascii="Times New Roman" w:hAnsi="Times New Roman" w:cs="Times New Roman"/>
          <w:sz w:val="24"/>
          <w:szCs w:val="24"/>
        </w:rPr>
        <w:t xml:space="preserve">. Before religion became known, the community was very sure of animism as a spiritual soul and a source of values adopted in social life. After these dynamics, the customary community in Indonesia adopted Islam as their religion, making it the normative framework by which its members lived their daily lives. </w:t>
      </w:r>
    </w:p>
    <w:p w:rsidR="00305ECC" w:rsidRPr="00B81DC3" w:rsidRDefault="00305ECC" w:rsidP="00305ECC">
      <w:pPr>
        <w:ind w:left="720" w:firstLine="720"/>
        <w:jc w:val="both"/>
        <w:rPr>
          <w:rFonts w:ascii="Times New Roman" w:eastAsia="Times New Roman" w:hAnsi="Times New Roman" w:cs="Times New Roman"/>
          <w:sz w:val="24"/>
          <w:szCs w:val="24"/>
        </w:rPr>
      </w:pPr>
      <w:r w:rsidRPr="00B81DC3">
        <w:rPr>
          <w:rFonts w:ascii="Times New Roman" w:hAnsi="Times New Roman" w:cs="Times New Roman"/>
          <w:color w:val="000000"/>
          <w:sz w:val="24"/>
          <w:szCs w:val="24"/>
        </w:rPr>
        <w:t>As subjects of customary lands, the community has a natural relationship between 'magical, religious, communal, concrete, and cash'. According to Otje Salman Soemadiningrat,</w:t>
      </w:r>
      <w:r w:rsidRPr="00B81DC3">
        <w:rPr>
          <w:rStyle w:val="FootnoteReference"/>
          <w:rFonts w:ascii="Times New Roman" w:hAnsi="Times New Roman" w:cs="Times New Roman"/>
          <w:sz w:val="24"/>
          <w:szCs w:val="24"/>
        </w:rPr>
        <w:footnoteReference w:id="38"/>
      </w:r>
      <w:r w:rsidRPr="00B81DC3">
        <w:rPr>
          <w:rFonts w:ascii="Times New Roman" w:hAnsi="Times New Roman" w:cs="Times New Roman"/>
          <w:color w:val="000000"/>
          <w:sz w:val="24"/>
          <w:szCs w:val="24"/>
        </w:rPr>
        <w:t xml:space="preserve"> these features represent the general characteristics of the community. One of the features related to the value of</w:t>
      </w:r>
      <w:r w:rsidRPr="00B81DC3">
        <w:rPr>
          <w:rFonts w:ascii="Times New Roman" w:hAnsi="Times New Roman" w:cs="Times New Roman"/>
          <w:i/>
          <w:iCs/>
          <w:color w:val="000000"/>
          <w:sz w:val="24"/>
          <w:szCs w:val="24"/>
        </w:rPr>
        <w:t xml:space="preserve"> krik slamat </w:t>
      </w:r>
      <w:r w:rsidRPr="00B81DC3">
        <w:rPr>
          <w:rFonts w:ascii="Times New Roman" w:hAnsi="Times New Roman" w:cs="Times New Roman"/>
          <w:color w:val="000000"/>
          <w:sz w:val="24"/>
          <w:szCs w:val="24"/>
        </w:rPr>
        <w:t>is magical religion. The feature emanates from the philosophy of</w:t>
      </w:r>
      <w:r w:rsidRPr="00B81DC3">
        <w:rPr>
          <w:rFonts w:ascii="Times New Roman" w:hAnsi="Times New Roman" w:cs="Times New Roman"/>
          <w:i/>
          <w:iCs/>
          <w:color w:val="000000"/>
          <w:sz w:val="24"/>
          <w:szCs w:val="24"/>
        </w:rPr>
        <w:t xml:space="preserve"> 'adat barenti ko syara', syara' barenti ko Kitabullah' </w:t>
      </w:r>
      <w:r w:rsidRPr="00B81DC3">
        <w:rPr>
          <w:rFonts w:ascii="Times New Roman" w:hAnsi="Times New Roman" w:cs="Times New Roman"/>
          <w:color w:val="000000"/>
          <w:sz w:val="24"/>
          <w:szCs w:val="24"/>
        </w:rPr>
        <w:t>which contains spiritual values. This philosophy implies that when custom is contrary to religion, it becomes inapplicable. Therefore, it should follow religious values in the text and implementation.</w:t>
      </w:r>
      <w:r w:rsidRPr="00B81DC3">
        <w:rPr>
          <w:rStyle w:val="FootnoteReference"/>
          <w:rFonts w:ascii="Times New Roman" w:hAnsi="Times New Roman" w:cs="Times New Roman"/>
          <w:sz w:val="24"/>
          <w:szCs w:val="24"/>
        </w:rPr>
        <w:footnoteReference w:id="39"/>
      </w:r>
      <w:r w:rsidRPr="00B81DC3">
        <w:rPr>
          <w:rFonts w:ascii="Times New Roman" w:hAnsi="Times New Roman" w:cs="Times New Roman"/>
          <w:color w:val="000000"/>
          <w:sz w:val="24"/>
          <w:szCs w:val="24"/>
        </w:rPr>
        <w:t xml:space="preserve"> The manifestation and legitimacy of a community's cultural existence is the application of its values</w:t>
      </w:r>
      <w:r w:rsidRPr="00B81DC3">
        <w:rPr>
          <w:rFonts w:ascii="Times New Roman" w:hAnsi="Times New Roman" w:cs="Times New Roman"/>
          <w:sz w:val="24"/>
          <w:szCs w:val="24"/>
        </w:rPr>
        <w:t>.</w:t>
      </w:r>
      <w:r w:rsidRPr="00B81DC3">
        <w:rPr>
          <w:rStyle w:val="FootnoteReference"/>
          <w:rFonts w:ascii="Times New Roman" w:hAnsi="Times New Roman" w:cs="Times New Roman"/>
          <w:sz w:val="24"/>
          <w:szCs w:val="24"/>
        </w:rPr>
        <w:footnoteReference w:id="40"/>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color w:val="000000"/>
          <w:sz w:val="24"/>
          <w:szCs w:val="24"/>
          <w:lang w:val="id-ID"/>
        </w:rPr>
        <w:t xml:space="preserve">The value of </w:t>
      </w:r>
      <w:r w:rsidRPr="00B81DC3">
        <w:rPr>
          <w:rFonts w:ascii="Times New Roman" w:hAnsi="Times New Roman" w:cs="Times New Roman"/>
          <w:i/>
          <w:iCs/>
          <w:color w:val="000000"/>
          <w:sz w:val="24"/>
          <w:szCs w:val="24"/>
          <w:lang w:val="id-ID"/>
        </w:rPr>
        <w:t xml:space="preserve">krik slamat </w:t>
      </w:r>
      <w:r w:rsidRPr="00B81DC3">
        <w:rPr>
          <w:rFonts w:ascii="Times New Roman" w:hAnsi="Times New Roman" w:cs="Times New Roman"/>
          <w:color w:val="000000"/>
          <w:sz w:val="24"/>
          <w:szCs w:val="24"/>
          <w:lang w:val="id-ID"/>
        </w:rPr>
        <w:t>is interpreted as an 'abundance of grace and safety'</w:t>
      </w:r>
      <w:r w:rsidRPr="00B81DC3">
        <w:rPr>
          <w:rFonts w:ascii="Times New Roman" w:hAnsi="Times New Roman" w:cs="Times New Roman"/>
          <w:color w:val="000000"/>
          <w:sz w:val="24"/>
          <w:szCs w:val="24"/>
        </w:rPr>
        <w:t>.</w:t>
      </w:r>
      <w:r w:rsidRPr="00B81DC3">
        <w:rPr>
          <w:rStyle w:val="FootnoteReference"/>
          <w:rFonts w:ascii="Times New Roman" w:hAnsi="Times New Roman" w:cs="Times New Roman"/>
          <w:sz w:val="24"/>
          <w:szCs w:val="24"/>
        </w:rPr>
        <w:footnoteReference w:id="41"/>
      </w:r>
      <w:r w:rsidRPr="00B81DC3">
        <w:rPr>
          <w:rFonts w:ascii="Times New Roman" w:hAnsi="Times New Roman" w:cs="Times New Roman"/>
          <w:color w:val="000000"/>
          <w:sz w:val="24"/>
          <w:szCs w:val="24"/>
          <w:lang w:val="id-ID"/>
        </w:rPr>
        <w:t xml:space="preserve"> </w:t>
      </w:r>
      <w:r w:rsidRPr="00B81DC3">
        <w:rPr>
          <w:rFonts w:ascii="Times New Roman" w:hAnsi="Times New Roman" w:cs="Times New Roman"/>
          <w:sz w:val="24"/>
          <w:szCs w:val="24"/>
        </w:rPr>
        <w:t xml:space="preserve">This becomes the basis for forming the customary law of the Pusu community in relation to customary land. Furthermore, the value includes </w:t>
      </w:r>
      <w:r w:rsidRPr="00B81DC3">
        <w:rPr>
          <w:rFonts w:ascii="Times New Roman" w:hAnsi="Times New Roman" w:cs="Times New Roman"/>
          <w:i/>
          <w:iCs/>
          <w:sz w:val="24"/>
          <w:szCs w:val="24"/>
        </w:rPr>
        <w:t xml:space="preserve">rpulung </w:t>
      </w:r>
      <w:r w:rsidRPr="00B81DC3">
        <w:rPr>
          <w:rFonts w:ascii="Times New Roman" w:hAnsi="Times New Roman" w:cs="Times New Roman"/>
          <w:sz w:val="24"/>
          <w:szCs w:val="24"/>
        </w:rPr>
        <w:t xml:space="preserve">as a method to form customary law. </w:t>
      </w:r>
      <w:r w:rsidRPr="00B81DC3">
        <w:rPr>
          <w:rFonts w:ascii="Times New Roman" w:hAnsi="Times New Roman" w:cs="Times New Roman"/>
          <w:i/>
          <w:iCs/>
          <w:sz w:val="24"/>
          <w:szCs w:val="24"/>
        </w:rPr>
        <w:t xml:space="preserve">Pulung </w:t>
      </w:r>
      <w:r w:rsidRPr="00B81DC3">
        <w:rPr>
          <w:rFonts w:ascii="Times New Roman" w:hAnsi="Times New Roman" w:cs="Times New Roman"/>
          <w:sz w:val="24"/>
          <w:szCs w:val="24"/>
        </w:rPr>
        <w:t xml:space="preserve">is a norm, while </w:t>
      </w:r>
      <w:r w:rsidRPr="00B81DC3">
        <w:rPr>
          <w:rFonts w:ascii="Times New Roman" w:hAnsi="Times New Roman" w:cs="Times New Roman"/>
          <w:i/>
          <w:iCs/>
          <w:sz w:val="24"/>
          <w:szCs w:val="24"/>
        </w:rPr>
        <w:t xml:space="preserve">krik slamat </w:t>
      </w:r>
      <w:r w:rsidRPr="00B81DC3">
        <w:rPr>
          <w:rFonts w:ascii="Times New Roman" w:hAnsi="Times New Roman" w:cs="Times New Roman"/>
          <w:sz w:val="24"/>
          <w:szCs w:val="24"/>
        </w:rPr>
        <w:t>is the purpose of customary law. This pattern is a manifestation of values that contain ethical wisdom.</w:t>
      </w:r>
      <w:r w:rsidRPr="00B81DC3">
        <w:rPr>
          <w:rStyle w:val="FootnoteReference"/>
          <w:rFonts w:ascii="Times New Roman" w:hAnsi="Times New Roman" w:cs="Times New Roman"/>
          <w:sz w:val="24"/>
          <w:szCs w:val="24"/>
        </w:rPr>
        <w:footnoteReference w:id="42"/>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eastAsia="Times New Roman" w:hAnsi="Times New Roman" w:cs="Times New Roman"/>
          <w:sz w:val="24"/>
          <w:szCs w:val="24"/>
        </w:rPr>
        <w:t>Philosophical research on the value of krik slamat is conducted by observing the existence and practice of law</w:t>
      </w:r>
      <w:r w:rsidRPr="00B81DC3">
        <w:rPr>
          <w:rStyle w:val="FootnoteReference"/>
          <w:rFonts w:ascii="Times New Roman" w:hAnsi="Times New Roman" w:cs="Times New Roman"/>
          <w:sz w:val="24"/>
          <w:szCs w:val="24"/>
        </w:rPr>
        <w:footnoteReference w:id="43"/>
      </w:r>
      <w:r w:rsidRPr="00B81DC3">
        <w:rPr>
          <w:rFonts w:ascii="Times New Roman" w:eastAsia="Times New Roman" w:hAnsi="Times New Roman" w:cs="Times New Roman"/>
          <w:sz w:val="24"/>
          <w:szCs w:val="24"/>
        </w:rPr>
        <w:t xml:space="preserve"> </w:t>
      </w:r>
      <w:r w:rsidRPr="00B81DC3">
        <w:rPr>
          <w:rFonts w:ascii="Times New Roman" w:hAnsi="Times New Roman" w:cs="Times New Roman"/>
          <w:sz w:val="24"/>
          <w:szCs w:val="24"/>
        </w:rPr>
        <w:t>and examining certain basic principles.</w:t>
      </w:r>
      <w:r w:rsidRPr="00B81DC3">
        <w:rPr>
          <w:rStyle w:val="FootnoteReference"/>
          <w:rFonts w:ascii="Times New Roman" w:hAnsi="Times New Roman" w:cs="Times New Roman"/>
          <w:sz w:val="24"/>
          <w:szCs w:val="24"/>
        </w:rPr>
        <w:footnoteReference w:id="44"/>
      </w:r>
      <w:r w:rsidRPr="00B81DC3">
        <w:rPr>
          <w:rFonts w:ascii="Times New Roman" w:hAnsi="Times New Roman" w:cs="Times New Roman"/>
          <w:sz w:val="24"/>
          <w:szCs w:val="24"/>
        </w:rPr>
        <w:t xml:space="preserve"> These matters can be examined from the point of view of philosophy with an ontological and epistemological perspective.</w:t>
      </w:r>
      <w:r w:rsidRPr="00B81DC3">
        <w:rPr>
          <w:rStyle w:val="FootnoteReference"/>
          <w:rFonts w:ascii="Times New Roman" w:hAnsi="Times New Roman" w:cs="Times New Roman"/>
          <w:sz w:val="24"/>
          <w:szCs w:val="24"/>
        </w:rPr>
        <w:footnoteReference w:id="45"/>
      </w:r>
      <w:r w:rsidRPr="00B81DC3">
        <w:rPr>
          <w:rFonts w:ascii="Times New Roman" w:hAnsi="Times New Roman" w:cs="Times New Roman"/>
          <w:sz w:val="24"/>
          <w:szCs w:val="24"/>
        </w:rPr>
        <w:t xml:space="preserve"> The value of </w:t>
      </w:r>
      <w:r w:rsidRPr="00B81DC3">
        <w:rPr>
          <w:rFonts w:ascii="Times New Roman" w:hAnsi="Times New Roman" w:cs="Times New Roman"/>
          <w:i/>
          <w:iCs/>
          <w:sz w:val="24"/>
          <w:szCs w:val="24"/>
        </w:rPr>
        <w:t xml:space="preserve">krik slamat </w:t>
      </w:r>
      <w:r w:rsidRPr="00B81DC3">
        <w:rPr>
          <w:rFonts w:ascii="Times New Roman" w:hAnsi="Times New Roman" w:cs="Times New Roman"/>
          <w:sz w:val="24"/>
          <w:szCs w:val="24"/>
        </w:rPr>
        <w:t>comes from the wisdom of the Pusu community by making religion (Islam) a belief and custom as a way of life. From the epistemological perspective, it</w:t>
      </w:r>
      <w:r w:rsidRPr="00B81DC3">
        <w:rPr>
          <w:rFonts w:ascii="Times New Roman" w:hAnsi="Times New Roman" w:cs="Times New Roman"/>
          <w:i/>
          <w:iCs/>
          <w:sz w:val="24"/>
          <w:szCs w:val="24"/>
        </w:rPr>
        <w:t xml:space="preserve"> </w:t>
      </w:r>
      <w:r w:rsidRPr="00B81DC3">
        <w:rPr>
          <w:rFonts w:ascii="Times New Roman" w:hAnsi="Times New Roman" w:cs="Times New Roman"/>
          <w:sz w:val="24"/>
          <w:szCs w:val="24"/>
        </w:rPr>
        <w:t>is the integration of spirituality between the nature of religious and customary truth, which in the science of</w:t>
      </w:r>
      <w:r w:rsidRPr="00B81DC3">
        <w:rPr>
          <w:rFonts w:ascii="Times New Roman" w:hAnsi="Times New Roman" w:cs="Times New Roman"/>
          <w:i/>
          <w:iCs/>
          <w:sz w:val="24"/>
          <w:szCs w:val="24"/>
        </w:rPr>
        <w:t xml:space="preserve"> kalam</w:t>
      </w:r>
      <w:r w:rsidRPr="00B81DC3">
        <w:rPr>
          <w:rFonts w:ascii="Times New Roman" w:hAnsi="Times New Roman" w:cs="Times New Roman"/>
          <w:sz w:val="24"/>
          <w:szCs w:val="24"/>
        </w:rPr>
        <w:t xml:space="preserve"> is the integration between revelation and reason. </w:t>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sz w:val="24"/>
          <w:szCs w:val="24"/>
        </w:rPr>
        <w:t>Land tenure based on customary law has higher wisdom and can bring prosperity and justice to the community.</w:t>
      </w:r>
      <w:r w:rsidRPr="00B81DC3">
        <w:rPr>
          <w:rStyle w:val="FootnoteReference"/>
          <w:rFonts w:ascii="Times New Roman" w:hAnsi="Times New Roman" w:cs="Times New Roman"/>
          <w:sz w:val="24"/>
          <w:szCs w:val="24"/>
        </w:rPr>
        <w:footnoteReference w:id="46"/>
      </w:r>
      <w:r w:rsidRPr="00B81DC3">
        <w:rPr>
          <w:rFonts w:ascii="Times New Roman" w:hAnsi="Times New Roman" w:cs="Times New Roman"/>
          <w:sz w:val="24"/>
          <w:szCs w:val="24"/>
        </w:rPr>
        <w:t xml:space="preserve"> Recognizing</w:t>
      </w:r>
      <w:r w:rsidRPr="00B81DC3">
        <w:rPr>
          <w:rFonts w:ascii="Times New Roman" w:hAnsi="Times New Roman" w:cs="Times New Roman"/>
          <w:color w:val="000000"/>
          <w:sz w:val="24"/>
          <w:szCs w:val="24"/>
        </w:rPr>
        <w:t xml:space="preserve"> customary land rights of the Pusu community with</w:t>
      </w:r>
      <w:r w:rsidRPr="00B81DC3">
        <w:rPr>
          <w:rFonts w:ascii="Times New Roman" w:hAnsi="Times New Roman" w:cs="Times New Roman"/>
          <w:i/>
          <w:iCs/>
          <w:color w:val="000000"/>
          <w:sz w:val="24"/>
          <w:szCs w:val="24"/>
        </w:rPr>
        <w:t xml:space="preserve"> 'rpulung</w:t>
      </w:r>
      <w:r w:rsidRPr="00B81DC3">
        <w:rPr>
          <w:rFonts w:ascii="Times New Roman" w:hAnsi="Times New Roman" w:cs="Times New Roman"/>
          <w:color w:val="000000"/>
          <w:sz w:val="24"/>
          <w:szCs w:val="24"/>
        </w:rPr>
        <w:t xml:space="preserve">' bring respect and protection. </w:t>
      </w:r>
      <w:r w:rsidRPr="00B81DC3">
        <w:rPr>
          <w:rFonts w:ascii="Times New Roman" w:hAnsi="Times New Roman" w:cs="Times New Roman"/>
          <w:i/>
          <w:iCs/>
          <w:color w:val="000000"/>
          <w:sz w:val="24"/>
          <w:szCs w:val="24"/>
        </w:rPr>
        <w:t>Rpulung</w:t>
      </w:r>
      <w:r w:rsidRPr="00B81DC3">
        <w:rPr>
          <w:rFonts w:ascii="Times New Roman" w:hAnsi="Times New Roman" w:cs="Times New Roman"/>
          <w:color w:val="000000"/>
          <w:sz w:val="24"/>
          <w:szCs w:val="24"/>
        </w:rPr>
        <w:t xml:space="preserve"> is a consensus deliberation led by a leader to obtain decisions. This deliberation is performed with the principle that 1) customary community realize that land is a place of return (religious) 2), they have the right to express opinions (democratic), 3) </w:t>
      </w:r>
      <w:r w:rsidRPr="00B81DC3">
        <w:rPr>
          <w:rFonts w:ascii="Times New Roman" w:hAnsi="Times New Roman" w:cs="Times New Roman"/>
          <w:i/>
          <w:iCs/>
          <w:color w:val="000000"/>
          <w:sz w:val="24"/>
          <w:szCs w:val="24"/>
        </w:rPr>
        <w:t xml:space="preserve">buwat </w:t>
      </w:r>
      <w:r w:rsidRPr="00B81DC3">
        <w:rPr>
          <w:rFonts w:ascii="Times New Roman" w:hAnsi="Times New Roman" w:cs="Times New Roman"/>
          <w:color w:val="000000"/>
          <w:sz w:val="24"/>
          <w:szCs w:val="24"/>
        </w:rPr>
        <w:t xml:space="preserve">rights to customary land are divided equally (justice), 4) the result of the agreement is mutual (peace), and 5) no one should be harmed. </w:t>
      </w:r>
    </w:p>
    <w:p w:rsidR="00305ECC" w:rsidRPr="00B81DC3" w:rsidRDefault="00305ECC" w:rsidP="00305ECC">
      <w:pPr>
        <w:ind w:left="720" w:firstLine="720"/>
        <w:jc w:val="both"/>
        <w:rPr>
          <w:rFonts w:ascii="Times New Roman" w:hAnsi="Times New Roman" w:cs="Times New Roman"/>
          <w:sz w:val="24"/>
          <w:szCs w:val="24"/>
        </w:rPr>
      </w:pPr>
      <w:r w:rsidRPr="00B81DC3">
        <w:rPr>
          <w:rFonts w:ascii="Times New Roman" w:hAnsi="Times New Roman" w:cs="Times New Roman"/>
          <w:i/>
          <w:iCs/>
          <w:color w:val="000000"/>
          <w:sz w:val="24"/>
          <w:szCs w:val="24"/>
        </w:rPr>
        <w:t>Pulung</w:t>
      </w:r>
      <w:r w:rsidRPr="00B81DC3">
        <w:rPr>
          <w:rFonts w:ascii="Times New Roman" w:hAnsi="Times New Roman" w:cs="Times New Roman"/>
          <w:iCs/>
          <w:color w:val="000000"/>
          <w:sz w:val="24"/>
          <w:szCs w:val="24"/>
        </w:rPr>
        <w:t xml:space="preserve"> is a customary decision in the form of concrete norms containing imperatives, commands, and prohibitions. Similarly, Ter Haar</w:t>
      </w:r>
      <w:r w:rsidRPr="00B81DC3">
        <w:rPr>
          <w:rStyle w:val="FootnoteReference"/>
          <w:rFonts w:ascii="Times New Roman" w:hAnsi="Times New Roman" w:cs="Times New Roman"/>
          <w:sz w:val="24"/>
          <w:szCs w:val="24"/>
        </w:rPr>
        <w:footnoteReference w:id="47"/>
      </w:r>
      <w:r w:rsidRPr="00B81DC3">
        <w:rPr>
          <w:rFonts w:ascii="Times New Roman" w:hAnsi="Times New Roman" w:cs="Times New Roman"/>
          <w:iCs/>
          <w:color w:val="000000"/>
          <w:sz w:val="24"/>
          <w:szCs w:val="24"/>
        </w:rPr>
        <w:t xml:space="preserve"> , famously known</w:t>
      </w:r>
      <w:r w:rsidRPr="00B81DC3">
        <w:rPr>
          <w:rFonts w:ascii="Times New Roman" w:hAnsi="Times New Roman" w:cs="Times New Roman"/>
          <w:color w:val="000000"/>
          <w:sz w:val="24"/>
          <w:szCs w:val="24"/>
        </w:rPr>
        <w:t xml:space="preserve"> for his decision theory, stated that customary law is decisions made spontaneously and wholeheartedly by officials with authority and influence. An example of</w:t>
      </w:r>
      <w:r w:rsidRPr="00B81DC3">
        <w:rPr>
          <w:rFonts w:ascii="Times New Roman" w:hAnsi="Times New Roman" w:cs="Times New Roman"/>
          <w:i/>
          <w:iCs/>
          <w:color w:val="000000"/>
          <w:sz w:val="24"/>
          <w:szCs w:val="24"/>
        </w:rPr>
        <w:t xml:space="preserve"> pulung</w:t>
      </w:r>
      <w:r w:rsidRPr="00B81DC3">
        <w:rPr>
          <w:rFonts w:ascii="Times New Roman" w:hAnsi="Times New Roman" w:cs="Times New Roman"/>
          <w:color w:val="000000"/>
          <w:sz w:val="24"/>
          <w:szCs w:val="24"/>
        </w:rPr>
        <w:t xml:space="preserve"> is the customary law of the Pusu community related to land management. The existence of </w:t>
      </w:r>
      <w:r w:rsidRPr="00B81DC3">
        <w:rPr>
          <w:rFonts w:ascii="Times New Roman" w:hAnsi="Times New Roman" w:cs="Times New Roman"/>
          <w:i/>
          <w:iCs/>
          <w:color w:val="000000"/>
          <w:sz w:val="24"/>
          <w:szCs w:val="24"/>
        </w:rPr>
        <w:t xml:space="preserve">buwat </w:t>
      </w:r>
      <w:r w:rsidRPr="00B81DC3">
        <w:rPr>
          <w:rFonts w:ascii="Times New Roman" w:hAnsi="Times New Roman" w:cs="Times New Roman"/>
          <w:color w:val="000000"/>
          <w:sz w:val="24"/>
          <w:szCs w:val="24"/>
        </w:rPr>
        <w:t>rights in customary forests is usually marked with several signs, including</w:t>
      </w:r>
      <w:r w:rsidRPr="00B81DC3">
        <w:rPr>
          <w:rStyle w:val="FootnoteReference"/>
          <w:rFonts w:ascii="Times New Roman" w:hAnsi="Times New Roman" w:cs="Times New Roman"/>
          <w:sz w:val="24"/>
          <w:szCs w:val="24"/>
        </w:rPr>
        <w:footnoteReference w:id="48"/>
      </w:r>
      <w:r w:rsidRPr="00B81DC3">
        <w:rPr>
          <w:rFonts w:ascii="Times New Roman" w:hAnsi="Times New Roman" w:cs="Times New Roman"/>
          <w:sz w:val="24"/>
          <w:szCs w:val="24"/>
          <w:lang w:val="en-GB"/>
        </w:rPr>
        <w:t>:</w:t>
      </w:r>
    </w:p>
    <w:p w:rsidR="00305ECC" w:rsidRPr="00B81DC3" w:rsidRDefault="00305ECC" w:rsidP="00305ECC">
      <w:pPr>
        <w:pStyle w:val="ListParagraph"/>
        <w:numPr>
          <w:ilvl w:val="0"/>
          <w:numId w:val="4"/>
        </w:numPr>
        <w:spacing w:after="0" w:line="240" w:lineRule="auto"/>
        <w:ind w:left="1276" w:hanging="357"/>
        <w:jc w:val="both"/>
        <w:rPr>
          <w:rFonts w:ascii="Times New Roman" w:hAnsi="Times New Roman" w:cs="Times New Roman"/>
          <w:sz w:val="24"/>
          <w:szCs w:val="24"/>
        </w:rPr>
      </w:pPr>
      <w:r w:rsidRPr="00B81DC3">
        <w:rPr>
          <w:rFonts w:ascii="Times New Roman" w:hAnsi="Times New Roman" w:cs="Times New Roman"/>
          <w:i/>
          <w:sz w:val="24"/>
          <w:szCs w:val="24"/>
        </w:rPr>
        <w:t xml:space="preserve">Gatek, </w:t>
      </w:r>
      <w:r w:rsidRPr="00B81DC3">
        <w:rPr>
          <w:rFonts w:ascii="Times New Roman" w:hAnsi="Times New Roman" w:cs="Times New Roman"/>
          <w:sz w:val="24"/>
          <w:szCs w:val="24"/>
        </w:rPr>
        <w:t>namely cutting the branches of trees at the farming location</w:t>
      </w:r>
    </w:p>
    <w:p w:rsidR="00305ECC" w:rsidRPr="00B81DC3" w:rsidRDefault="00305ECC" w:rsidP="00305ECC">
      <w:pPr>
        <w:pStyle w:val="ListParagraph"/>
        <w:numPr>
          <w:ilvl w:val="0"/>
          <w:numId w:val="4"/>
        </w:numPr>
        <w:spacing w:after="0" w:line="240" w:lineRule="auto"/>
        <w:ind w:left="1276" w:hanging="357"/>
        <w:jc w:val="both"/>
        <w:rPr>
          <w:rFonts w:ascii="Times New Roman" w:hAnsi="Times New Roman" w:cs="Times New Roman"/>
          <w:sz w:val="24"/>
          <w:szCs w:val="24"/>
        </w:rPr>
      </w:pPr>
      <w:r w:rsidRPr="00B81DC3">
        <w:rPr>
          <w:rFonts w:ascii="Times New Roman" w:hAnsi="Times New Roman" w:cs="Times New Roman"/>
          <w:i/>
          <w:sz w:val="24"/>
          <w:szCs w:val="24"/>
        </w:rPr>
        <w:t xml:space="preserve">Rantas, </w:t>
      </w:r>
      <w:r w:rsidRPr="00B81DC3">
        <w:rPr>
          <w:rFonts w:ascii="Times New Roman" w:hAnsi="Times New Roman" w:cs="Times New Roman"/>
          <w:sz w:val="24"/>
          <w:szCs w:val="24"/>
        </w:rPr>
        <w:t>namely the start of a pilot project to clear the forest for farming or gardening</w:t>
      </w:r>
    </w:p>
    <w:p w:rsidR="00305ECC" w:rsidRPr="00B81DC3" w:rsidRDefault="00305ECC" w:rsidP="00305ECC">
      <w:pPr>
        <w:pStyle w:val="ListParagraph"/>
        <w:numPr>
          <w:ilvl w:val="0"/>
          <w:numId w:val="4"/>
        </w:numPr>
        <w:spacing w:after="0" w:line="240" w:lineRule="auto"/>
        <w:ind w:left="1276" w:hanging="357"/>
        <w:jc w:val="both"/>
        <w:rPr>
          <w:rFonts w:ascii="Times New Roman" w:hAnsi="Times New Roman" w:cs="Times New Roman"/>
          <w:i/>
          <w:sz w:val="24"/>
          <w:szCs w:val="24"/>
        </w:rPr>
      </w:pPr>
      <w:r w:rsidRPr="00B81DC3">
        <w:rPr>
          <w:rFonts w:ascii="Times New Roman" w:hAnsi="Times New Roman" w:cs="Times New Roman"/>
          <w:i/>
          <w:sz w:val="24"/>
          <w:szCs w:val="24"/>
        </w:rPr>
        <w:t xml:space="preserve">Lemat kayu, </w:t>
      </w:r>
      <w:r w:rsidRPr="00B81DC3">
        <w:rPr>
          <w:rFonts w:ascii="Times New Roman" w:hAnsi="Times New Roman" w:cs="Times New Roman"/>
          <w:sz w:val="24"/>
          <w:szCs w:val="24"/>
        </w:rPr>
        <w:t>namely making machete marks on large trees as a sign that the forest will be used for farming</w:t>
      </w:r>
    </w:p>
    <w:p w:rsidR="00305ECC" w:rsidRPr="00B81DC3" w:rsidRDefault="00305ECC" w:rsidP="00305ECC">
      <w:pPr>
        <w:pStyle w:val="ListParagraph"/>
        <w:ind w:left="1440" w:firstLine="720"/>
        <w:jc w:val="both"/>
        <w:rPr>
          <w:rFonts w:ascii="Times New Roman" w:hAnsi="Times New Roman" w:cs="Times New Roman"/>
          <w:color w:val="000000"/>
          <w:sz w:val="24"/>
          <w:szCs w:val="24"/>
        </w:rPr>
      </w:pPr>
    </w:p>
    <w:p w:rsidR="00305ECC"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color w:val="000000"/>
          <w:sz w:val="24"/>
          <w:szCs w:val="24"/>
        </w:rPr>
        <w:t>The law aims to achieve certainty, benefit, and justice.</w:t>
      </w:r>
      <w:r w:rsidRPr="00B81DC3">
        <w:rPr>
          <w:rStyle w:val="FootnoteReference"/>
          <w:rFonts w:ascii="Times New Roman" w:hAnsi="Times New Roman" w:cs="Times New Roman"/>
          <w:sz w:val="24"/>
          <w:szCs w:val="24"/>
        </w:rPr>
        <w:footnoteReference w:id="49"/>
      </w:r>
      <w:r w:rsidRPr="00B81DC3">
        <w:rPr>
          <w:rFonts w:ascii="Times New Roman" w:hAnsi="Times New Roman" w:cs="Times New Roman"/>
          <w:color w:val="000000"/>
          <w:sz w:val="24"/>
          <w:szCs w:val="24"/>
        </w:rPr>
        <w:t xml:space="preserve"> The value of </w:t>
      </w:r>
      <w:r w:rsidRPr="00B81DC3">
        <w:rPr>
          <w:rFonts w:ascii="Times New Roman" w:hAnsi="Times New Roman" w:cs="Times New Roman"/>
          <w:i/>
          <w:iCs/>
          <w:color w:val="000000"/>
          <w:sz w:val="24"/>
          <w:szCs w:val="24"/>
        </w:rPr>
        <w:t>krik slamat</w:t>
      </w:r>
      <w:r w:rsidRPr="00B81DC3">
        <w:rPr>
          <w:rFonts w:ascii="Times New Roman" w:hAnsi="Times New Roman" w:cs="Times New Roman"/>
          <w:color w:val="000000"/>
          <w:sz w:val="24"/>
          <w:szCs w:val="24"/>
        </w:rPr>
        <w:t xml:space="preserve"> is the legal goal of the Pusu community in expecting for safety and happiness in the hereafter. Furthermore, the formation of the customary law is observed from the philosophy, method, legal norms, and purpose based on spiritual values that align with Islamic teachings. In the community, the value of</w:t>
      </w:r>
      <w:r w:rsidRPr="00B81DC3">
        <w:rPr>
          <w:rFonts w:ascii="Times New Roman" w:hAnsi="Times New Roman" w:cs="Times New Roman"/>
          <w:i/>
          <w:iCs/>
          <w:color w:val="000000"/>
          <w:sz w:val="24"/>
          <w:szCs w:val="24"/>
        </w:rPr>
        <w:t xml:space="preserve"> krik slamat</w:t>
      </w:r>
      <w:r w:rsidRPr="00B81DC3">
        <w:rPr>
          <w:rFonts w:ascii="Times New Roman" w:hAnsi="Times New Roman" w:cs="Times New Roman"/>
          <w:color w:val="000000"/>
          <w:sz w:val="24"/>
          <w:szCs w:val="24"/>
        </w:rPr>
        <w:t xml:space="preserve"> is the basis for the formation of customary law as the Qur'an guides that every human action should be based on the value of 'blessing and salvation' in the hereafter. Blessing is something that cannot be measured, as it is eternal and unpredictable.</w:t>
      </w:r>
      <w:r w:rsidRPr="00B81DC3">
        <w:rPr>
          <w:rStyle w:val="FootnoteReference"/>
          <w:rFonts w:ascii="Times New Roman" w:hAnsi="Times New Roman" w:cs="Times New Roman"/>
          <w:sz w:val="24"/>
          <w:szCs w:val="24"/>
        </w:rPr>
        <w:footnoteReference w:id="50"/>
      </w:r>
      <w:r w:rsidRPr="00B81DC3">
        <w:rPr>
          <w:rFonts w:ascii="Times New Roman" w:hAnsi="Times New Roman" w:cs="Times New Roman"/>
          <w:color w:val="000000"/>
          <w:sz w:val="24"/>
          <w:szCs w:val="24"/>
        </w:rPr>
        <w:t xml:space="preserve"> By following the example of the Messenger, adhering to the</w:t>
      </w:r>
      <w:r w:rsidRPr="00B81DC3">
        <w:rPr>
          <w:rFonts w:ascii="Times New Roman" w:hAnsi="Times New Roman" w:cs="Times New Roman"/>
          <w:i/>
          <w:iCs/>
          <w:color w:val="000000"/>
          <w:sz w:val="24"/>
          <w:szCs w:val="24"/>
        </w:rPr>
        <w:t xml:space="preserve"> sunnah</w:t>
      </w:r>
      <w:r w:rsidRPr="00B81DC3">
        <w:rPr>
          <w:rFonts w:ascii="Times New Roman" w:hAnsi="Times New Roman" w:cs="Times New Roman"/>
          <w:color w:val="000000"/>
          <w:sz w:val="24"/>
          <w:szCs w:val="24"/>
        </w:rPr>
        <w:t>, and avoiding His prohibitions, Allah SWT will bestow blessings. This follows the word of Allah SWT, which stated that "We would have overwhelmed them with blessings from heaven and earth" (Qs: Al-A'raf/76/:96).</w:t>
      </w:r>
    </w:p>
    <w:p w:rsidR="00305ECC"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color w:val="000000"/>
          <w:sz w:val="24"/>
          <w:szCs w:val="24"/>
        </w:rPr>
        <w:t xml:space="preserve">The formation of customary law through </w:t>
      </w:r>
      <w:r w:rsidRPr="00B81DC3">
        <w:rPr>
          <w:rFonts w:ascii="Times New Roman" w:hAnsi="Times New Roman" w:cs="Times New Roman"/>
          <w:i/>
          <w:iCs/>
          <w:color w:val="000000"/>
          <w:sz w:val="24"/>
          <w:szCs w:val="24"/>
        </w:rPr>
        <w:t>rpulung</w:t>
      </w:r>
      <w:r w:rsidRPr="00B81DC3">
        <w:rPr>
          <w:rFonts w:ascii="Times New Roman" w:hAnsi="Times New Roman" w:cs="Times New Roman"/>
          <w:color w:val="000000"/>
          <w:sz w:val="24"/>
          <w:szCs w:val="24"/>
        </w:rPr>
        <w:t xml:space="preserve"> aims to reach an agreement, according to the Qur'an guides, that every human action consults in making decisions on a case. This follows the word of Allah SWT, which stated that 'who respond to their Lord, establish prayer, conduct their affairs by mutual consultation, and donate from what We have provided for them' (Qs Al-Shura/42:38).</w:t>
      </w:r>
    </w:p>
    <w:p w:rsidR="00305ECC" w:rsidRPr="00305ECC" w:rsidRDefault="00305ECC" w:rsidP="00305ECC">
      <w:pPr>
        <w:ind w:left="720" w:firstLine="720"/>
        <w:jc w:val="both"/>
        <w:rPr>
          <w:rFonts w:ascii="Times New Roman" w:hAnsi="Times New Roman" w:cs="Times New Roman"/>
          <w:color w:val="000000"/>
          <w:sz w:val="24"/>
          <w:szCs w:val="24"/>
        </w:rPr>
      </w:pPr>
      <w:r w:rsidRPr="00B81DC3">
        <w:rPr>
          <w:rFonts w:ascii="Times New Roman" w:hAnsi="Times New Roman" w:cs="Times New Roman"/>
          <w:color w:val="000000"/>
          <w:sz w:val="24"/>
          <w:szCs w:val="24"/>
        </w:rPr>
        <w:t>The customary law aims to achieve happiness in the world and hereafter. It follows the Qur'an, which states that every human being is happy in this world and hereafter. The ultimate goal of every command of Allah SWT is true happiness (</w:t>
      </w:r>
      <w:r w:rsidRPr="00B81DC3">
        <w:rPr>
          <w:rFonts w:ascii="Times New Roman" w:hAnsi="Times New Roman" w:cs="Times New Roman"/>
          <w:i/>
          <w:iCs/>
          <w:color w:val="000000"/>
          <w:sz w:val="24"/>
          <w:szCs w:val="24"/>
        </w:rPr>
        <w:t>la'allakum tuflihun</w:t>
      </w:r>
      <w:r w:rsidRPr="00B81DC3">
        <w:rPr>
          <w:rFonts w:ascii="Times New Roman" w:hAnsi="Times New Roman" w:cs="Times New Roman"/>
          <w:color w:val="000000"/>
          <w:sz w:val="24"/>
          <w:szCs w:val="24"/>
        </w:rPr>
        <w:t>). The word</w:t>
      </w:r>
      <w:r w:rsidRPr="00B81DC3">
        <w:rPr>
          <w:rFonts w:ascii="Times New Roman" w:hAnsi="Times New Roman" w:cs="Times New Roman"/>
          <w:i/>
          <w:iCs/>
          <w:color w:val="000000"/>
          <w:sz w:val="24"/>
          <w:szCs w:val="24"/>
        </w:rPr>
        <w:t xml:space="preserve"> la'allakum tuflihun</w:t>
      </w:r>
      <w:r w:rsidRPr="00B81DC3">
        <w:rPr>
          <w:rFonts w:ascii="Times New Roman" w:hAnsi="Times New Roman" w:cs="Times New Roman"/>
          <w:color w:val="000000"/>
          <w:sz w:val="24"/>
          <w:szCs w:val="24"/>
        </w:rPr>
        <w:t xml:space="preserve"> has appeared 11 times in the Qur'an, as mentioned in Q.S Al-Baqarah: 189, Q.S Ali Imran: 130, 200. There is a close relationship between customary law and Islamic law, where the boundaries of customary law are as stipulated in Islam, based on the philosophy, the method of establishing customary law, the purpose of customary law based on the value of </w:t>
      </w:r>
      <w:r w:rsidRPr="00B81DC3">
        <w:rPr>
          <w:rFonts w:ascii="Times New Roman" w:hAnsi="Times New Roman" w:cs="Times New Roman"/>
          <w:i/>
          <w:color w:val="000000"/>
          <w:sz w:val="24"/>
          <w:szCs w:val="24"/>
        </w:rPr>
        <w:t>krik slamat</w:t>
      </w:r>
      <w:r w:rsidRPr="00B81DC3">
        <w:rPr>
          <w:rFonts w:ascii="Times New Roman" w:hAnsi="Times New Roman" w:cs="Times New Roman"/>
          <w:color w:val="000000"/>
          <w:sz w:val="24"/>
          <w:szCs w:val="24"/>
        </w:rPr>
        <w:t xml:space="preserve">, and the value of </w:t>
      </w:r>
      <w:r w:rsidRPr="00B81DC3">
        <w:rPr>
          <w:rFonts w:ascii="Times New Roman" w:hAnsi="Times New Roman" w:cs="Times New Roman"/>
          <w:i/>
          <w:color w:val="000000"/>
          <w:sz w:val="24"/>
          <w:szCs w:val="24"/>
        </w:rPr>
        <w:t>krik slamat</w:t>
      </w:r>
      <w:r w:rsidRPr="00B81DC3">
        <w:rPr>
          <w:rFonts w:ascii="Times New Roman" w:hAnsi="Times New Roman" w:cs="Times New Roman"/>
          <w:color w:val="000000"/>
          <w:sz w:val="24"/>
          <w:szCs w:val="24"/>
        </w:rPr>
        <w:t xml:space="preserve"> which rests on the philosophy of </w:t>
      </w:r>
      <w:r w:rsidRPr="00B81DC3">
        <w:rPr>
          <w:rFonts w:ascii="Times New Roman" w:hAnsi="Times New Roman" w:cs="Times New Roman"/>
          <w:i/>
          <w:color w:val="000000"/>
          <w:sz w:val="24"/>
          <w:szCs w:val="24"/>
        </w:rPr>
        <w:t>'adat barenti ko syara,' syara' barenti ko Kitabullah'</w:t>
      </w:r>
      <w:r w:rsidRPr="00B81DC3">
        <w:rPr>
          <w:rFonts w:ascii="Times New Roman" w:hAnsi="Times New Roman" w:cs="Times New Roman"/>
          <w:color w:val="000000"/>
          <w:sz w:val="24"/>
          <w:szCs w:val="24"/>
        </w:rPr>
        <w:t>. According to Soerjono Soekanto, this relationship is accommodative.</w:t>
      </w:r>
      <w:r w:rsidRPr="00B81DC3">
        <w:rPr>
          <w:rStyle w:val="FootnoteReference"/>
          <w:rFonts w:ascii="Times New Roman" w:hAnsi="Times New Roman" w:cs="Times New Roman"/>
          <w:sz w:val="24"/>
          <w:szCs w:val="24"/>
        </w:rPr>
        <w:footnoteReference w:id="51"/>
      </w:r>
      <w:r w:rsidRPr="00B81DC3">
        <w:rPr>
          <w:rFonts w:ascii="Times New Roman" w:hAnsi="Times New Roman" w:cs="Times New Roman"/>
          <w:sz w:val="24"/>
          <w:szCs w:val="24"/>
        </w:rPr>
        <w:t xml:space="preserve"> Theoretically, Pusu customary law adheres to the </w:t>
      </w:r>
      <w:r w:rsidRPr="00B81DC3">
        <w:rPr>
          <w:rFonts w:ascii="Times New Roman" w:hAnsi="Times New Roman" w:cs="Times New Roman"/>
          <w:i/>
          <w:iCs/>
          <w:sz w:val="24"/>
          <w:szCs w:val="24"/>
        </w:rPr>
        <w:t xml:space="preserve">receptio in complexiu </w:t>
      </w:r>
      <w:r w:rsidRPr="00B81DC3">
        <w:rPr>
          <w:rFonts w:ascii="Times New Roman" w:hAnsi="Times New Roman" w:cs="Times New Roman"/>
          <w:sz w:val="24"/>
          <w:szCs w:val="24"/>
        </w:rPr>
        <w:t>theory, which stated that everyone applies their religious law. For example, Islamic law applies to Muslims and other religions. In this case, customary land rights and law are recognized by the Pusu community based on Islamic law. Figures such as Solomon Keyzer argued that Islamic law applies in Indonesia.</w:t>
      </w:r>
      <w:r w:rsidRPr="00B81DC3">
        <w:rPr>
          <w:rStyle w:val="FootnoteReference"/>
          <w:rFonts w:ascii="Times New Roman" w:hAnsi="Times New Roman" w:cs="Times New Roman"/>
          <w:sz w:val="24"/>
          <w:szCs w:val="24"/>
        </w:rPr>
        <w:footnoteReference w:id="52"/>
      </w:r>
      <w:r w:rsidRPr="00B81DC3">
        <w:rPr>
          <w:rFonts w:ascii="Times New Roman" w:hAnsi="Times New Roman" w:cs="Times New Roman"/>
          <w:sz w:val="24"/>
          <w:szCs w:val="24"/>
        </w:rPr>
        <w:t xml:space="preserve"> Van De Berg, an advisor to the East Indies government, stated that this law applies to Muslims because they have embraced Islam despite the deviations</w:t>
      </w:r>
      <w:r w:rsidRPr="00B81DC3">
        <w:rPr>
          <w:rStyle w:val="FootnoteReference"/>
          <w:rFonts w:ascii="Times New Roman" w:hAnsi="Times New Roman" w:cs="Times New Roman"/>
          <w:sz w:val="24"/>
          <w:szCs w:val="24"/>
        </w:rPr>
        <w:footnoteReference w:id="53"/>
      </w:r>
      <w:r w:rsidRPr="00B81DC3">
        <w:rPr>
          <w:rFonts w:ascii="Times New Roman" w:hAnsi="Times New Roman" w:cs="Times New Roman"/>
          <w:sz w:val="24"/>
          <w:szCs w:val="24"/>
        </w:rPr>
        <w:t>. Islamic law was enacted during the VOC era with the existence of Islamic civil law, hence, it became the basis for dispute resolution for Muslims in Indonesia. The inheritance and Islamic marriage law with the</w:t>
      </w:r>
      <w:r w:rsidRPr="00B81DC3">
        <w:rPr>
          <w:rFonts w:ascii="Times New Roman" w:hAnsi="Times New Roman" w:cs="Times New Roman"/>
          <w:i/>
          <w:iCs/>
          <w:sz w:val="24"/>
          <w:szCs w:val="24"/>
        </w:rPr>
        <w:t xml:space="preserve"> 'relusie Der Inderche regering' </w:t>
      </w:r>
      <w:r w:rsidRPr="00B81DC3">
        <w:rPr>
          <w:rFonts w:ascii="Times New Roman" w:hAnsi="Times New Roman" w:cs="Times New Roman"/>
          <w:sz w:val="24"/>
          <w:szCs w:val="24"/>
        </w:rPr>
        <w:t xml:space="preserve">regulation known as the </w:t>
      </w:r>
      <w:r w:rsidRPr="00B81DC3">
        <w:rPr>
          <w:rFonts w:ascii="Times New Roman" w:hAnsi="Times New Roman" w:cs="Times New Roman"/>
          <w:i/>
          <w:iCs/>
          <w:sz w:val="24"/>
          <w:szCs w:val="24"/>
        </w:rPr>
        <w:t>comfedium freijher</w:t>
      </w:r>
      <w:r w:rsidRPr="00B81DC3">
        <w:rPr>
          <w:rStyle w:val="FootnoteReference"/>
          <w:rFonts w:ascii="Times New Roman" w:hAnsi="Times New Roman" w:cs="Times New Roman"/>
          <w:i/>
          <w:sz w:val="24"/>
          <w:szCs w:val="24"/>
        </w:rPr>
        <w:footnoteReference w:id="54"/>
      </w:r>
      <w:r w:rsidRPr="00B81DC3">
        <w:rPr>
          <w:rFonts w:ascii="Times New Roman" w:hAnsi="Times New Roman" w:cs="Times New Roman"/>
          <w:i/>
          <w:sz w:val="24"/>
          <w:szCs w:val="24"/>
        </w:rPr>
        <w:t xml:space="preserve"> </w:t>
      </w:r>
      <w:r w:rsidRPr="00B81DC3">
        <w:rPr>
          <w:rFonts w:ascii="Times New Roman" w:hAnsi="Times New Roman" w:cs="Times New Roman"/>
          <w:sz w:val="24"/>
          <w:szCs w:val="24"/>
        </w:rPr>
        <w:t>initially applied to Muslims. The fuqaha influence the characteristics of Islamic law, hence, they tend to be dynamic in determining the solution to problems</w:t>
      </w:r>
      <w:r w:rsidRPr="00B81DC3">
        <w:rPr>
          <w:rStyle w:val="FootnoteReference"/>
          <w:rFonts w:ascii="Times New Roman" w:hAnsi="Times New Roman" w:cs="Times New Roman"/>
          <w:sz w:val="24"/>
          <w:szCs w:val="24"/>
        </w:rPr>
        <w:footnoteReference w:id="55"/>
      </w:r>
      <w:r w:rsidRPr="00B81DC3">
        <w:rPr>
          <w:rFonts w:ascii="Times New Roman" w:hAnsi="Times New Roman" w:cs="Times New Roman"/>
          <w:sz w:val="24"/>
          <w:szCs w:val="24"/>
        </w:rPr>
        <w:t xml:space="preserve">. Similarly, the customary law of the Pusu community adopts Islamic law as manifested in solving problems with mediation by </w:t>
      </w:r>
      <w:r w:rsidRPr="00B81DC3">
        <w:rPr>
          <w:rFonts w:ascii="Times New Roman" w:hAnsi="Times New Roman" w:cs="Times New Roman"/>
          <w:i/>
          <w:iCs/>
          <w:sz w:val="24"/>
          <w:szCs w:val="24"/>
        </w:rPr>
        <w:t>ine adat</w:t>
      </w:r>
      <w:r w:rsidRPr="00B81DC3">
        <w:rPr>
          <w:rFonts w:ascii="Times New Roman" w:hAnsi="Times New Roman" w:cs="Times New Roman"/>
          <w:sz w:val="24"/>
          <w:szCs w:val="24"/>
        </w:rPr>
        <w:t xml:space="preserve">. In the study of </w:t>
      </w:r>
      <w:r w:rsidRPr="00B81DC3">
        <w:rPr>
          <w:rFonts w:ascii="Times New Roman" w:hAnsi="Times New Roman" w:cs="Times New Roman"/>
          <w:i/>
          <w:iCs/>
          <w:sz w:val="24"/>
          <w:szCs w:val="24"/>
        </w:rPr>
        <w:t>maqosid al-syariah</w:t>
      </w:r>
      <w:r w:rsidRPr="00B81DC3">
        <w:rPr>
          <w:rFonts w:ascii="Times New Roman" w:hAnsi="Times New Roman" w:cs="Times New Roman"/>
          <w:sz w:val="24"/>
          <w:szCs w:val="24"/>
        </w:rPr>
        <w:t xml:space="preserve">, the value of </w:t>
      </w:r>
      <w:r w:rsidRPr="00B81DC3">
        <w:rPr>
          <w:rFonts w:ascii="Times New Roman" w:hAnsi="Times New Roman" w:cs="Times New Roman"/>
          <w:i/>
          <w:iCs/>
          <w:sz w:val="24"/>
          <w:szCs w:val="24"/>
        </w:rPr>
        <w:t>krik slamat</w:t>
      </w:r>
      <w:r w:rsidRPr="00B81DC3">
        <w:rPr>
          <w:rFonts w:ascii="Times New Roman" w:hAnsi="Times New Roman" w:cs="Times New Roman"/>
          <w:sz w:val="24"/>
          <w:szCs w:val="24"/>
        </w:rPr>
        <w:t xml:space="preserve"> is used for conflict resolution</w:t>
      </w:r>
      <w:r w:rsidRPr="00B81DC3">
        <w:rPr>
          <w:rStyle w:val="FootnoteReference"/>
          <w:rFonts w:ascii="Times New Roman" w:hAnsi="Times New Roman" w:cs="Times New Roman"/>
          <w:sz w:val="24"/>
          <w:szCs w:val="24"/>
        </w:rPr>
        <w:footnoteReference w:id="56"/>
      </w:r>
      <w:r w:rsidRPr="00B81DC3">
        <w:rPr>
          <w:rFonts w:ascii="Times New Roman" w:hAnsi="Times New Roman" w:cs="Times New Roman"/>
          <w:sz w:val="24"/>
          <w:szCs w:val="24"/>
        </w:rPr>
        <w:t xml:space="preserve">. Therefore, recognizing customary land rights can guarantee the protection and fulfillment of the community's rights. The theory of </w:t>
      </w:r>
      <w:r w:rsidRPr="00B81DC3">
        <w:rPr>
          <w:rFonts w:ascii="Times New Roman" w:hAnsi="Times New Roman" w:cs="Times New Roman"/>
          <w:i/>
          <w:iCs/>
          <w:sz w:val="24"/>
          <w:szCs w:val="24"/>
        </w:rPr>
        <w:t xml:space="preserve">receptio in complexiu </w:t>
      </w:r>
      <w:r w:rsidRPr="00B81DC3">
        <w:rPr>
          <w:rFonts w:ascii="Times New Roman" w:hAnsi="Times New Roman" w:cs="Times New Roman"/>
          <w:sz w:val="24"/>
          <w:szCs w:val="24"/>
        </w:rPr>
        <w:t>is opposed by the theory of</w:t>
      </w:r>
      <w:r w:rsidRPr="00B81DC3">
        <w:rPr>
          <w:rFonts w:ascii="Times New Roman" w:hAnsi="Times New Roman" w:cs="Times New Roman"/>
          <w:i/>
          <w:iCs/>
          <w:sz w:val="24"/>
          <w:szCs w:val="24"/>
        </w:rPr>
        <w:t xml:space="preserve"> receptie</w:t>
      </w:r>
      <w:r w:rsidRPr="00B81DC3">
        <w:rPr>
          <w:rFonts w:ascii="Times New Roman" w:hAnsi="Times New Roman" w:cs="Times New Roman"/>
          <w:sz w:val="24"/>
          <w:szCs w:val="24"/>
        </w:rPr>
        <w:t xml:space="preserve"> by Snouck and Van Vollenhoven, which stated that Islamic law could be enforced when accepted by the existing law</w:t>
      </w:r>
      <w:r w:rsidRPr="00B81DC3">
        <w:rPr>
          <w:rStyle w:val="FootnoteReference"/>
          <w:rFonts w:ascii="Times New Roman" w:hAnsi="Times New Roman" w:cs="Times New Roman"/>
          <w:sz w:val="24"/>
          <w:szCs w:val="24"/>
        </w:rPr>
        <w:footnoteReference w:id="57"/>
      </w:r>
      <w:r w:rsidRPr="00B81DC3">
        <w:rPr>
          <w:rFonts w:ascii="Times New Roman" w:hAnsi="Times New Roman" w:cs="Times New Roman"/>
          <w:sz w:val="24"/>
          <w:szCs w:val="24"/>
        </w:rPr>
        <w:t xml:space="preserve">. In this case, Hazairin refuted the </w:t>
      </w:r>
      <w:r w:rsidRPr="00B81DC3">
        <w:rPr>
          <w:rFonts w:ascii="Times New Roman" w:hAnsi="Times New Roman" w:cs="Times New Roman"/>
          <w:i/>
          <w:iCs/>
          <w:sz w:val="24"/>
          <w:szCs w:val="24"/>
        </w:rPr>
        <w:t>Receptio a contrario</w:t>
      </w:r>
      <w:r w:rsidRPr="00B81DC3">
        <w:rPr>
          <w:rFonts w:ascii="Times New Roman" w:hAnsi="Times New Roman" w:cs="Times New Roman"/>
          <w:sz w:val="24"/>
          <w:szCs w:val="24"/>
        </w:rPr>
        <w:t xml:space="preserve"> theory which reported that customary law originates from the Qur'an and </w:t>
      </w:r>
      <w:r w:rsidRPr="00B81DC3">
        <w:rPr>
          <w:rFonts w:ascii="Times New Roman" w:hAnsi="Times New Roman" w:cs="Times New Roman"/>
          <w:i/>
          <w:iCs/>
          <w:sz w:val="24"/>
          <w:szCs w:val="24"/>
        </w:rPr>
        <w:t xml:space="preserve">al-hadith </w:t>
      </w:r>
      <w:r w:rsidRPr="00B81DC3">
        <w:rPr>
          <w:rStyle w:val="FootnoteReference"/>
          <w:rFonts w:ascii="Times New Roman" w:hAnsi="Times New Roman" w:cs="Times New Roman"/>
          <w:sz w:val="24"/>
          <w:szCs w:val="24"/>
        </w:rPr>
        <w:footnoteReference w:id="58"/>
      </w:r>
      <w:r w:rsidRPr="00B81DC3">
        <w:rPr>
          <w:rFonts w:ascii="Times New Roman" w:hAnsi="Times New Roman" w:cs="Times New Roman"/>
          <w:i/>
          <w:iCs/>
          <w:sz w:val="24"/>
          <w:szCs w:val="24"/>
        </w:rPr>
        <w:t>.</w:t>
      </w:r>
    </w:p>
    <w:p w:rsidR="00EE65E4" w:rsidRPr="00EE65E4" w:rsidRDefault="00451A51" w:rsidP="00EE65E4">
      <w:pPr>
        <w:numPr>
          <w:ilvl w:val="0"/>
          <w:numId w:val="1"/>
        </w:numPr>
        <w:tabs>
          <w:tab w:val="left" w:pos="3686"/>
          <w:tab w:val="left" w:pos="4253"/>
        </w:tabs>
        <w:spacing w:after="120" w:line="240" w:lineRule="auto"/>
        <w:ind w:left="284" w:hanging="284"/>
        <w:jc w:val="both"/>
        <w:rPr>
          <w:rFonts w:ascii="Book Antiqua" w:eastAsia="Book Antiqua" w:hAnsi="Book Antiqua" w:cs="Book Antiqua"/>
          <w:b/>
          <w:color w:val="FFC000"/>
        </w:rPr>
      </w:pPr>
      <w:r>
        <w:rPr>
          <w:rFonts w:ascii="Book Antiqua" w:eastAsia="Book Antiqua" w:hAnsi="Book Antiqua" w:cs="Book Antiqua"/>
          <w:b/>
          <w:color w:val="2F5496"/>
          <w:sz w:val="24"/>
          <w:szCs w:val="24"/>
        </w:rPr>
        <w:t>CONCLUSION</w:t>
      </w:r>
    </w:p>
    <w:p w:rsidR="00EE65E4" w:rsidRDefault="00EE65E4" w:rsidP="00EE65E4">
      <w:pPr>
        <w:pStyle w:val="ListParagraph"/>
        <w:numPr>
          <w:ilvl w:val="1"/>
          <w:numId w:val="1"/>
        </w:numPr>
        <w:spacing w:after="160" w:line="259" w:lineRule="auto"/>
        <w:ind w:left="993" w:hanging="633"/>
        <w:jc w:val="both"/>
        <w:rPr>
          <w:rFonts w:ascii="Times New Roman" w:hAnsi="Times New Roman" w:cs="Times New Roman"/>
          <w:sz w:val="24"/>
          <w:szCs w:val="24"/>
        </w:rPr>
      </w:pPr>
      <w:r w:rsidRPr="00B81DC3">
        <w:rPr>
          <w:rFonts w:ascii="Times New Roman" w:hAnsi="Times New Roman" w:cs="Times New Roman"/>
          <w:sz w:val="24"/>
          <w:szCs w:val="24"/>
        </w:rPr>
        <w:t xml:space="preserve">Recognition of customary land rights of the Pusu community is conducted through </w:t>
      </w:r>
      <w:r w:rsidRPr="00B81DC3">
        <w:rPr>
          <w:rFonts w:ascii="Times New Roman" w:hAnsi="Times New Roman" w:cs="Times New Roman"/>
          <w:i/>
          <w:iCs/>
          <w:sz w:val="24"/>
          <w:szCs w:val="24"/>
        </w:rPr>
        <w:t>rapulung.</w:t>
      </w:r>
      <w:r w:rsidRPr="00B81DC3">
        <w:rPr>
          <w:rFonts w:ascii="Times New Roman" w:hAnsi="Times New Roman" w:cs="Times New Roman"/>
          <w:sz w:val="24"/>
          <w:szCs w:val="24"/>
        </w:rPr>
        <w:t xml:space="preserve"> This includes arranging and managing customary land through deliberation between the leaders (</w:t>
      </w:r>
      <w:r w:rsidRPr="00B81DC3">
        <w:rPr>
          <w:rFonts w:ascii="Times New Roman" w:hAnsi="Times New Roman" w:cs="Times New Roman"/>
          <w:i/>
          <w:iCs/>
          <w:sz w:val="24"/>
          <w:szCs w:val="24"/>
        </w:rPr>
        <w:t>ine adat</w:t>
      </w:r>
      <w:r w:rsidRPr="00B81DC3">
        <w:rPr>
          <w:rFonts w:ascii="Times New Roman" w:hAnsi="Times New Roman" w:cs="Times New Roman"/>
          <w:sz w:val="24"/>
          <w:szCs w:val="24"/>
        </w:rPr>
        <w:t>) and the community.</w:t>
      </w:r>
      <w:r w:rsidRPr="00B81DC3">
        <w:rPr>
          <w:rFonts w:ascii="Times New Roman" w:hAnsi="Times New Roman" w:cs="Times New Roman"/>
          <w:i/>
          <w:iCs/>
          <w:sz w:val="24"/>
          <w:szCs w:val="24"/>
        </w:rPr>
        <w:t xml:space="preserve"> Rpulung </w:t>
      </w:r>
      <w:r w:rsidRPr="00B81DC3">
        <w:rPr>
          <w:rFonts w:ascii="Times New Roman" w:hAnsi="Times New Roman" w:cs="Times New Roman"/>
          <w:sz w:val="24"/>
          <w:szCs w:val="24"/>
        </w:rPr>
        <w:t xml:space="preserve">is performed with the principle that 1) the customary community realizes that a land is a place of return, 2) the members have the right to express opinions, 3) </w:t>
      </w:r>
      <w:r w:rsidRPr="00B81DC3">
        <w:rPr>
          <w:rFonts w:ascii="Times New Roman" w:hAnsi="Times New Roman" w:cs="Times New Roman"/>
          <w:i/>
          <w:iCs/>
          <w:sz w:val="24"/>
          <w:szCs w:val="24"/>
        </w:rPr>
        <w:t>buwat</w:t>
      </w:r>
      <w:r w:rsidRPr="00B81DC3">
        <w:rPr>
          <w:rFonts w:ascii="Times New Roman" w:hAnsi="Times New Roman" w:cs="Times New Roman"/>
          <w:sz w:val="24"/>
          <w:szCs w:val="24"/>
        </w:rPr>
        <w:t xml:space="preserve"> rights to customary land are divided equally, 4) the result of the agreement is mutual, and 5) no one can be harmed. According to the five principles, </w:t>
      </w:r>
      <w:r w:rsidRPr="00B81DC3">
        <w:rPr>
          <w:rFonts w:ascii="Times New Roman" w:hAnsi="Times New Roman" w:cs="Times New Roman"/>
          <w:i/>
          <w:iCs/>
          <w:sz w:val="24"/>
          <w:szCs w:val="24"/>
        </w:rPr>
        <w:t>rpulung</w:t>
      </w:r>
      <w:r w:rsidRPr="00B81DC3">
        <w:rPr>
          <w:rFonts w:ascii="Times New Roman" w:hAnsi="Times New Roman" w:cs="Times New Roman"/>
          <w:sz w:val="24"/>
          <w:szCs w:val="24"/>
        </w:rPr>
        <w:t xml:space="preserve"> is based on the value of</w:t>
      </w:r>
      <w:r w:rsidRPr="00B81DC3">
        <w:rPr>
          <w:rFonts w:ascii="Times New Roman" w:hAnsi="Times New Roman" w:cs="Times New Roman"/>
          <w:i/>
          <w:iCs/>
          <w:sz w:val="24"/>
          <w:szCs w:val="24"/>
        </w:rPr>
        <w:t xml:space="preserve"> 'krik slamat</w:t>
      </w:r>
      <w:r w:rsidRPr="00B81DC3">
        <w:rPr>
          <w:rFonts w:ascii="Times New Roman" w:hAnsi="Times New Roman" w:cs="Times New Roman"/>
          <w:sz w:val="24"/>
          <w:szCs w:val="24"/>
        </w:rPr>
        <w:t>', which contains elements of religion, democracy, and justice.</w:t>
      </w:r>
    </w:p>
    <w:p w:rsidR="00EE65E4" w:rsidRDefault="00EE65E4" w:rsidP="00EE65E4">
      <w:pPr>
        <w:pStyle w:val="ListParagraph"/>
        <w:spacing w:after="160" w:line="259" w:lineRule="auto"/>
        <w:ind w:left="993"/>
        <w:jc w:val="both"/>
        <w:rPr>
          <w:rFonts w:ascii="Times New Roman" w:hAnsi="Times New Roman" w:cs="Times New Roman"/>
          <w:sz w:val="24"/>
          <w:szCs w:val="24"/>
        </w:rPr>
      </w:pPr>
    </w:p>
    <w:p w:rsidR="00EE65E4" w:rsidRPr="00EE65E4" w:rsidRDefault="00EE65E4" w:rsidP="00EE65E4">
      <w:pPr>
        <w:pStyle w:val="ListParagraph"/>
        <w:numPr>
          <w:ilvl w:val="1"/>
          <w:numId w:val="1"/>
        </w:numPr>
        <w:spacing w:after="160" w:line="259" w:lineRule="auto"/>
        <w:ind w:left="993" w:hanging="633"/>
        <w:jc w:val="both"/>
        <w:rPr>
          <w:rFonts w:ascii="Times New Roman" w:hAnsi="Times New Roman" w:cs="Times New Roman"/>
          <w:sz w:val="24"/>
          <w:szCs w:val="24"/>
        </w:rPr>
      </w:pPr>
      <w:r w:rsidRPr="00EE65E4">
        <w:rPr>
          <w:rFonts w:ascii="Times New Roman" w:hAnsi="Times New Roman" w:cs="Times New Roman"/>
          <w:sz w:val="24"/>
          <w:szCs w:val="24"/>
        </w:rPr>
        <w:t xml:space="preserve">The value of </w:t>
      </w:r>
      <w:r w:rsidRPr="00EE65E4">
        <w:rPr>
          <w:rFonts w:ascii="Times New Roman" w:hAnsi="Times New Roman" w:cs="Times New Roman"/>
          <w:i/>
          <w:iCs/>
          <w:sz w:val="24"/>
          <w:szCs w:val="24"/>
        </w:rPr>
        <w:t xml:space="preserve">krik slamat </w:t>
      </w:r>
      <w:r w:rsidRPr="00EE65E4">
        <w:rPr>
          <w:rFonts w:ascii="Times New Roman" w:hAnsi="Times New Roman" w:cs="Times New Roman"/>
          <w:sz w:val="24"/>
          <w:szCs w:val="24"/>
        </w:rPr>
        <w:t xml:space="preserve">is the philosophical basis for forming customary law in the Pusu community regarding the recognition of land rights. It contains the meaning of 'blessing, safety, and happiness'. Furthermore, one of the elements of the value of </w:t>
      </w:r>
      <w:r w:rsidRPr="00EE65E4">
        <w:rPr>
          <w:rFonts w:ascii="Times New Roman" w:hAnsi="Times New Roman" w:cs="Times New Roman"/>
          <w:i/>
          <w:iCs/>
          <w:sz w:val="24"/>
          <w:szCs w:val="24"/>
        </w:rPr>
        <w:t>krik slamat</w:t>
      </w:r>
      <w:r w:rsidRPr="00EE65E4">
        <w:rPr>
          <w:rFonts w:ascii="Times New Roman" w:hAnsi="Times New Roman" w:cs="Times New Roman"/>
          <w:sz w:val="24"/>
          <w:szCs w:val="24"/>
        </w:rPr>
        <w:t xml:space="preserve"> is </w:t>
      </w:r>
      <w:r w:rsidRPr="00EE65E4">
        <w:rPr>
          <w:rFonts w:ascii="Times New Roman" w:hAnsi="Times New Roman" w:cs="Times New Roman"/>
          <w:i/>
          <w:iCs/>
          <w:sz w:val="24"/>
          <w:szCs w:val="24"/>
        </w:rPr>
        <w:t>rpulung</w:t>
      </w:r>
      <w:r w:rsidRPr="00EE65E4">
        <w:rPr>
          <w:rFonts w:ascii="Times New Roman" w:hAnsi="Times New Roman" w:cs="Times New Roman"/>
          <w:sz w:val="24"/>
          <w:szCs w:val="24"/>
        </w:rPr>
        <w:t xml:space="preserve"> which means deliberation and consensus in determining the law of the customary community, including recognition of the land rights to produce </w:t>
      </w:r>
      <w:r w:rsidRPr="00EE65E4">
        <w:rPr>
          <w:rFonts w:ascii="Times New Roman" w:hAnsi="Times New Roman" w:cs="Times New Roman"/>
          <w:i/>
          <w:iCs/>
          <w:sz w:val="24"/>
          <w:szCs w:val="24"/>
        </w:rPr>
        <w:t>pulung</w:t>
      </w:r>
      <w:r w:rsidRPr="00EE65E4">
        <w:rPr>
          <w:rFonts w:ascii="Times New Roman" w:hAnsi="Times New Roman" w:cs="Times New Roman"/>
          <w:sz w:val="24"/>
          <w:szCs w:val="24"/>
        </w:rPr>
        <w:t xml:space="preserve"> in the form of norms that are enforced. The goal of customary law itself is happiness. The value of </w:t>
      </w:r>
      <w:r w:rsidRPr="00EE65E4">
        <w:rPr>
          <w:rFonts w:ascii="Times New Roman" w:hAnsi="Times New Roman" w:cs="Times New Roman"/>
          <w:i/>
          <w:iCs/>
          <w:sz w:val="24"/>
          <w:szCs w:val="24"/>
        </w:rPr>
        <w:t>krik slamat</w:t>
      </w:r>
      <w:r w:rsidRPr="00EE65E4">
        <w:rPr>
          <w:rFonts w:ascii="Times New Roman" w:hAnsi="Times New Roman" w:cs="Times New Roman"/>
          <w:sz w:val="24"/>
          <w:szCs w:val="24"/>
        </w:rPr>
        <w:t xml:space="preserve"> comes from the Sumbawa community's philosophy of </w:t>
      </w:r>
      <w:r w:rsidRPr="00EE65E4">
        <w:rPr>
          <w:rFonts w:ascii="Times New Roman" w:hAnsi="Times New Roman" w:cs="Times New Roman"/>
          <w:i/>
          <w:iCs/>
          <w:sz w:val="24"/>
          <w:szCs w:val="24"/>
        </w:rPr>
        <w:t>'adat barenti ko syara,' syara' barenti ko Kitabullah</w:t>
      </w:r>
      <w:r w:rsidRPr="00EE65E4">
        <w:rPr>
          <w:rFonts w:ascii="Times New Roman" w:hAnsi="Times New Roman" w:cs="Times New Roman"/>
          <w:sz w:val="24"/>
          <w:szCs w:val="24"/>
        </w:rPr>
        <w:t>' which means custom based on the book of Allah. In conclusion, it</w:t>
      </w:r>
      <w:r w:rsidRPr="00EE65E4">
        <w:rPr>
          <w:rFonts w:ascii="Times New Roman" w:hAnsi="Times New Roman" w:cs="Times New Roman"/>
          <w:i/>
          <w:iCs/>
          <w:sz w:val="24"/>
          <w:szCs w:val="24"/>
        </w:rPr>
        <w:t xml:space="preserve"> </w:t>
      </w:r>
      <w:r w:rsidRPr="00EE65E4">
        <w:rPr>
          <w:rFonts w:ascii="Times New Roman" w:hAnsi="Times New Roman" w:cs="Times New Roman"/>
          <w:sz w:val="24"/>
          <w:szCs w:val="24"/>
        </w:rPr>
        <w:t>is adopted from Islamic law by embracing Islam as a belief, custom, and way of life of the Pusu customary community</w:t>
      </w:r>
      <w:r w:rsidRPr="00EE65E4">
        <w:rPr>
          <w:rFonts w:ascii="Times New Roman" w:eastAsia="Times New Roman" w:hAnsi="Times New Roman" w:cs="Times New Roman"/>
          <w:i/>
          <w:sz w:val="24"/>
          <w:szCs w:val="24"/>
        </w:rPr>
        <w:t>.</w:t>
      </w:r>
    </w:p>
    <w:p w:rsidR="00EE65E4" w:rsidRPr="00EE65E4" w:rsidRDefault="00EE65E4" w:rsidP="00EE65E4">
      <w:pPr>
        <w:pStyle w:val="ListParagraph"/>
        <w:rPr>
          <w:rFonts w:ascii="Times New Roman" w:hAnsi="Times New Roman" w:cs="Times New Roman"/>
          <w:sz w:val="24"/>
          <w:szCs w:val="24"/>
        </w:rPr>
      </w:pPr>
    </w:p>
    <w:p w:rsidR="00EE65E4" w:rsidRPr="00EE65E4" w:rsidRDefault="00EE65E4" w:rsidP="00EE65E4">
      <w:pPr>
        <w:pStyle w:val="ListParagraph"/>
        <w:spacing w:after="160" w:line="259" w:lineRule="auto"/>
        <w:ind w:left="993"/>
        <w:jc w:val="both"/>
        <w:rPr>
          <w:rFonts w:ascii="Times New Roman" w:hAnsi="Times New Roman" w:cs="Times New Roman"/>
          <w:sz w:val="24"/>
          <w:szCs w:val="24"/>
        </w:rPr>
      </w:pPr>
    </w:p>
    <w:p w:rsidR="007B4987" w:rsidRDefault="00451A51">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w:t>
      </w:r>
      <w:r>
        <w:rPr>
          <w:rFonts w:ascii="Book Antiqua" w:eastAsia="Book Antiqua" w:hAnsi="Book Antiqua" w:cs="Book Antiqua"/>
          <w:b/>
          <w:color w:val="2F5496"/>
          <w:sz w:val="24"/>
          <w:szCs w:val="24"/>
        </w:rPr>
        <w:t>EFERENCES</w:t>
      </w:r>
    </w:p>
    <w:p w:rsidR="00EE65E4" w:rsidRPr="00B81DC3" w:rsidRDefault="00EE65E4" w:rsidP="00EE65E4">
      <w:pPr>
        <w:ind w:left="1134" w:hanging="1134"/>
        <w:rPr>
          <w:rFonts w:ascii="Times New Roman" w:hAnsi="Times New Roman" w:cs="Times New Roman"/>
          <w:b/>
          <w:sz w:val="24"/>
          <w:szCs w:val="24"/>
          <w:lang w:eastAsia="en-US"/>
        </w:rPr>
      </w:pPr>
      <w:r w:rsidRPr="00B81DC3">
        <w:rPr>
          <w:rFonts w:ascii="Times New Roman" w:hAnsi="Times New Roman" w:cs="Times New Roman"/>
          <w:b/>
          <w:sz w:val="24"/>
          <w:szCs w:val="24"/>
          <w:lang w:eastAsia="en-US"/>
        </w:rPr>
        <w:t>Book</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fldChar w:fldCharType="begin"/>
      </w:r>
      <w:r w:rsidRPr="00B81DC3">
        <w:rPr>
          <w:rFonts w:ascii="Times New Roman" w:hAnsi="Times New Roman" w:cs="Times New Roman"/>
          <w:sz w:val="24"/>
          <w:szCs w:val="24"/>
        </w:rPr>
        <w:instrText xml:space="preserve">ADDIN Mendeley Bibliography CSL_BIBLIOGRAPHY </w:instrText>
      </w:r>
      <w:r w:rsidRPr="00B81DC3">
        <w:rPr>
          <w:rFonts w:ascii="Times New Roman" w:hAnsi="Times New Roman" w:cs="Times New Roman"/>
          <w:sz w:val="24"/>
          <w:szCs w:val="24"/>
        </w:rPr>
        <w:fldChar w:fldCharType="separate"/>
      </w:r>
      <w:r w:rsidRPr="00B81DC3">
        <w:rPr>
          <w:rFonts w:ascii="Times New Roman" w:hAnsi="Times New Roman" w:cs="Times New Roman"/>
          <w:sz w:val="24"/>
          <w:szCs w:val="24"/>
        </w:rPr>
        <w:t xml:space="preserve">Abbas, Syahrizal. </w:t>
      </w:r>
      <w:r w:rsidRPr="00B81DC3">
        <w:rPr>
          <w:rFonts w:ascii="Times New Roman" w:hAnsi="Times New Roman" w:cs="Times New Roman"/>
          <w:i/>
          <w:iCs/>
          <w:sz w:val="24"/>
          <w:szCs w:val="24"/>
        </w:rPr>
        <w:t>Mediasi Dalam Hukum Syari’ah, Hukum Adat Dan Hukum Nasional</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Kecana</w:t>
      </w:r>
      <w:r w:rsidRPr="00B81DC3">
        <w:rPr>
          <w:rFonts w:ascii="Times New Roman" w:hAnsi="Times New Roman" w:cs="Times New Roman"/>
          <w:sz w:val="24"/>
          <w:szCs w:val="24"/>
        </w:rPr>
        <w:t>, 2010.</w:t>
      </w:r>
    </w:p>
    <w:p w:rsidR="00EE65E4" w:rsidRPr="00B81DC3" w:rsidRDefault="00EE65E4" w:rsidP="00EE65E4">
      <w:pPr>
        <w:widowControl w:val="0"/>
        <w:autoSpaceDE w:val="0"/>
        <w:autoSpaceDN w:val="0"/>
        <w:adjustRightInd w:val="0"/>
        <w:spacing w:line="240" w:lineRule="auto"/>
        <w:ind w:left="426" w:hanging="339"/>
        <w:jc w:val="both"/>
        <w:rPr>
          <w:rFonts w:ascii="Times New Roman" w:hAnsi="Times New Roman" w:cs="Times New Roman"/>
          <w:sz w:val="24"/>
          <w:szCs w:val="24"/>
        </w:rPr>
      </w:pPr>
      <w:r w:rsidRPr="00B81DC3">
        <w:rPr>
          <w:rFonts w:ascii="Times New Roman" w:hAnsi="Times New Roman" w:cs="Times New Roman"/>
          <w:sz w:val="24"/>
          <w:szCs w:val="24"/>
        </w:rPr>
        <w:t xml:space="preserve">Abdul Halil Barkatullah, Teguh Prasetyo. </w:t>
      </w:r>
      <w:r w:rsidRPr="00B81DC3">
        <w:rPr>
          <w:rFonts w:ascii="Times New Roman" w:hAnsi="Times New Roman" w:cs="Times New Roman"/>
          <w:i/>
          <w:iCs/>
          <w:sz w:val="24"/>
          <w:szCs w:val="24"/>
        </w:rPr>
        <w:t>Studi Pemikiran Ahli Hukum Sepanjang Zaman</w:t>
      </w:r>
      <w:r w:rsidRPr="00B81DC3">
        <w:rPr>
          <w:rFonts w:ascii="Times New Roman" w:hAnsi="Times New Roman" w:cs="Times New Roman"/>
          <w:sz w:val="24"/>
          <w:szCs w:val="24"/>
        </w:rPr>
        <w:t>. Yogyakarta: Pustaka Pelajar, 2007.</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Dworkin, R M. </w:t>
      </w:r>
      <w:r w:rsidRPr="00B81DC3">
        <w:rPr>
          <w:rFonts w:ascii="Times New Roman" w:hAnsi="Times New Roman" w:cs="Times New Roman"/>
          <w:i/>
          <w:iCs/>
          <w:sz w:val="24"/>
          <w:szCs w:val="24"/>
        </w:rPr>
        <w:t>Filsafat Hukum : Suatu Pengantar</w:t>
      </w:r>
      <w:r w:rsidRPr="00B81DC3">
        <w:rPr>
          <w:rFonts w:ascii="Times New Roman" w:hAnsi="Times New Roman" w:cs="Times New Roman"/>
          <w:sz w:val="24"/>
          <w:szCs w:val="24"/>
        </w:rPr>
        <w:t>. Yogyakarta: Merkid Press, 2013.</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Faisal, Sanapiah S. </w:t>
      </w:r>
      <w:r w:rsidRPr="00B81DC3">
        <w:rPr>
          <w:rFonts w:ascii="Times New Roman" w:hAnsi="Times New Roman" w:cs="Times New Roman"/>
          <w:i/>
          <w:iCs/>
          <w:sz w:val="24"/>
          <w:szCs w:val="24"/>
        </w:rPr>
        <w:t>Budaya Kerja Masyarakat Pertani Sumbawa; Kajian Strukturasionistik: Kasus Petani Sumbawa</w:t>
      </w:r>
      <w:r w:rsidRPr="00B81DC3">
        <w:rPr>
          <w:rFonts w:ascii="Times New Roman" w:hAnsi="Times New Roman" w:cs="Times New Roman"/>
          <w:sz w:val="24"/>
          <w:szCs w:val="24"/>
        </w:rPr>
        <w:t>. Surabaya: Disertasi Program pascasarjana Universitas Airlangga., 1999.</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Harsono, Boedi. </w:t>
      </w:r>
      <w:r w:rsidRPr="00B81DC3">
        <w:rPr>
          <w:rFonts w:ascii="Times New Roman" w:hAnsi="Times New Roman" w:cs="Times New Roman"/>
          <w:i/>
          <w:iCs/>
          <w:sz w:val="24"/>
          <w:szCs w:val="24"/>
        </w:rPr>
        <w:t>Hukum Agraria Indonesia. Sejarah Pembentukan Undang-Undang Pokok Agrarian, Isi Dan Pelaksanaannya</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Jakarta. Universitas Trisakti.</w:t>
      </w:r>
      <w:r w:rsidRPr="00B81DC3">
        <w:rPr>
          <w:rFonts w:ascii="Times New Roman" w:hAnsi="Times New Roman" w:cs="Times New Roman"/>
          <w:sz w:val="24"/>
          <w:szCs w:val="24"/>
        </w:rPr>
        <w:t>, 2018.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Hazairin. </w:t>
      </w:r>
      <w:r w:rsidRPr="00B81DC3">
        <w:rPr>
          <w:rFonts w:ascii="Times New Roman" w:hAnsi="Times New Roman" w:cs="Times New Roman"/>
          <w:i/>
          <w:iCs/>
          <w:sz w:val="24"/>
          <w:szCs w:val="24"/>
        </w:rPr>
        <w:t>Hukum Kekeluargaan Indonesia</w:t>
      </w:r>
      <w:r w:rsidRPr="00B81DC3">
        <w:rPr>
          <w:rFonts w:ascii="Times New Roman" w:hAnsi="Times New Roman" w:cs="Times New Roman"/>
          <w:sz w:val="24"/>
          <w:szCs w:val="24"/>
        </w:rPr>
        <w:t>. Bina Aksara, 1982.</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Raharjo, Satjipto, Ilmu Hukum, and P.T.Citra Aditya Bakti Bandung. “No Title,” 2000.</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Sangobeng, Herman. </w:t>
      </w:r>
      <w:r w:rsidRPr="00B81DC3">
        <w:rPr>
          <w:rFonts w:ascii="Times New Roman" w:hAnsi="Times New Roman" w:cs="Times New Roman"/>
          <w:i/>
          <w:iCs/>
          <w:sz w:val="24"/>
          <w:szCs w:val="24"/>
        </w:rPr>
        <w:t>Filosofis, Asas, Ajaran, Teori Hukum Pertanahan, Dan Agrarian</w:t>
      </w:r>
      <w:r w:rsidRPr="00B81DC3">
        <w:rPr>
          <w:rFonts w:ascii="Times New Roman" w:hAnsi="Times New Roman" w:cs="Times New Roman"/>
          <w:sz w:val="24"/>
          <w:szCs w:val="24"/>
        </w:rPr>
        <w:t>. Yogyakarta: STPN Press, 2012.</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i/>
          <w:iCs/>
          <w:sz w:val="24"/>
          <w:szCs w:val="24"/>
        </w:rPr>
        <w:t>Sajuti Thalib, Receptio a Contrario, Cetakan Ke-III</w:t>
      </w:r>
      <w:r w:rsidRPr="00B81DC3">
        <w:rPr>
          <w:rFonts w:ascii="Times New Roman" w:hAnsi="Times New Roman" w:cs="Times New Roman"/>
          <w:sz w:val="24"/>
          <w:szCs w:val="24"/>
        </w:rPr>
        <w:t>. Jakarta: Bima Kasara, 1985.</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Shihab, Quraish. “Tafsir Al-Misbah Jus Ke-4, Jakarta, Lentera Hati,”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Sudiyat, Iman. </w:t>
      </w:r>
      <w:r w:rsidRPr="00B81DC3">
        <w:rPr>
          <w:rFonts w:ascii="Times New Roman" w:hAnsi="Times New Roman" w:cs="Times New Roman"/>
          <w:i/>
          <w:iCs/>
          <w:sz w:val="24"/>
          <w:szCs w:val="24"/>
        </w:rPr>
        <w:t>Hukum Adat: Sketsa Asas</w:t>
      </w:r>
      <w:r w:rsidRPr="00B81DC3">
        <w:rPr>
          <w:rFonts w:ascii="Times New Roman" w:hAnsi="Times New Roman" w:cs="Times New Roman"/>
          <w:sz w:val="24"/>
          <w:szCs w:val="24"/>
        </w:rPr>
        <w:t>. Yogyakarta: Liberty Press, 1981.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Supriyadi. </w:t>
      </w:r>
      <w:r w:rsidRPr="00B81DC3">
        <w:rPr>
          <w:rFonts w:ascii="Times New Roman" w:hAnsi="Times New Roman" w:cs="Times New Roman"/>
          <w:i/>
          <w:iCs/>
          <w:sz w:val="24"/>
          <w:szCs w:val="24"/>
        </w:rPr>
        <w:t>Profil Dan Tata Ruang Masyarakat Adat Pusu</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Lombok</w:t>
      </w:r>
      <w:r w:rsidRPr="00B81DC3">
        <w:rPr>
          <w:rFonts w:ascii="Times New Roman" w:hAnsi="Times New Roman" w:cs="Times New Roman"/>
          <w:sz w:val="24"/>
          <w:szCs w:val="24"/>
        </w:rPr>
        <w:t>. Lombok: Bania Publishing, 2021.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Suroono. </w:t>
      </w:r>
      <w:r w:rsidRPr="00B81DC3">
        <w:rPr>
          <w:rFonts w:ascii="Times New Roman" w:hAnsi="Times New Roman" w:cs="Times New Roman"/>
          <w:i/>
          <w:iCs/>
          <w:sz w:val="24"/>
          <w:szCs w:val="24"/>
        </w:rPr>
        <w:t>Pengantar Dan Azaz-Azaz Hukum Adat, Gunung Agung, Jakarta</w:t>
      </w:r>
      <w:r w:rsidRPr="00B81DC3">
        <w:rPr>
          <w:rFonts w:ascii="Times New Roman" w:hAnsi="Times New Roman" w:cs="Times New Roman"/>
          <w:sz w:val="24"/>
          <w:szCs w:val="24"/>
        </w:rPr>
        <w:t>. Hlm, 2010.</w:t>
      </w:r>
    </w:p>
    <w:p w:rsidR="00EE65E4" w:rsidRPr="00B81DC3" w:rsidRDefault="00EE65E4" w:rsidP="00EE65E4">
      <w:pPr>
        <w:widowControl w:val="0"/>
        <w:autoSpaceDE w:val="0"/>
        <w:autoSpaceDN w:val="0"/>
        <w:adjustRightInd w:val="0"/>
        <w:spacing w:line="240" w:lineRule="auto"/>
        <w:jc w:val="both"/>
        <w:rPr>
          <w:rFonts w:ascii="Times New Roman" w:hAnsi="Times New Roman" w:cs="Times New Roman"/>
          <w:sz w:val="24"/>
          <w:szCs w:val="24"/>
        </w:rPr>
      </w:pP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Jurnal </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Abdullah, Idrus. “Penyelesaian Sengketa Bisnis Di Luar Pengadilan Antar Warga Suku Sasak Di Pulau Lombok.” </w:t>
      </w:r>
      <w:r w:rsidRPr="00B81DC3">
        <w:rPr>
          <w:rFonts w:ascii="Times New Roman" w:hAnsi="Times New Roman" w:cs="Times New Roman"/>
          <w:i/>
          <w:iCs/>
          <w:sz w:val="24"/>
          <w:szCs w:val="24"/>
        </w:rPr>
        <w:t>Jurnal Hukum &amp; Pembangunan</w:t>
      </w:r>
      <w:r w:rsidRPr="00B81DC3">
        <w:rPr>
          <w:rFonts w:ascii="Times New Roman" w:hAnsi="Times New Roman" w:cs="Times New Roman"/>
          <w:sz w:val="24"/>
          <w:szCs w:val="24"/>
        </w:rPr>
        <w:t xml:space="preserve">  Vol 40, no. 2 (June 3, 2010): 290. http://jhp.ui.ac.id/index.php/home/article/view/219.</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Ali, Ahmad. </w:t>
      </w:r>
      <w:r w:rsidRPr="00B81DC3">
        <w:rPr>
          <w:rFonts w:ascii="Times New Roman" w:hAnsi="Times New Roman" w:cs="Times New Roman"/>
          <w:i/>
          <w:iCs/>
          <w:sz w:val="24"/>
          <w:szCs w:val="24"/>
        </w:rPr>
        <w:t>Menguak Teori Hukum (Legal Theory) Dan Teori Peradilan (Judicialprudence): Termasuk Interpretasi Undang-Undang (Legisprudence)</w:t>
      </w:r>
      <w:r w:rsidRPr="00B81DC3">
        <w:rPr>
          <w:rFonts w:ascii="Times New Roman" w:hAnsi="Times New Roman" w:cs="Times New Roman"/>
          <w:sz w:val="24"/>
          <w:szCs w:val="24"/>
        </w:rPr>
        <w:t>. Jakarta: Kenca Perdana Media Group, 2010. http://library.fis.uny.ac.id/opac/index.php?p=show_detail&amp;id=4219.</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Amanda Putri, A. Yoma, and Djauhari Djauhari. "The Registration Of 'Ulayat" Land In West Sumatra: Between The Legal Certainty And The Social Justice." </w:t>
      </w:r>
      <w:r w:rsidRPr="00B81DC3">
        <w:rPr>
          <w:rFonts w:ascii="Times New Roman" w:hAnsi="Times New Roman" w:cs="Times New Roman"/>
          <w:i/>
          <w:iCs/>
          <w:sz w:val="24"/>
          <w:szCs w:val="24"/>
        </w:rPr>
        <w:t>Jurnal Akta</w:t>
      </w:r>
      <w:r w:rsidRPr="00B81DC3">
        <w:rPr>
          <w:rFonts w:ascii="Times New Roman" w:hAnsi="Times New Roman" w:cs="Times New Roman"/>
          <w:sz w:val="24"/>
          <w:szCs w:val="24"/>
        </w:rPr>
        <w:t xml:space="preserve">  Vol 5, no. 3 (2018): 585.</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Aulia, Farihan, and Sholahuddin Al-Fatih. “Perbandingan Sistem Hukum Common Law, Civil Law Dan Islamic Law Dalam Perspektif Sejarah Dan Karakteristik Berpikir.” </w:t>
      </w:r>
      <w:r w:rsidRPr="00B81DC3">
        <w:rPr>
          <w:rFonts w:ascii="Times New Roman" w:hAnsi="Times New Roman" w:cs="Times New Roman"/>
          <w:i/>
          <w:iCs/>
          <w:sz w:val="24"/>
          <w:szCs w:val="24"/>
        </w:rPr>
        <w:t>Jurnal Ilmiah Hukum LEGALITY</w:t>
      </w:r>
      <w:r w:rsidRPr="00B81DC3">
        <w:rPr>
          <w:rFonts w:ascii="Times New Roman" w:hAnsi="Times New Roman" w:cs="Times New Roman"/>
          <w:sz w:val="24"/>
          <w:szCs w:val="24"/>
        </w:rPr>
        <w:t xml:space="preserve">  Vol 25, no. 1 (2018): 98.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Dauh, I Putu Agus Arya, I Ketut Sukadana, and I Made Minggu Widyantara. “Peran Pranata Adat Dalam Pencegahan Konflik Antara Kelompok Masyarakat Adat.” </w:t>
      </w:r>
      <w:r w:rsidRPr="00B81DC3">
        <w:rPr>
          <w:rFonts w:ascii="Times New Roman" w:hAnsi="Times New Roman" w:cs="Times New Roman"/>
          <w:i/>
          <w:iCs/>
          <w:sz w:val="24"/>
          <w:szCs w:val="24"/>
        </w:rPr>
        <w:t>Jurnal Preferensi Hukum</w:t>
      </w:r>
      <w:r w:rsidRPr="00B81DC3">
        <w:rPr>
          <w:rFonts w:ascii="Times New Roman" w:hAnsi="Times New Roman" w:cs="Times New Roman"/>
          <w:sz w:val="24"/>
          <w:szCs w:val="24"/>
        </w:rPr>
        <w:t xml:space="preserve"> Vol 1, no. 1 (2020): 133–138.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Ja’far, Ahmad Khumaidi. “Teori-Teori Pemberlakuan Hukum Islam Di Indonesia.” </w:t>
      </w:r>
      <w:r w:rsidRPr="00B81DC3">
        <w:rPr>
          <w:rFonts w:ascii="Times New Roman" w:hAnsi="Times New Roman" w:cs="Times New Roman"/>
          <w:i/>
          <w:iCs/>
          <w:sz w:val="24"/>
          <w:szCs w:val="24"/>
        </w:rPr>
        <w:t>Asas</w:t>
      </w:r>
      <w:r w:rsidRPr="00B81DC3">
        <w:rPr>
          <w:rFonts w:ascii="Times New Roman" w:hAnsi="Times New Roman" w:cs="Times New Roman"/>
          <w:sz w:val="24"/>
          <w:szCs w:val="24"/>
        </w:rPr>
        <w:t xml:space="preserve"> 4, no. 2 (2012): 102–110.   http://ejournal.radenintan.ac.id/index.php/asas/article/view/1679.</w:t>
      </w:r>
    </w:p>
    <w:p w:rsidR="00EE65E4" w:rsidRPr="00B81DC3" w:rsidRDefault="00EE65E4" w:rsidP="00EE65E4">
      <w:pPr>
        <w:widowControl w:val="0"/>
        <w:autoSpaceDE w:val="0"/>
        <w:autoSpaceDN w:val="0"/>
        <w:adjustRightInd w:val="0"/>
        <w:spacing w:line="240" w:lineRule="auto"/>
        <w:jc w:val="both"/>
        <w:rPr>
          <w:rFonts w:ascii="Times New Roman" w:hAnsi="Times New Roman" w:cs="Times New Roman"/>
          <w:sz w:val="24"/>
          <w:szCs w:val="24"/>
        </w:rPr>
      </w:pP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Juanda, Khairy, and Lahmuddin Zuhri. “Kritik Salamat : Maqosid Al-Syariah Dalam Nilai Lokal ( Urf ’).” </w:t>
      </w:r>
      <w:r w:rsidRPr="00B81DC3">
        <w:rPr>
          <w:rFonts w:ascii="Times New Roman" w:hAnsi="Times New Roman" w:cs="Times New Roman"/>
          <w:i/>
          <w:iCs/>
          <w:sz w:val="24"/>
          <w:szCs w:val="24"/>
        </w:rPr>
        <w:t>Komunike</w:t>
      </w:r>
      <w:r w:rsidRPr="00B81DC3">
        <w:rPr>
          <w:rFonts w:ascii="Times New Roman" w:hAnsi="Times New Roman" w:cs="Times New Roman"/>
          <w:sz w:val="24"/>
          <w:szCs w:val="24"/>
        </w:rPr>
        <w:t xml:space="preserve"> viii, no. 1 (2016): 98–111.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Mangunsong, Nurainun. “Nurainun Mangunsong, “HAM Beragama Dalam Perspektif Filsafat Ilmu Hukum, Asy-Syir’ah Jurnal Ilmu Syari’ah Dan Hukum Vol. 45 No, No. II (2011): Hlm 1542–1563. DOI: Http://Dx.Doi.Org/10.14421/Ajish.2011.45.2.%25p”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Mukhti Fajar, and Yulianto Achmad. “Dualisme Penelitian Hukum Normatif Dan Empiris” 8, no. 1 (2015): 27.</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Novianto, M, and Hantoro. </w:t>
      </w:r>
      <w:r w:rsidRPr="00B81DC3">
        <w:rPr>
          <w:rFonts w:ascii="Times New Roman" w:hAnsi="Times New Roman" w:cs="Times New Roman"/>
          <w:i/>
          <w:iCs/>
          <w:sz w:val="24"/>
          <w:szCs w:val="24"/>
        </w:rPr>
        <w:t>Negara Dan Masyarakat Adat, Penetapan Kesatuan Masyarakat Hukum Adat Sebagai Bentuk Pengakuan Negara Dan Implikasinya</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 Pusat Penelitian Badan Keahlian DPR RI</w:t>
      </w:r>
      <w:r w:rsidRPr="00B81DC3">
        <w:rPr>
          <w:rFonts w:ascii="Times New Roman" w:hAnsi="Times New Roman" w:cs="Times New Roman"/>
          <w:sz w:val="24"/>
          <w:szCs w:val="24"/>
        </w:rPr>
        <w:t>. Vol. 11, 2018.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Nusantara, Aliansi Masyarakat. “Catatan Akhir Tahun Aliansi Masyarakat Adat Nusantara (AMAN.” </w:t>
      </w:r>
      <w:r w:rsidRPr="00B81DC3">
        <w:rPr>
          <w:rFonts w:ascii="Times New Roman" w:hAnsi="Times New Roman" w:cs="Times New Roman"/>
          <w:i/>
          <w:iCs/>
          <w:sz w:val="24"/>
          <w:szCs w:val="24"/>
        </w:rPr>
        <w:t>AMAN</w:t>
      </w:r>
      <w:r w:rsidRPr="00B81DC3">
        <w:rPr>
          <w:rFonts w:ascii="Times New Roman" w:hAnsi="Times New Roman" w:cs="Times New Roman"/>
          <w:sz w:val="24"/>
          <w:szCs w:val="24"/>
        </w:rPr>
        <w:t>. Last modified 2021. https://www.aman.or.id/files/organization-document/57108Catatan Akhir Tahun AMAN, 2021 Fix (1).pdf.</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Praja, Juhaya S. </w:t>
      </w:r>
      <w:r w:rsidRPr="00B81DC3">
        <w:rPr>
          <w:rFonts w:ascii="Times New Roman" w:hAnsi="Times New Roman" w:cs="Times New Roman"/>
          <w:i/>
          <w:iCs/>
          <w:sz w:val="24"/>
          <w:szCs w:val="24"/>
        </w:rPr>
        <w:t>Teori Hukum Dan Aplikasinya</w:t>
      </w:r>
      <w:r w:rsidRPr="00B81DC3">
        <w:rPr>
          <w:rFonts w:ascii="Times New Roman" w:hAnsi="Times New Roman" w:cs="Times New Roman"/>
          <w:sz w:val="24"/>
          <w:szCs w:val="24"/>
        </w:rPr>
        <w:t>. Bandung: Pustaka Setia, 2011.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Prasetio, Dicky Eko. </w:t>
      </w:r>
      <w:r w:rsidRPr="00B81DC3">
        <w:rPr>
          <w:rFonts w:ascii="Times New Roman" w:hAnsi="Times New Roman" w:cs="Times New Roman"/>
          <w:iCs/>
          <w:sz w:val="24"/>
          <w:szCs w:val="24"/>
        </w:rPr>
        <w:t>Perlindungan hukum masyarakat sedulur sikep mengenai pencantuman penghayat kepercayaan di ktp elektronik</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Universitas Negeri Surabaya</w:t>
      </w:r>
      <w:r w:rsidRPr="00B81DC3">
        <w:rPr>
          <w:rFonts w:ascii="Times New Roman" w:hAnsi="Times New Roman" w:cs="Times New Roman"/>
          <w:sz w:val="24"/>
          <w:szCs w:val="24"/>
        </w:rPr>
        <w:t>. Surabaya, 2019.</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Sholahuddin Al-Fatih, Zakaria Saxon and Ahmad Murtadho. “STUDY OF THE VALUE OF CULTURE AND LOCAL WISDOM IN THE Jurnal Hukum Replik.” </w:t>
      </w:r>
      <w:r w:rsidRPr="00B81DC3">
        <w:rPr>
          <w:rFonts w:ascii="Times New Roman" w:hAnsi="Times New Roman" w:cs="Times New Roman"/>
          <w:i/>
          <w:iCs/>
          <w:sz w:val="24"/>
          <w:szCs w:val="24"/>
        </w:rPr>
        <w:t>Jurnal Hukum Replik</w:t>
      </w:r>
      <w:r w:rsidRPr="00B81DC3">
        <w:rPr>
          <w:rFonts w:ascii="Times New Roman" w:hAnsi="Times New Roman" w:cs="Times New Roman"/>
          <w:sz w:val="24"/>
          <w:szCs w:val="24"/>
        </w:rPr>
        <w:t xml:space="preserve"> 9, no. 1 (2021): 84–98.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Soekanto, Soerjono. “Hubungan Hukum Adat Dengan Hukum Islam.” </w:t>
      </w:r>
      <w:r w:rsidRPr="00B81DC3">
        <w:rPr>
          <w:rFonts w:ascii="Times New Roman" w:hAnsi="Times New Roman" w:cs="Times New Roman"/>
          <w:i/>
          <w:iCs/>
          <w:sz w:val="24"/>
          <w:szCs w:val="24"/>
        </w:rPr>
        <w:t>Jurnal Hukum &amp; Pembangunan</w:t>
      </w:r>
      <w:r w:rsidRPr="00B81DC3">
        <w:rPr>
          <w:rFonts w:ascii="Times New Roman" w:hAnsi="Times New Roman" w:cs="Times New Roman"/>
          <w:sz w:val="24"/>
          <w:szCs w:val="24"/>
        </w:rPr>
        <w:t xml:space="preserve"> 17, no. 2 (June 19, 2017): 152. http://jhp.ui.ac.id/index.php/home/article/view/1300.</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Soemadiningrat, Otje Salman. </w:t>
      </w:r>
      <w:r w:rsidRPr="00B81DC3">
        <w:rPr>
          <w:rFonts w:ascii="Times New Roman" w:hAnsi="Times New Roman" w:cs="Times New Roman"/>
          <w:i/>
          <w:iCs/>
          <w:sz w:val="24"/>
          <w:szCs w:val="24"/>
        </w:rPr>
        <w:t>Rekonseptualisasi Hokum Adat Kontemporer</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Bandung Alumni</w:t>
      </w:r>
      <w:r w:rsidRPr="00B81DC3">
        <w:rPr>
          <w:rFonts w:ascii="Times New Roman" w:hAnsi="Times New Roman" w:cs="Times New Roman"/>
          <w:sz w:val="24"/>
          <w:szCs w:val="24"/>
        </w:rPr>
        <w:t>. Bandung, 20111.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Soetandyo. </w:t>
      </w:r>
      <w:r w:rsidRPr="00B81DC3">
        <w:rPr>
          <w:rFonts w:ascii="Times New Roman" w:hAnsi="Times New Roman" w:cs="Times New Roman"/>
          <w:i/>
          <w:iCs/>
          <w:sz w:val="24"/>
          <w:szCs w:val="24"/>
        </w:rPr>
        <w:t>Hukum, Paradigma, Metode Dan Dinamika Masalahnya, Huma</w:t>
      </w:r>
      <w:r w:rsidRPr="00B81DC3">
        <w:rPr>
          <w:rFonts w:ascii="Times New Roman" w:hAnsi="Times New Roman" w:cs="Times New Roman"/>
          <w:sz w:val="24"/>
          <w:szCs w:val="24"/>
        </w:rPr>
        <w:t>. Jakarta, 2002.</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Soh, Roslina C H E. “A Study of Elopement among Muslims in Malaysia and Island of Lombok, Indonesia.” </w:t>
      </w:r>
      <w:r w:rsidRPr="00B81DC3">
        <w:rPr>
          <w:rFonts w:ascii="Times New Roman" w:hAnsi="Times New Roman" w:cs="Times New Roman"/>
          <w:i/>
          <w:iCs/>
          <w:sz w:val="24"/>
          <w:szCs w:val="24"/>
        </w:rPr>
        <w:t>Jurnal Undang-undang dan Masyarakat</w:t>
      </w:r>
      <w:r w:rsidRPr="00B81DC3">
        <w:rPr>
          <w:rFonts w:ascii="Times New Roman" w:hAnsi="Times New Roman" w:cs="Times New Roman"/>
          <w:sz w:val="24"/>
          <w:szCs w:val="24"/>
        </w:rPr>
        <w:t xml:space="preserve"> 0, no. 0 (2019): 104–114.</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Syahyuti, NFN. “Nilai-Nilai Kearifan Pada Konsep Penguasaan Tanah Menurut Hukum Adat Di Indonesia.” </w:t>
      </w:r>
      <w:r w:rsidRPr="00B81DC3">
        <w:rPr>
          <w:rFonts w:ascii="Times New Roman" w:hAnsi="Times New Roman" w:cs="Times New Roman"/>
          <w:i/>
          <w:iCs/>
          <w:sz w:val="24"/>
          <w:szCs w:val="24"/>
        </w:rPr>
        <w:t>Forum penelitian Agro Ekonomi</w:t>
      </w:r>
      <w:r w:rsidRPr="00B81DC3">
        <w:rPr>
          <w:rFonts w:ascii="Times New Roman" w:hAnsi="Times New Roman" w:cs="Times New Roman"/>
          <w:sz w:val="24"/>
          <w:szCs w:val="24"/>
        </w:rPr>
        <w:t xml:space="preserve"> 24, no. 1 (2016): 14.</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Tan, David. “Metode Penelitian Hukum: Mengupas Dan Mengulas Metodologi Dalam Menyelenggarakan Penelitian Hukum.” </w:t>
      </w:r>
      <w:r w:rsidRPr="00B81DC3">
        <w:rPr>
          <w:rFonts w:ascii="Times New Roman" w:hAnsi="Times New Roman" w:cs="Times New Roman"/>
          <w:i/>
          <w:iCs/>
          <w:sz w:val="24"/>
          <w:szCs w:val="24"/>
        </w:rPr>
        <w:t>Nusantara: Jurnal Ilmu Pengetahuan Sosial</w:t>
      </w:r>
      <w:r w:rsidRPr="00B81DC3">
        <w:rPr>
          <w:rFonts w:ascii="Times New Roman" w:hAnsi="Times New Roman" w:cs="Times New Roman"/>
          <w:sz w:val="24"/>
          <w:szCs w:val="24"/>
        </w:rPr>
        <w:t xml:space="preserve"> 8, no. 8 (2021): 2463–2478.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Verawati, R, W V R Salshadilla, and Sholahuddin Al-Fatih. “Kewenangan Dan Peran Peraturan Daerah Dalam Menyelesaikan Sengketa Agraria.” </w:t>
      </w:r>
      <w:r w:rsidRPr="00B81DC3">
        <w:rPr>
          <w:rFonts w:ascii="Times New Roman" w:hAnsi="Times New Roman" w:cs="Times New Roman"/>
          <w:i/>
          <w:iCs/>
          <w:sz w:val="24"/>
          <w:szCs w:val="24"/>
        </w:rPr>
        <w:t>Jurnal Penelitian Hukum …</w:t>
      </w:r>
      <w:r w:rsidRPr="00B81DC3">
        <w:rPr>
          <w:rFonts w:ascii="Times New Roman" w:hAnsi="Times New Roman" w:cs="Times New Roman"/>
          <w:sz w:val="24"/>
          <w:szCs w:val="24"/>
        </w:rPr>
        <w:t xml:space="preserve"> 19, no. 2 (2020): 127–128.</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Warassih, Esmi. "RECOGNITION OF ADAT FOREST AND PLANTATION CONCESSIONS IN INDONESIA." </w:t>
      </w:r>
      <w:r w:rsidRPr="00B81DC3">
        <w:rPr>
          <w:rFonts w:ascii="Times New Roman" w:hAnsi="Times New Roman" w:cs="Times New Roman"/>
          <w:i/>
          <w:iCs/>
          <w:sz w:val="24"/>
          <w:szCs w:val="24"/>
        </w:rPr>
        <w:t>Kanun Jurnal Ilmu Hukum</w:t>
      </w:r>
      <w:r w:rsidRPr="00B81DC3">
        <w:rPr>
          <w:rFonts w:ascii="Times New Roman" w:hAnsi="Times New Roman" w:cs="Times New Roman"/>
          <w:sz w:val="24"/>
          <w:szCs w:val="24"/>
        </w:rPr>
        <w:t xml:space="preserve"> 19, no. 2 (2017): 254.</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Yunus, Rasid. </w:t>
      </w:r>
      <w:r w:rsidRPr="00B81DC3">
        <w:rPr>
          <w:rFonts w:ascii="Times New Roman" w:hAnsi="Times New Roman" w:cs="Times New Roman"/>
          <w:i/>
          <w:iCs/>
          <w:sz w:val="24"/>
          <w:szCs w:val="24"/>
        </w:rPr>
        <w:t>Nilai-Nilai Kearifan Lokal ( Local Genius ) Sebagai Penguat Karakter Bangsa</w:t>
      </w:r>
      <w:r w:rsidRPr="00B81DC3">
        <w:rPr>
          <w:rFonts w:ascii="Times New Roman" w:hAnsi="Times New Roman" w:cs="Times New Roman"/>
          <w:sz w:val="24"/>
          <w:szCs w:val="24"/>
        </w:rPr>
        <w:t xml:space="preserve">. </w:t>
      </w:r>
      <w:r w:rsidRPr="00B81DC3">
        <w:rPr>
          <w:rFonts w:ascii="Times New Roman" w:hAnsi="Times New Roman" w:cs="Times New Roman"/>
          <w:i/>
          <w:iCs/>
          <w:sz w:val="24"/>
          <w:szCs w:val="24"/>
        </w:rPr>
        <w:t>Deepublish Publisher</w:t>
      </w:r>
      <w:r w:rsidRPr="00B81DC3">
        <w:rPr>
          <w:rFonts w:ascii="Times New Roman" w:hAnsi="Times New Roman" w:cs="Times New Roman"/>
          <w:sz w:val="24"/>
          <w:szCs w:val="24"/>
        </w:rPr>
        <w:t>. Yogyakarta, 2011.</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Zainuddin, Zen. “Ranperda Pengakuan Dan Perlindungan Masyarakat Adat Di Tolak.” </w:t>
      </w:r>
      <w:r w:rsidRPr="00B81DC3">
        <w:rPr>
          <w:rFonts w:ascii="Times New Roman" w:hAnsi="Times New Roman" w:cs="Times New Roman"/>
          <w:i/>
          <w:iCs/>
          <w:sz w:val="24"/>
          <w:szCs w:val="24"/>
        </w:rPr>
        <w:t>Samawarea.Com</w:t>
      </w:r>
      <w:r w:rsidRPr="00B81DC3">
        <w:rPr>
          <w:rFonts w:ascii="Times New Roman" w:hAnsi="Times New Roman" w:cs="Times New Roman"/>
          <w:sz w:val="24"/>
          <w:szCs w:val="24"/>
        </w:rPr>
        <w:t>. Last modified 2017. https://www.samawarea.com/2017/04/06/ranperda-pengakuan-dan-perlindungan-masyarakat-adat-ditolak/.</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Zuhri, Lahmuddin. “Nilai Lokal Krik Salamat Sebagai Asas Dalam Pembangunan Hukum.” </w:t>
      </w:r>
      <w:r w:rsidRPr="00B81DC3">
        <w:rPr>
          <w:rFonts w:ascii="Times New Roman" w:hAnsi="Times New Roman" w:cs="Times New Roman"/>
          <w:i/>
          <w:iCs/>
          <w:sz w:val="24"/>
          <w:szCs w:val="24"/>
        </w:rPr>
        <w:t>Rechtidee,</w:t>
      </w:r>
      <w:r w:rsidRPr="00B81DC3">
        <w:rPr>
          <w:rFonts w:ascii="Times New Roman" w:hAnsi="Times New Roman" w:cs="Times New Roman"/>
          <w:sz w:val="24"/>
          <w:szCs w:val="24"/>
        </w:rPr>
        <w:t xml:space="preserve"> Vol. 11. N, no. Juni (2016): 1–6.</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 “Tata Kelola Tanah Lar Di Kabupaten Sumbawa.” </w:t>
      </w:r>
      <w:r w:rsidRPr="00B81DC3">
        <w:rPr>
          <w:rFonts w:ascii="Times New Roman" w:hAnsi="Times New Roman" w:cs="Times New Roman"/>
          <w:i/>
          <w:iCs/>
          <w:sz w:val="24"/>
          <w:szCs w:val="24"/>
        </w:rPr>
        <w:t>Jurnal Notariil</w:t>
      </w:r>
      <w:r w:rsidRPr="00B81DC3">
        <w:rPr>
          <w:rFonts w:ascii="Times New Roman" w:hAnsi="Times New Roman" w:cs="Times New Roman"/>
          <w:sz w:val="24"/>
          <w:szCs w:val="24"/>
        </w:rPr>
        <w:t xml:space="preserve"> 2, no. 2 (2017): 160–173. https://core.ac.uk/download/pdf/268200587.pdf.</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“Achmadi, K. D., &amp; Absori, A. B. (2020). Cultural Implications of Dayak Tomun Indigenous Peoples in the Management Land Rights: A Case Study of Lamandau, Central Kalimantan, Indonesia. Humanities, (4)," (n.d.): 530-536.</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Ellyani, E., Dimyati, K., Absori, A., Wardiono, K., &amp; Budiono, A. (2020). Psychological Analysis of Jenang Kutei Judges in Delivering a Verdict of Matai Bilai and Cuci Kampong (Purification Ritual) in Rejang Lebong Regency, Bengkulu Province, Indonesia. J”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“Jayanuarto, R., Dimyati, K., Absori, A., Surbakti, N., &amp; Damayanti, F. N. (2019). Psychological Analysis of Customary Law as the Spirit for Indigenous People of Bengkulu City Indonesia. Indian Journal of Public Health Research &amp; Development, 10(9)."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“Nugroho, S. S., Absori, A., Harun, H., &amp; Setiahadi, R. (2019). Customary Law Harmonization Norma Interaction and Legal State in the Management of Natural Resources Conservation."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 xml:space="preserve"> "SiuSue Mark, Ben Belton, Breaking with the Past? The Politics of Land Restitution and the Limits to Restitutive Justice in Myanmar, Land Use Policy, Volume 94, 2020, 104503, ISSN 0264-8377, Https://Doi.Org/10.1016/j.Landusepol.2020.104503." (n.d.).</w:t>
      </w:r>
    </w:p>
    <w:p w:rsidR="00EE65E4" w:rsidRPr="00B81DC3" w:rsidRDefault="00EE65E4" w:rsidP="00EE65E4">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81DC3">
        <w:rPr>
          <w:rFonts w:ascii="Times New Roman" w:hAnsi="Times New Roman" w:cs="Times New Roman"/>
          <w:sz w:val="24"/>
          <w:szCs w:val="24"/>
        </w:rPr>
        <w:t>“Ståle Angen Rye, Nanang Indra Kurniawan, Claiming Indigenous Rights through Participatory Mapping and the Making of Citizenship, Political Geography, Volume 61, 2017, Pages 148-159, ISSN 0962-6298,Https://Doi.Org/10.1016/j.Polgeo.2017.08.008.” (n.d.).</w:t>
      </w:r>
    </w:p>
    <w:p w:rsidR="007B4987" w:rsidRDefault="00EE65E4" w:rsidP="00EE65E4">
      <w:pPr>
        <w:pStyle w:val="Heading3"/>
        <w:spacing w:before="0" w:after="0" w:line="240" w:lineRule="auto"/>
        <w:jc w:val="both"/>
        <w:rPr>
          <w:rFonts w:ascii="Calibri" w:eastAsia="Calibri" w:hAnsi="Calibri"/>
          <w:b/>
          <w:sz w:val="36"/>
          <w:szCs w:val="36"/>
        </w:rPr>
      </w:pPr>
      <w:r w:rsidRPr="00B81DC3">
        <w:rPr>
          <w:rFonts w:cs="Times New Roman"/>
        </w:rPr>
        <w:fldChar w:fldCharType="end"/>
      </w:r>
      <w:bookmarkStart w:id="1" w:name="_GoBack"/>
      <w:bookmarkEnd w:id="1"/>
    </w:p>
    <w:sectPr w:rsidR="007B4987">
      <w:footerReference w:type="even" r:id="rId16"/>
      <w:footerReference w:type="default" r:id="rId17"/>
      <w:headerReference w:type="first" r:id="rId18"/>
      <w:pgSz w:w="11906" w:h="16838"/>
      <w:pgMar w:top="925"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51" w:rsidRDefault="00451A51">
      <w:pPr>
        <w:spacing w:after="0" w:line="240" w:lineRule="auto"/>
      </w:pPr>
      <w:r>
        <w:separator/>
      </w:r>
    </w:p>
  </w:endnote>
  <w:endnote w:type="continuationSeparator" w:id="0">
    <w:p w:rsidR="00451A51" w:rsidRDefault="0045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87" w:rsidRDefault="00451A51">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1F3864"/>
        <w:sz w:val="24"/>
        <w:szCs w:val="24"/>
      </w:rPr>
      <w:fldChar w:fldCharType="begin"/>
    </w:r>
    <w:r>
      <w:rPr>
        <w:rFonts w:ascii="Book Antiqua" w:eastAsia="Book Antiqua" w:hAnsi="Book Antiqua" w:cs="Book Antiqua"/>
        <w:color w:val="1F3864"/>
        <w:sz w:val="24"/>
        <w:szCs w:val="24"/>
      </w:rPr>
      <w:instrText>PAGE</w:instrText>
    </w:r>
    <w:r w:rsidR="003C7C13">
      <w:rPr>
        <w:rFonts w:ascii="Book Antiqua" w:eastAsia="Book Antiqua" w:hAnsi="Book Antiqua" w:cs="Book Antiqua"/>
        <w:color w:val="1F3864"/>
        <w:sz w:val="24"/>
        <w:szCs w:val="24"/>
      </w:rPr>
      <w:fldChar w:fldCharType="separate"/>
    </w:r>
    <w:r w:rsidR="00B04FF6">
      <w:rPr>
        <w:rFonts w:ascii="Book Antiqua" w:eastAsia="Book Antiqua" w:hAnsi="Book Antiqua" w:cs="Book Antiqua"/>
        <w:noProof/>
        <w:color w:val="1F3864"/>
        <w:sz w:val="24"/>
        <w:szCs w:val="24"/>
      </w:rPr>
      <w:t>12</w:t>
    </w:r>
    <w:r>
      <w:rPr>
        <w:rFonts w:ascii="Book Antiqua" w:eastAsia="Book Antiqua" w:hAnsi="Book Antiqua" w:cs="Book Antiqua"/>
        <w:color w:val="1F3864"/>
        <w:sz w:val="24"/>
        <w:szCs w:val="24"/>
      </w:rPr>
      <w:fldChar w:fldCharType="end"/>
    </w:r>
    <w:r>
      <w:rPr>
        <w:b/>
        <w:color w:val="1F3864"/>
        <w:szCs w:val="22"/>
      </w:rPr>
      <w:t xml:space="preserve"> </w:t>
    </w:r>
    <w:r>
      <w:rPr>
        <w:b/>
        <w:color w:val="000000"/>
        <w:szCs w:val="22"/>
      </w:rPr>
      <w:t xml:space="preserve">|    </w:t>
    </w:r>
    <w:r>
      <w:rPr>
        <w:rFonts w:ascii="Book Antiqua" w:eastAsia="Book Antiqua" w:hAnsi="Book Antiqua" w:cs="Book Antiqua"/>
        <w:b/>
        <w:i/>
        <w:color w:val="000000"/>
        <w:szCs w:val="22"/>
      </w:rPr>
      <w:t>P-ISSN: 1693-0061, E-ISSN: 2614-2961                                               SASI X(X): X-X</w:t>
    </w:r>
  </w:p>
  <w:p w:rsidR="007B4987" w:rsidRDefault="007B4987">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87" w:rsidRDefault="00451A51">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2F5496"/>
        <w:sz w:val="24"/>
        <w:szCs w:val="24"/>
      </w:rPr>
      <w:fldChar w:fldCharType="begin"/>
    </w:r>
    <w:r>
      <w:rPr>
        <w:rFonts w:ascii="Book Antiqua" w:eastAsia="Book Antiqua" w:hAnsi="Book Antiqua" w:cs="Book Antiqua"/>
        <w:color w:val="2F5496"/>
        <w:sz w:val="24"/>
        <w:szCs w:val="24"/>
      </w:rPr>
      <w:instrText>PAGE</w:instrText>
    </w:r>
    <w:r w:rsidR="003C7C13">
      <w:rPr>
        <w:rFonts w:ascii="Book Antiqua" w:eastAsia="Book Antiqua" w:hAnsi="Book Antiqua" w:cs="Book Antiqua"/>
        <w:color w:val="2F5496"/>
        <w:sz w:val="24"/>
        <w:szCs w:val="24"/>
      </w:rPr>
      <w:fldChar w:fldCharType="separate"/>
    </w:r>
    <w:r w:rsidR="00B04FF6">
      <w:rPr>
        <w:rFonts w:ascii="Book Antiqua" w:eastAsia="Book Antiqua" w:hAnsi="Book Antiqua" w:cs="Book Antiqua"/>
        <w:noProof/>
        <w:color w:val="2F5496"/>
        <w:sz w:val="24"/>
        <w:szCs w:val="24"/>
      </w:rPr>
      <w:t>11</w:t>
    </w:r>
    <w:r>
      <w:rPr>
        <w:rFonts w:ascii="Book Antiqua" w:eastAsia="Book Antiqua" w:hAnsi="Book Antiqua" w:cs="Book Antiqua"/>
        <w:color w:val="2F5496"/>
        <w:sz w:val="24"/>
        <w:szCs w:val="24"/>
      </w:rPr>
      <w:fldChar w:fldCharType="end"/>
    </w:r>
    <w:r>
      <w:rPr>
        <w:b/>
        <w:color w:val="000000"/>
        <w:szCs w:val="22"/>
      </w:rPr>
      <w:t xml:space="preserve"> |     </w:t>
    </w:r>
    <w:r>
      <w:rPr>
        <w:rFonts w:ascii="Book Antiqua" w:eastAsia="Book Antiqua" w:hAnsi="Book Antiqua" w:cs="Book Antiqua"/>
        <w:b/>
        <w:i/>
        <w:color w:val="000000"/>
        <w:szCs w:val="22"/>
      </w:rPr>
      <w:t>P-ISSN: 1693-0061, E-ISSN: 2614-2961                                               SASI X(X): X-X</w:t>
    </w:r>
  </w:p>
  <w:p w:rsidR="007B4987" w:rsidRDefault="007B4987">
    <w:pPr>
      <w:pBdr>
        <w:top w:val="nil"/>
        <w:left w:val="nil"/>
        <w:bottom w:val="nil"/>
        <w:right w:val="nil"/>
        <w:between w:val="nil"/>
      </w:pBdr>
      <w:tabs>
        <w:tab w:val="center" w:pos="4680"/>
        <w:tab w:val="right" w:pos="9360"/>
      </w:tabs>
      <w:spacing w:after="0" w:line="240" w:lineRule="auto"/>
      <w:rPr>
        <w:color w:val="C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51" w:rsidRDefault="00451A51">
      <w:pPr>
        <w:spacing w:after="0" w:line="240" w:lineRule="auto"/>
      </w:pPr>
      <w:r>
        <w:separator/>
      </w:r>
    </w:p>
  </w:footnote>
  <w:footnote w:type="continuationSeparator" w:id="0">
    <w:p w:rsidR="00451A51" w:rsidRDefault="00451A51">
      <w:pPr>
        <w:spacing w:after="0" w:line="240" w:lineRule="auto"/>
      </w:pPr>
      <w:r>
        <w:continuationSeparator/>
      </w:r>
    </w:p>
  </w:footnote>
  <w:footnote w:id="1">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DOI":"http://dx.doi.org/10.14421/ajish.2011.45.2.%25p","author":[{"dropping-particle":"","family":"Mangunsong","given":"Nurainun","non-dropping-particle":"","parse-names":false,"suffix":""}],"id":"ITEM-1","issued":{"date-parts":[["0"]]},"title":"Nurainun Mangunsong, “HAM Beragama Dalam Perspektif Filsafat Ilmu Hukum, Asy-Syir’ah Jurnal Ilmu Syari’ah dan Hukum Vol. 45 No, no. II (2011): hlm 1542–1563. DOI: http://dx.doi.org/10.14421/ajish.2011.45.2.%25p","type":"article-journal"},"uris":["http://www.mendeley.com/documents/?uuid=340059ca-f3df-48a3-a306-ca32e83d1b49"]}],"mendeley":{"formattedCitation":"Nurainun Mangunsong, “Nurainun Mangunsong, “HAM Beragama Dalam Perspektif Filsafat Ilmu Hukum, Asy-Syir’ah Jurnal Ilmu Syari’ah Dan Hukum Vol. 45 No, No. II (2011): Hlm 1542–1563. DOI: Http://Dx.Doi.Org/10.14421/Ajish.2011.45.2.%25p” (n.d.).","manualFormatting":"Nurainun Mangunsong, “HAM Beragama Dalam Perspektif Filsafat Ilmu Hukum,  Asy-Syir'ah : Jurnal Ilmu Syari'ah dan Hukum Volume 45 Nomor II 2011. hlm 1542–1563. \u000bDOI: http://dx.doi.org/10.14421/ajish.2011.45.2.%25p.","plainTextFormattedCitation":"Nurainun Mangunsong, “Nurainun Mangunsong, “HAM Beragama Dalam Perspektif Filsafat Ilmu Hukum, Asy-Syir’ah Jurnal Ilmu Syari’ah Dan Hukum Vol. 45 No, No. II (2011): Hlm 1542–1563. DOI: Http://Dx.Doi.Org/10.14421/Ajish.2011.45.2.%25p” (n.d.).","previouslyFormattedCitation":"Nurainun Mangunsong, “HAM Beragama Dalam Perspektif Filsafat Ilmu Hukum,” &lt;i&gt;Asy-Syir’ah Jurnal Ilmu Syari’ah dan Hukum&lt;/i&gt; Vol. 45 No, no. II (2011): 1542–1563."},"properties":{"noteIndex":1},"schema":"https://github.com/citation-style-language/schema/raw/master/csl-citation.json"}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Nurainun Mangunsong, “HAM Beragama Dalam Perspektif Filsafat Ilmu Hukum,  Asy-Syir'ah : Jurnal Ilmu Syari'ah dan Hukum Volume 45 Nomor II 2011. p 1542–1563. </w:t>
      </w:r>
    </w:p>
    <w:p w:rsidR="00305ECC" w:rsidRPr="00B81DC3" w:rsidRDefault="00305ECC" w:rsidP="00305ECC">
      <w:pPr>
        <w:pStyle w:val="FootnoteText"/>
        <w:ind w:firstLine="720"/>
        <w:jc w:val="both"/>
        <w:rPr>
          <w:rFonts w:cs="Times New Roman"/>
          <w:color w:val="171717"/>
          <w:sz w:val="18"/>
          <w:szCs w:val="18"/>
        </w:rPr>
      </w:pPr>
      <w:r w:rsidRPr="00B81DC3">
        <w:rPr>
          <w:rFonts w:cs="Times New Roman"/>
          <w:color w:val="171717"/>
          <w:sz w:val="18"/>
          <w:szCs w:val="18"/>
        </w:rPr>
        <w:t xml:space="preserve">DOI: </w:t>
      </w:r>
      <w:hyperlink r:id="rId1" w:history="1">
        <w:r w:rsidRPr="00B81DC3">
          <w:rPr>
            <w:rStyle w:val="Hyperlink"/>
            <w:rFonts w:cs="Times New Roman"/>
            <w:color w:val="171717"/>
            <w:sz w:val="18"/>
            <w:szCs w:val="18"/>
          </w:rPr>
          <w:t>http://dx.doi.org/10.14421/ajish.2011.45.2.%25p</w:t>
        </w:r>
      </w:hyperlink>
      <w:r w:rsidRPr="00B81DC3">
        <w:rPr>
          <w:rFonts w:cs="Times New Roman"/>
          <w:color w:val="171717"/>
          <w:sz w:val="18"/>
          <w:szCs w:val="18"/>
        </w:rPr>
        <w:t>.</w:t>
      </w:r>
      <w:r w:rsidRPr="00B81DC3">
        <w:rPr>
          <w:rFonts w:cs="Times New Roman"/>
          <w:color w:val="171717"/>
          <w:sz w:val="18"/>
          <w:szCs w:val="18"/>
        </w:rPr>
        <w:fldChar w:fldCharType="end"/>
      </w:r>
      <w:r w:rsidRPr="00B81DC3">
        <w:rPr>
          <w:rFonts w:cs="Times New Roman"/>
          <w:color w:val="171717"/>
          <w:sz w:val="18"/>
          <w:szCs w:val="18"/>
        </w:rPr>
        <w:t xml:space="preserve"> </w:t>
      </w:r>
    </w:p>
  </w:footnote>
  <w:footnote w:id="2">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URL":"https://www.samawarea.com/2017/04/06/ranperda-pengakuan-dan-perlindungan-masyarakat-adat-ditolak/","author":[{"dropping-particle":"","family":"Zainuddin","given":"Zen","non-dropping-particle":"","parse-names":false,"suffix":""}],"container-title":"samawarea.com","id":"ITEM-1","issued":{"date-parts":[["2017"]]},"title":"Ranperda pengakuan dan Perlindungan Masyarakat adat di Tolak","type":"webpage"},"uris":["http://www.mendeley.com/documents/?uuid=76334dc3-cc30-41fb-8410-a361d33483ac"]}],"mendeley":{"formattedCitation":"Zen Zainuddin, “Ranperda Pengakuan Dan Perlindungan Masyarakat Adat Di Tolak,” &lt;i&gt;Samawarea.Com&lt;/i&gt;, last modified 2017, https://www.samawarea.com/2017/04/06/ranperda-pengakuan-dan-perlindungan-masyarakat-adat-ditolak/.","plainTextFormattedCitation":"Zen Zainuddin, “Ranperda Pengakuan Dan Perlindungan Masyarakat Adat Di Tolak,” Samawarea.Com, last modified 2017, https://www.samawarea.com/2017/04/06/ranperda-pengakuan-dan-perlindungan-masyarakat-adat-ditolak/.","previouslyFormattedCitation":"Zen Zainuddin, “Ranperda Pengakuan Dan Perlindungan Masyarakat Adat Di Tolak,” &lt;i&gt;Samawarea.Com&lt;/i&gt;, last modified 2017, https://www.samawarea.com/2017/04/06/ranperda-pengakuan-dan-perlindungan-masyarakat-adat-ditolak/."},"properties":{"noteIndex":2},"schema":"https://github.com/citation-style-language/schema/raw/master/csl-citation.json"}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Zen Zainuddin, “Ranperda Pengakuan Dan Perlindungan Masyarakat Adat Di Tolak,” </w:t>
      </w:r>
      <w:r w:rsidRPr="00B81DC3">
        <w:rPr>
          <w:rFonts w:cs="Times New Roman"/>
          <w:i/>
          <w:color w:val="171717"/>
          <w:sz w:val="18"/>
          <w:szCs w:val="18"/>
        </w:rPr>
        <w:t>Samawarea.Com</w:t>
      </w:r>
      <w:r w:rsidRPr="00B81DC3">
        <w:rPr>
          <w:rFonts w:cs="Times New Roman"/>
          <w:color w:val="171717"/>
          <w:sz w:val="18"/>
          <w:szCs w:val="18"/>
        </w:rPr>
        <w:t>, last modified 2017, https://www.samawarea.com/2017/04/06/ranperda-pengakuan-dan-perlindungan-masyarakat-adat-ditolak/.</w:t>
      </w:r>
      <w:r w:rsidRPr="00B81DC3">
        <w:rPr>
          <w:rFonts w:cs="Times New Roman"/>
          <w:color w:val="171717"/>
          <w:sz w:val="18"/>
          <w:szCs w:val="18"/>
        </w:rPr>
        <w:fldChar w:fldCharType="end"/>
      </w:r>
      <w:r w:rsidRPr="00B81DC3">
        <w:rPr>
          <w:rFonts w:cs="Times New Roman"/>
          <w:color w:val="171717"/>
          <w:sz w:val="18"/>
          <w:szCs w:val="18"/>
        </w:rPr>
        <w:t xml:space="preserve"> Accessed on July 16, 2022</w:t>
      </w:r>
    </w:p>
  </w:footnote>
  <w:footnote w:id="3">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{"citationItems":[{"id":"ITEM-1","itemData":{"id":"ITEM-1","issued":{"date-parts":[["0"]]},"title":"Desa bao dimaknai orang yang miskin, kolot, bodoh padahal makna sebenarnya orang yang tinggal di atas pegunungan","type":"article-journal"},"uris":["http://www.mendeley.com/documents/?uuid=7356c639-a548-40d4-8bf5-ef1fc7bb4d12"]}],"mendeley":{"formattedCitation":"“Desa Bao Dimaknai Orang Yang Miskin, Kolot, Bodoh Padahal Makna Sebenarnya Orang Yang Tinggal Di Atas Pegunungan” (n.d.).","plainTextFormattedCitation":"“Desa Bao Dimaknai Orang Yang Miskin, Kolot, Bodoh Padahal Makna Sebenarnya Orang Yang Tinggal Di Atas Pegunungan” (n.d.).","previouslyFormattedCitation":"“Desa Bao Dimaknai Orang Yang Miskin, Kolot, Bodoh Padahal Makna Sebenarnya Orang Yang Tinggal Di Atas Pegunungan” (n.d.)."},"properties":{"noteIndex":3},"schema":"https://github.com/citation-style-language/schema/raw/master/csl-citation.json"}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w:t>
      </w:r>
      <w:r w:rsidRPr="00B81DC3">
        <w:rPr>
          <w:rFonts w:cs="Times New Roman"/>
          <w:i/>
          <w:iCs/>
          <w:color w:val="171717"/>
          <w:sz w:val="18"/>
          <w:szCs w:val="18"/>
        </w:rPr>
        <w:t xml:space="preserve">Desa Bao </w:t>
      </w:r>
      <w:r w:rsidRPr="00B81DC3">
        <w:rPr>
          <w:rFonts w:cs="Times New Roman"/>
          <w:color w:val="171717"/>
          <w:sz w:val="18"/>
          <w:szCs w:val="18"/>
        </w:rPr>
        <w:t>is interpreted by people who are poor, old-fashioned, and stupid, even though the real meaning is people who live in the mountains” (n.d.).</w:t>
      </w:r>
      <w:r w:rsidRPr="00B81DC3">
        <w:rPr>
          <w:rFonts w:cs="Times New Roman"/>
          <w:color w:val="171717"/>
          <w:sz w:val="18"/>
          <w:szCs w:val="18"/>
        </w:rPr>
        <w:fldChar w:fldCharType="end"/>
      </w:r>
    </w:p>
  </w:footnote>
  <w:footnote w:id="4">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{"citationItems":[{"id":"ITEM-1","itemData":{"id":"ITEM-1","issued":{"date-parts":[["0"]]},"title":"SiuSue Mark, Ben Belton, Breaking with the past? The politics of land restitution and the limits to restitutive justice in Myanmar, Land Use Policy, Volume 94, 2020, 104503, ISSN 0264-8377, https://doi.org/10.1016/j.landusepol.2020.104503.","type":"article-journal"},"uris":["http://www.mendeley.com/documents/?uuid=34452b41-deaa-45ab-a494-6b09b6def99a"]}],"mendeley":{"formattedCitation":"“SiuSue Mark, Ben Belton, Breaking with the Past? The Politics of Land Restitution and the Limits to Restitutive Justice in Myanmar, Land Use Policy, Volume 94, 2020, 104503, ISSN 0264-8377, Https://Doi.Org/10.1016/j.Landusepol.2020.104503.” (n.d.).","manualFormatting":"“SiuSue Mark, Ben Belton, Breaking with the Past? The Politics of Land Restitution and the Limits to Restitutive Justice in Myanmar, Land Use Policy, Volume 94, 2020, 104503, ISSN 0264-8377, Https://Doi.Org/10.1016/j.Landusepol.2020.104503.”.","plainTextFormattedCitation":"“SiuSue Mark, Ben Belton, Breaking with the Past? The Politics of Land Restitution and the Limits to Restitutive Justice in Myanmar, Land Use Policy, Volume 94, 2020, 104503, ISSN 0264-8377, Https://Doi.Org/10.1016/j.Landusepol.2020.104503.” (n.d.).","previouslyFormattedCitation":"“SiuSue Mark, Ben Belton, Breaking with the Past? The Politics of Land Restitution and the Limits to Restitutive Justice in Myanmar, Land Use Policy, Volume 94, 2020, 104503, ISSN 0264-8377, Https://Doi.Org/10.1016/j.Landusepol.2020.104503.” (n.d.)."},"properties":{"noteIndex":4},"schema":"https://github.com/citation-style-language/schema/raw/master/csl-citation.json"}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“SiuSue Mark, Ben Belton, Breaking with the Past? The Politics of Land Restitution and the Limits to Restitutive Justice in Myanmar, Land Use Policy, Volume 94, 2020, 104503, ISSN 0264-8377, Https://Doi.Org/10.1016/j.Landusepol.2020.104503.”.</w:t>
      </w:r>
      <w:r w:rsidRPr="00B81DC3">
        <w:rPr>
          <w:rFonts w:cs="Times New Roman"/>
          <w:sz w:val="18"/>
          <w:szCs w:val="18"/>
        </w:rPr>
        <w:fldChar w:fldCharType="end"/>
      </w:r>
    </w:p>
  </w:footnote>
  <w:footnote w:id="5">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{"citationItems":[{"id":"ITEM-1","itemData":{"id":"ITEM-1","issued":{"date-parts":[["0"]]},"title":"Tau samawa adalah masyarakat Sumbawa.","type":"article"},"uris":["http://www.mendeley.com/documents/?uuid=12c29941-8b1e-4cfa-9770-a8fe21e2f5a3"]}],"mendeley":{"formattedCitation":"“Tau Samawa Adalah Masyarakat Sumbawa.,” n.d.","plainTextFormattedCitation":"“Tau Samawa Adalah Masyarakat Sumbawa.,” n.d.","previouslyFormattedCitation":"“Tau Samawa Adalah Masyarakat Sumbawa.,” n.d."},"properties":{"noteIndex":5},"schema":"https://github.com/citation-style-language/schema/raw/master/csl-citation.json"}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“Tau Samawa Adalah Masyarakat Sumbawa.,” n.d.</w:t>
      </w:r>
      <w:r w:rsidRPr="00B81DC3">
        <w:rPr>
          <w:rFonts w:cs="Times New Roman"/>
          <w:color w:val="171717"/>
          <w:sz w:val="18"/>
          <w:szCs w:val="18"/>
        </w:rPr>
        <w:fldChar w:fldCharType="end"/>
      </w:r>
    </w:p>
  </w:footnote>
  <w:footnote w:id="6">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oetandyo","given":"","non-dropping-particle":"","parse-names":false,"suffix":""}],"id":"ITEM-1","issued":{"date-parts":[["2002"]]},"number-of-pages":"147","publisher-place":"Jakarta","title":"Hukum, paradigma, metode dan dinamika masalahnya, Huma","type":"book"},"uris":["http://www.mendeley.com/documents/?uuid=50cd7bf8-3158-451f-ac17-e53087bd2f0b"]}],"mendeley":{"formattedCitation":"Soetandyo, &lt;i&gt;Hukum, Paradigma, Metode Dan Dinamika Masalahnya, Huma&lt;/i&gt; (Jakarta, 2002).","plainTextFormattedCitation":"Soetandyo, Hukum, Paradigma, Metode Dan Dinamika Masalahnya, Huma (Jakarta, 2002).","previouslyFormattedCitation":"Soetandyo, &lt;i&gt;Hukum, Paradigma, Metode Dan Dinamika Masalahnya, Huma&lt;/i&gt; (Jakarta, 2002)."},"properties":{"noteIndex":6},"schema":"https://github.com/citation-style-language/schema/raw/master/csl-citation.json"}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Soetandyo, </w:t>
      </w:r>
      <w:r w:rsidRPr="00B81DC3">
        <w:rPr>
          <w:rFonts w:cs="Times New Roman"/>
          <w:i/>
          <w:color w:val="171717"/>
          <w:sz w:val="18"/>
          <w:szCs w:val="18"/>
        </w:rPr>
        <w:t>Hukum, Paradigma, Metode Dan Dinamika Masalahnya, Huma</w:t>
      </w:r>
      <w:r w:rsidRPr="00B81DC3">
        <w:rPr>
          <w:rFonts w:cs="Times New Roman"/>
          <w:color w:val="171717"/>
          <w:sz w:val="18"/>
          <w:szCs w:val="18"/>
        </w:rPr>
        <w:t xml:space="preserve"> (Jakarta, 2002).</w:t>
      </w:r>
      <w:r w:rsidRPr="00B81DC3">
        <w:rPr>
          <w:rFonts w:cs="Times New Roman"/>
          <w:color w:val="171717"/>
          <w:sz w:val="18"/>
          <w:szCs w:val="18"/>
        </w:rPr>
        <w:fldChar w:fldCharType="end"/>
      </w:r>
      <w:r w:rsidRPr="00B81DC3">
        <w:rPr>
          <w:rFonts w:cs="Times New Roman"/>
          <w:color w:val="171717"/>
          <w:sz w:val="18"/>
          <w:szCs w:val="18"/>
        </w:rPr>
        <w:t xml:space="preserve"> </w:t>
      </w:r>
    </w:p>
  </w:footnote>
  <w:footnote w:id="7">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{"citationItems":[{"id":"ITEM-1","itemData":{"abstract":"Artikel ini mengulas tentang metode penelitian hukum dengan segala keistimewaannya. Seringkali mahasiswa hukum yang hendak melakukan penelitian hukum menghadapi kendala untuk memulai penelitiannya karena alasan kesulitan untuk memahami metode penelitian hukum. Oleh karena itu, artikel ini mencoba menjawab permasalahan tersebut dengan menyajikan penjelasan terkait metode penelitian hukum dengan bahasa yang mudah dimengerti, padat dan komprehensif. Artikel ini ditulis dengan acuan beberapa sumber referensi terkait penelitian hukum, baik itu karya yang berasal dari dalam negeri maupun yang didapatkan dari luar negeri. Tulisan ini juga meliputi beberapa uraian terkait pengalaman penulis sebagai seorang peneliti dan pengajar di perguruan tinggi. Artikel ini bertujuan untuk membantu mahasiswa, para peneliti hukum maupun pengajar metode penelitian hukum, dalam memberikan sumber literasi terkait metode penelitian hukum dan menjadi pedoman bacaan yang mudah dipahami, satu dan lain untuk membantu pemahaman akan metode penelitian yang pada akhirnya akan meningkatkan kualitas penelitian hukum di Indonesia.","author":[{"dropping-particle":"","family":"Tan","given":"David","non-dropping-particle":"","parse-names":false,"suffix":""}],"container-title":"Nusantara: Jurnal Ilmu Pengetahuan Sosial","id":"ITEM-1","issue":"8","issued":{"date-parts":[["2021"]]},"page":"2463-2478","title":"Metode Penelitian Hukum: Mengupas Dan Mengulas Metodologi Dalam Menyelenggarakan Penelitian Hukum","type":"article-journal","volume":"8"},"uris":["http://www.mendeley.com/documents/?uuid=dc209f52-461e-462f-9882-6d3eb67ed3c2"]}],"mendeley":{"formattedCitation":"David Tan, “Metode Penelitian Hukum: Mengupas Dan Mengulas Metodologi Dalam Menyelenggarakan Penelitian Hukum,” &lt;i&gt;Nusantara: Jurnal Ilmu Pengetahuan Sosial&lt;/i&gt; 8, no. 8 (2021): 2463–2478.","manualFormatting":"David Tan, “Metode Penelitian Hukum: Mengupas Dan Mengulas Metodologi Dalam Menyelenggarakan Penelitian Hukum,” Nusantara: Jurnal Ilmu Pengetahuan Sosial  Volume 8, no. 8 (2021): 2463–2478.","plainTextFormattedCitation":"David Tan, “Metode Penelitian Hukum: Mengupas Dan Mengulas Metodologi Dalam Menyelenggarakan Penelitian Hukum,” Nusantara: Jurnal Ilmu Pengetahuan Sosial 8, no. 8 (2021): 2463–2478.","previouslyFormattedCitation":"David Tan, “Metode Penelitian Hukum: Mengupas Dan Mengulas Metodologi Dalam Menyelenggarakan Penelitian Hukum,” &lt;i&gt;Nusantara: Jurnal Ilmu Pengetahuan Sosial&lt;/i&gt; 8, no. 8 (2021): 2463–2478."},"properties":{"noteIndex":7},"schema":"https://github.com/citation-style-language/schema/raw/master/csl-citation.json"}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David Tan, “Metode Penelitian Hukum: Mengupas Dan Mengulas Metodologi Dalam Menyelenggarakan Penelitian Hukum,” </w:t>
      </w:r>
      <w:r w:rsidRPr="00B81DC3">
        <w:rPr>
          <w:rFonts w:cs="Times New Roman"/>
          <w:i/>
          <w:sz w:val="18"/>
          <w:szCs w:val="18"/>
        </w:rPr>
        <w:t>Nusantara: Jurnal Ilmu Pengetahuan Sosial</w:t>
      </w:r>
      <w:r w:rsidRPr="00B81DC3">
        <w:rPr>
          <w:rFonts w:cs="Times New Roman"/>
          <w:sz w:val="18"/>
          <w:szCs w:val="18"/>
        </w:rPr>
        <w:t xml:space="preserve">  Volume 8, no. 8 (2021): 2463–2478.</w:t>
      </w:r>
      <w:r w:rsidRPr="00B81DC3">
        <w:rPr>
          <w:rFonts w:cs="Times New Roman"/>
          <w:sz w:val="18"/>
          <w:szCs w:val="18"/>
        </w:rPr>
        <w:fldChar w:fldCharType="end"/>
      </w:r>
    </w:p>
  </w:footnote>
  <w:footnote w:id="8">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{"citationItems":[{"id":"ITEM-1","itemData":{"abstract":"abstract 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 abstrak Tujuan yang ingin dicapai dalam penulisan ini adalah untuk mengetahui metode penelitian hukum normatif dan empiris dengan karakteristik khas dari metode meneliti Hukum. Pendekatan yang digunakan kualitatif dengan menggunakan metode melalui studi kepustakaan. Berdasarkan hasil temuan Metode Penelitian Hukum Normatif dan Empiris Karakteristik Khas dari… Depri Liber Sonata 16 penelitian dan pembahasan, maka dapat disimpulkan, Pertama, Ilmu hukum (jurisprudence) dan segala sub kajian yang mendampinginya di dalam keluarga besar kajian tentang hukum, terlepas dari kontroversinya se…","author":[{"dropping-particle":"","family":"Mukhti Fajar","given":"","non-dropping-particle":"","parse-names":false,"suffix":""},{"dropping-particle":"","family":"Achmad","given":"Yulianto","non-dropping-particle":"","parse-names":false,"suffix":""}],"id":"ITEM-1","issue":"1","issued":{"date-parts":[["2015"]]},"page":"27","title":"Dualisme Penelitian Hukum Normatif dan Empiris","type":"article-journal","volume":"8"},"uris":["http://www.mendeley.com/documents/?uuid=a41c4a65-f70d-4349-9fd5-b91c27112b93"]}],"mendeley":{"formattedCitation":"Mukhti Fajar and Yulianto Achmad, “Dualisme Penelitian Hukum Normatif Dan Empiris” 8, no. 1 (2015): 27.","manualFormatting":"Mukhti Fajar and Yulianto Achmad, “Dualisme Penelitian Hukum Normatif Dan Empiris” Vol  8, no. 1 (2015): 27.","plainTextFormattedCitation":"Mukhti Fajar and Yulianto Achmad, “Dualisme Penelitian Hukum Normatif Dan Empiris” 8, no. 1 (2015): 27.","previouslyFormattedCitation":"Mukhti Fajar and Yulianto Achmad, “Dualisme Penelitian Hukum Normatif Dan Empiris” 8, no. 1 (2015): 27."},"properties":{"noteIndex":8},"schema":"https://github.com/citation-style-language/schema/raw/master/csl-citation.json"}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Mukhti Fajar and Yulianto Achmad, “Dualisme Penelitian Hukum Normatif Dan Empiris” Vol  8, no. 1 (2015): 27.</w:t>
      </w:r>
      <w:r w:rsidRPr="00B81DC3">
        <w:rPr>
          <w:rFonts w:cs="Times New Roman"/>
          <w:sz w:val="18"/>
          <w:szCs w:val="18"/>
        </w:rPr>
        <w:fldChar w:fldCharType="end"/>
      </w:r>
    </w:p>
  </w:footnote>
  <w:footnote w:id="9">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Novianto","given":"M","non-dropping-particle":"","parse-names":false,"suffix":""},{"dropping-particle":"","family":"Hantoro","given":"","non-dropping-particle":"","parse-names":false,"suffix":""}],"container-title":", Pusat Penelitian Badan Keahlian DPR RI","id":"ITEM-1","issued":{"date-parts":[["2018"]]},"title":"Negara dan Masyarakat adat, Penetapan Kesatuan masyarakat hukum adat sebagai bentuk pengakuan Negara dan Implikasinya","type":"book","volume":"11"},"uris":["http://www.mendeley.com/documents/?uuid=df301937-d191-4b4e-92c0-4a6e5bf6a41e"]}],"mendeley":{"formattedCitation":"M Novianto and Hantoro, &lt;i&gt;Negara Dan Masyarakat Adat, Penetapan Kesatuan Masyarakat Hukum Adat Sebagai Bentuk Pengakuan Negara Dan Implikasinya&lt;/i&gt;, &lt;i&gt;, Pusat Penelitian Badan Keahlian DPR RI&lt;/i&gt;, vol. 11, 2018.","manualFormatting":"M Novianto and Hantoro, Negara dan Masyarakat Adat, Penetapan Kesatuan Masyarakat Hukum Adat Sebagai Bentuk Pengakuan Negara Dan Implikasinya, , Pusat Penelitian Badan Keahlian DPR RI, vol. 11, 2018.","plainTextFormattedCitation":"M Novianto and Hantoro, Negara Dan Masyarakat Adat, Penetapan Kesatuan Masyarakat Hukum Adat Sebagai Bentuk Pengakuan Negara Dan Implikasinya, , Pusat Penelitian Badan Keahlian DPR RI, vol. 11, 2018.","previouslyFormattedCitation":"M Novianto and Hantoro, &lt;i&gt;Negara Dan Masyarakat Adat, Penetapan Kesatuan Masyarakat Hukum Adat Sebagai Bentuk Pengakuan Negara Dan Implikasinya&lt;/i&gt;, &lt;i&gt;, Pusat Penelitian Badan Keahlian DPR RI&lt;/i&gt;, vol. 11, 2018."},"properties":{"noteIndex":9},"schema":"https://github.com/citation-style-language/schema/raw/master/csl-citation.json"}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M Novianto and Hantoro, Negara dan </w:t>
      </w:r>
      <w:r w:rsidRPr="00B81DC3">
        <w:rPr>
          <w:rFonts w:cs="Times New Roman"/>
          <w:i/>
          <w:color w:val="171717"/>
          <w:sz w:val="18"/>
          <w:szCs w:val="18"/>
        </w:rPr>
        <w:t>Masyarakat Adat, Penetapan Kesatuan Masyarakat Hukum Adat Sebagai Bentuk Pengakuan Negara Dan Implikasinya</w:t>
      </w:r>
      <w:r w:rsidRPr="00B81DC3">
        <w:rPr>
          <w:rFonts w:cs="Times New Roman"/>
          <w:color w:val="171717"/>
          <w:sz w:val="18"/>
          <w:szCs w:val="18"/>
        </w:rPr>
        <w:t xml:space="preserve">, </w:t>
      </w:r>
      <w:r w:rsidRPr="00B81DC3">
        <w:rPr>
          <w:rFonts w:cs="Times New Roman"/>
          <w:i/>
          <w:color w:val="171717"/>
          <w:sz w:val="18"/>
          <w:szCs w:val="18"/>
        </w:rPr>
        <w:t>, Pusat Penelitian Badan Keahlian DPR RI</w:t>
      </w:r>
      <w:r w:rsidRPr="00B81DC3">
        <w:rPr>
          <w:rFonts w:cs="Times New Roman"/>
          <w:color w:val="171717"/>
          <w:sz w:val="18"/>
          <w:szCs w:val="18"/>
        </w:rPr>
        <w:t>, vol. 11, 2018.</w:t>
      </w:r>
      <w:r w:rsidRPr="00B81DC3">
        <w:rPr>
          <w:rFonts w:cs="Times New Roman"/>
          <w:color w:val="171717"/>
          <w:sz w:val="18"/>
          <w:szCs w:val="18"/>
        </w:rPr>
        <w:fldChar w:fldCharType="end"/>
      </w:r>
      <w:r w:rsidRPr="00B81DC3">
        <w:rPr>
          <w:rFonts w:cs="Times New Roman"/>
          <w:color w:val="171717"/>
          <w:sz w:val="18"/>
          <w:szCs w:val="18"/>
        </w:rPr>
        <w:t xml:space="preserve"> </w:t>
      </w:r>
    </w:p>
  </w:footnote>
  <w:footnote w:id="10">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Novianto","given":"M","non-dropping-particle":"","parse-names":false,"suffix":""},{"dropping-particle":"","family":"Hantoro","given":"","non-dropping-particle":"","parse-names":false,"suffix":""}],"container-title":", Pusat Penelitian Badan Keahlian DPR RI","id":"ITEM-1","issued":{"date-parts":[["2018"]]},"title":"Negara dan Masyarakat adat, Penetapan Kesatuan masyarakat hukum adat sebagai bentuk pengakuan Negara dan Implikasinya","type":"book","volume":"11"},"uris":["http://www.mendeley.com/documents/?uuid=df301937-d191-4b4e-92c0-4a6e5bf6a41e"]}],"mendeley":{"formattedCitation":"Ibid.","plainTextFormattedCitation":"Ibid.","previouslyFormattedCitation":"Ibid."},"properties":{"noteIndex":10},"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w:t>
      </w:r>
      <w:r w:rsidRPr="00B81DC3">
        <w:rPr>
          <w:rFonts w:cs="Times New Roman"/>
          <w:color w:val="171717"/>
          <w:sz w:val="18"/>
          <w:szCs w:val="18"/>
        </w:rPr>
        <w:fldChar w:fldCharType="end"/>
      </w:r>
    </w:p>
  </w:footnote>
  <w:footnote w:id="11">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Novianto","given":"M","non-dropping-particle":"","parse-names":false,"suffix":""},{"dropping-particle":"","family":"Hantoro","given":"","non-dropping-particle":"","parse-names":false,"suffix":""}],"container-title":", Pusat Penelitian Badan Keahlian DPR RI","id":"ITEM-1","issued":{"date-parts":[["2018"]]},"title":"Negara dan Masyarakat adat, Penetapan Kesatuan masyarakat hukum adat sebagai bentuk pengakuan Negara dan Implikasinya","type":"book","volume":"11"},"uris":["http://www.mendeley.com/documents/?uuid=df301937-d191-4b4e-92c0-4a6e5bf6a41e"]}],"mendeley":{"formattedCitation":"Ibid.","plainTextFormattedCitation":"Ibid.","previouslyFormattedCitation":"Ibid."},"properties":{"noteIndex":11},"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w:t>
      </w:r>
      <w:r w:rsidRPr="00B81DC3">
        <w:rPr>
          <w:rFonts w:cs="Times New Roman"/>
          <w:color w:val="171717"/>
          <w:sz w:val="18"/>
          <w:szCs w:val="18"/>
        </w:rPr>
        <w:fldChar w:fldCharType="end"/>
      </w:r>
    </w:p>
  </w:footnote>
  <w:footnote w:id="12">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{"citationItems":[{"id":"ITEM-1","itemData":{"URL":"https://www.aman.or.id/files/organization-document/57108Catatan Akhir Tahun AMAN, 2021 Fix (1).pdf","author":[{"dropping-particle":"","family":"Nusantara","given":"Aliansi Masyarakat","non-dropping-particle":"","parse-names":false,"suffix":""}],"container-title":"AMAN","id":"ITEM-1","issued":{"date-parts":[["2021"]]},"note":"diakses pada tanggal 15 Juli 202 hlm. 30","title":"Catatan Akhir Tahun Aliansi Masyarakat Adat Nusantara (AMAN","type":"webpage"},"uris":["http://www.mendeley.com/documents/?uuid=897d2bfd-8879-4b9a-8b4c-9d33001a47ff"]}],"mendeley":{"formattedCitation":"Aliansi Masyarakat Nusantara, “Catatan Akhir Tahun Aliansi Masyarakat Adat Nusantara (AMAN,” &lt;i&gt;AMAN&lt;/i&gt;, last modified 2021, https://www.aman.or.id/files/organization-document/57108Catatan Akhir Tahun AMAN, 2021 Fix (1).pdf.","manualFormatting":"Aliansi Masyarakat Nusantara, “Catatan Akhir Tahun Aliansi Masyarakat Adat Nusantara (AMAN,” AMAN, last modified 2021, https://www.aman.or.id/files/organization-document/57108 Catatan Akhir Tahun AMAN, 2021 Fix (1).pdf diakses pada tanggal 15 Juli 202 hlm. 30.","plainTextFormattedCitation":"Aliansi Masyarakat Nusantara, “Catatan Akhir Tahun Aliansi Masyarakat Adat Nusantara (AMAN,” AMAN, last modified 2021, https://www.aman.or.id/files/organization-document/57108Catatan Akhir Tahun AMAN, 2021 Fix (1).pdf.","previouslyFormattedCitation":"Aliansi Masyarakat Nusantara, “Catatan Akhir Tahun Aliansi Masyarakat Adat Nusantara (AMAN,” &lt;i&gt;AMAN&lt;/i&gt;, last modified 2021, https://www.aman.or.id/files/organization-document/57108Catatan Akhir Tahun AMAN, 2021 Fix (1).pdf."},"properties":{"noteIndex":12},"schema":"https://github.com/citation-style-language/schema/raw/master/csl-citation.json"}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Aliansi Masyarakat Nusantara, “Catatan Akhir Tahun Aliansi Masyarakat Adat Nusantara (AMAN,” </w:t>
      </w:r>
      <w:r w:rsidRPr="00B81DC3">
        <w:rPr>
          <w:rFonts w:cs="Times New Roman"/>
          <w:i/>
          <w:color w:val="171717"/>
          <w:sz w:val="18"/>
          <w:szCs w:val="18"/>
        </w:rPr>
        <w:t>AMAN</w:t>
      </w:r>
      <w:r w:rsidRPr="00B81DC3">
        <w:rPr>
          <w:rFonts w:cs="Times New Roman"/>
          <w:color w:val="171717"/>
          <w:sz w:val="18"/>
          <w:szCs w:val="18"/>
        </w:rPr>
        <w:t>, last modified 2021, https://www.aman.or.id/files/organization-document/57108 Catatan Akhir Tahun AMAN, 2021 Fix (1).pdf accessed on July 15, 202 p. 30.</w:t>
      </w:r>
      <w:r w:rsidRPr="00B81DC3">
        <w:rPr>
          <w:rFonts w:cs="Times New Roman"/>
          <w:color w:val="171717"/>
          <w:sz w:val="18"/>
          <w:szCs w:val="18"/>
        </w:rPr>
        <w:fldChar w:fldCharType="end"/>
      </w:r>
    </w:p>
  </w:footnote>
  <w:footnote w:id="13">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{"citationItems":[{"id":"ITEM-1","itemData":{"URL":"https://www.aman.or.id/files/organization-document/57108Catatan Akhir Tahun AMAN, 2021 Fix (1).pdf","author":[{"dropping-particle":"","family":"Nusantara","given":"Aliansi Masyarakat","non-dropping-particle":"","parse-names":false,"suffix":""}],"container-title":"AMAN","id":"ITEM-1","issued":{"date-parts":[["2021"]]},"note":"diakses pada tanggal 15 Juli 202 hlm. 30","title":"Catatan Akhir Tahun Aliansi Masyarakat Adat Nusantara (AMAN","type":"webpage"},"uris":["http://www.mendeley.com/documents/?uuid=897d2bfd-8879-4b9a-8b4c-9d33001a47ff"]}],"mendeley":{"formattedCitation":"Ibid.","plainTextFormattedCitation":"Ibid.","previouslyFormattedCitation":"Ibid."},"properties":{"noteIndex":13},"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w:t>
      </w:r>
      <w:r w:rsidRPr="00B81DC3">
        <w:rPr>
          <w:rFonts w:cs="Times New Roman"/>
          <w:color w:val="171717"/>
          <w:sz w:val="18"/>
          <w:szCs w:val="18"/>
        </w:rPr>
        <w:fldChar w:fldCharType="end"/>
      </w:r>
    </w:p>
  </w:footnote>
  <w:footnote w:id="14">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{"citationItems":[{"id":"ITEM-1","itemData":{"abstract":"Adanya ketentuan yang terdapat dalam perundang-undangan yang menjurus pada bidang pertanahan dimaksudkan agar tercapainya ketertiban dalam penguasaan tanah, namun pada praktiknya masih banyak masalah yang mencangkup mengenai perselisihan bahkan …","author":[{"dropping-particle":"","family":"Verawati","given":"R","non-dropping-particle":"","parse-names":false,"suffix":""},{"dropping-particle":"","family":"Salshadilla","given":"W V R","non-dropping-particle":"","parse-names":false,"suffix":""},{"dropping-particle":"","family":"Al-Fatih","given":"Sholahuddin","non-dropping-particle":"","parse-names":false,"suffix":""}],"container-title":"Jurnal Penelitian Hukum …","id":"ITEM-1","issue":"2","issued":{"date-parts":[["2020"]]},"page":"127-128","title":"Kewenangan dan peran peraturan daerah dalam menyelesaikan sengketa agraria","type":"article-journal","volume":"19"},"uris":["http://www.mendeley.com/documents/?uuid=5a46eb18-cf43-4bc4-bf20-702a5176ded6"]}],"mendeley":{"formattedCitation":"R Verawati, W V R Salshadilla, and Sholahuddin Al-Fatih, “Kewenangan Dan Peran Peraturan Daerah Dalam Menyelesaikan Sengketa Agraria,” &lt;i&gt;Jurnal Penelitian Hukum …&lt;/i&gt; 19, no. 2 (2020): 127–128.","manualFormatting":"R Verawati, W V R Salshadilla, and Sholahuddin Al-Fatih, “Kewenangan Dan Peran Peraturan Daerah Dalam Menyelesaikan Sengketa Agraria,” Jurnal Penelitian Hukum Volume 19, no. 2 (2020): 127–128.","plainTextFormattedCitation":"R Verawati, W V R Salshadilla, and Sholahuddin Al-Fatih, “Kewenangan Dan Peran Peraturan Daerah Dalam Menyelesaikan Sengketa Agraria,” Jurnal Penelitian Hukum … 19, no. 2 (2020): 127–128.","previouslyFormattedCitation":"R Verawati, W V R Salshadilla, and Sholahuddin Al-Fatih, “Kewenangan Dan Peran Peraturan Daerah Dalam Menyelesaikan Sengketa Agraria,” &lt;i&gt;Jurnal Penelitian Hukum …&lt;/i&gt; 19, no. 2 (2020): 127–128."},"properties":{"noteIndex":14},"schema":"https://github.com/citation-style-language/schema/raw/master/csl-citation.json"}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R Verawati, W V R Salshadilla, and Sholahuddin Al-Fatih, “Kewenangan Dan Peran Peraturan Daerah Dalam Menyelesaikan Sengketa Agraria,” </w:t>
      </w:r>
      <w:r w:rsidRPr="00B81DC3">
        <w:rPr>
          <w:rFonts w:cs="Times New Roman"/>
          <w:i/>
          <w:sz w:val="18"/>
          <w:szCs w:val="18"/>
        </w:rPr>
        <w:t xml:space="preserve">Jurnal Penelitian Hukum Volume </w:t>
      </w:r>
      <w:r w:rsidRPr="00B81DC3">
        <w:rPr>
          <w:rFonts w:cs="Times New Roman"/>
          <w:sz w:val="18"/>
          <w:szCs w:val="18"/>
        </w:rPr>
        <w:t>19, no. 2 (2020): 127–128.</w:t>
      </w:r>
      <w:r w:rsidRPr="00B81DC3">
        <w:rPr>
          <w:rFonts w:cs="Times New Roman"/>
          <w:sz w:val="18"/>
          <w:szCs w:val="18"/>
        </w:rPr>
        <w:fldChar w:fldCharType="end"/>
      </w:r>
    </w:p>
  </w:footnote>
  <w:footnote w:id="15">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{"citationItems":[{"id":"ITEM-1","itemData":{"DOI":"10.22225/jn.2.2.413.160","abstract":"… Dari sudut teologi dapat diketahui banyaknya kata-kata tanah atau bumi (Al Ardl) dalam Al Qur'an disebutkan ± 366 ayat yang tersebar … Dengan demikian teori kedaulatan Tuhan ini memberikan pemahaman, bahwa kekuasaan manusia adalah wewenang yang di delegasikan …","author":[{"dropping-particle":"","family":"Zuhri","given":"Lahmuddin","non-dropping-particle":"","parse-names":false,"suffix":""}],"container-title":"Jurnal Notariil","id":"ITEM-1","issue":"2","issued":{"date-parts":[["2017"]]},"page":"160-173","title":"Tata Kelola Tanah Lar Di Kabupaten Sumbawa","type":"article-journal","volume":"2"},"uris":["http://www.mendeley.com/documents/?uuid=3a8cee2b-519c-4f0e-81fe-007388af0678"]}],"mendeley":{"formattedCitation":"Lahmuddin Zuhri, “Tata Kelola Tanah Lar Di Kabupaten Sumbawa,” &lt;i&gt;Jurnal Notariil&lt;/i&gt; 2, no. 2 (2017): 160–173, https://core.ac.uk/download/pdf/268200587.pdf.","plainTextFormattedCitation":"Lahmuddin Zuhri, “Tata Kelola Tanah Lar Di Kabupaten Sumbawa,” Jurnal Notariil 2, no. 2 (2017): 160–173, https://core.ac.uk/download/pdf/268200587.pdf.","previouslyFormattedCitation":"Lahmuddin Zuhri, “Tata Kelola Tanah Lar Di Kabupaten Sumbawa,” &lt;i&gt;Jurnal Notariil&lt;/i&gt; 2, no. 2 (2017): 160–173, https://core.ac.uk/download/pdf/268200587.pdf."},"properties":{"noteIndex":15},"schema":"https://github.com/citation-style-language/schema/raw/master/csl-citation.json"}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Lahmuddin Zuhri, “Tata Kelola Tanah Lar Di Kabupaten Sumbawa,” </w:t>
      </w:r>
      <w:r w:rsidRPr="00B81DC3">
        <w:rPr>
          <w:rFonts w:cs="Times New Roman"/>
          <w:i/>
          <w:sz w:val="18"/>
          <w:szCs w:val="18"/>
        </w:rPr>
        <w:t>Jurnal Notariil</w:t>
      </w:r>
      <w:r w:rsidRPr="00B81DC3">
        <w:rPr>
          <w:rFonts w:cs="Times New Roman"/>
          <w:sz w:val="18"/>
          <w:szCs w:val="18"/>
        </w:rPr>
        <w:t xml:space="preserve"> 2, no. 2 (2017): 160–173, https://core.ac.uk/download/pdf/268200587.pdf.</w:t>
      </w:r>
      <w:r w:rsidRPr="00B81DC3">
        <w:rPr>
          <w:rFonts w:cs="Times New Roman"/>
          <w:sz w:val="18"/>
          <w:szCs w:val="18"/>
        </w:rPr>
        <w:fldChar w:fldCharType="end"/>
      </w:r>
    </w:p>
  </w:footnote>
  <w:footnote w:id="16">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{"citationItems":[{"id":"ITEM-1","itemData":{"DOI":"10.30659/akta.v5i3.3170","ISSN":"2406-9426","abstract":"Ulayat land House of communal rights is a member of the House, as a fellowship of customary law. The purpose of the arrangement of Ulayat Land is to protect the customary land and take the benefits for survival in some generations and uninterrupted between the members of the House with its territory. Conceptually, this is related to a social justice. While the purpose of the registration of land, according to the article 19 BAL is to guarantee the legal certainty over land. The implementation of Customary Land or Ulayat Land Registration was preceded by the creation of the base rights. The making of the pedestal of this right in the form of a waiver of physical mastery of plots of land (Sporadic). Before the creation of the pedestal of this right was preceded by the creation of Ranji by Ninik Mamak, which was passed by the House. The writing Empirical Juridical approach, was supported by empirical juridical approach. Empirical juridical approach was done by collecting all the materials and data obtained from the field-related to the problems are examined. Registration of the customary (Ulayat) rights of the House is done by applying to the Head Office of land district/city. The filing listed on behalf of or Mamak Head Heirs using a waiver of physical mastery of parcels of the land that are signed by the Mamak Head Chiefs as Heir. The statement must be approved by the head of the tribe or Tribal King and Chairman of custom Density Nagari and known by Lurah/village chief concerned by attaching a document containing the names of the members of the House of at least three generations created by Mamak Chief Heir and known by the ruler of the tribe and the leader of the RIGHT. The registration of Customary House was expected to guarantee legal certainty for members of the House as a fellowship of customary law, because it is aimed at maintaining Customary Rights for indigenous Justice. Therefore, the customary land register of House in conceptional in touch with the land registry purposes, i.e. to guarantee legal certainty while also embodying a sense of Justice for indigenous citizens (members of the House). Keywords: Social Justice; Legal Certainty; The Registration of Ulayat Land.","author":[{"dropping-particle":"","family":"Amanda Putri","given":"A. Yoma","non-dropping-particle":"","parse-names":false,"suffix":""},{"dropping-particle":"","family":"Djauhari","given":"Djauhari","non-dropping-particle":"","parse-names":false,"suffix":""}],"container-title":"Jurnal Akta","id":"ITEM-1","issue":"3","issued":{"date-parts":[["2018"]]},"page":"585","title":"The Registration Of “Ulayat”’ Land In West Sumatra: Between The Legal Certainty And The Social Justice","type":"article-journal","volume":"5"},"uris":["http://www.mendeley.com/documents/?uuid=7d7ebeae-463c-4a58-8864-76fef28aafd4"]}],"mendeley":{"formattedCitation":"A. Yoma Amanda Putri and Djauhari Djauhari, “The Registration Of ‘Ulayat’’ Land In West Sumatra: Between The Legal Certainty And The Social Justice,” &lt;i&gt;Jurnal Akta&lt;/i&gt; 5, no. 3 (2018): 585.","plainTextFormattedCitation":"A. Yoma Amanda Putri and Djauhari Djauhari, “The Registration Of ‘Ulayat’’ Land In West Sumatra: Between The Legal Certainty And The Social Justice,” Jurnal Akta 5, no. 3 (2018): 585.","previouslyFormattedCitation":"A. Yoma Amanda Putri and Djauhari Djauhari, “The Registration Of ‘Ulayat’’ Land In West Sumatra: Between The Legal Certainty And The Social Justice,” &lt;i&gt;Jurnal Akta&lt;/i&gt; 5, no. 3 (2018): 585."},"properties":{"noteIndex":16},"schema":"https://github.com/citation-style-language/schema/raw/master/csl-citation.json"}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A. Yoma Amanda Putri and Djauhari Djauhari, “The Registration Of ‘Ulayat’’ Land In West Sumatra: Between The Legal Certainty And The Social Justice,” </w:t>
      </w:r>
      <w:r w:rsidRPr="00B81DC3">
        <w:rPr>
          <w:rFonts w:cs="Times New Roman"/>
          <w:i/>
          <w:sz w:val="18"/>
          <w:szCs w:val="18"/>
        </w:rPr>
        <w:t>Jurnal Akta</w:t>
      </w:r>
      <w:r w:rsidRPr="00B81DC3">
        <w:rPr>
          <w:rFonts w:cs="Times New Roman"/>
          <w:sz w:val="18"/>
          <w:szCs w:val="18"/>
        </w:rPr>
        <w:t xml:space="preserve"> 5, no. 3 (2018): 585.</w:t>
      </w:r>
      <w:r w:rsidRPr="00B81DC3">
        <w:rPr>
          <w:rFonts w:cs="Times New Roman"/>
          <w:sz w:val="18"/>
          <w:szCs w:val="18"/>
        </w:rPr>
        <w:fldChar w:fldCharType="end"/>
      </w:r>
    </w:p>
  </w:footnote>
  <w:footnote w:id="17">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{"citationItems":[{"id":"ITEM-1","itemData":{"author":[{"dropping-particle":"","family":"Harsono","given":"Boedi","non-dropping-particle":"","parse-names":false,"suffix":""}],"container-title":"Jakarta. Universitas Trisakti.","id":"ITEM-1","issued":{"date-parts":[["2018"]]},"number-of-pages":"186","title":"Hukum Agraria Indonesia. Sejarah Pembentukan Undang-Undang Pokok agrarian, isi dan pelaksanaannya","type":"book"},"uris":["http://www.mendeley.com/documents/?uuid=93e18cf9-4865-43ff-a337-abb5f05102b0"]}],"mendeley":{"formattedCitation":"Boedi Harsono, &lt;i&gt;Hukum Agraria Indonesia. Sejarah Pembentukan Undang-Undang Pokok Agrarian, Isi Dan Pelaksanaannya&lt;/i&gt;, &lt;i&gt;Jakarta. Universitas Trisakti.&lt;/i&gt;, 2018.","manualFormatting":"Boedi Harsono, Hukum Agraria Indonesia. Sejarah Pembentukan Undang-Undang Pokok Agrarian, Isi Dan Pelaksanaannya, Jakarta. Universitas Trisakti., 2018 hlm 186.","plainTextFormattedCitation":"Boedi Harsono, Hukum Agraria Indonesia. Sejarah Pembentukan Undang-Undang Pokok Agrarian, Isi Dan Pelaksanaannya, Jakarta. Universitas Trisakti., 2018.","previouslyFormattedCitation":"Boedi Harsono, &lt;i&gt;Hukum Agraria Indonesia. Sejarah Pembentukan Undang-Undang Pokok Agrarian, Isi Dan Pelaksanaannya&lt;/i&gt;, &lt;i&gt;Jakarta. Universitas Trisakti.&lt;/i&gt;, 2018."},"properties":{"noteIndex":17},"schema":"https://github.com/citation-style-language/schema/raw/master/csl-citation.json"}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Boedi Harsono, </w:t>
      </w:r>
      <w:r w:rsidRPr="00B81DC3">
        <w:rPr>
          <w:rFonts w:cs="Times New Roman"/>
          <w:i/>
          <w:color w:val="171717"/>
          <w:sz w:val="18"/>
          <w:szCs w:val="18"/>
        </w:rPr>
        <w:t>Hukum Agraria Indonesia. Sejarah Pembentukan Undang-Undang Pokok Agrarian, Isi Dan Pelaksanaannya</w:t>
      </w:r>
      <w:r w:rsidRPr="00B81DC3">
        <w:rPr>
          <w:rFonts w:cs="Times New Roman"/>
          <w:color w:val="171717"/>
          <w:sz w:val="18"/>
          <w:szCs w:val="18"/>
        </w:rPr>
        <w:t xml:space="preserve">, </w:t>
      </w:r>
      <w:r w:rsidRPr="00B81DC3">
        <w:rPr>
          <w:rFonts w:cs="Times New Roman"/>
          <w:i/>
          <w:color w:val="171717"/>
          <w:sz w:val="18"/>
          <w:szCs w:val="18"/>
        </w:rPr>
        <w:t>Jakarta. Universitas Trisakti.</w:t>
      </w:r>
      <w:r w:rsidRPr="00B81DC3">
        <w:rPr>
          <w:rFonts w:cs="Times New Roman"/>
          <w:color w:val="171717"/>
          <w:sz w:val="18"/>
          <w:szCs w:val="18"/>
        </w:rPr>
        <w:t>, 2018 p 186.</w:t>
      </w:r>
      <w:r w:rsidRPr="00B81DC3">
        <w:rPr>
          <w:rFonts w:cs="Times New Roman"/>
          <w:color w:val="171717"/>
          <w:sz w:val="18"/>
          <w:szCs w:val="18"/>
        </w:rPr>
        <w:fldChar w:fldCharType="end"/>
      </w:r>
      <w:r w:rsidRPr="00B81DC3">
        <w:rPr>
          <w:rFonts w:cs="Times New Roman"/>
          <w:color w:val="171717"/>
          <w:sz w:val="18"/>
          <w:szCs w:val="18"/>
        </w:rPr>
        <w:t xml:space="preserve"> </w:t>
      </w:r>
    </w:p>
  </w:footnote>
  <w:footnote w:id="18">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{"citationItems":[{"id":"ITEM-1","itemData":{"author":[{"dropping-particle":"","family":"Sudiyat","given":"Iman","non-dropping-particle":"","parse-names":false,"suffix":""}],"id":"ITEM-1","issued":{"date-parts":[["1981"]]},"number-of-pages":"2","publisher":"Liberty Press","publisher-place":"Yogyakarta","title":"Hukum Adat: Sketsa Asas","type":"book"},"uris":["http://www.mendeley.com/documents/?uuid=0c2dd7c2-c020-4774-8a15-decde2524b54"]}],"mendeley":{"formattedCitation":"Iman Sudiyat, &lt;i&gt;Hukum Adat: Sketsa Asas&lt;/i&gt; (Yogyakarta: Liberty Press, 1981).","manualFormatting":"Iman Sudiyat. Hukum Adat: Sketsa Asas (Yogyakarta: Liberty Press, 1981) hlm 2.","plainTextFormattedCitation":"Iman Sudiyat, Hukum Adat: Sketsa Asas (Yogyakarta: Liberty Press, 1981).","previouslyFormattedCitation":"Iman Sudiyat, &lt;i&gt;Hukum Adat: Sketsa Asas&lt;/i&gt; (Yogyakarta: Liberty Press, 1981)."},"properties":{"noteIndex":18},"schema":"https://github.com/citation-style-language/schema/raw/master/csl-citation.json"}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Iman Sudiyat. </w:t>
      </w:r>
      <w:r w:rsidRPr="00B81DC3">
        <w:rPr>
          <w:rFonts w:cs="Times New Roman"/>
          <w:i/>
          <w:color w:val="171717"/>
          <w:sz w:val="18"/>
          <w:szCs w:val="18"/>
        </w:rPr>
        <w:t>Hukum Adat: Sketsa Asas</w:t>
      </w:r>
      <w:r w:rsidRPr="00B81DC3">
        <w:rPr>
          <w:rFonts w:cs="Times New Roman"/>
          <w:color w:val="171717"/>
          <w:sz w:val="18"/>
          <w:szCs w:val="18"/>
        </w:rPr>
        <w:t xml:space="preserve"> (Yogyakarta: Liberty Press, 1981) p2.</w:t>
      </w:r>
      <w:r w:rsidRPr="00B81DC3">
        <w:rPr>
          <w:rFonts w:cs="Times New Roman"/>
          <w:color w:val="171717"/>
          <w:sz w:val="18"/>
          <w:szCs w:val="18"/>
        </w:rPr>
        <w:fldChar w:fldCharType="end"/>
      </w:r>
    </w:p>
  </w:footnote>
  <w:footnote w:id="19">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{"citationItems":[{"id":"ITEM-1","itemData":{"author":[{"dropping-particle":"","family":"Sudiyat","given":"Iman","non-dropping-particle":"","parse-names":false,"suffix":""}],"id":"ITEM-1","issued":{"date-parts":[["1981"]]},"number-of-pages":"2","publisher":"Liberty Press","publisher-place":"Yogyakarta","title":"Hukum Adat: Sketsa Asas","type":"book"},"uris":["http://www.mendeley.com/documents/?uuid=0c2dd7c2-c020-4774-8a15-decde2524b54"]}],"mendeley":{"formattedCitation":"Ibid.","plainTextFormattedCitation":"Ibid.","previouslyFormattedCitation":"Ibid."},"properties":{"noteIndex":19},"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w:t>
      </w:r>
      <w:r w:rsidRPr="00B81DC3">
        <w:rPr>
          <w:rFonts w:cs="Times New Roman"/>
          <w:color w:val="171717"/>
          <w:sz w:val="18"/>
          <w:szCs w:val="18"/>
        </w:rPr>
        <w:fldChar w:fldCharType="end"/>
      </w:r>
    </w:p>
  </w:footnote>
  <w:footnote w:id="20">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Novianto","given":"M","non-dropping-particle":"","parse-names":false,"suffix":""},{"dropping-particle":"","family":"Hantoro","given":"","non-dropping-particle":"","parse-names":false,"suffix":""}],"container-title":", Pusat Penelitian Badan Keahlian DPR RI","id":"ITEM-1","issued":{"date-parts":[["2018"]]},"title":"Negara dan Masyarakat adat, Penetapan Kesatuan masyarakat hukum adat sebagai bentuk pengakuan Negara dan Implikasinya","type":"book","volume":"11"},"uris":["http://www.mendeley.com/documents/?uuid=df301937-d191-4b4e-92c0-4a6e5bf6a41e"]}],"mendeley":{"formattedCitation":"Novianto and Hantoro, &lt;i&gt;Negara Dan Masyarakat Adat, Penetapan Kesatuan Masyarakat Hukum Adat Sebagai Bentuk Pengakuan Negara Dan Implikasinya&lt;/i&gt;, vol. 11, p. .","manualFormatting":"Novianto and Hantoro, Negara Dan Masyarakat Adat, op.cit … hlm . 11 . .","plainTextFormattedCitation":"Novianto and Hantoro, Negara Dan Masyarakat Adat, Penetapan Kesatuan Masyarakat Hukum Adat Sebagai Bentuk Pengakuan Negara Dan Implikasinya, vol. 11, p. .","previouslyFormattedCitation":"Novianto and Hantoro, &lt;i&gt;Negara Dan Masyarakat Adat, Penetapan Kesatuan Masyarakat Hukum Adat Sebagai Bentuk Pengakuan Negara Dan Implikasinya&lt;/i&gt;, vol. 11, p. ."},"properties":{"noteIndex":20},"schema":"https://github.com/citation-style-language/schema/raw/master/csl-citation.json"}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Novianto and Hantoro, </w:t>
      </w:r>
      <w:r w:rsidRPr="00B81DC3">
        <w:rPr>
          <w:rFonts w:cs="Times New Roman"/>
          <w:i/>
          <w:color w:val="171717"/>
          <w:sz w:val="18"/>
          <w:szCs w:val="18"/>
        </w:rPr>
        <w:t xml:space="preserve">Negara Dan Masyarakat Adat, op.cit … p. 11 </w:t>
      </w:r>
      <w:r w:rsidRPr="00B81DC3">
        <w:rPr>
          <w:rFonts w:cs="Times New Roman"/>
          <w:color w:val="171717"/>
          <w:sz w:val="18"/>
          <w:szCs w:val="18"/>
        </w:rPr>
        <w:t>. .</w:t>
      </w:r>
      <w:r w:rsidRPr="00B81DC3">
        <w:rPr>
          <w:rFonts w:cs="Times New Roman"/>
          <w:color w:val="171717"/>
          <w:sz w:val="18"/>
          <w:szCs w:val="18"/>
        </w:rPr>
        <w:fldChar w:fldCharType="end"/>
      </w:r>
      <w:r w:rsidRPr="00B81DC3">
        <w:rPr>
          <w:rFonts w:cs="Times New Roman"/>
          <w:color w:val="171717"/>
          <w:sz w:val="18"/>
          <w:szCs w:val="18"/>
        </w:rPr>
        <w:t xml:space="preserve"> </w:t>
      </w:r>
    </w:p>
  </w:footnote>
  <w:footnote w:id="21">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{"citationItems":[{"id":"ITEM-1","itemData":{"author":[{"dropping-particle":"","family":"Warassih","given":"Esmi","non-dropping-particle":"","parse-names":false,"suffix":""}],"container-title":"Kanun Jurnal Ilmu Hukum","id":"ITEM-1","issue":"2","issued":{"date-parts":[["2017"]]},"page":"254","title":"RECOGNITION OF ADAT FOREST AND PLANTATION CONCESSIONS IN INDONESIA","type":"article-journal","volume":"19"},"uris":["http://www.mendeley.com/documents/?uuid=25369703-9053-4633-a942-9b891d6e3d2b"]}],"mendeley":{"formattedCitation":"Esmi Warassih, “RECOGNITION OF ADAT FOREST AND PLANTATION CONCESSIONS IN INDONESIA,” &lt;i&gt;Kanun Jurnal Ilmu Hukum&lt;/i&gt; 19, no. 2 (2017): 254.","manualFormatting":"Esmi Warassih, “RECOGNITION OF ADAT FOREST AND PLANTATION CONCESSIONS IN INDONESIA,” Kanun Jurnal Ilmu Hukum 19, Volume 19 no. 2 (2017): 254.","plainTextFormattedCitation":"Esmi Warassih, “RECOGNITION OF ADAT FOREST AND PLANTATION CONCESSIONS IN INDONESIA,” Kanun Jurnal Ilmu Hukum 19, no. 2 (2017): 254.","previouslyFormattedCitation":"Esmi Warassih, “RECOGNITION OF ADAT FOREST AND PLANTATION CONCESSIONS IN INDONESIA,” &lt;i&gt;Kanun Jurnal Ilmu Hukum&lt;/i&gt; 19, no. 2 (2017): 254."},"properties":{"noteIndex":21},"schema":"https://github.com/citation-style-language/schema/raw/master/csl-citation.json"}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Esmi Warassih, “RECOGNITION OF ADAT FOREST AND PLANTATION CONCESSIONS IN INDONESIA,” </w:t>
      </w:r>
      <w:r w:rsidRPr="00B81DC3">
        <w:rPr>
          <w:rFonts w:cs="Times New Roman"/>
          <w:i/>
          <w:sz w:val="18"/>
          <w:szCs w:val="18"/>
        </w:rPr>
        <w:t>Kanun Jurnal Ilmu Hukum</w:t>
      </w:r>
      <w:r w:rsidRPr="00B81DC3">
        <w:rPr>
          <w:rFonts w:cs="Times New Roman"/>
          <w:sz w:val="18"/>
          <w:szCs w:val="18"/>
        </w:rPr>
        <w:t xml:space="preserve"> 19, Volume 19 no. 2 (2017): 254.</w:t>
      </w:r>
      <w:r w:rsidRPr="00B81DC3">
        <w:rPr>
          <w:rFonts w:cs="Times New Roman"/>
          <w:sz w:val="18"/>
          <w:szCs w:val="18"/>
        </w:rPr>
        <w:fldChar w:fldCharType="end"/>
      </w:r>
    </w:p>
  </w:footnote>
  <w:footnote w:id="22">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{"citationItems":[{"id":"ITEM-1","itemData":{"id":"ITEM-1","issued":{"date-parts":[["0"]]},"title":"Wawancara dengan Bapak Suparman sebagai ine adat masyarakat adat Pusu, wawancara pada tanggal 27 Juli 2019","type":"article"},"uris":["http://www.mendeley.com/documents/?uuid=5718bece-ed77-4622-b04a-7d49cc79fb83"]}],"mendeley":{"formattedCitation":"“Wawancara Dengan Bapak Suparman Sebagai Ine Adat Masyarakat Adat Pusu, Wawancara Pada Tanggal 27 Juli 2019,” n.d.","plainTextFormattedCitation":"“Wawancara Dengan Bapak Suparman Sebagai Ine Adat Masyarakat Adat Pusu, Wawancara Pada Tanggal 27 Juli 2019,” n.d.","previouslyFormattedCitation":"“Wawancara Dengan Bapak Suparman Sebagai Ine Adat Masyarakat Adat Pusu, Wawancara Pada Tanggal 27 Juli 2019,” n.d."},"properties":{"noteIndex":22},"schema":"https://github.com/citation-style-language/schema/raw/master/csl-citation.json"}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“Interview with Suparman as </w:t>
      </w:r>
      <w:r w:rsidRPr="00B81DC3">
        <w:rPr>
          <w:rFonts w:cs="Times New Roman"/>
          <w:i/>
          <w:iCs/>
          <w:color w:val="171717"/>
          <w:sz w:val="18"/>
          <w:szCs w:val="18"/>
        </w:rPr>
        <w:t xml:space="preserve">Ine Adat </w:t>
      </w:r>
      <w:r w:rsidRPr="00B81DC3">
        <w:rPr>
          <w:rFonts w:cs="Times New Roman"/>
          <w:color w:val="171717"/>
          <w:sz w:val="18"/>
          <w:szCs w:val="18"/>
        </w:rPr>
        <w:t>of the Pusu Customary Community, on July 27, 2019,” n.d.</w:t>
      </w:r>
      <w:r w:rsidRPr="00B81DC3">
        <w:rPr>
          <w:rFonts w:cs="Times New Roman"/>
          <w:color w:val="171717"/>
          <w:sz w:val="18"/>
          <w:szCs w:val="18"/>
        </w:rPr>
        <w:fldChar w:fldCharType="end"/>
      </w:r>
    </w:p>
  </w:footnote>
  <w:footnote w:id="23">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{"citationItems":[{"id":"ITEM-1","itemData":{"id":"ITEM-1","issued":{"date-parts":[["0"]]},"title":"Ståle Angen Rye, Nanang Indra Kurniawan, Claiming indigenous rights through participatory mapping and the making of citizenship, Political Geography, Volume 61, 2017, Pages 148-159, ISSN 0962-6298,https://doi.org/10.1016/j.polgeo.2017.08.008.","type":"article-journal"},"uris":["http://www.mendeley.com/documents/?uuid=1958f4e3-5bca-4428-bf87-310db908550b"]}],"mendeley":{"formattedCitation":"“Ståle Angen Rye, Nanang Indra Kurniawan, Claiming Indigenous Rights through Participatory Mapping and the Making of Citizenship, Political Geography, Volume 61, 2017, Pages 148-159, ISSN 0962-6298,Https://Doi.Org/10.1016/j.Polgeo.2017.08.008.” (n.d.).","manualFormatting":"Ståle Angen Rye, Nanang Indra Kurniawan, Claiming Indigenous Rights through Participatory Mapping and the Making of Citizenship, Political Geography, Volume 61, 2017, Pages 148-159, ISSN 0962-6298,Https://Doi.Org/10.1016/j.Polgeo.2017.08.008..","plainTextFormattedCitation":"“Ståle Angen Rye, Nanang Indra Kurniawan, Claiming Indigenous Rights through Participatory Mapping and the Making of Citizenship, Political Geography, Volume 61, 2017, Pages 148-159, ISSN 0962-6298,Https://Doi.Org/10.1016/j.Polgeo.2017.08.008.” (n.d.).","previouslyFormattedCitation":"“Ståle Angen Rye, Nanang Indra Kurniawan, Claiming Indigenous Rights through Participatory Mapping and the Making of Citizenship, Political Geography, Volume 61, 2017, Pages 148-159, ISSN 0962-6298,Https://Doi.Org/10.1016/j.Polgeo.2017.08.008.” (n.d.)."},"properties":{"noteIndex":23},"schema":"https://github.com/citation-style-language/schema/raw/master/csl-citation.json"}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Ståle Angen Rye, Nanang Indra Kurniawan, Claiming Indigenous Rights through Participatory Mapping and the Making of Citizenship, Political Geography, Volume 61, 2017, Pages 148-159, ISSN 0962-6298,Https://Doi.Org/10.1016/j.Polgeo.2017.08.008.</w:t>
      </w:r>
      <w:r w:rsidRPr="00B81DC3">
        <w:rPr>
          <w:rFonts w:cs="Times New Roman"/>
          <w:sz w:val="18"/>
          <w:szCs w:val="18"/>
        </w:rPr>
        <w:fldChar w:fldCharType="end"/>
      </w:r>
    </w:p>
  </w:footnote>
  <w:footnote w:id="24">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{"citationItems":[{"id":"ITEM-1","itemData":{"author":[{"dropping-particle":"","family":"Prasetio","given":"Dicky Eko","non-dropping-particle":"","parse-names":false,"suffix":""}],"container-title":"Universitas Negeri Surabaya","id":"ITEM-1","issue":"2","issued":{"date-parts":[["2019"]]},"number-of-pages":"1-13","publisher-place":"Surabaya","title":"PERLINDUNGAN HUKUM MASYARAKAT SEDULUR SIKEP MENGENAI PENCANTUMAN PENGHAYAT KEPERCAYAAN DI KTP ELEKTRONIK","type":"book"},"uris":["http://www.mendeley.com/documents/?uuid=8634b936-7b7e-42d7-bb7d-8faa8a2b74e6"]}],"mendeley":{"formattedCitation":"Dicky Eko Prasetio, &lt;i&gt;PERLINDUNGAN HUKUM MASYARAKAT SEDULUR SIKEP MENGENAI PENCANTUMAN PENGHAYAT KEPERCAYAAN DI KTP ELEKTRONIK&lt;/i&gt;, &lt;i&gt;Universitas Negeri Surabaya&lt;/i&gt; (Surabaya, 2019).","plainTextFormattedCitation":"Dicky Eko Prasetio, PERLINDUNGAN HUKUM MASYARAKAT SEDULUR SIKEP MENGENAI PENCANTUMAN PENGHAYAT KEPERCAYAAN DI KTP ELEKTRONIK, Universitas Negeri Surabaya (Surabaya, 2019).","previouslyFormattedCitation":"Dicky Eko Prasetio, &lt;i&gt;PERLINDUNGAN HUKUM MASYARAKAT SEDULUR SIKEP MENGENAI PENCANTUMAN PENGHAYAT KEPERCAYAAN DI KTP ELEKTRONIK&lt;/i&gt;, &lt;i&gt;Universitas Negeri Surabaya&lt;/i&gt; (Surabaya, 2019)."},"properties":{"noteIndex":24},"schema":"https://github.com/citation-style-language/schema/raw/master/csl-citation.json"}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Dicky Eko Prasetio, </w:t>
      </w:r>
      <w:r w:rsidRPr="00B81DC3">
        <w:rPr>
          <w:rFonts w:cs="Times New Roman"/>
          <w:i/>
          <w:sz w:val="18"/>
          <w:szCs w:val="18"/>
        </w:rPr>
        <w:t>PERLINDUNGAN HUKUM MASYARAKAT SEDULUR SIKEP MENGENAI PENCANTUMAN PENGHAYAT KEPERCAYAAN DI KTP ELEKTRONIK</w:t>
      </w:r>
      <w:r w:rsidRPr="00B81DC3">
        <w:rPr>
          <w:rFonts w:cs="Times New Roman"/>
          <w:sz w:val="18"/>
          <w:szCs w:val="18"/>
        </w:rPr>
        <w:t xml:space="preserve">, </w:t>
      </w:r>
      <w:r w:rsidRPr="00B81DC3">
        <w:rPr>
          <w:rFonts w:cs="Times New Roman"/>
          <w:i/>
          <w:sz w:val="18"/>
          <w:szCs w:val="18"/>
        </w:rPr>
        <w:t>Universitas Negeri Surabaya</w:t>
      </w:r>
      <w:r w:rsidRPr="00B81DC3">
        <w:rPr>
          <w:rFonts w:cs="Times New Roman"/>
          <w:sz w:val="18"/>
          <w:szCs w:val="18"/>
        </w:rPr>
        <w:t xml:space="preserve"> (Surabaya, 2019).</w:t>
      </w:r>
      <w:r w:rsidRPr="00B81DC3">
        <w:rPr>
          <w:rFonts w:cs="Times New Roman"/>
          <w:sz w:val="18"/>
          <w:szCs w:val="18"/>
        </w:rPr>
        <w:fldChar w:fldCharType="end"/>
      </w:r>
    </w:p>
  </w:footnote>
  <w:footnote w:id="25">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{"citationItems":[{"id":"ITEM-1","itemData":{"id":"ITEM-1","issued":{"date-parts":[["0"]]},"title":"Ellyani, E., Dimyati, K., Absori, A., Wardiono, K., &amp; Budiono, A. (2020). Psychological Analysis of Jenang Kutei Judges in Delivering a Verdict of Matai Bilai and Cuci Kampong (Purification Ritual) in Rejang Lebong Regency, Bengkulu Province, Indonesia. J","type":"article-journal"},"uris":["http://www.mendeley.com/documents/?uuid=624b7807-cfc5-4ada-8bcf-9ef5ea42d37b"]}],"mendeley":{"formattedCitation":"“Ellyani, E., Dimyati, K., Absori, A., Wardiono, K., &amp; Budiono, A. (2020). Psychological Analysis of Jenang Kutei Judges in Delivering a Verdict of Matai Bilai and Cuci Kampong (Purification Ritual) in Rejang Lebong Regency, Bengkulu Province, Indonesia. J” (n.d.).","manualFormatting":"Ellyani, E., Dimyati, K., Absori, A., Wardiono, K., &amp; Budiono, A. (2020). Psychological Analysis of Jenang Kutei Judges in Delivering a Verdict of Matai Bilai and Cuci Kampong (Purification Ritual) in Rejang Lebong Regency, Bengkulu Province, Indonesia. J” hlm. 1217-1221 DOI Number: 10.37506/v20/i1/2020/mlu/194468.","plainTextFormattedCitation":"“Ellyani, E., Dimyati, K., Absori, A., Wardiono, K., &amp; Budiono, A. (2020). Psychological Analysis of Jenang Kutei Judges in Delivering a Verdict of Matai Bilai and Cuci Kampong (Purification Ritual) in Rejang Lebong Regency, Bengkulu Province, Indonesia. J” (n.d.).","previouslyFormattedCitation":"“Ellyani, E., Dimyati, K., Absori, A., Wardiono, K., &amp; Budiono, A. (2020). Psychological Analysis of Jenang Kutei Judges in Delivering a Verdict of Matai Bilai and Cuci Kampong (Purification Ritual) in Rejang Lebong Regency, Bengkulu Province, Indonesia. J” (n.d.)."},"properties":{"noteIndex":25},"schema":"https://github.com/citation-style-language/schema/raw/master/csl-citation.json"}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Ellyani, E., Dimyati, K., Absori, A., Wardiono, K., &amp; Budiono, A. (2020). Psychological Analysis of Jenang Kutei Judges in Delivering a Verdict of Matai Bilai and Cuci Kampong (Purification Ritual) in Rejang Lebong Regency, Bengkulu Province, Indonesia. J” p. </w:t>
      </w:r>
      <w:r w:rsidRPr="00B81DC3">
        <w:rPr>
          <w:rFonts w:cs="Times New Roman"/>
          <w:color w:val="222222"/>
          <w:sz w:val="18"/>
          <w:szCs w:val="18"/>
          <w:shd w:val="clear" w:color="auto" w:fill="FFFFFF"/>
        </w:rPr>
        <w:t>1217-1221</w:t>
      </w:r>
      <w:r w:rsidRPr="00B81DC3">
        <w:rPr>
          <w:rFonts w:cs="Times New Roman"/>
          <w:sz w:val="18"/>
          <w:szCs w:val="18"/>
        </w:rPr>
        <w:t xml:space="preserve"> </w:t>
      </w:r>
      <w:r w:rsidRPr="00B81DC3">
        <w:rPr>
          <w:rStyle w:val="markedcontent"/>
          <w:rFonts w:cs="Times New Roman"/>
          <w:sz w:val="18"/>
          <w:szCs w:val="18"/>
        </w:rPr>
        <w:t>DOI Number: 10.37506/v20/i1/2020/mlu/194468</w:t>
      </w:r>
      <w:r w:rsidRPr="00B81DC3">
        <w:rPr>
          <w:rFonts w:cs="Times New Roman"/>
          <w:sz w:val="18"/>
          <w:szCs w:val="18"/>
        </w:rPr>
        <w:t>.</w:t>
      </w:r>
      <w:r w:rsidRPr="00B81DC3">
        <w:rPr>
          <w:rFonts w:cs="Times New Roman"/>
          <w:sz w:val="18"/>
          <w:szCs w:val="18"/>
        </w:rPr>
        <w:fldChar w:fldCharType="end"/>
      </w:r>
    </w:p>
  </w:footnote>
  <w:footnote w:id="26">
    <w:p w:rsidR="00305ECC" w:rsidRPr="00B81DC3" w:rsidRDefault="00305ECC" w:rsidP="00305ECC">
      <w:pPr>
        <w:pStyle w:val="FootnoteText"/>
        <w:ind w:firstLine="709"/>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illustré.","author":[{"dropping-particle":"","family":"Zuhri","given":"Lahmuddin","non-dropping-particle":"","parse-names":false,"suffix":""}],"container-title":"Rechtidee,","id":"ITEM-1","issue":"Juni","issued":{"date-parts":[["2016"]]},"page":"1-6","title":"Nilai Lokal Krik Salamat sebagai Asas dalam Pembangunan Hukum","type":"article-journal","volume":"Vol. 11. N"},"uris":["http://www.mendeley.com/documents/?uuid=8d68f6d6-d468-41ad-90bd-75ebc7bf5031"]}],"mendeley":{"formattedCitation":"Lahmuddin Zuhri, “Nilai Lokal Krik Salamat Sebagai Asas Dalam Pembangunan Hukum,” &lt;i&gt;Rechtidee,&lt;/i&gt; Vol. 11. N, no. Juni (2016): 1–6.","plainTextFormattedCitation":"Lahmuddin Zuhri, “Nilai Lokal Krik Salamat Sebagai Asas Dalam Pembangunan Hukum,” Rechtidee, Vol. 11. N, no. Juni (2016): 1–6.","previouslyFormattedCitation":"Lahmuddin Zuhri, “Nilai Lokal Krik Salamat Sebagai Asas Dalam Pembangunan Hukum,” &lt;i&gt;Rechtidee,&lt;/i&gt; Vol. 11. N, no. Juni (2016): 1–6."},"properties":{"noteIndex":26},"schema":"https://github.com/citation-style-language/schema/raw/master/csl-citation.json"}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Lahmuddin Zuhri, “Nilai Lokal Krik Salamat Sebagai Asas Dalam Pembangunan Hukum,” </w:t>
      </w:r>
      <w:r w:rsidRPr="00B81DC3">
        <w:rPr>
          <w:rFonts w:cs="Times New Roman"/>
          <w:i/>
          <w:sz w:val="18"/>
          <w:szCs w:val="18"/>
        </w:rPr>
        <w:t>Rechtidee,</w:t>
      </w:r>
      <w:r w:rsidRPr="00B81DC3">
        <w:rPr>
          <w:rFonts w:cs="Times New Roman"/>
          <w:sz w:val="18"/>
          <w:szCs w:val="18"/>
        </w:rPr>
        <w:t xml:space="preserve"> Vol. 11. N, no. Juni (2016): 1–6.</w:t>
      </w:r>
      <w:r w:rsidRPr="00B81DC3">
        <w:rPr>
          <w:rFonts w:cs="Times New Roman"/>
          <w:sz w:val="18"/>
          <w:szCs w:val="18"/>
        </w:rPr>
        <w:fldChar w:fldCharType="end"/>
      </w:r>
    </w:p>
  </w:footnote>
  <w:footnote w:id="27">
    <w:p w:rsidR="00305ECC" w:rsidRPr="00B81DC3" w:rsidRDefault="00305ECC" w:rsidP="00305ECC">
      <w:pPr>
        <w:pStyle w:val="FootnoteText"/>
        <w:ind w:firstLine="709"/>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{"citationItems":[{"id":"ITEM-1","itemData":{"DOI":"10.22225/jph.1.1.1996.133-138","ISSN":"2746-5039","abstract":"Customary order becoming a sociological aspect of institutionalized procedures for handling conflicts is a reality that still exists in Indonesian society. Indonesian people in general still apply the traditional values ​​that have been applied for a long time as role models in social life. Law Number 7 of 2012, has encouraged customary arrangements in the management and solved problems in the community. The issue to be discussed in this paper were the regulation of handling social conflicts in Indonesia according to Law No. 7 of 2012? and the role of traditional institutions in handling social conflicts in Indonesia's heterogeneous society. In this study the authors used a normative legal research method. This study use the socio-legal approach. The results of this study showed that the regulation of handling social conflicts according to Law No. 7 of 2012 Customary Institutions have a role in conflict prevention, conflict management, post-conflict handling between communities. The role of the customary community order in handling a conflict for Indonesian community groups increases or fosters tolerance and mutual respect for freedom in carrying out community activities. With the growth of tolerance, conflict between communities can be avoided","author":[{"dropping-particle":"","family":"Dauh","given":"I Putu Agus Arya","non-dropping-particle":"","parse-names":false,"suffix":""},{"dropping-particle":"","family":"Sukadana","given":"I Ketut","non-dropping-particle":"","parse-names":false,"suffix":""},{"dropping-particle":"","family":"Widyantara","given":"I Made Minggu","non-dropping-particle":"","parse-names":false,"suffix":""}],"container-title":"Jurnal Preferensi Hukum","id":"ITEM-1","issue":"1","issued":{"date-parts":[["2020"]]},"page":"133-138","title":"Peran Pranata adat Dalam Pencegahan Konflik Antara Kelompok Masyarakat Adat","type":"article-journal","volume":"1"},"uris":["http://www.mendeley.com/documents/?uuid=abd82af0-5197-4b09-b9be-8eeb75466918"]}],"mendeley":{"formattedCitation":"I Putu Agus Arya Dauh, I Ketut Sukadana, and I Made Minggu Widyantara, “Peran Pranata Adat Dalam Pencegahan Konflik Antara Kelompok Masyarakat Adat,” &lt;i&gt;Jurnal Preferensi Hukum&lt;/i&gt; 1, no. 1 (2020): 133–138.","manualFormatting":"I Putu Agus Arya Dauh, I Ketut Sukadana, and I Made Minggu Widyantara, “Peran Pranata Adat Dalam Pencegahan Konflik Antara Kelompok Masyarakat Adat,” Jurnal Preferensi Hukum  VOl 1, no. 1 (2020): 133–138.","plainTextFormattedCitation":"I Putu Agus Arya Dauh, I Ketut Sukadana, and I Made Minggu Widyantara, “Peran Pranata Adat Dalam Pencegahan Konflik Antara Kelompok Masyarakat Adat,” Jurnal Preferensi Hukum 1, no. 1 (2020): 133–138.","previouslyFormattedCitation":"I Putu Agus Arya Dauh, I Ketut Sukadana, and I Made Minggu Widyantara, “Peran Pranata Adat Dalam Pencegahan Konflik Antara Kelompok Masyarakat Adat,” &lt;i&gt;Jurnal Preferensi Hukum&lt;/i&gt; 1, no. 1 (2020): 133–138."},"properties":{"noteIndex":27},"schema":"https://github.com/citation-style-language/schema/raw/master/csl-citation.json"}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I Putu Agus Arya Dauh, I Ketut Sukadana, and I Made Minggu Widyantara, “Peran Pranata Adat Dalam Pencegahan Konflik Antara Kelompok Masyarakat Adat,” </w:t>
      </w:r>
      <w:r w:rsidRPr="00B81DC3">
        <w:rPr>
          <w:rFonts w:cs="Times New Roman"/>
          <w:i/>
          <w:sz w:val="18"/>
          <w:szCs w:val="18"/>
        </w:rPr>
        <w:t>Jurnal Preferensi Hukum</w:t>
      </w:r>
      <w:r w:rsidRPr="00B81DC3">
        <w:rPr>
          <w:rFonts w:cs="Times New Roman"/>
          <w:sz w:val="18"/>
          <w:szCs w:val="18"/>
        </w:rPr>
        <w:t xml:space="preserve">  VOl 1, no. 1 (2020): 133–138.</w:t>
      </w:r>
      <w:r w:rsidRPr="00B81DC3">
        <w:rPr>
          <w:rFonts w:cs="Times New Roman"/>
          <w:sz w:val="18"/>
          <w:szCs w:val="18"/>
        </w:rPr>
        <w:fldChar w:fldCharType="end"/>
      </w:r>
    </w:p>
  </w:footnote>
  <w:footnote w:id="28">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{"citationItems":[{"id":"ITEM-1","itemData":{"author":[{"dropping-particle":"","family":"Suroono","given":"","non-dropping-particle":"","parse-names":false,"suffix":""}],"id":"ITEM-1","issued":{"date-parts":[["2010"]]},"number-of-pages":"15","publisher":"Hlm","title":"Pengantar dan Azaz-Azaz Hukum adat, Gunung Agung, Jakarta","type":"book"},"uris":["http://www.mendeley.com/documents/?uuid=543957a3-1869-4d13-bcef-1b2aa15517c5"]}],"mendeley":{"formattedCitation":"Suroono, &lt;i&gt;Pengantar Dan Azaz-Azaz Hukum Adat, Gunung Agung, Jakarta&lt;/i&gt; (Hlm, 2010).","manualFormatting":"Suroono, Pengantar Dan Azaz-Azaz Hukum Adat, Gunung Agung, Jakarta , 2010. hlm 15.","plainTextFormattedCitation":"Suroono, Pengantar Dan Azaz-Azaz Hukum Adat, Gunung Agung, Jakarta (Hlm, 2010).","previouslyFormattedCitation":"Suroono, &lt;i&gt;Pengantar Dan Azaz-Azaz Hukum Adat, Gunung Agung, Jakarta&lt;/i&gt; (Hlm, 2010)."},"properties":{"noteIndex":28},"schema":"https://github.com/citation-style-language/schema/raw/master/csl-citation.json"}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Suroono, </w:t>
      </w:r>
      <w:r w:rsidRPr="00B81DC3">
        <w:rPr>
          <w:rFonts w:cs="Times New Roman"/>
          <w:i/>
          <w:color w:val="171717"/>
          <w:sz w:val="18"/>
          <w:szCs w:val="18"/>
        </w:rPr>
        <w:t>Pengantar Dan Azaz-Azaz Hukum Adat, Gunung Agung, Jakarta</w:t>
      </w:r>
      <w:r w:rsidRPr="00B81DC3">
        <w:rPr>
          <w:rFonts w:cs="Times New Roman"/>
          <w:color w:val="171717"/>
          <w:sz w:val="18"/>
          <w:szCs w:val="18"/>
        </w:rPr>
        <w:t xml:space="preserve"> , 2010. p 15.</w:t>
      </w:r>
      <w:r w:rsidRPr="00B81DC3">
        <w:rPr>
          <w:rFonts w:cs="Times New Roman"/>
          <w:color w:val="171717"/>
          <w:sz w:val="18"/>
          <w:szCs w:val="18"/>
        </w:rPr>
        <w:fldChar w:fldCharType="end"/>
      </w:r>
    </w:p>
  </w:footnote>
  <w:footnote w:id="29">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upriyadi","given":"","non-dropping-particle":"","parse-names":false,"suffix":""}],"container-title":"Lombok","id":"ITEM-1","issued":{"date-parts":[["2021"]]},"number-of-pages":"30","publisher":"Bania Publishing","publisher-place":"Lombok","title":"Profil dan Tata Ruang Masyarakat adat Pusu","type":"book"},"uris":["http://www.mendeley.com/documents/?uuid=37150af2-7d5f-441f-891a-c514211bdc40"]}],"mendeley":{"formattedCitation":"Supriyadi, &lt;i&gt;Profil Dan Tata Ruang Masyarakat Adat Pusu&lt;/i&gt;, &lt;i&gt;Lombok&lt;/i&gt; (Lombok: Bania Publishing, 2021).","manualFormatting":"Supriyadi, Profil Dan Tata Ruang Masyarakat Adat Pusu, Lombok (Lombok: Bania Publishing, 2020. hlm, 30.","plainTextFormattedCitation":"Supriyadi, Profil Dan Tata Ruang Masyarakat Adat Pusu, Lombok (Lombok: Bania Publishing, 2021).","previouslyFormattedCitation":"Supriyadi, &lt;i&gt;Profil Dan Tata Ruang Masyarakat Adat Pusu&lt;/i&gt;, &lt;i&gt;Lombok&lt;/i&gt; (Lombok: Bania Publishing, 2021)."},"properties":{"noteIndex":29},"schema":"https://github.com/citation-style-language/schema/raw/master/csl-citation.json"}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Supriyadi, </w:t>
      </w:r>
      <w:r w:rsidRPr="00B81DC3">
        <w:rPr>
          <w:rFonts w:cs="Times New Roman"/>
          <w:i/>
          <w:color w:val="171717"/>
          <w:sz w:val="18"/>
          <w:szCs w:val="18"/>
        </w:rPr>
        <w:t>Profil Dan Tata Ruang Masyarakat Adat Pusu</w:t>
      </w:r>
      <w:r w:rsidRPr="00B81DC3">
        <w:rPr>
          <w:rFonts w:cs="Times New Roman"/>
          <w:color w:val="171717"/>
          <w:sz w:val="18"/>
          <w:szCs w:val="18"/>
        </w:rPr>
        <w:t xml:space="preserve">, </w:t>
      </w:r>
      <w:r w:rsidRPr="00B81DC3">
        <w:rPr>
          <w:rFonts w:cs="Times New Roman"/>
          <w:i/>
          <w:color w:val="171717"/>
          <w:sz w:val="18"/>
          <w:szCs w:val="18"/>
        </w:rPr>
        <w:t>Lombok</w:t>
      </w:r>
      <w:r w:rsidRPr="00B81DC3">
        <w:rPr>
          <w:rFonts w:cs="Times New Roman"/>
          <w:color w:val="171717"/>
          <w:sz w:val="18"/>
          <w:szCs w:val="18"/>
        </w:rPr>
        <w:t xml:space="preserve"> (Lombok: Bania Publishing, 2020. hlm, 30.</w:t>
      </w:r>
      <w:r w:rsidRPr="00B81DC3">
        <w:rPr>
          <w:rFonts w:cs="Times New Roman"/>
          <w:color w:val="171717"/>
          <w:sz w:val="18"/>
          <w:szCs w:val="18"/>
        </w:rPr>
        <w:fldChar w:fldCharType="end"/>
      </w:r>
    </w:p>
  </w:footnote>
  <w:footnote w:id="30">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{"citationItems":[{"id":"ITEM-1","itemData":{"author":[{"dropping-particle":"","family":"Sangobeng","given":"Herman","non-dropping-particle":"","parse-names":false,"suffix":""}],"id":"ITEM-1","issued":{"date-parts":[["2012"]]},"number-of-pages":"15","publisher":"STPN Press","publisher-place":"Yogyakarta","title":"Filosofis, asas, ajaran, Teori Hukum Pertanahan, dan agrarian","type":"book"},"uris":["http://www.mendeley.com/documents/?uuid=18deb895-32c7-40c2-bdaa-8b7d3315da14"]}],"mendeley":{"formattedCitation":"Herman Sangobeng, &lt;i&gt;Filosofis, Asas, Ajaran, Teori Hukum Pertanahan, Dan Agrarian&lt;/i&gt; (Yogyakarta: STPN Press, 2012).","manualFormatting":"Herman Sangobeng, Filosofis, Asas, Ajaran, Teori Hukum Pertanahan, Dan Agrarian (Yogyakarta: STPN Press, 2012, hlm, 13.","plainTextFormattedCitation":"Herman Sangobeng, Filosofis, Asas, Ajaran, Teori Hukum Pertanahan, Dan Agrarian (Yogyakarta: STPN Press, 2012).","previouslyFormattedCitation":"Herman Sangobeng, &lt;i&gt;Filosofis, Asas, Ajaran, Teori Hukum Pertanahan, Dan Agrarian&lt;/i&gt; (Yogyakarta: STPN Press, 2012)."},"properties":{"noteIndex":30},"schema":"https://github.com/citation-style-language/schema/raw/master/csl-citation.json"}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Herman Sangobeng, </w:t>
      </w:r>
      <w:r w:rsidRPr="00B81DC3">
        <w:rPr>
          <w:rFonts w:cs="Times New Roman"/>
          <w:i/>
          <w:color w:val="171717"/>
          <w:sz w:val="18"/>
          <w:szCs w:val="18"/>
        </w:rPr>
        <w:t>Filosofis, Asas, Ajaran, Teori Hukum Pertanahan, Dan Agrarian</w:t>
      </w:r>
      <w:r w:rsidRPr="00B81DC3">
        <w:rPr>
          <w:rFonts w:cs="Times New Roman"/>
          <w:color w:val="171717"/>
          <w:sz w:val="18"/>
          <w:szCs w:val="18"/>
        </w:rPr>
        <w:t xml:space="preserve"> (Yogyakarta: STPN Press, 2012, p, 13.</w:t>
      </w:r>
      <w:r w:rsidRPr="00B81DC3">
        <w:rPr>
          <w:rFonts w:cs="Times New Roman"/>
          <w:color w:val="171717"/>
          <w:sz w:val="18"/>
          <w:szCs w:val="18"/>
        </w:rPr>
        <w:fldChar w:fldCharType="end"/>
      </w:r>
    </w:p>
  </w:footnote>
  <w:footnote w:id="31">
    <w:p w:rsidR="00305ECC" w:rsidRPr="00B81DC3" w:rsidRDefault="00305ECC" w:rsidP="00305ECC">
      <w:pPr>
        <w:pStyle w:val="FootnoteText"/>
        <w:ind w:firstLine="720"/>
        <w:jc w:val="both"/>
        <w:rPr>
          <w:rFonts w:cs="Times New Roman"/>
          <w:color w:val="0D0D0D"/>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color w:val="0D0D0D"/>
          <w:sz w:val="18"/>
          <w:szCs w:val="18"/>
        </w:rPr>
        <w:fldChar w:fldCharType="begin"/>
      </w:r>
      <w:r w:rsidRPr="00B81DC3">
        <w:rPr>
          <w:rFonts w:cs="Times New Roman"/>
          <w:color w:val="0D0D0D"/>
          <w:sz w:val="18"/>
          <w:szCs w:val="18"/>
        </w:rPr>
        <w:instrText>ADDIN CSL_CITATION {"citationItems":[{"id":"ITEM-1","itemData":{"id":"ITEM-1","issued":{"date-parts":[["0"]]},"title":"Nugroho, S. S., Absori, A., Harun, H., &amp; Setiahadi, R. (2019). Customary Law Harmonization Norma Interaction and Legal State in the Management of Natural Resources Conservation.","type":"article-journal"},"uris":["http://www.mendeley.com/documents/?uuid=1c3725d0-59c9-456b-97fc-b9041573226c"]}],"mendeley":{"formattedCitation":"“Nugroho, S. S., Absori, A., Harun, H., &amp; Setiahadi, R. (2019). Customary Law Harmonization Norma Interaction and Legal State in the Management of Natural Resources Conservation.” (n.d.).","manualFormatting":"Nugroho, S. S., Absori, A., Harun, H., &amp; Setiahadi, R. (2019). Customary Law Harmonization Norma Interaction and Legal State in the Management of Natural Resources Conservation, DOI:10.4108/eai.8-12-2018.2283961. .","plainTextFormattedCitation":"“Nugroho, S. S., Absori, A., Harun, H., &amp; Setiahadi, R. (2019). Customary Law Harmonization Norma Interaction and Legal State in the Management of Natural Resources Conservation.” (n.d.).","previouslyFormattedCitation":"“Nugroho, S. S., Absori, A., Harun, H., &amp; Setiahadi, R. (2019). Customary Law Harmonization Norma Interaction and Legal State in the Management of Natural Resources Conservation.” (n.d.)."},"properties":{"noteIndex":31},"schema":"https://github.com/citation-style-language/schema/raw/master/csl-citation.json"}</w:instrText>
      </w:r>
      <w:r w:rsidRPr="00B81DC3">
        <w:rPr>
          <w:rFonts w:cs="Times New Roman"/>
          <w:color w:val="0D0D0D"/>
          <w:sz w:val="18"/>
          <w:szCs w:val="18"/>
        </w:rPr>
        <w:fldChar w:fldCharType="separate"/>
      </w:r>
      <w:r w:rsidRPr="00B81DC3">
        <w:rPr>
          <w:rFonts w:cs="Times New Roman"/>
          <w:color w:val="0D0D0D"/>
          <w:sz w:val="18"/>
          <w:szCs w:val="18"/>
        </w:rPr>
        <w:t>Nugroho, S. S., Absori, A., Harun, H., &amp; Setiahadi, R. (2019). Customary Law Harmonization Norma Interaction and Legal State in the Management of Natural Resources Conservation, DOI:</w:t>
      </w:r>
      <w:hyperlink r:id="rId2" w:tgtFrame="_blank" w:history="1">
        <w:r w:rsidRPr="00B81DC3">
          <w:rPr>
            <w:rStyle w:val="Hyperlink"/>
            <w:rFonts w:cs="Times New Roman"/>
            <w:color w:val="0D0D0D"/>
            <w:sz w:val="18"/>
            <w:szCs w:val="18"/>
          </w:rPr>
          <w:t>10.4108/eai.8-12-2018.2283961</w:t>
        </w:r>
      </w:hyperlink>
      <w:r w:rsidRPr="00B81DC3">
        <w:rPr>
          <w:rFonts w:cs="Times New Roman"/>
          <w:color w:val="0D0D0D"/>
          <w:sz w:val="18"/>
          <w:szCs w:val="18"/>
        </w:rPr>
        <w:t>.</w:t>
      </w:r>
      <w:r w:rsidRPr="00B81DC3">
        <w:rPr>
          <w:rFonts w:cs="Times New Roman"/>
          <w:color w:val="0D0D0D"/>
          <w:sz w:val="18"/>
          <w:szCs w:val="18"/>
        </w:rPr>
        <w:fldChar w:fldCharType="end"/>
      </w:r>
    </w:p>
  </w:footnote>
  <w:footnote w:id="32">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Raharjo","given":"Satjipto","non-dropping-particle":"","parse-names":false,"suffix":""},{"dropping-particle":"","family":"Hukum","given":"Ilmu","non-dropping-particle":"","parse-names":false,"suffix":""},{"dropping-particle":"","family":"Bandung","given":"P.T.Citra Aditya Bakti","non-dropping-particle":"","parse-names":false,"suffix":""}],"id":"ITEM-1","issued":{"date-parts":[["2000"]]},"page":"54","title":"No Title","type":"article"},"uris":["http://www.mendeley.com/documents/?uuid=a7690b6c-9aba-4839-8c0d-97c3b8372ff6"]}],"mendeley":{"formattedCitation":"Satjipto Raharjo, Ilmu Hukum, and P.T.Citra Aditya Bakti Bandung, “No Title,” 2000.","manualFormatting":"Satjipto Raharjo, Ilmu Hukum, and P.T.Citra Aditya Bakti Bandung, “No Title,” 2000 hlm. 54.","plainTextFormattedCitation":"Satjipto Raharjo, Ilmu Hukum, and P.T.Citra Aditya Bakti Bandung, “No Title,” 2000.","previouslyFormattedCitation":"Satjipto Raharjo, Ilmu Hukum, and P.T.Citra Aditya Bakti Bandung, “No Title,” 2000."},"properties":{"noteIndex":32},"schema":"https://github.com/citation-style-language/schema/raw/master/csl-citation.json"}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Satjipto Raharjo, Ilmu Hukum, and P.T.Citra Aditya Bakti Bandung, “No Title,” 2000 p. 54.</w:t>
      </w:r>
      <w:r w:rsidRPr="00B81DC3">
        <w:rPr>
          <w:rFonts w:cs="Times New Roman"/>
          <w:color w:val="171717"/>
          <w:sz w:val="18"/>
          <w:szCs w:val="18"/>
        </w:rPr>
        <w:fldChar w:fldCharType="end"/>
      </w:r>
    </w:p>
  </w:footnote>
  <w:footnote w:id="33">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{"citationItems":[{"id":"ITEM-1","itemData":{"id":"ITEM-1","issued":{"date-parts":[["0"]]},"page":"530-536.","title":"Achmadi, K. D., &amp; Absori, A. B. (2020). Cultural implications of Dayak tomun indigenous peoples in the management land rights: a case study of Lamandau, central Kalimantan, Indonesia. Humanities, (4),","type":"article-journal"},"uris":["http://www.mendeley.com/documents/?uuid=ca5f89cd-bada-4b98-b62f-c634e860f5c6"]}],"mendeley":{"formattedCitation":"“Achmadi, K. D., &amp; Absori, A. B. (2020). Cultural Implications of Dayak Tomun Indigenous Peoples in the Management Land Rights: A Case Study of Lamandau, Central Kalimantan, Indonesia. Humanities, (4),” (n.d.): 530-536.","manualFormatting":"“Achmadi, K. D., &amp; Absori, A. B. (2020). Cultural Implications of Dayak Tomun Indigenous Peoples in the Management Land Rights: A Case Study of Lamandau, Central Kalimantan, Indonesia. Humanities, (4),” (n.d.): 530-536 https://doi.org/10.18510/hssr.2020.8452.","plainTextFormattedCitation":"“Achmadi, K. D., &amp; Absori, A. B. (2020). Cultural Implications of Dayak Tomun Indigenous Peoples in the Management Land Rights: A Case Study of Lamandau, Central Kalimantan, Indonesia. Humanities, (4),” (n.d.): 530-536.","previouslyFormattedCitation":"“Achmadi, K. D., &amp; Absori, A. B. (2020). Cultural Implications of Dayak Tomun Indigenous Peoples in the Management Land Rights: A Case Study of Lamandau, Central Kalimantan, Indonesia. Humanities, (4),” (n.d.): 530-536."},"properties":{"noteIndex":33},"schema":"https://github.com/citation-style-language/schema/raw/master/csl-citation.json"}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“Achmadi, K. D., &amp; Absori, A. B. (2020). Cultural Implications of Dayak Tomun Indigenous Peoples in the Management Land Rights: A Case Study of Lamandau, Central Kalimantan, Indonesia. Humanities, (4),” (n.d.): 530-536 </w:t>
      </w:r>
      <w:r w:rsidRPr="00B81DC3">
        <w:rPr>
          <w:rStyle w:val="markedcontent"/>
          <w:rFonts w:cs="Times New Roman"/>
          <w:sz w:val="18"/>
          <w:szCs w:val="18"/>
        </w:rPr>
        <w:t>https://doi.org/10.18510/hssr.2020.8452</w:t>
      </w:r>
      <w:r w:rsidRPr="00B81DC3">
        <w:rPr>
          <w:rFonts w:cs="Times New Roman"/>
          <w:sz w:val="18"/>
          <w:szCs w:val="18"/>
        </w:rPr>
        <w:t>.</w:t>
      </w:r>
      <w:r w:rsidRPr="00B81DC3">
        <w:rPr>
          <w:rFonts w:cs="Times New Roman"/>
          <w:sz w:val="18"/>
          <w:szCs w:val="18"/>
        </w:rPr>
        <w:fldChar w:fldCharType="end"/>
      </w:r>
    </w:p>
  </w:footnote>
  <w:footnote w:id="34">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{"citationItems":[{"id":"ITEM-1","itemData":{"author":[{"dropping-particle":"","family":"Sangobeng","given":"Herman","non-dropping-particle":"","parse-names":false,"suffix":""}],"id":"ITEM-1","issued":{"date-parts":[["2012"]]},"number-of-pages":"15","publisher":"STPN Press","publisher-place":"Yogyakarta","title":"Filosofis, asas, ajaran, Teori Hukum Pertanahan, dan agrarian","type":"book"},"uris":["http://www.mendeley.com/documents/?uuid=18deb895-32c7-40c2-bdaa-8b7d3315da14"]}],"mendeley":{"formattedCitation":"Sangobeng, &lt;i&gt;Filosofis, Asas, Ajaran, Teori Hukum Pertanahan, Dan Agrarian&lt;/i&gt;.","manualFormatting":"Ibid, hlm, 254.","plainTextFormattedCitation":"Sangobeng, Filosofis, Asas, Ajaran, Teori Hukum Pertanahan, Dan Agrarian.","previouslyFormattedCitation":"Sangobeng, &lt;i&gt;Filosofis, Asas, Ajaran, Teori Hukum Pertanahan, Dan Agrarian&lt;/i&gt;."},"properties":{"noteIndex":34},"schema":"https://github.com/citation-style-language/schema/raw/master/csl-citation.json"}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 p, 254.</w:t>
      </w:r>
      <w:r w:rsidRPr="00B81DC3">
        <w:rPr>
          <w:rFonts w:cs="Times New Roman"/>
          <w:color w:val="171717"/>
          <w:sz w:val="18"/>
          <w:szCs w:val="18"/>
        </w:rPr>
        <w:fldChar w:fldCharType="end"/>
      </w:r>
    </w:p>
  </w:footnote>
  <w:footnote w:id="35">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{"citationItems":[{"id":"ITEM-1","itemData":{"author":[{"dropping-particle":"","family":"Sholahuddin Al-Fatih","given":"Zakaria Saxon and Ahmad Murtadho","non-dropping-particle":"","parse-names":false,"suffix":""}],"container-title":"Jurnal Hukum Replik","id":"ITEM-1","issue":"1","issued":{"date-parts":[["2021"]]},"page":"84-98","title":"STUDY OF THE VALUE OF CULTURE AND LOCAL WISDOM IN THE Jurnal Hukum Replik","type":"article-journal","volume":"9"},"uris":["http://www.mendeley.com/documents/?uuid=200508a4-068f-4f35-a863-f9473acba634"]}],"mendeley":{"formattedCitation":"Zakaria Saxon and Ahmad Murtadho Sholahuddin Al-Fatih, “STUDY OF THE VALUE OF CULTURE AND LOCAL WISDOM IN THE Jurnal Hukum Replik,” &lt;i&gt;Jurnal Hukum Replik&lt;/i&gt; 9, no. 1 (2021): 84–98.","manualFormatting":"Zakaria Saxon and Ahmad Murtadho Sholahuddin Al-Fatih, “STUDY OF THE VALUE OF CULTURE AND LOCAL WISDOM IN THE Jurnal Hukum Replik,” Jurnal Hukum Replik  Volume 9, no. 1 (2021): 84–98.","plainTextFormattedCitation":"Zakaria Saxon and Ahmad Murtadho Sholahuddin Al-Fatih, “STUDY OF THE VALUE OF CULTURE AND LOCAL WISDOM IN THE Jurnal Hukum Replik,” Jurnal Hukum Replik 9, no. 1 (2021): 84–98.","previouslyFormattedCitation":"Zakaria Saxon and Ahmad Murtadho Sholahuddin Al-Fatih, “STUDY OF THE VALUE OF CULTURE AND LOCAL WISDOM IN THE Jurnal Hukum Replik,” &lt;i&gt;Jurnal Hukum Replik&lt;/i&gt; 9, no. 1 (2021): 84–98."},"properties":{"noteIndex":35},"schema":"https://github.com/citation-style-language/schema/raw/master/csl-citation.json"}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Zakaria Saxon and Ahmad Murtadho Sholahuddin Al-Fatih, “STUDY OF THE VALUE OF CULTURE AND LOCAL WISDOM IN THE Jurnal Hukum Replik,” </w:t>
      </w:r>
      <w:r w:rsidRPr="00B81DC3">
        <w:rPr>
          <w:rFonts w:cs="Times New Roman"/>
          <w:i/>
          <w:sz w:val="18"/>
          <w:szCs w:val="18"/>
        </w:rPr>
        <w:t>Jurnal Hukum Replik</w:t>
      </w:r>
      <w:r w:rsidRPr="00B81DC3">
        <w:rPr>
          <w:rFonts w:cs="Times New Roman"/>
          <w:sz w:val="18"/>
          <w:szCs w:val="18"/>
        </w:rPr>
        <w:t xml:space="preserve">  Volume 9, no. 1 (2021): 84–98.</w:t>
      </w:r>
      <w:r w:rsidRPr="00B81DC3">
        <w:rPr>
          <w:rFonts w:cs="Times New Roman"/>
          <w:sz w:val="18"/>
          <w:szCs w:val="18"/>
        </w:rPr>
        <w:fldChar w:fldCharType="end"/>
      </w:r>
    </w:p>
  </w:footnote>
  <w:footnote w:id="36">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{"citationItems":[{"id":"ITEM-1","itemData":{"ISSN":"1394-7729","author":[{"dropping-particle":"","family":"Soh","given":"Roslina C H E","non-dropping-particle":"","parse-names":false,"suffix":""}],"container-title":"Jurnal Undang-undang dan Masyarakat","id":"ITEM-1","issue":"0","issued":{"date-parts":[["2019"]]},"page":"104-114","title":"A Study of Elopement among Muslims in Malaysia and Island of Lombok, Indonesia","type":"article-journal","volume":"0"},"uris":["http://www.mendeley.com/documents/?uuid=15194347-c117-434f-b3c1-a3d01a45162d"]}],"mendeley":{"formattedCitation":"Roslina C H E Soh, “A Study of Elopement among Muslims in Malaysia and Island of Lombok, Indonesia,” &lt;i&gt;Jurnal Undang-undang dan Masyarakat&lt;/i&gt; 0, no. 0 (2019): 104–114.","manualFormatting":"Roslina C H E Soh, “A Study of Elopement among Muslims in Malaysia and Island of Lombok, Indonesia,” Jurnal Undang-undang dan Masyarakat  Volume 5, no. 1 (2019): 104–114.","plainTextFormattedCitation":"Roslina C H E Soh, “A Study of Elopement among Muslims in Malaysia and Island of Lombok, Indonesia,” Jurnal Undang-undang dan Masyarakat 0, no. 0 (2019): 104–114.","previouslyFormattedCitation":"Roslina C H E Soh, “A Study of Elopement among Muslims in Malaysia and Island of Lombok, Indonesia,” &lt;i&gt;Jurnal Undang-undang dan Masyarakat&lt;/i&gt; 0, no. 0 (2019): 104–114."},"properties":{"noteIndex":36},"schema":"https://github.com/citation-style-language/schema/raw/master/csl-citation.json"}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Roslina C H E Soh, “A Study of Elopement among Muslims in Malaysia and Island of Lombok, Indonesia,” </w:t>
      </w:r>
      <w:r w:rsidRPr="00B81DC3">
        <w:rPr>
          <w:rFonts w:cs="Times New Roman"/>
          <w:i/>
          <w:sz w:val="18"/>
          <w:szCs w:val="18"/>
        </w:rPr>
        <w:t>Jurnal Undang-undang dan Masyarakat</w:t>
      </w:r>
      <w:r w:rsidRPr="00B81DC3">
        <w:rPr>
          <w:rFonts w:cs="Times New Roman"/>
          <w:sz w:val="18"/>
          <w:szCs w:val="18"/>
        </w:rPr>
        <w:t xml:space="preserve">  Volume 5, no. 1 (2019): 104–114.</w:t>
      </w:r>
      <w:r w:rsidRPr="00B81DC3">
        <w:rPr>
          <w:rFonts w:cs="Times New Roman"/>
          <w:sz w:val="18"/>
          <w:szCs w:val="18"/>
        </w:rPr>
        <w:fldChar w:fldCharType="end"/>
      </w:r>
    </w:p>
  </w:footnote>
  <w:footnote w:id="37">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{"citationItems":[{"id":"ITEM-1","itemData":{"id":"ITEM-1","issued":{"date-parts":[["0"]]},"title":"Jayanuarto, R., Dimyati, K., Absori, A., Surbakti, N., &amp; Damayanti, F. N. (2019). Psychological Analysis of Customary Law as the Spirit for Indigenous People of Bengkulu City Indonesia. Indian Journal of Public Health Research &amp; Development, 10(9).","type":"article-journal"},"uris":["http://www.mendeley.com/documents/?uuid=439dda94-4155-45c9-a740-3287f011a5f4"]}],"mendeley":{"formattedCitation":"“Jayanuarto, R., Dimyati, K., Absori, A., Surbakti, N., &amp; Damayanti, F. N. (2019). Psychological Analysis of Customary Law as the Spirit for Indigenous People of Bengkulu City Indonesia. Indian Journal of Public Health Research &amp; Development, 10(9).” (n.d.).","manualFormatting":"Jayanuarto, R., et.all.\t. (2019). Psychological Analysis of Customary Law as the Spirit for Indigenous People of Bengkulu City Indonesia. Indian Journal of Public Health Research &amp; Development, 10(9). DOI Number: 10.5958/0976-5506.2019.02553.1.).","plainTextFormattedCitation":"“Jayanuarto, R., Dimyati, K., Absori, A., Surbakti, N., &amp; Damayanti, F. N. (2019). Psychological Analysis of Customary Law as the Spirit for Indigenous People of Bengkulu City Indonesia. Indian Journal of Public Health Research &amp; Development, 10(9).” (n.d.).","previouslyFormattedCitation":"“Jayanuarto, R., Dimyati, K., Absori, A., Surbakti, N., &amp; Damayanti, F. N. (2019). Psychological Analysis of Customary Law as the Spirit for Indigenous People of Bengkulu City Indonesia. Indian Journal of Public Health Research &amp; Development, 10(9).” (n.d.)."},"properties":{"noteIndex":37},"schema":"https://github.com/citation-style-language/schema/raw/master/csl-citation.json"}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Jayanuarto, R., et.all.</w:t>
      </w:r>
      <w:r w:rsidRPr="00B81DC3">
        <w:rPr>
          <w:rFonts w:cs="Times New Roman"/>
          <w:sz w:val="18"/>
          <w:szCs w:val="18"/>
        </w:rPr>
        <w:tab/>
        <w:t xml:space="preserve">. (2019). Psychological Analysis of Customary Law as the Spirit for Indigenous People of Bengkulu City Indonesia. Indian Journal of Public Health Research &amp; Development, 10(9). </w:t>
      </w:r>
      <w:r w:rsidRPr="00B81DC3">
        <w:rPr>
          <w:rFonts w:cs="Times New Roman"/>
          <w:i/>
          <w:iCs/>
          <w:sz w:val="18"/>
          <w:szCs w:val="18"/>
        </w:rPr>
        <w:t>DOI Number: 10.5958/0976-5506.2019.02553.1</w:t>
      </w:r>
      <w:r w:rsidRPr="00B81DC3">
        <w:rPr>
          <w:rFonts w:cs="Times New Roman"/>
          <w:sz w:val="18"/>
          <w:szCs w:val="18"/>
        </w:rPr>
        <w:t>.).</w:t>
      </w:r>
      <w:r w:rsidRPr="00B81DC3">
        <w:rPr>
          <w:rFonts w:cs="Times New Roman"/>
          <w:sz w:val="18"/>
          <w:szCs w:val="18"/>
        </w:rPr>
        <w:fldChar w:fldCharType="end"/>
      </w:r>
    </w:p>
  </w:footnote>
  <w:footnote w:id="38">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{"citationItems":[{"id":"ITEM-1","itemData":{"author":[{"dropping-particle":"","family":"Soemadiningrat","given":"Otje Salman","non-dropping-particle":"","parse-names":false,"suffix":""}],"container-title":"Bandung Alumni","id":"ITEM-1","issued":{"date-parts":[["20111"]]},"number-of-pages":"29–33","publisher-place":"Bandung","title":"Rekonseptualisasi hokum adat Kontemporer","type":"book"},"uris":["http://www.mendeley.com/documents/?uuid=9c5ca7f4-83f6-4da9-9b19-80dc12a66de8"]}],"mendeley":{"formattedCitation":"Otje Salman Soemadiningrat, &lt;i&gt;Rekonseptualisasi Hokum Adat Kontemporer&lt;/i&gt;, &lt;i&gt;Bandung Alumni&lt;/i&gt; (Bandung, 20111).","manualFormatting":"Otje Salman Soemadiningrat, Rekonseptualisasi Hokum Adat Kontemporer, Bandung Alumni (Bandung, 2011, hlm, 29-33.","plainTextFormattedCitation":"Otje Salman Soemadiningrat, Rekonseptualisasi Hokum Adat Kontemporer, Bandung Alumni (Bandung, 20111).","previouslyFormattedCitation":"Otje Salman Soemadiningrat, &lt;i&gt;Rekonseptualisasi Hokum Adat Kontemporer&lt;/i&gt;, &lt;i&gt;Bandung Alumni&lt;/i&gt; (Bandung, 20111)."},"properties":{"noteIndex":38},"schema":"https://github.com/citation-style-language/schema/raw/master/csl-citation.json"}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Otje Salman Soemadiningrat, </w:t>
      </w:r>
      <w:r w:rsidRPr="00B81DC3">
        <w:rPr>
          <w:rFonts w:cs="Times New Roman"/>
          <w:i/>
          <w:color w:val="171717"/>
          <w:sz w:val="18"/>
          <w:szCs w:val="18"/>
        </w:rPr>
        <w:t>Rekonseptualisasi Hokum Adat Kontemporer</w:t>
      </w:r>
      <w:r w:rsidRPr="00B81DC3">
        <w:rPr>
          <w:rFonts w:cs="Times New Roman"/>
          <w:color w:val="171717"/>
          <w:sz w:val="18"/>
          <w:szCs w:val="18"/>
        </w:rPr>
        <w:t xml:space="preserve">, </w:t>
      </w:r>
      <w:r w:rsidRPr="00B81DC3">
        <w:rPr>
          <w:rFonts w:cs="Times New Roman"/>
          <w:i/>
          <w:color w:val="171717"/>
          <w:sz w:val="18"/>
          <w:szCs w:val="18"/>
        </w:rPr>
        <w:t>Bandung Alumni</w:t>
      </w:r>
      <w:r w:rsidRPr="00B81DC3">
        <w:rPr>
          <w:rFonts w:cs="Times New Roman"/>
          <w:color w:val="171717"/>
          <w:sz w:val="18"/>
          <w:szCs w:val="18"/>
        </w:rPr>
        <w:t xml:space="preserve"> (Bandung, 2011, p, 29-33.</w:t>
      </w:r>
      <w:r w:rsidRPr="00B81DC3">
        <w:rPr>
          <w:rFonts w:cs="Times New Roman"/>
          <w:color w:val="171717"/>
          <w:sz w:val="18"/>
          <w:szCs w:val="18"/>
        </w:rPr>
        <w:fldChar w:fldCharType="end"/>
      </w:r>
    </w:p>
  </w:footnote>
  <w:footnote w:id="39">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{"citationItems":[{"id":"ITEM-1","itemData":{"DOI":"10.21143/jhp.vol40.no2.219","ISSN":"2503-1465","abstract":"AbstrakThis study took place within the entire autonomous region on the island ofLombok, which is in West Lombok regencylcity of Mataram, LombokCentral, and East Lombok District. Perhatan focus of this research is to findanswers to \"how the people on the island of Lombok, Sasak tribe resolvetheir business disputes, the procedures undertaken, and the legal rules thatare used\", a series of problems to study. From the resuit, obtained by thefindings that show the models out of court settlement of disputes betweenfellow citizens Sasak, including debt-related accounts, buying and sellingcars, buying and selling of precious metals, with reference to the local values(the customs, habits, tradisis-traditional, religious values) are used as termsof reference the parties dispute to end the disputes. Results showed processfast, simple, easy and cheap that is based on principles of fairness,deliberation, the agreements that were led by religious leaders, communityleaders as mediators. In this circuit, the parties dispute tends to avoid thecourts to resolve disputes with reason \"could damage the relationship ofbrotherhood\" (social relations), in addition to the perception that only \"thosewho were disputing only\" who took the court mechanism. Within the aboveframework, this study refers to the theory of \"Legal Pluralism\" fromGriffiths, the theory of \"Semi-Autonomous Social Fields\" from Sally FolkMoore, in addition to the theory of the \"Living Law\" from Erlich. All dataobtained were processed according to the rules prevailing methodologicalqualitative research, and then analyzed to obtain a deep understanding of theimportant aspects implicit in a series of studies the object of dispute.Evaluation and data analysis take place simultaneously, with the final result of the conclusions, the arguments that give the foil picture of the wholeprocess of studies showing the interrelation between the various researchfindings with the concept off act-theoretic grip author","author":[{"dropping-particle":"","family":"Abdullah","given":"Idrus","non-dropping-particle":"","parse-names":false,"suffix":""}],"container-title":"Jurnal Hukum &amp; Pembangunan","id":"ITEM-1","issue":"2","issued":{"date-parts":[["2010","6","3"]]},"page":"290","title":"PENYELESAIAN SENGKETA BISNIS DI LUAR PENGADILAN ANTAR WARGA SUKU SASAK DI PULAU LOMBOK","type":"article-journal","volume":"40"},"uris":["http://www.mendeley.com/documents/?uuid=449550cf-9cfe-4453-8dc3-645fba9ed305"]}],"mendeley":{"formattedCitation":"Idrus Abdullah, “PENYELESAIAN SENGKETA BISNIS DI LUAR PENGADILAN ANTAR WARGA SUKU SASAK DI PULAU LOMBOK,” &lt;i&gt;Jurnal Hukum &amp; Pembangunan&lt;/i&gt; 40, no. 2 (June 3, 2010): 290, http://jhp.ui.ac.id/index.php/home/article/view/219.","manualFormatting":"Idrus Abdullah, “PENYELESAIAN SENGKETA BISNIS DI LUAR PENGADILAN ANTAR WARGA SUKU SASAK DI PULAU LOMBOK,” Jurnal Hukum &amp; Pembangunan 40, no. 2 (June 3, 2010): 290,  DOI: http://dx.doi.org/10.21143/jhp.vol40.no2.219 , hlm. 5.","plainTextFormattedCitation":"Idrus Abdullah, “PENYELESAIAN SENGKETA BISNIS DI LUAR PENGADILAN ANTAR WARGA SUKU SASAK DI PULAU LOMBOK,” Jurnal Hukum &amp; Pembangunan 40, no. 2 (June 3, 2010): 290, http://jhp.ui.ac.id/index.php/home/article/view/219.","previouslyFormattedCitation":"Idrus Abdullah, “PENYELESAIAN SENGKETA BISNIS DI LUAR PENGADILAN ANTAR WARGA SUKU SASAK DI PULAU LOMBOK,” &lt;i&gt;Jurnal Hukum &amp; Pembangunan&lt;/i&gt; 40, no. 2 (June 3, 2010): 290, http://jhp.ui.ac.id/index.php/home/article/view/219."},"properties":{"noteIndex":39},"schema":"https://github.com/citation-style-language/schema/raw/master/csl-citation.json"}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Idrus Abdullah, “PENYELESAIAN SENGKETA BISNIS DI LUAR PENGADILAN ANTAR WARGA SUKU SASAK DI PULAU LOMBOK,” </w:t>
      </w:r>
      <w:r w:rsidRPr="00B81DC3">
        <w:rPr>
          <w:rFonts w:cs="Times New Roman"/>
          <w:i/>
          <w:color w:val="171717"/>
          <w:sz w:val="18"/>
          <w:szCs w:val="18"/>
        </w:rPr>
        <w:t xml:space="preserve">Jurnal </w:t>
      </w:r>
      <w:r w:rsidRPr="00B81DC3">
        <w:rPr>
          <w:rFonts w:cs="Times New Roman"/>
          <w:color w:val="171717"/>
          <w:sz w:val="18"/>
          <w:szCs w:val="18"/>
        </w:rPr>
        <w:t>Hukum</w:t>
      </w:r>
      <w:r w:rsidRPr="00B81DC3">
        <w:rPr>
          <w:rFonts w:cs="Times New Roman"/>
          <w:i/>
          <w:color w:val="171717"/>
          <w:sz w:val="18"/>
          <w:szCs w:val="18"/>
        </w:rPr>
        <w:t xml:space="preserve"> &amp; Pembangunan</w:t>
      </w:r>
      <w:r w:rsidRPr="00B81DC3">
        <w:rPr>
          <w:rFonts w:cs="Times New Roman"/>
          <w:color w:val="171717"/>
          <w:sz w:val="18"/>
          <w:szCs w:val="18"/>
        </w:rPr>
        <w:t xml:space="preserve"> 40, no. 2 (June 3, 2010): 290,  DOI: </w:t>
      </w:r>
      <w:hyperlink r:id="rId3" w:history="1">
        <w:r w:rsidRPr="00B81DC3">
          <w:rPr>
            <w:rStyle w:val="Hyperlink"/>
            <w:rFonts w:cs="Times New Roman"/>
            <w:color w:val="171717"/>
            <w:sz w:val="18"/>
            <w:szCs w:val="18"/>
          </w:rPr>
          <w:t>http://dx.doi.org/10.21143/jhp.vol40.no2.219</w:t>
        </w:r>
      </w:hyperlink>
      <w:r w:rsidRPr="00B81DC3">
        <w:rPr>
          <w:rFonts w:cs="Times New Roman"/>
          <w:color w:val="171717"/>
          <w:sz w:val="18"/>
          <w:szCs w:val="18"/>
        </w:rPr>
        <w:t xml:space="preserve"> , p. 5.</w:t>
      </w:r>
      <w:r w:rsidRPr="00B81DC3">
        <w:rPr>
          <w:rFonts w:cs="Times New Roman"/>
          <w:color w:val="171717"/>
          <w:sz w:val="18"/>
          <w:szCs w:val="18"/>
        </w:rPr>
        <w:fldChar w:fldCharType="end"/>
      </w:r>
    </w:p>
  </w:footnote>
  <w:footnote w:id="40">
    <w:p w:rsidR="00305ECC" w:rsidRPr="00B81DC3" w:rsidRDefault="00305ECC" w:rsidP="00305ECC">
      <w:pPr>
        <w:pStyle w:val="FootnoteText"/>
        <w:ind w:firstLine="709"/>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{"citationItems":[{"id":"ITEM-1","itemData":{"abstract":"Dalam buku ini membahas mengenai membangun karakter bangsa dengan cara mentransformasi nilai-nilai kearifan lokal yaitu budaya gotong royong (Huyula) yang dulu dikenal oleh masyarakat Gorontalo sebagai sarana untuk bekerja sama dalam menyelesaikan suatu pekerjaan demi kepentingan umum. Huyula merupakan suatu sistem gotong royong atau tolong menolong antara anggota masyarakat untuk memenuhi kebutuhan dan kepentingan bersama yang didasarkan pada solidaritas sosial. Dengan","author":[{"dropping-particle":"","family":"Yunus","given":"Rasid","non-dropping-particle":"","parse-names":false,"suffix":""}],"container-title":"Deepublish Publisher","id":"ITEM-1","issued":{"date-parts":[["2011"]]},"number-of-pages":"2","publisher-place":"Yogyakarta","title":"Nilai-Nilai Kearifan Lokal ( Local Genius ) Sebagai Penguat Karakter Bangsa","type":"book"},"uris":["http://www.mendeley.com/documents/?uuid=b0af6882-df5f-4750-8b1e-de863e9f68f0"]}],"mendeley":{"formattedCitation":"Rasid Yunus, &lt;i&gt;Nilai-Nilai Kearifan Lokal ( Local Genius ) Sebagai Penguat Karakter Bangsa&lt;/i&gt;, &lt;i&gt;Deepublish Publisher&lt;/i&gt; (Yogyakarta, 2011).","manualFormatting":"Rasid Yunus, Nilai-Nilai Kearifan Lokal ( Local Genius ) Sebagai Penguat Karakter Bangsa, Deepublish Publisher (Yogyakarta, 2011), hal. 2.","plainTextFormattedCitation":"Rasid Yunus, Nilai-Nilai Kearifan Lokal ( Local Genius ) Sebagai Penguat Karakter Bangsa, Deepublish Publisher (Yogyakarta, 2011).","previouslyFormattedCitation":"Rasid Yunus, &lt;i&gt;Nilai-Nilai Kearifan Lokal ( Local Genius ) Sebagai Penguat Karakter Bangsa&lt;/i&gt;, &lt;i&gt;Deepublish Publisher&lt;/i&gt; (Yogyakarta, 2011)."},"properties":{"noteIndex":40},"schema":"https://github.com/citation-style-language/schema/raw/master/csl-citation.json"}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Rasid Yunus, </w:t>
      </w:r>
      <w:r w:rsidRPr="00B81DC3">
        <w:rPr>
          <w:rFonts w:cs="Times New Roman"/>
          <w:i/>
          <w:sz w:val="18"/>
          <w:szCs w:val="18"/>
        </w:rPr>
        <w:t>Nilai-Nilai Kearifan Lokal ( Local Genius ) Sebagai Penguat Karakter Bangsa</w:t>
      </w:r>
      <w:r w:rsidRPr="00B81DC3">
        <w:rPr>
          <w:rFonts w:cs="Times New Roman"/>
          <w:sz w:val="18"/>
          <w:szCs w:val="18"/>
        </w:rPr>
        <w:t xml:space="preserve">, </w:t>
      </w:r>
      <w:r w:rsidRPr="00B81DC3">
        <w:rPr>
          <w:rFonts w:cs="Times New Roman"/>
          <w:i/>
          <w:sz w:val="18"/>
          <w:szCs w:val="18"/>
        </w:rPr>
        <w:t>Deepublish Publisher</w:t>
      </w:r>
      <w:r w:rsidRPr="00B81DC3">
        <w:rPr>
          <w:rFonts w:cs="Times New Roman"/>
          <w:sz w:val="18"/>
          <w:szCs w:val="18"/>
        </w:rPr>
        <w:t xml:space="preserve"> (Yogyakarta, 2011), p. 2.</w:t>
      </w:r>
      <w:r w:rsidRPr="00B81DC3">
        <w:rPr>
          <w:rFonts w:cs="Times New Roman"/>
          <w:sz w:val="18"/>
          <w:szCs w:val="18"/>
        </w:rPr>
        <w:fldChar w:fldCharType="end"/>
      </w:r>
    </w:p>
  </w:footnote>
  <w:footnote w:id="41">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{"citationItems":[{"id":"ITEM-1","itemData":{"author":[{"dropping-particle":"","family":"Faisal","given":"Sanapiah S","non-dropping-particle":"","parse-names":false,"suffix":""}],"id":"ITEM-1","issued":{"date-parts":[["1999"]]},"number-of-pages":"194","publisher":"Disertasi Program pascasarjana Universitas Airlangga.","publisher-place":"Surabaya","title":"Budaya Kerja Masyarakat Pertani Sumbawa; Kajian Strukturasionistik: Kasus Petani Sumbawa","type":"book"},"uris":["http://www.mendeley.com/documents/?uuid=4919712f-88f7-4c70-9d1d-20fb11b643bb"]}],"mendeley":{"formattedCitation":"Sanapiah S Faisal, &lt;i&gt;Budaya Kerja Masyarakat Pertani Sumbawa; Kajian Strukturasionistik: Kasus Petani Sumbawa&lt;/i&gt; (Surabaya: Disertasi Program pascasarjana Universitas Airlangga., 1999).","manualFormatting":"Sanapiah S Faisal, Budaya Kerja Masyarakat Pertani Sumbawa; Kajian Strukturasionistik: Kasus Petani Sumbawa (Surabaya: Disertasi Program pascasarjana Universitas Airlangga., 1999, hlm.94.","plainTextFormattedCitation":"Sanapiah S Faisal, Budaya Kerja Masyarakat Pertani Sumbawa; Kajian Strukturasionistik: Kasus Petani Sumbawa (Surabaya: Disertasi Program pascasarjana Universitas Airlangga., 1999).","previouslyFormattedCitation":"Sanapiah S Faisal, &lt;i&gt;Budaya Kerja Masyarakat Pertani Sumbawa; Kajian Strukturasionistik: Kasus Petani Sumbawa&lt;/i&gt; (Surabaya: Disertasi Program pascasarjana Universitas Airlangga., 1999)."},"properties":{"noteIndex":41},"schema":"https://github.com/citation-style-language/schema/raw/master/csl-citation.json"}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Sanapiah S Faisal, </w:t>
      </w:r>
      <w:r w:rsidRPr="00B81DC3">
        <w:rPr>
          <w:rFonts w:cs="Times New Roman"/>
          <w:i/>
          <w:color w:val="171717"/>
          <w:sz w:val="18"/>
          <w:szCs w:val="18"/>
        </w:rPr>
        <w:t>Budaya Kerja Masyarakat Pertani Sumbawa; Kajian Strukturasionistik: Kasus Petani Sumbawa</w:t>
      </w:r>
      <w:r w:rsidRPr="00B81DC3">
        <w:rPr>
          <w:rFonts w:cs="Times New Roman"/>
          <w:color w:val="171717"/>
          <w:sz w:val="18"/>
          <w:szCs w:val="18"/>
        </w:rPr>
        <w:t xml:space="preserve"> (Surabaya: Disertasi Program pascasarjana Universitas Airlangga., 1999, hlm.94.</w:t>
      </w:r>
      <w:r w:rsidRPr="00B81DC3">
        <w:rPr>
          <w:rFonts w:cs="Times New Roman"/>
          <w:color w:val="171717"/>
          <w:sz w:val="18"/>
          <w:szCs w:val="18"/>
        </w:rPr>
        <w:fldChar w:fldCharType="end"/>
      </w:r>
    </w:p>
  </w:footnote>
  <w:footnote w:id="42">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{"citationItems":[{"id":"ITEM-1","itemData":{"id":"ITEM-1","issued":{"date-parts":[["0"]]},"title":"Jayanuarto, R., Dimyati, K., Absori, A., Surbakti, N., &amp; Damayanti, F. N. (2019). Psychological Analysis of Customary Law as the Spirit for Indigenous People of Bengkulu City Indonesia. Indian Journal of Public Health Research &amp; Development, 10(9).","type":"article-journal"},"uris":["http://www.mendeley.com/documents/?uuid=439dda94-4155-45c9-a740-3287f011a5f4"]}],"mendeley":{"formattedCitation":"“Jayanuarto, R., Dimyati, K., Absori, A., Surbakti, N., &amp; Damayanti, F. N. (2019). Psychological Analysis of Customary Law as the Spirit for Indigenous People of Bengkulu City Indonesia. Indian Journal of Public Health Research &amp; Development, 10(9).”","manualFormatting":"Jayanuarto, et.all, op.cit….”","plainTextFormattedCitation":"“Jayanuarto, R., Dimyati, K., Absori, A., Surbakti, N., &amp; Damayanti, F. N. (2019). Psychological Analysis of Customary Law as the Spirit for Indigenous People of Bengkulu City Indonesia. Indian Journal of Public Health Research &amp; Development, 10(9).”","previouslyFormattedCitation":"“Jayanuarto, R., Dimyati, K., Absori, A., Surbakti, N., &amp; Damayanti, F. N. (2019). Psychological Analysis of Customary Law as the Spirit for Indigenous People of Bengkulu City Indonesia. Indian Journal of Public Health Research &amp; Development, 10(9).”"},"properties":{"noteIndex":42},"schema":"https://github.com/citation-style-language/schema/raw/master/csl-citation.json"}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Jayanuarto, et.all, op.cit….”</w:t>
      </w:r>
      <w:r w:rsidRPr="00B81DC3">
        <w:rPr>
          <w:rFonts w:cs="Times New Roman"/>
          <w:sz w:val="18"/>
          <w:szCs w:val="18"/>
        </w:rPr>
        <w:fldChar w:fldCharType="end"/>
      </w:r>
    </w:p>
  </w:footnote>
  <w:footnote w:id="43">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{"citationItems":[{"id":"ITEM-1","itemData":{"author":[{"dropping-particle":"","family":"Dworkin","given":"R M","non-dropping-particle":"","parse-names":false,"suffix":""}],"id":"ITEM-1","issued":{"date-parts":[["2013"]]},"publisher":"Merkid Press","publisher-place":"Yogyakarta","title":"Filsafat hukum : suatu pengantar","type":"book"},"uris":["http://www.mendeley.com/documents/?uuid=1a67cc89-7dbc-4498-befc-987ec0edc5b9"]}],"mendeley":{"formattedCitation":"R M Dworkin, &lt;i&gt;Filsafat Hukum : Suatu Pengantar&lt;/i&gt; (Yogyakarta: Merkid Press, 2013).","manualFormatting":"R M Dworkin, Filsafat Hukum : Suatu Pengantar  Yogyakarta: Merkid Press, 2007, hlm. ix.","plainTextFormattedCitation":"R M Dworkin, Filsafat Hukum : Suatu Pengantar (Yogyakarta: Merkid Press, 2013).","previouslyFormattedCitation":"R M Dworkin, &lt;i&gt;Filsafat Hukum : Suatu Pengantar&lt;/i&gt; (Yogyakarta: Merkid Press, 2013)."},"properties":{"noteIndex":43},"schema":"https://github.com/citation-style-language/schema/raw/master/csl-citation.json"}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R M Dworkin, </w:t>
      </w:r>
      <w:r w:rsidRPr="00B81DC3">
        <w:rPr>
          <w:rFonts w:cs="Times New Roman"/>
          <w:i/>
          <w:color w:val="171717"/>
          <w:sz w:val="18"/>
          <w:szCs w:val="18"/>
        </w:rPr>
        <w:t>Filsafat Hukum : Suatu Pengantar</w:t>
      </w:r>
      <w:r w:rsidRPr="00B81DC3">
        <w:rPr>
          <w:rFonts w:cs="Times New Roman"/>
          <w:color w:val="171717"/>
          <w:sz w:val="18"/>
          <w:szCs w:val="18"/>
        </w:rPr>
        <w:t xml:space="preserve">  Yogyakarta: Merkid Press, 2007, hlm. ix.</w:t>
      </w:r>
      <w:r w:rsidRPr="00B81DC3">
        <w:rPr>
          <w:rFonts w:cs="Times New Roman"/>
          <w:color w:val="171717"/>
          <w:sz w:val="18"/>
          <w:szCs w:val="18"/>
        </w:rPr>
        <w:fldChar w:fldCharType="end"/>
      </w:r>
    </w:p>
  </w:footnote>
  <w:footnote w:id="44">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{"citationItems":[{"id":"ITEM-1","itemData":{"author":[{"dropping-particle":"","family":"Abdul Halil Barkatullah","given":"Teguh Prasetyo","non-dropping-particle":"","parse-names":false,"suffix":""}],"id":"ITEM-1","issued":{"date-parts":[["2007"]]},"number-of-pages":"17","publisher":"Pustaka Pelajar","publisher-place":"Yogyakarta","title":"Studi Pemikiran Ahli Hukum Sepanjang Zaman","type":"book"},"uris":["http://www.mendeley.com/documents/?uuid=d558d1f1-03ef-4693-8809-a25bb6dcf3ae"]}],"mendeley":{"formattedCitation":"Teguh Prasetyo Abdul Halil Barkatullah, &lt;i&gt;Studi Pemikiran Ahli Hukum Sepanjang Zaman&lt;/i&gt; (Yogyakarta: Pustaka Pelajar, 2007).","manualFormatting":"Teguh Prasetyo Abdul Halil Barkatullah, Studi Pemikiran Ahli Hukum Sepanjang Zaman (Yogyakarta: Pustaka Pelajar, 2007, hlm. 17.","plainTextFormattedCitation":"Teguh Prasetyo Abdul Halil Barkatullah, Studi Pemikiran Ahli Hukum Sepanjang Zaman (Yogyakarta: Pustaka Pelajar, 2007).","previouslyFormattedCitation":"Teguh Prasetyo Abdul Halil Barkatullah, &lt;i&gt;Studi Pemikiran Ahli Hukum Sepanjang Zaman&lt;/i&gt; (Yogyakarta: Pustaka Pelajar, 2007)."},"properties":{"noteIndex":44},"schema":"https://github.com/citation-style-language/schema/raw/master/csl-citation.json"}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Teguh Prasetyo Abdul Halil Barkatullah, </w:t>
      </w:r>
      <w:r w:rsidRPr="00B81DC3">
        <w:rPr>
          <w:rFonts w:cs="Times New Roman"/>
          <w:i/>
          <w:color w:val="171717"/>
          <w:sz w:val="18"/>
          <w:szCs w:val="18"/>
        </w:rPr>
        <w:t>Studi Pemikiran Ahli Hukum Sepanjang Zaman</w:t>
      </w:r>
      <w:r w:rsidRPr="00B81DC3">
        <w:rPr>
          <w:rFonts w:cs="Times New Roman"/>
          <w:color w:val="171717"/>
          <w:sz w:val="18"/>
          <w:szCs w:val="18"/>
        </w:rPr>
        <w:t xml:space="preserve"> (Yogyakarta: Pustaka Pelajar, 2007, p. 17.</w:t>
      </w:r>
      <w:r w:rsidRPr="00B81DC3">
        <w:rPr>
          <w:rFonts w:cs="Times New Roman"/>
          <w:color w:val="171717"/>
          <w:sz w:val="18"/>
          <w:szCs w:val="18"/>
        </w:rPr>
        <w:fldChar w:fldCharType="end"/>
      </w:r>
    </w:p>
  </w:footnote>
  <w:footnote w:id="45">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{"citationItems":[{"id":"ITEM-1","itemData":{"author":[{"dropping-particle":"","family":"Praja","given":"Juhaya S","non-dropping-particle":"","parse-names":false,"suffix":""}],"id":"ITEM-1","issued":{"date-parts":[["2011"]]},"number-of-pages":"18","publisher":"Pustaka Setia","publisher-place":"Bandung","title":"Teori Hukum dan Aplikasinya","type":"book"},"uris":["http://www.mendeley.com/documents/?uuid=bf675483-44af-4a6e-b7f9-5e76bdda60ff"]}],"mendeley":{"formattedCitation":"Juhaya S Praja, &lt;i&gt;Teori Hukum Dan Aplikasinya&lt;/i&gt; (Bandung: Pustaka Setia, 2011).","manualFormatting":"Juhaya S Praja, Teori Hukum Dan Aplikasinya (Bandung: Pustaka Setia, 2011, hlm. 18.","plainTextFormattedCitation":"Juhaya S Praja, Teori Hukum Dan Aplikasinya (Bandung: Pustaka Setia, 2011).","previouslyFormattedCitation":"Juhaya S Praja, &lt;i&gt;Teori Hukum Dan Aplikasinya&lt;/i&gt; (Bandung: Pustaka Setia, 2011)."},"properties":{"noteIndex":45},"schema":"https://github.com/citation-style-language/schema/raw/master/csl-citation.json"}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Juhaya S Praja, </w:t>
      </w:r>
      <w:r w:rsidRPr="00B81DC3">
        <w:rPr>
          <w:rFonts w:cs="Times New Roman"/>
          <w:i/>
          <w:color w:val="171717"/>
          <w:sz w:val="18"/>
          <w:szCs w:val="18"/>
        </w:rPr>
        <w:t>Teori Hukum Dan Aplikasinya</w:t>
      </w:r>
      <w:r w:rsidRPr="00B81DC3">
        <w:rPr>
          <w:rFonts w:cs="Times New Roman"/>
          <w:color w:val="171717"/>
          <w:sz w:val="18"/>
          <w:szCs w:val="18"/>
        </w:rPr>
        <w:t xml:space="preserve"> (Bandung: Pustaka Setia, 2011, p. 18.</w:t>
      </w:r>
      <w:r w:rsidRPr="00B81DC3">
        <w:rPr>
          <w:rFonts w:cs="Times New Roman"/>
          <w:color w:val="171717"/>
          <w:sz w:val="18"/>
          <w:szCs w:val="18"/>
        </w:rPr>
        <w:fldChar w:fldCharType="end"/>
      </w:r>
    </w:p>
  </w:footnote>
  <w:footnote w:id="46">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{"citationItems":[{"id":"ITEM-1","itemData":{"DOI":"10.21082/fae.v24n1.2006.14-27","ISSN":"0216-4361","abstract":"&lt;strong&gt;English&lt;/strong&gt;&lt;br /&gt;Aspect of land ownership is an essential part of overall current agrarian system because it will determine level and distribution of social welfare. In agricultural sector, land ownership also determines farm business activities including products distribution. Frequent land conversion and uncultivated land in Indonesia are the impacts of ownership system established by the state law influenced by private property and capitalistic economy. This paper reviews land ownership based on custom laws in some Indonesian ethnics which is in accordance with land ownership based on Islamic law. Some of the characteristics are: (i) land is unique economic resource and no absolute land ownership; (ii) inclusiveness; (iii) selling land as market commodity is prohibited, and (iv) people and work are more valuable than land. Land ownership based on custom and Islamic laws has higher wisdom and tends to realize welfare and justice for the people. &lt;br /&gt;&lt;br /&gt;&lt;br /&gt;&lt;strong&gt;Indonesian&lt;/strong&gt;&lt;br /&gt;Aspek penguasaan tanah merupakan bagian yang sangat esensial dalam keseluruhan sistem agraria yang berlaku, karena akan menentukan tingkat dan distribusi kesejahteraan masyarakat di dalamnya. Demikian pula untuk sektor pertanian, karena faktor penguasaan tanah menjadi penentu kegiatan usahatani serta termasuk distribusi hasilnya di antara pelakunya. Fenomena tingginya alih fungsi lahan dan lahan terlantar di Indonesia merupakan dampak dari sistem penguasaan menurut hukum negara yang sangat menjunjung tinggi kepemilikan pribadi (privat) karena dijiwai sistem ekonomi kapitalis. Dalam tulisan ini dipelajari konsep penguasaan terhadap tanah yang relatif berbeda, yaitu bentuk penguasaan menurut hukum adat pada beberapa suku bangsa di Indonesia yang terbukti memiliki banyak kesamaan dengan bentuk penguasaan tanah menurut hukum Islam. Beberapa cirinya yang utama adalah bahwa tanah merupakan sumberdaya ekonomi yang unik, dimana tidak mengenal bentuk penguasaan yang mutlak, adanya sifat inklusifitas, larangan untuk memperjual belikan tanah dalam arti sebagai komoditas pasar, serta lebih dihargainya manusia dan kerja dibandingkan tanah. Penguasaan tanah menurut hukum adat dan Islam tampaknya memiliki kearifan yang lebih tinggi, yang sesungguhnya akan lebih mampu mewujudkan kesejahteraan masyarakat secara berkeadilan.","author":[{"dropping-particle":"","family":"Syahyuti","given":"NFN","non-dropping-particle":"","parse-names":false,"suffix":""}],"container-title":"Forum penelitian Agro Ekonomi","id":"ITEM-1","issue":"1","issued":{"date-parts":[["2016"]]},"page":"14","title":"Nilai-Nilai Kearifan pada Konsep Penguasaan Tanah Menurut Hukum Adat di Indonesia","type":"article-journal","volume":"24"},"uris":["http://www.mendeley.com/documents/?uuid=554bec9c-a696-41cd-91ce-05f92f882f06"]}],"mendeley":{"formattedCitation":"NFN Syahyuti, “Nilai-Nilai Kearifan Pada Konsep Penguasaan Tanah Menurut Hukum Adat Di Indonesia,” &lt;i&gt;Forum penelitian Agro Ekonomi&lt;/i&gt; 24, no. 1 (2016): 14.","manualFormatting":"NFN Syahyuti, “Nilai-Nilai Kearifan Pada Konsep Penguasaan Tanah Menurut Hukum Adat Di Indonesia,” Forum penelitian Agro Ekonomi  Volume 24, no. 1 (2016): 14.","plainTextFormattedCitation":"NFN Syahyuti, “Nilai-Nilai Kearifan Pada Konsep Penguasaan Tanah Menurut Hukum Adat Di Indonesia,” Forum penelitian Agro Ekonomi 24, no. 1 (2016): 14.","previouslyFormattedCitation":"NFN Syahyuti, “Nilai-Nilai Kearifan Pada Konsep Penguasaan Tanah Menurut Hukum Adat Di Indonesia,” &lt;i&gt;Forum penelitian Agro Ekonomi&lt;/i&gt; 24, no. 1 (2016): 14."},"properties":{"noteIndex":46},"schema":"https://github.com/citation-style-language/schema/raw/master/csl-citation.json"}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NFN Syahyuti, “Nilai-Nilai Kearifan Pada Konsep Penguasaan Tanah Menurut Hukum Adat Di Indonesia,” </w:t>
      </w:r>
      <w:r w:rsidRPr="00B81DC3">
        <w:rPr>
          <w:rFonts w:cs="Times New Roman"/>
          <w:i/>
          <w:sz w:val="18"/>
          <w:szCs w:val="18"/>
        </w:rPr>
        <w:t>Forum penelitian Agro Ekonomi</w:t>
      </w:r>
      <w:r w:rsidRPr="00B81DC3">
        <w:rPr>
          <w:rFonts w:cs="Times New Roman"/>
          <w:sz w:val="18"/>
          <w:szCs w:val="18"/>
        </w:rPr>
        <w:t xml:space="preserve">  Volume 24, no. 1 (2016): 14.</w:t>
      </w:r>
      <w:r w:rsidRPr="00B81DC3">
        <w:rPr>
          <w:rFonts w:cs="Times New Roman"/>
          <w:sz w:val="18"/>
          <w:szCs w:val="18"/>
        </w:rPr>
        <w:fldChar w:fldCharType="end"/>
      </w:r>
    </w:p>
  </w:footnote>
  <w:footnote w:id="47">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{"citationItems":[{"id":"ITEM-1","itemData":{"author":[{"dropping-particle":"","family":"Suroono","given":"","non-dropping-particle":"","parse-names":false,"suffix":""}],"id":"ITEM-1","issued":{"date-parts":[["2010"]]},"number-of-pages":"15","publisher":"Hlm","title":"Pengantar dan Azaz-Azaz Hukum adat, Gunung Agung, Jakarta","type":"book"},"uris":["http://www.mendeley.com/documents/?uuid=543957a3-1869-4d13-bcef-1b2aa15517c5"]}],"mendeley":{"formattedCitation":"Suroono, &lt;i&gt;Pengantar Dan Azaz-Azaz Hukum Adat, Gunung Agung, Jakarta&lt;/i&gt;.","manualFormatting":"Suroono, Pengantar Dan Azaz-Azaz Hukum Adat, Gunung Agung, Jakarta, hlm. 15.","plainTextFormattedCitation":"Suroono, Pengantar Dan Azaz-Azaz Hukum Adat, Gunung Agung, Jakarta.","previouslyFormattedCitation":"Suroono, &lt;i&gt;Pengantar Dan Azaz-Azaz Hukum Adat, Gunung Agung, Jakarta&lt;/i&gt;."},"properties":{"noteIndex":47},"schema":"https://github.com/citation-style-language/schema/raw/master/csl-citation.json"}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Suroono, </w:t>
      </w:r>
      <w:r w:rsidRPr="00B81DC3">
        <w:rPr>
          <w:rFonts w:cs="Times New Roman"/>
          <w:i/>
          <w:color w:val="171717"/>
          <w:sz w:val="18"/>
          <w:szCs w:val="18"/>
        </w:rPr>
        <w:t xml:space="preserve">Pengantar Dan Azaz-Azaz Hukum Adat, Gunung Agung, Jakarta, </w:t>
      </w:r>
      <w:r w:rsidRPr="00B81DC3">
        <w:rPr>
          <w:rFonts w:cs="Times New Roman"/>
          <w:color w:val="171717"/>
          <w:sz w:val="18"/>
          <w:szCs w:val="18"/>
        </w:rPr>
        <w:t>p. 15.</w:t>
      </w:r>
      <w:r w:rsidRPr="00B81DC3">
        <w:rPr>
          <w:rFonts w:cs="Times New Roman"/>
          <w:color w:val="171717"/>
          <w:sz w:val="18"/>
          <w:szCs w:val="18"/>
        </w:rPr>
        <w:fldChar w:fldCharType="end"/>
      </w:r>
    </w:p>
  </w:footnote>
  <w:footnote w:id="48">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{"citationItems":[{"id":"ITEM-1","itemData":{"id":"ITEM-1","issued":{"date-parts":[["0"]]},"title":"Wawancara dengan Bapak Suparman sebagai ine adat masyarakat adat Pusu, wawancara pada tanggal 27 Juli 2019","type":"article"},"uris":["http://www.mendeley.com/documents/?uuid=5718bece-ed77-4622-b04a-7d49cc79fb83"]}],"mendeley":{"formattedCitation":"“Wawancara Dengan Bapak Suparman Sebagai Ine Adat Masyarakat Adat Pusu, Wawancara Pada Tanggal 27 Juli 2019.”","plainTextFormattedCitation":"“Wawancara Dengan Bapak Suparman Sebagai Ine Adat Masyarakat Adat Pusu, Wawancara Pada Tanggal 27 Juli 2019.”","previouslyFormattedCitation":"“Wawancara Dengan Bapak Suparman Sebagai Ine Adat Masyarakat Adat Pusu, Wawancara Pada Tanggal 27 Juli 2019.”"},"properties":{"noteIndex":48},"schema":"https://github.com/citation-style-language/schema/raw/master/csl-citation.json"}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“Interview with Suparman as </w:t>
      </w:r>
      <w:r w:rsidRPr="00B81DC3">
        <w:rPr>
          <w:rFonts w:cs="Times New Roman"/>
          <w:i/>
          <w:iCs/>
          <w:color w:val="171717"/>
          <w:sz w:val="18"/>
          <w:szCs w:val="18"/>
        </w:rPr>
        <w:t xml:space="preserve">Ine Adat </w:t>
      </w:r>
      <w:r w:rsidRPr="00B81DC3">
        <w:rPr>
          <w:rFonts w:cs="Times New Roman"/>
          <w:color w:val="171717"/>
          <w:sz w:val="18"/>
          <w:szCs w:val="18"/>
        </w:rPr>
        <w:t>of the Pusu customary community, on July 27, 2019.”</w:t>
      </w:r>
      <w:r w:rsidRPr="00B81DC3">
        <w:rPr>
          <w:rFonts w:cs="Times New Roman"/>
          <w:color w:val="171717"/>
          <w:sz w:val="18"/>
          <w:szCs w:val="18"/>
        </w:rPr>
        <w:fldChar w:fldCharType="end"/>
      </w:r>
    </w:p>
  </w:footnote>
  <w:footnote w:id="49">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{"citationItems":[{"id":"ITEM-1","itemData":{"author":[{"dropping-particle":"","family":"Ali","given":"Ahmad","non-dropping-particle":"","parse-names":false,"suffix":""}],"id":"ITEM-1","issued":{"date-parts":[["2010"]]},"number-of-pages":"212","publisher":"Kenca Perdana Media Group","publisher-place":"Jakarta","title":"Menguak teori hukum (legal theory) dan teori peradilan (judicialprudence): Termasuk interpretasi Undang-Undang (legisprudence)","type":"book"},"uris":["http://www.mendeley.com/documents/?uuid=e7af5e3f-b5ba-4e8d-8709-803b49fed2cb"]}],"mendeley":{"formattedCitation":"Ahmad Ali, &lt;i&gt;Menguak Teori Hukum (Legal Theory) Dan Teori Peradilan (Judicialprudence): Termasuk Interpretasi Undang-Undang (Legisprudence)&lt;/i&gt; (Jakarta: Kenca Perdana Media Group, 2010), http://library.fis.uny.ac.id/opac/index.php?p=show_detail&amp;id=4219.","manualFormatting":"Ahmad Ali, Menguak Teori Hukum (Legal Theory) Dan Teori Peradilan (Judicialprudence): Termasuk Interpretasi Undang-Undang (Legisprudence) (Jakarta: Kenca Perdana Media Group, 2010, hlm.212.","plainTextFormattedCitation":"Ahmad Ali, Menguak Teori Hukum (Legal Theory) Dan Teori Peradilan (Judicialprudence): Termasuk Interpretasi Undang-Undang (Legisprudence) (Jakarta: Kenca Perdana Media Group, 2010), http://library.fis.uny.ac.id/opac/index.php?p=show_detail&amp;id=4219.","previouslyFormattedCitation":"Ahmad Ali, &lt;i&gt;Menguak Teori Hukum (Legal Theory) Dan Teori Peradilan (Judicialprudence): Termasuk Interpretasi Undang-Undang (Legisprudence)&lt;/i&gt; (Jakarta: Kenca Perdana Media Group, 2010), http://library.fis.uny.ac.id/opac/index.php?p=show_detail&amp;id=4219."},"properties":{"noteIndex":49},"schema":"https://github.com/citation-style-language/schema/raw/master/csl-citation.json"}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Ahmad Ali, </w:t>
      </w:r>
      <w:r w:rsidRPr="00B81DC3">
        <w:rPr>
          <w:rFonts w:cs="Times New Roman"/>
          <w:i/>
          <w:color w:val="171717"/>
          <w:sz w:val="18"/>
          <w:szCs w:val="18"/>
        </w:rPr>
        <w:t>Menguak Teori Hukum (Legal Theory) Dan Teori Peradilan (Judicialprudence): Termasuk Interpretasi Undang-Undang (Legisprudence)</w:t>
      </w:r>
      <w:r w:rsidRPr="00B81DC3">
        <w:rPr>
          <w:rFonts w:cs="Times New Roman"/>
          <w:color w:val="171717"/>
          <w:sz w:val="18"/>
          <w:szCs w:val="18"/>
        </w:rPr>
        <w:t xml:space="preserve"> (Jakarta: Kenca Perdana Media Group, 2010, p.212.</w:t>
      </w:r>
      <w:r w:rsidRPr="00B81DC3">
        <w:rPr>
          <w:rFonts w:cs="Times New Roman"/>
          <w:color w:val="171717"/>
          <w:sz w:val="18"/>
          <w:szCs w:val="18"/>
        </w:rPr>
        <w:fldChar w:fldCharType="end"/>
      </w:r>
    </w:p>
  </w:footnote>
  <w:footnote w:id="50">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{"citationItems":[{"id":"ITEM-1","itemData":{"author":[{"dropping-particle":"","family":"Shihab","given":"Quraish","non-dropping-particle":"","parse-names":false,"suffix":""}],"id":"ITEM-1","issued":{"date-parts":[["0"]]},"page":"197","title":"Tafsir Al-Misbah Jus ke-4, Jakarta, Lentera Hati","type":"article"},"uris":["http://www.mendeley.com/documents/?uuid=55bc34ed-b112-4e4c-977c-605a7421ced2"]}],"mendeley":{"formattedCitation":"Quraish Shihab, “Tafsir Al-Misbah Jus Ke-4, Jakarta, Lentera Hati,” n.d.","manualFormatting":"Quraish Shihab, “Tafsir Al-Misbah Jus Ke-4, Jakarta, Lentera Hati, 2017, hlm. 197.","plainTextFormattedCitation":"Quraish Shihab, “Tafsir Al-Misbah Jus Ke-4, Jakarta, Lentera Hati,” n.d.","previouslyFormattedCitation":"Quraish Shihab, “Tafsir Al-Misbah Jus Ke-4, Jakarta, Lentera Hati,” n.d."},"properties":{"noteIndex":50},"schema":"https://github.com/citation-style-language/schema/raw/master/csl-citation.json"}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Quraish Shihab, “Tafsir Al-Misbah Jus Ke-4, Jakarta, Lentera Hati, 2017, p. 197.</w:t>
      </w:r>
      <w:r w:rsidRPr="00B81DC3">
        <w:rPr>
          <w:rFonts w:cs="Times New Roman"/>
          <w:color w:val="171717"/>
          <w:sz w:val="18"/>
          <w:szCs w:val="18"/>
        </w:rPr>
        <w:fldChar w:fldCharType="end"/>
      </w:r>
    </w:p>
  </w:footnote>
  <w:footnote w:id="51">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{"citationItems":[{"id":"ITEM-1","itemData":{"DOI":"10.21143/jhp.vol17.no2.1300","ISSN":"2503-1465","abstract":"Pembahasan mengenai hubungan Hukum Adat dengan Hukum Islam, akan dilakukan dalam kerangka pengajaran Hukum Islam pada perguruan tinggi (di Indonesia). Hukum Adat maupun Hukum Islam akan ditelaah sebagai bagian-bagian dari inter subsistem hukum, yang merupakan unsur suatu sistem kemasyarakatan yang utuh.","author":[{"dropping-particle":"","family":"Soekanto","given":"Soerjono","non-dropping-particle":"","parse-names":false,"suffix":""}],"container-title":"Jurnal Hukum &amp; Pembangunan","id":"ITEM-1","issue":"2","issued":{"date-parts":[["2017","6","19"]]},"page":"152","title":"Hubungan Hukum Adat dengan Hukum Islam","type":"article-journal","volume":"17"},"uris":["http://www.mendeley.com/documents/?uuid=867eff4d-1476-4c10-a4f1-618dacb2c22f"]}],"mendeley":{"formattedCitation":"Soerjono Soekanto, “Hubungan Hukum Adat Dengan Hukum Islam,” &lt;i&gt;Jurnal Hukum &amp; Pembangunan&lt;/i&gt; 17, no. 2 (June 19, 2017): 152, http://jhp.ui.ac.id/index.php/home/article/view/1300.","plainTextFormattedCitation":"Soerjono Soekanto, “Hubungan Hukum Adat Dengan Hukum Islam,” Jurnal Hukum &amp; Pembangunan 17, no. 2 (June 19, 2017): 152, http://jhp.ui.ac.id/index.php/home/article/view/1300.","previouslyFormattedCitation":"Soerjono Soekanto, “Hubungan Hukum Adat Dengan Hukum Islam,” &lt;i&gt;Jurnal Hukum &amp; Pembangunan&lt;/i&gt; 17, no. 2 (June 19, 2017): 152, http://jhp.ui.ac.id/index.php/home/article/view/1300."},"properties":{"noteIndex":51},"schema":"https://github.com/citation-style-language/schema/raw/master/csl-citation.json"}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Soerjono Soekanto, “Hubungan Hukum Adat Dengan Hukum Islam,” </w:t>
      </w:r>
      <w:r w:rsidRPr="00B81DC3">
        <w:rPr>
          <w:rFonts w:cs="Times New Roman"/>
          <w:i/>
          <w:sz w:val="18"/>
          <w:szCs w:val="18"/>
        </w:rPr>
        <w:t>Jurnal Hukum &amp; Pembangunan</w:t>
      </w:r>
      <w:r w:rsidRPr="00B81DC3">
        <w:rPr>
          <w:rFonts w:cs="Times New Roman"/>
          <w:sz w:val="18"/>
          <w:szCs w:val="18"/>
        </w:rPr>
        <w:t xml:space="preserve"> 17, no. 2 (June 19, 2017): 152, http://jhp.ui.ac.id/index.php/home/article/view/1300.</w:t>
      </w:r>
      <w:r w:rsidRPr="00B81DC3">
        <w:rPr>
          <w:rFonts w:cs="Times New Roman"/>
          <w:sz w:val="18"/>
          <w:szCs w:val="18"/>
        </w:rPr>
        <w:fldChar w:fldCharType="end"/>
      </w:r>
    </w:p>
  </w:footnote>
  <w:footnote w:id="52">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{"citationItems":[{"id":"ITEM-1","itemData":{"id":"ITEM-1","issued":{"date-parts":[["1985"]]},"number-of-pages":"15","publisher":"Bima Kasara","publisher-place":"Jakarta","title":"Sajuti Thalib, receptio a contrario, Cetakan ke-III","type":"book"},"uris":["http://www.mendeley.com/documents/?uuid=cf6c4c48-a13b-47d5-ac94-0b548b8ff2ab"]}],"mendeley":{"formattedCitation":"&lt;i&gt;Sajuti Thalib, Receptio a Contrario, Cetakan Ke-III&lt;/i&gt; (Jakarta: Bima Kasara, 1985).","manualFormatting":"Sajuti Thalib, Receptio a Contrario, Cetakan Ke-III (Jakarta: Bima Kasara, 1985, hlm. 15.","plainTextFormattedCitation":"Sajuti Thalib, Receptio a Contrario, Cetakan Ke-III (Jakarta: Bima Kasara, 1985).","previouslyFormattedCitation":"&lt;i&gt;Sajuti Thalib, Receptio a Contrario, Cetakan Ke-III&lt;/i&gt; (Jakarta: Bima Kasara, 1985)."},"properties":{"noteIndex":52},"schema":"https://github.com/citation-style-language/schema/raw/master/csl-citation.json"}</w:instrText>
      </w:r>
      <w:r w:rsidRPr="00B81DC3">
        <w:rPr>
          <w:rFonts w:cs="Times New Roman"/>
          <w:color w:val="171717"/>
          <w:sz w:val="18"/>
          <w:szCs w:val="18"/>
        </w:rPr>
        <w:fldChar w:fldCharType="separate"/>
      </w:r>
      <w:r w:rsidRPr="00B81DC3">
        <w:rPr>
          <w:rFonts w:cs="Times New Roman"/>
          <w:i/>
          <w:color w:val="171717"/>
          <w:sz w:val="18"/>
          <w:szCs w:val="18"/>
        </w:rPr>
        <w:t>Sajuti Thalib, Receptio a Contrario, Cetakan Ke-III</w:t>
      </w:r>
      <w:r w:rsidRPr="00B81DC3">
        <w:rPr>
          <w:rFonts w:cs="Times New Roman"/>
          <w:color w:val="171717"/>
          <w:sz w:val="18"/>
          <w:szCs w:val="18"/>
        </w:rPr>
        <w:t xml:space="preserve"> (Jakarta: Bima Kasara, 1985, p. 15.</w:t>
      </w:r>
      <w:r w:rsidRPr="00B81DC3">
        <w:rPr>
          <w:rFonts w:cs="Times New Roman"/>
          <w:color w:val="171717"/>
          <w:sz w:val="18"/>
          <w:szCs w:val="18"/>
        </w:rPr>
        <w:fldChar w:fldCharType="end"/>
      </w:r>
    </w:p>
  </w:footnote>
  <w:footnote w:id="53">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{"citationItems":[{"id":"ITEM-1","itemData":{"id":"ITEM-1","issued":{"date-parts":[["1985"]]},"number-of-pages":"15","publisher":"Bima Kasara","publisher-place":"Jakarta","title":"Sajuti Thalib, receptio a contrario, Cetakan ke-III","type":"book"},"uris":["http://www.mendeley.com/documents/?uuid=cf6c4c48-a13b-47d5-ac94-0b548b8ff2ab"]}],"mendeley":{"formattedCitation":"Ibid.","plainTextFormattedCitation":"Ibid.","previouslyFormattedCitation":"Ibid."},"properties":{"noteIndex":53},"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Ibid.</w:t>
      </w:r>
      <w:r w:rsidRPr="00B81DC3">
        <w:rPr>
          <w:rFonts w:cs="Times New Roman"/>
          <w:color w:val="171717"/>
          <w:sz w:val="18"/>
          <w:szCs w:val="18"/>
        </w:rPr>
        <w:fldChar w:fldCharType="end"/>
      </w:r>
    </w:p>
  </w:footnote>
  <w:footnote w:id="54">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{"citationItems":[{"id":"ITEM-1","itemData":{"abstract":"Hukum Islam masuk ke Indonesia bersamaan dengan masuknya Islam ke Indonesia, yang menurut sebagian kalangan telah berlangsung sejak abad VII atau VIII M. Sementara hukum Barat baru diperkenalkan oleh VOC pada awal abad XVII M. Sebelum masuknya hukum Islam, rakyat Indonesia menganut hukum adat yang bermacam-macam sistemnya dan sangat majemuk sifatnya. Hal ini karena pengaruh agama Hindu dan Budha diduga sangat kuat terhadap kehidupan masyarakat pada zaman itu. Dalam pembangunan hukum nasional Indonesia, hukum agama (Hukum Islam) menjadi dasar yang paling dominan, dimana hukum Islam sangat berperan dalam membentuk prilaku manusia Indonesia. Oleh karenanya hukum Islam menjadi unsur mutlak bagi pembangunan hukum nasional Indonesia","author":[{"dropping-particle":"","family":"Ja’far","given":"Ahmad Khumaidi","non-dropping-particle":"","parse-names":false,"suffix":""}],"container-title":"Asas","id":"ITEM-1","issue":"2","issued":{"date-parts":[["2012"]]},"page":"102-110","title":"Teori-teori Pemberlakuan Hukum Islam di Indonesia","type":"article-journal","volume":"4"},"uris":["http://www.mendeley.com/documents/?uuid=87686ece-c684-4865-89ce-3bc4eb017701"]}],"mendeley":{"formattedCitation":"Ahmad Khumaidi Ja’far, “Teori-Teori Pemberlakuan Hukum Islam Di Indonesia,” &lt;i&gt;Asas&lt;/i&gt; 4, no. 2 (2012): 102–110, http://ejournal.radenintan.ac.id/index.php/asas/article/view/1679.","plainTextFormattedCitation":"Ahmad Khumaidi Ja’far, “Teori-Teori Pemberlakuan Hukum Islam Di Indonesia,” Asas 4, no. 2 (2012): 102–110, http://ejournal.radenintan.ac.id/index.php/asas/article/view/1679.","previouslyFormattedCitation":"Ahmad Khumaidi Ja’far, “Teori-Teori Pemberlakuan Hukum Islam Di Indonesia,” &lt;i&gt;Asas&lt;/i&gt; 4, no. 2 (2012): 102–110, http://ejournal.radenintan.ac.id/index.php/asas/article/view/1679."},"properties":{"noteIndex":54},"schema":"https://github.com/citation-style-language/schema/raw/master/csl-citation.json"}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Ahmad Khumaidi Ja’far, “Teori-Teori Pemberlakuan Hukum Islam Di Indonesia,” </w:t>
      </w:r>
      <w:r w:rsidRPr="00B81DC3">
        <w:rPr>
          <w:rFonts w:cs="Times New Roman"/>
          <w:i/>
          <w:sz w:val="18"/>
          <w:szCs w:val="18"/>
        </w:rPr>
        <w:t>Asas</w:t>
      </w:r>
      <w:r w:rsidRPr="00B81DC3">
        <w:rPr>
          <w:rFonts w:cs="Times New Roman"/>
          <w:sz w:val="18"/>
          <w:szCs w:val="18"/>
        </w:rPr>
        <w:t xml:space="preserve"> 4, no. 2 (2012): 102–110, http://ejournal.radenintan.ac.id/index.php/asas/article/view/1679.</w:t>
      </w:r>
      <w:r w:rsidRPr="00B81DC3">
        <w:rPr>
          <w:rFonts w:cs="Times New Roman"/>
          <w:sz w:val="18"/>
          <w:szCs w:val="18"/>
        </w:rPr>
        <w:fldChar w:fldCharType="end"/>
      </w:r>
    </w:p>
  </w:footnote>
  <w:footnote w:id="55">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{"citationItems":[{"id":"ITEM-1","itemData":{"DOI":"10.22219/jihl.v25i1.5993","ISSN":"0854-6509","abstract":"The legal system or commonly referred to as the legal tradition, has a wealth of scientific treasures that can be examined in more depth through a holistic and comprehensive comparative process. Exactly, the comparison of the legal system must accommodate at least three legal systems that are widely used by countries in the world today. The three legal systems are the Continental European legal system, Anglo American and Islamic Law. The comparative study of the three types of legal systems found that the history of the Continental European legal system is divided into 6 phases, while Anglo American legal history began in the feudalistic era of England until it developed into America and continues to be studied until now. Meanwhile, the history of Islamic law is divided into 5 phases, starting from the Phase of the Prophet Muhammad to the Resurrection Phase (19th century until nowadays). In addition to history, the authors find that the Continental European legal system has the characteristic of anti-formalism thinking, while the Anglo American legal thinking characteristic tends to be formalism and is based on a relatively primitive mindset. While the thinking character of Islamic Law is much influenced by the thought of the fuqoha (fiqh experts) in determining the law to solve a problem, so relatively dynamic and moderate.","author":[{"dropping-particle":"","family":"Aulia","given":"Farihan","non-dropping-particle":"","parse-names":false,"suffix":""},{"dropping-particle":"","family":"Al-Fatih","given":"Sholahuddin","non-dropping-particle":"","parse-names":false,"suffix":""}],"container-title":"Jurnal Ilmiah Hukum LEGALITY","id":"ITEM-1","issue":"1","issued":{"date-parts":[["2018"]]},"page":"98","title":"Perbandingan Sistem Hukum Common Law, Civil Law Dan Islamic Law Dalam Perspektif Sejarah Dan Karakteristik Berpikir","type":"article-journal","volume":"25"},"uris":["http://www.mendeley.com/documents/?uuid=70ca721f-d276-4520-b385-3ea152044201"]}],"mendeley":{"formattedCitation":"Farihan Aulia and Sholahuddin Al-Fatih, “Perbandingan Sistem Hukum Common Law, Civil Law Dan Islamic Law Dalam Perspektif Sejarah Dan Karakteristik Berpikir,” &lt;i&gt;Jurnal Ilmiah Hukum LEGALITY&lt;/i&gt; 25, no. 1 (2018): 98.","plainTextFormattedCitation":"Farihan Aulia and Sholahuddin Al-Fatih, “Perbandingan Sistem Hukum Common Law, Civil Law Dan Islamic Law Dalam Perspektif Sejarah Dan Karakteristik Berpikir,” Jurnal Ilmiah Hukum LEGALITY 25, no. 1 (2018): 98.","previouslyFormattedCitation":"Farihan Aulia and Sholahuddin Al-Fatih, “Perbandingan Sistem Hukum Common Law, Civil Law Dan Islamic Law Dalam Perspektif Sejarah Dan Karakteristik Berpikir,” &lt;i&gt;Jurnal Ilmiah Hukum LEGALITY&lt;/i&gt; 25, no. 1 (2018): 98."},"properties":{"noteIndex":55},"schema":"https://github.com/citation-style-language/schema/raw/master/csl-citation.json"}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Farihan Aulia and Sholahuddin Al-Fatih, “Perbandingan Sistem Hukum Common Law, Civil Law Dan Islamic Law Dalam Perspektif Sejarah Dan Karakteristik Berpikir,” </w:t>
      </w:r>
      <w:r w:rsidRPr="00B81DC3">
        <w:rPr>
          <w:rFonts w:cs="Times New Roman"/>
          <w:i/>
          <w:sz w:val="18"/>
          <w:szCs w:val="18"/>
        </w:rPr>
        <w:t>Jurnal Ilmiah Hukum LEGALITY</w:t>
      </w:r>
      <w:r w:rsidRPr="00B81DC3">
        <w:rPr>
          <w:rFonts w:cs="Times New Roman"/>
          <w:sz w:val="18"/>
          <w:szCs w:val="18"/>
        </w:rPr>
        <w:t xml:space="preserve"> 25, no. 1 (2018): 98.</w:t>
      </w:r>
      <w:r w:rsidRPr="00B81DC3">
        <w:rPr>
          <w:rFonts w:cs="Times New Roman"/>
          <w:sz w:val="18"/>
          <w:szCs w:val="18"/>
        </w:rPr>
        <w:fldChar w:fldCharType="end"/>
      </w:r>
    </w:p>
  </w:footnote>
  <w:footnote w:id="56">
    <w:p w:rsidR="00305ECC" w:rsidRPr="00B81DC3" w:rsidRDefault="00305ECC" w:rsidP="00305ECC">
      <w:pPr>
        <w:pStyle w:val="FootnoteText"/>
        <w:ind w:firstLine="720"/>
        <w:jc w:val="both"/>
        <w:rPr>
          <w:rFonts w:cs="Times New Roman"/>
          <w:sz w:val="18"/>
          <w:szCs w:val="18"/>
        </w:rPr>
      </w:pPr>
      <w:r w:rsidRPr="00B81DC3">
        <w:rPr>
          <w:rStyle w:val="FootnoteReference"/>
          <w:rFonts w:cs="Times New Roman"/>
          <w:sz w:val="18"/>
          <w:szCs w:val="18"/>
        </w:rPr>
        <w:footnoteRef/>
      </w:r>
      <w:r w:rsidRPr="00B81DC3">
        <w:rPr>
          <w:rFonts w:cs="Times New Roman"/>
          <w:sz w:val="18"/>
          <w:szCs w:val="18"/>
        </w:rPr>
        <w:t xml:space="preserve"> </w:t>
      </w:r>
      <w:r w:rsidRPr="00B81DC3">
        <w:rPr>
          <w:rFonts w:cs="Times New Roman"/>
          <w:sz w:val="18"/>
          <w:szCs w:val="18"/>
        </w:rPr>
        <w:fldChar w:fldCharType="begin"/>
      </w:r>
      <w:r w:rsidRPr="00B81DC3">
        <w:rPr>
          <w:rFonts w:cs="Times New Roman"/>
          <w:sz w:val="18"/>
          <w:szCs w:val="18"/>
        </w:rPr>
        <w:instrText>ADDIN CSL_CITATION {"citationItems":[{"id":"ITEM-1","itemData":{"author":[{"dropping-particle":"","family":"Juanda","given":"Khairy","non-dropping-particle":"","parse-names":false,"suffix":""},{"dropping-particle":"","family":"Zuhri","given":"Lahmuddin","non-dropping-particle":"","parse-names":false,"suffix":""}],"container-title":"Komunike","id":"ITEM-1","issue":"1","issued":{"date-parts":[["2016"]]},"page":"98-111","title":"KRITIK SALAMAT : MAQOSID AL-SYARIAH DALAM NILAI LOKAL ( Urf ’)","type":"article-journal","volume":"viii"},"uris":["http://www.mendeley.com/documents/?uuid=cfc17149-a211-489c-a691-f8f3eab4fbcc"]}],"mendeley":{"formattedCitation":"Khairy Juanda and Lahmuddin Zuhri, “KRITIK SALAMAT : MAQOSID AL-SYARIAH DALAM NILAI LOKAL ( Urf ’),” &lt;i&gt;Komunike&lt;/i&gt; viii, no. 1 (2016): 98–111.","manualFormatting":"Khairy Juanda and Lahmuddin Zuhri, “KRITIK SALAMAT : MAQOSID AL-SYARIAH DALAM NILAI LOKAL ( Urf ’),” Komunike Vol  viii, no. 1 (2016): 98–111.","plainTextFormattedCitation":"Khairy Juanda and Lahmuddin Zuhri, “KRITIK SALAMAT : MAQOSID AL-SYARIAH DALAM NILAI LOKAL ( Urf ’),” Komunike viii, no. 1 (2016): 98–111.","previouslyFormattedCitation":"Khairy Juanda and Lahmuddin Zuhri, “KRITIK SALAMAT : MAQOSID AL-SYARIAH DALAM NILAI LOKAL ( Urf ’),” &lt;i&gt;Komunike&lt;/i&gt; viii, no. 1 (2016): 98–111."},"properties":{"noteIndex":56},"schema":"https://github.com/citation-style-language/schema/raw/master/csl-citation.json"}</w:instrText>
      </w:r>
      <w:r w:rsidRPr="00B81DC3">
        <w:rPr>
          <w:rFonts w:cs="Times New Roman"/>
          <w:sz w:val="18"/>
          <w:szCs w:val="18"/>
        </w:rPr>
        <w:fldChar w:fldCharType="separate"/>
      </w:r>
      <w:r w:rsidRPr="00B81DC3">
        <w:rPr>
          <w:rFonts w:cs="Times New Roman"/>
          <w:sz w:val="18"/>
          <w:szCs w:val="18"/>
        </w:rPr>
        <w:t xml:space="preserve">Khairy Juanda and Lahmuddin Zuhri, “KRITIK SALAMAT : MAQOSID AL-SYARIAH DALAM NILAI LOKAL ( Urf ’),” </w:t>
      </w:r>
      <w:r w:rsidRPr="00B81DC3">
        <w:rPr>
          <w:rFonts w:cs="Times New Roman"/>
          <w:i/>
          <w:sz w:val="18"/>
          <w:szCs w:val="18"/>
        </w:rPr>
        <w:t xml:space="preserve">Komunike Vol </w:t>
      </w:r>
      <w:r w:rsidRPr="00B81DC3">
        <w:rPr>
          <w:rFonts w:cs="Times New Roman"/>
          <w:sz w:val="18"/>
          <w:szCs w:val="18"/>
        </w:rPr>
        <w:t xml:space="preserve"> viii, no. 1 (2016): 98–111.</w:t>
      </w:r>
      <w:r w:rsidRPr="00B81DC3">
        <w:rPr>
          <w:rFonts w:cs="Times New Roman"/>
          <w:sz w:val="18"/>
          <w:szCs w:val="18"/>
        </w:rPr>
        <w:fldChar w:fldCharType="end"/>
      </w:r>
    </w:p>
  </w:footnote>
  <w:footnote w:id="57">
    <w:p w:rsidR="00305ECC" w:rsidRPr="00B81DC3" w:rsidRDefault="00305ECC" w:rsidP="00305ECC">
      <w:pPr>
        <w:pStyle w:val="FootnoteText"/>
        <w:ind w:firstLine="720"/>
        <w:jc w:val="both"/>
        <w:rPr>
          <w:rFonts w:cs="Times New Roman"/>
          <w:color w:val="171717"/>
          <w:sz w:val="18"/>
          <w:szCs w:val="18"/>
        </w:rPr>
      </w:pPr>
      <w:r w:rsidRPr="00B81DC3">
        <w:rPr>
          <w:rStyle w:val="FootnoteReference"/>
          <w:rFonts w:cs="Times New Roman"/>
          <w:sz w:val="18"/>
          <w:szCs w:val="18"/>
        </w:rPr>
        <w:footnoteRef/>
      </w:r>
      <w:r w:rsidRPr="00B81DC3">
        <w:rPr>
          <w:rFonts w:cs="Times New Roman"/>
          <w:color w:val="171717"/>
          <w:sz w:val="18"/>
          <w:szCs w:val="18"/>
        </w:rPr>
        <w:t xml:space="preserve"> </w:t>
      </w:r>
      <w:r w:rsidRPr="00B81DC3">
        <w:rPr>
          <w:rFonts w:cs="Times New Roman"/>
          <w:color w:val="171717"/>
          <w:sz w:val="18"/>
          <w:szCs w:val="18"/>
        </w:rPr>
        <w:fldChar w:fldCharType="begin"/>
      </w:r>
      <w:r w:rsidRPr="00B81DC3">
        <w:rPr>
          <w:rFonts w:cs="Times New Roman"/>
          <w:color w:val="171717"/>
          <w:sz w:val="18"/>
          <w:szCs w:val="18"/>
        </w:rPr>
        <w:instrText>ADDIN CSL_CITATION {"citationItems":[{"id":"ITEM-1","itemData":{"author":[{"dropping-particle":"","family":"Abbas","given":"Syahrizal","non-dropping-particle":"","parse-names":false,"suffix":""}],"container-title":"Kecana","id":"ITEM-1","issued":{"date-parts":[["2010"]]},"note":"Hlm. 5","title":"Mediasi dalam hukum syari’ah, hukum adat dan hukum Nasional","type":"book"},"uris":["http://www.mendeley.com/documents/?uuid=942c17d8-ed9e-4ed0-8789-f8c199c024b6"]}],"mendeley":{"formattedCitation":"Syahrizal Abbas, &lt;i&gt;Mediasi Dalam Hukum Syari’ah, Hukum Adat Dan Hukum Nasional&lt;/i&gt;, &lt;i&gt;Kecana&lt;/i&gt;, 2010.","manualFormatting":"Syahrizal Abbas, Mediasi Dalam Hukum Syari’ah, Hukum Adat Dan Hukum Nasional, Kecana, 2010, hlm. 5.","plainTextFormattedCitation":"Syahrizal Abbas, Mediasi Dalam Hukum Syari’ah, Hukum Adat Dan Hukum Nasional, Kecana, 2010.","previouslyFormattedCitation":"Syahrizal Abbas, &lt;i&gt;Mediasi Dalam Hukum Syari’ah, Hukum Adat Dan Hukum Nasional&lt;/i&gt;, &lt;i&gt;Kecana&lt;/i&gt;, 2010."},"properties":{"noteIndex":57},"schema":"https://github.com/citation-style-language/schema/raw/master/csl-citation.json"}</w:instrText>
      </w:r>
      <w:r w:rsidRPr="00B81DC3">
        <w:rPr>
          <w:rFonts w:cs="Times New Roman"/>
          <w:color w:val="171717"/>
          <w:sz w:val="18"/>
          <w:szCs w:val="18"/>
        </w:rPr>
        <w:fldChar w:fldCharType="separate"/>
      </w:r>
      <w:r w:rsidRPr="00B81DC3">
        <w:rPr>
          <w:rFonts w:cs="Times New Roman"/>
          <w:color w:val="171717"/>
          <w:sz w:val="18"/>
          <w:szCs w:val="18"/>
        </w:rPr>
        <w:t xml:space="preserve">Syahrizal Abbas, </w:t>
      </w:r>
      <w:r w:rsidRPr="00B81DC3">
        <w:rPr>
          <w:rFonts w:cs="Times New Roman"/>
          <w:i/>
          <w:color w:val="171717"/>
          <w:sz w:val="18"/>
          <w:szCs w:val="18"/>
        </w:rPr>
        <w:t>Mediasi Dalam Hukum Syari’ah, Hukum Adat Dan Hukum Nasional</w:t>
      </w:r>
      <w:r w:rsidRPr="00B81DC3">
        <w:rPr>
          <w:rFonts w:cs="Times New Roman"/>
          <w:color w:val="171717"/>
          <w:sz w:val="18"/>
          <w:szCs w:val="18"/>
        </w:rPr>
        <w:t xml:space="preserve">, </w:t>
      </w:r>
      <w:r w:rsidRPr="00B81DC3">
        <w:rPr>
          <w:rFonts w:cs="Times New Roman"/>
          <w:i/>
          <w:color w:val="171717"/>
          <w:sz w:val="18"/>
          <w:szCs w:val="18"/>
        </w:rPr>
        <w:t>Kecana</w:t>
      </w:r>
      <w:r w:rsidRPr="00B81DC3">
        <w:rPr>
          <w:rFonts w:cs="Times New Roman"/>
          <w:color w:val="171717"/>
          <w:sz w:val="18"/>
          <w:szCs w:val="18"/>
        </w:rPr>
        <w:t>, 2010, p. 5.</w:t>
      </w:r>
      <w:r w:rsidRPr="00B81DC3">
        <w:rPr>
          <w:rFonts w:cs="Times New Roman"/>
          <w:color w:val="171717"/>
          <w:sz w:val="18"/>
          <w:szCs w:val="18"/>
        </w:rPr>
        <w:fldChar w:fldCharType="end"/>
      </w:r>
    </w:p>
  </w:footnote>
  <w:footnote w:id="58">
    <w:p w:rsidR="00305ECC" w:rsidRDefault="00305ECC" w:rsidP="00305ECC">
      <w:pPr>
        <w:pStyle w:val="FootnoteText"/>
        <w:ind w:firstLine="720"/>
        <w:jc w:val="both"/>
        <w:rPr>
          <w:rFonts w:cs="Times New Roman"/>
          <w:color w:val="171717"/>
        </w:rPr>
      </w:pPr>
      <w:r w:rsidRPr="00B81DC3">
        <w:rPr>
          <w:rStyle w:val="FootnoteReference"/>
          <w:rFonts w:cs="Times New Roman"/>
          <w:sz w:val="18"/>
          <w:szCs w:val="18"/>
        </w:rPr>
        <w:footnoteRef/>
      </w:r>
      <w:r>
        <w:rPr>
          <w:rFonts w:cs="Times New Roman"/>
          <w:color w:val="171717"/>
        </w:rPr>
        <w:t xml:space="preserve"> </w:t>
      </w:r>
      <w:r>
        <w:rPr>
          <w:rFonts w:cs="Times New Roman"/>
          <w:color w:val="171717"/>
        </w:rPr>
        <w:fldChar w:fldCharType="begin"/>
      </w:r>
      <w:r>
        <w:rPr>
          <w:rFonts w:cs="Times New Roman"/>
          <w:color w:val="171717"/>
        </w:rPr>
        <w:instrText>ADDIN CSL_CITATION {"citationItems":[{"id":"ITEM-1","itemData":{"author":[{"dropping-particle":"","family":"Hazairin","given":"","non-dropping-particle":"","parse-names":false,"suffix":""}],"id":"ITEM-1","issued":{"date-parts":[["1982"]]},"number-of-pages":"57","publisher":"Bina Aksara","title":"Hukum Kekeluargaan Indonesia","type":"book"},"uris":["http://www.mendeley.com/documents/?uuid=b6300450-df12-4782-9263-d50c76111b30"]}],"mendeley":{"formattedCitation":"Hazairin, &lt;i&gt;Hukum Kekeluargaan Indonesia&lt;/i&gt; (Bina Aksara, 1982).","manualFormatting":"Hazairin, Hukum Kekeluargaan Indonesia Bina Aksara, 1982, hlm 53.","plainTextFormattedCitation":"Hazairin, Hukum Kekeluargaan Indonesia (Bina Aksara, 1982).","previouslyFormattedCitation":"Hazairin, &lt;i&gt;Hukum Kekeluargaan Indonesia&lt;/i&gt; (Bina Aksara, 1982)."},"properties":{"noteIndex":58},"schema":"https://github.com/citation-style-language/schema/raw/master/csl-citation.json"}</w:instrText>
      </w:r>
      <w:r>
        <w:rPr>
          <w:rFonts w:cs="Times New Roman"/>
          <w:color w:val="171717"/>
        </w:rPr>
        <w:fldChar w:fldCharType="separate"/>
      </w:r>
      <w:r>
        <w:rPr>
          <w:rFonts w:cs="Times New Roman"/>
          <w:color w:val="171717"/>
        </w:rPr>
        <w:t xml:space="preserve">Hazairin, </w:t>
      </w:r>
      <w:r>
        <w:rPr>
          <w:rFonts w:cs="Times New Roman"/>
          <w:i/>
          <w:color w:val="171717"/>
        </w:rPr>
        <w:t>Hukum Kekeluargaan Indonesia</w:t>
      </w:r>
      <w:r>
        <w:rPr>
          <w:rFonts w:cs="Times New Roman"/>
          <w:color w:val="171717"/>
        </w:rPr>
        <w:t xml:space="preserve"> Bina Aksara, 1982, Hal. 53.</w:t>
      </w:r>
      <w:r>
        <w:rPr>
          <w:rFonts w:cs="Times New Roman"/>
          <w:color w:val="171717"/>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87" w:rsidRDefault="00451A51">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B00000"/>
        <w:sz w:val="76"/>
        <w:szCs w:val="76"/>
      </w:rPr>
    </w:pPr>
    <w:bookmarkStart w:id="2" w:name="_heading=h.1fob9te" w:colFirst="0" w:colLast="0"/>
    <w:bookmarkEnd w:id="2"/>
    <w:r>
      <w:rPr>
        <w:rFonts w:ascii="Algerian" w:eastAsia="Algerian" w:hAnsi="Algerian" w:cs="Algerian"/>
        <w:b/>
        <w:color w:val="2F5496"/>
        <w:sz w:val="56"/>
        <w:szCs w:val="56"/>
      </w:rPr>
      <w:t>SASI</w:t>
    </w:r>
    <w:r>
      <w:rPr>
        <w:rFonts w:ascii="Century Gothic" w:eastAsia="Century Gothic" w:hAnsi="Century Gothic" w:cs="Century Gothic"/>
        <w:color w:val="000000"/>
        <w:sz w:val="48"/>
        <w:szCs w:val="48"/>
      </w:rPr>
      <w:t xml:space="preserve"> </w:t>
    </w:r>
    <w:r>
      <w:rPr>
        <w:noProof/>
        <w:lang w:val="en-GB" w:bidi="ar-SA"/>
      </w:rPr>
      <mc:AlternateContent>
        <mc:Choice Requires="wps">
          <w:drawing>
            <wp:anchor distT="0" distB="0" distL="0" distR="0" simplePos="0" relativeHeight="251658240" behindDoc="1" locked="0" layoutInCell="1" hidden="0" allowOverlap="1">
              <wp:simplePos x="0" y="0"/>
              <wp:positionH relativeFrom="column">
                <wp:posOffset>-1396999</wp:posOffset>
              </wp:positionH>
              <wp:positionV relativeFrom="paragraph">
                <wp:posOffset>139700</wp:posOffset>
              </wp:positionV>
              <wp:extent cx="8277225" cy="257175"/>
              <wp:effectExtent l="0" t="0" r="0" b="0"/>
              <wp:wrapNone/>
              <wp:docPr id="17" name="Rectangle 17"/>
              <wp:cNvGraphicFramePr/>
              <a:graphic xmlns:a="http://schemas.openxmlformats.org/drawingml/2006/main">
                <a:graphicData uri="http://schemas.microsoft.com/office/word/2010/wordprocessingShape">
                  <wps:wsp>
                    <wps:cNvSpPr/>
                    <wps:spPr>
                      <a:xfrm>
                        <a:off x="1212150" y="3656175"/>
                        <a:ext cx="8267700" cy="247650"/>
                      </a:xfrm>
                      <a:prstGeom prst="rect">
                        <a:avLst/>
                      </a:prstGeom>
                      <a:solidFill>
                        <a:srgbClr val="D8D8D8"/>
                      </a:solidFill>
                      <a:ln>
                        <a:noFill/>
                      </a:ln>
                    </wps:spPr>
                    <wps:txbx>
                      <w:txbxContent>
                        <w:p w:rsidR="007B4987" w:rsidRDefault="007B4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26" style="position:absolute;left:0;text-align:left;margin-left:-110pt;margin-top:11pt;width:651.75pt;height:20.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" fillcolor="#d8d8d8" stroked="f">
              <v:textbox inset="2.53958mm,2.53958mm,2.53958mm,2.53958mm">
                <w:txbxContent>
                  <w:p w:rsidR="007B4987" w:rsidRDefault="007B4987">
                    <w:pPr>
                      <w:spacing w:after="0" w:line="240" w:lineRule="auto"/>
                      <w:textDirection w:val="btLr"/>
                    </w:pPr>
                  </w:p>
                </w:txbxContent>
              </v:textbox>
            </v:rect>
          </w:pict>
        </mc:Fallback>
      </mc:AlternateContent>
    </w:r>
    <w:r>
      <w:rPr>
        <w:noProof/>
        <w:lang w:val="en-GB" w:bidi="ar-SA"/>
      </w:rPr>
      <mc:AlternateContent>
        <mc:Choice Requires="wps">
          <w:drawing>
            <wp:anchor distT="0" distB="0" distL="114300" distR="114300" simplePos="0" relativeHeight="251659264" behindDoc="0" locked="0" layoutInCell="1" hidden="0" allowOverlap="1">
              <wp:simplePos x="0" y="0"/>
              <wp:positionH relativeFrom="column">
                <wp:posOffset>-393699</wp:posOffset>
              </wp:positionH>
              <wp:positionV relativeFrom="paragraph">
                <wp:posOffset>-38099</wp:posOffset>
              </wp:positionV>
              <wp:extent cx="3590925" cy="291465"/>
              <wp:effectExtent l="0" t="0" r="0" b="0"/>
              <wp:wrapNone/>
              <wp:docPr id="18" name="Rectangle 18"/>
              <wp:cNvGraphicFramePr/>
              <a:graphic xmlns:a="http://schemas.openxmlformats.org/drawingml/2006/main">
                <a:graphicData uri="http://schemas.microsoft.com/office/word/2010/wordprocessingShape">
                  <wps:wsp>
                    <wps:cNvSpPr/>
                    <wps:spPr>
                      <a:xfrm>
                        <a:off x="3555300" y="3639030"/>
                        <a:ext cx="3581400" cy="281940"/>
                      </a:xfrm>
                      <a:prstGeom prst="rect">
                        <a:avLst/>
                      </a:prstGeom>
                      <a:noFill/>
                      <a:ln>
                        <a:noFill/>
                      </a:ln>
                    </wps:spPr>
                    <wps:txbx>
                      <w:txbxContent>
                        <w:p w:rsidR="007B4987" w:rsidRDefault="00451A51">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wps:txbx>
                    <wps:bodyPr spcFirstLastPara="1" wrap="square" lIns="91425" tIns="45700" rIns="91425" bIns="45700" anchor="ctr" anchorCtr="0">
                      <a:noAutofit/>
                    </wps:bodyPr>
                  </wps:wsp>
                </a:graphicData>
              </a:graphic>
            </wp:anchor>
          </w:drawing>
        </mc:Choice>
        <mc:Fallback>
          <w:pict>
            <v:rect id="Rectangle 18" o:spid="_x0000_s1027" style="position:absolute;left:0;text-align:left;margin-left:-31pt;margin-top:-3pt;width:282.75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" filled="f" stroked="f">
              <v:textbox inset="2.53958mm,1.2694mm,2.53958mm,1.2694mm">
                <w:txbxContent>
                  <w:p w:rsidR="007B4987" w:rsidRDefault="00451A51">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v:textbox>
            </v:rect>
          </w:pict>
        </mc:Fallback>
      </mc:AlternateContent>
    </w:r>
    <w:r>
      <w:rPr>
        <w:noProof/>
        <w:lang w:val="en-GB" w:bidi="ar-SA"/>
      </w:rPr>
      <w:drawing>
        <wp:anchor distT="0" distB="0" distL="114300" distR="114300" simplePos="0" relativeHeight="251660288" behindDoc="0" locked="0" layoutInCell="1" hidden="0" allowOverlap="1">
          <wp:simplePos x="0" y="0"/>
          <wp:positionH relativeFrom="column">
            <wp:posOffset>-43814</wp:posOffset>
          </wp:positionH>
          <wp:positionV relativeFrom="paragraph">
            <wp:posOffset>-276224</wp:posOffset>
          </wp:positionV>
          <wp:extent cx="877570" cy="308610"/>
          <wp:effectExtent l="0" t="0" r="0" b="0"/>
          <wp:wrapNone/>
          <wp:docPr id="19" name="image2.jpg" descr="E:\FileKu\JURNAL FH UNPATTI\Sinta 2.jpg"/>
          <wp:cNvGraphicFramePr/>
          <a:graphic xmlns:a="http://schemas.openxmlformats.org/drawingml/2006/main">
            <a:graphicData uri="http://schemas.openxmlformats.org/drawingml/2006/picture">
              <pic:pic xmlns:pic="http://schemas.openxmlformats.org/drawingml/2006/picture">
                <pic:nvPicPr>
                  <pic:cNvPr id="0" name="image2.jpg" descr="E:\FileKu\JURNAL FH UNPATTI\Sinta 2.jpg"/>
                  <pic:cNvPicPr preferRelativeResize="0"/>
                </pic:nvPicPr>
                <pic:blipFill>
                  <a:blip r:embed="rId1"/>
                  <a:srcRect/>
                  <a:stretch>
                    <a:fillRect/>
                  </a:stretch>
                </pic:blipFill>
                <pic:spPr>
                  <a:xfrm>
                    <a:off x="0" y="0"/>
                    <a:ext cx="877570" cy="308610"/>
                  </a:xfrm>
                  <a:prstGeom prst="rect">
                    <a:avLst/>
                  </a:prstGeom>
                  <a:ln/>
                </pic:spPr>
              </pic:pic>
            </a:graphicData>
          </a:graphic>
        </wp:anchor>
      </w:drawing>
    </w:r>
  </w:p>
  <w:p w:rsidR="007B4987" w:rsidRDefault="00451A51">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Volume … Issue …, XXXX</w:t>
    </w:r>
  </w:p>
  <w:p w:rsidR="007B4987" w:rsidRDefault="00451A51">
    <w:pPr>
      <w:pBdr>
        <w:top w:val="nil"/>
        <w:left w:val="nil"/>
        <w:bottom w:val="nil"/>
        <w:right w:val="nil"/>
        <w:between w:val="nil"/>
      </w:pBdr>
      <w:tabs>
        <w:tab w:val="center" w:pos="4680"/>
        <w:tab w:val="right" w:pos="9360"/>
      </w:tabs>
      <w:spacing w:after="0" w:line="240" w:lineRule="auto"/>
      <w:jc w:val="right"/>
      <w:rPr>
        <w:color w:val="000000"/>
        <w:sz w:val="20"/>
        <w:szCs w:val="20"/>
      </w:rPr>
    </w:pPr>
    <w:r>
      <w:rPr>
        <w:rFonts w:ascii="Book Antiqua" w:eastAsia="Book Antiqua" w:hAnsi="Book Antiqua" w:cs="Book Antiqua"/>
        <w:color w:val="000000"/>
        <w:sz w:val="20"/>
        <w:szCs w:val="20"/>
      </w:rPr>
      <w:t>P-ISSN: 1693-0061, E-ISSN: 2614-2961</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absolute;mso-position-horizontal-relative:margin;mso-position-vertical:absolute;mso-position-vertical-relative:text;mso-width-relative:page;mso-height-relative:page">
          <v:imagedata r:id="rId2" o:title="1200px-DOI_logo"/>
          <w10:wrap anchorx="margin"/>
        </v:shape>
      </w:pict>
    </w:r>
  </w:p>
  <w:p w:rsidR="007B4987" w:rsidRDefault="00451A51">
    <w:pPr>
      <w:spacing w:after="20"/>
      <w:jc w:val="right"/>
      <w:rPr>
        <w:rFonts w:ascii="Book Antiqua" w:eastAsia="Book Antiqua" w:hAnsi="Book Antiqua" w:cs="Book Antiqua"/>
        <w:color w:val="2F5496"/>
        <w:sz w:val="18"/>
        <w:szCs w:val="18"/>
      </w:rPr>
    </w:pPr>
    <w:r>
      <w:rPr>
        <w:rFonts w:ascii="Book Antiqua" w:eastAsia="Book Antiqua" w:hAnsi="Book Antiqua" w:cs="Book Antiqua"/>
        <w:color w:val="2F5496"/>
        <w:sz w:val="18"/>
        <w:szCs w:val="18"/>
      </w:rPr>
      <w:t xml:space="preserve">: </w:t>
    </w:r>
    <w:hyperlink r:id="rId3">
      <w:r>
        <w:rPr>
          <w:rFonts w:ascii="Book Antiqua" w:eastAsia="Book Antiqua" w:hAnsi="Book Antiqua" w:cs="Book Antiqua"/>
          <w:color w:val="2F5496"/>
          <w:sz w:val="18"/>
          <w:szCs w:val="18"/>
        </w:rPr>
        <w:t>10.47268/sasi.</w:t>
      </w:r>
    </w:hyperlink>
    <w:r>
      <w:rPr>
        <w:rFonts w:ascii="Book Antiqua" w:eastAsia="Book Antiqua" w:hAnsi="Book Antiqua" w:cs="Book Antiqua"/>
        <w:color w:val="2F5496"/>
        <w:sz w:val="18"/>
        <w:szCs w:val="18"/>
      </w:rPr>
      <w:t>vXXXX.XXXX</w:t>
    </w:r>
    <w:r>
      <w:rPr>
        <w:rFonts w:ascii="Book Antiqua" w:eastAsia="Book Antiqua" w:hAnsi="Book Antiqua" w:cs="Book Antiqua"/>
        <w:color w:val="2F5496"/>
        <w:sz w:val="18"/>
        <w:szCs w:val="18"/>
      </w:rPr>
      <w:t xml:space="preserve"> </w:t>
    </w:r>
    <w:r>
      <w:rPr>
        <w:noProof/>
        <w:lang w:val="en-GB" w:bidi="ar-SA"/>
      </w:rPr>
      <w:drawing>
        <wp:anchor distT="0" distB="0" distL="114300" distR="114300" simplePos="0" relativeHeight="251673600" behindDoc="0" locked="0" layoutInCell="1" hidden="0" allowOverlap="1">
          <wp:simplePos x="0" y="0"/>
          <wp:positionH relativeFrom="column">
            <wp:posOffset>5686425</wp:posOffset>
          </wp:positionH>
          <wp:positionV relativeFrom="paragraph">
            <wp:posOffset>159385</wp:posOffset>
          </wp:positionV>
          <wp:extent cx="424180" cy="211455"/>
          <wp:effectExtent l="0" t="0" r="0" b="0"/>
          <wp:wrapNone/>
          <wp:docPr id="20" name="image4.png" descr="E:\FileKu\Jurnal SASI\Logo Lisensi SASI.png"/>
          <wp:cNvGraphicFramePr/>
          <a:graphic xmlns:a="http://schemas.openxmlformats.org/drawingml/2006/main">
            <a:graphicData uri="http://schemas.openxmlformats.org/drawingml/2006/picture">
              <pic:pic xmlns:pic="http://schemas.openxmlformats.org/drawingml/2006/picture">
                <pic:nvPicPr>
                  <pic:cNvPr id="0" name="image4.png" descr="E:\FileKu\Jurnal SASI\Logo Lisensi SASI.png"/>
                  <pic:cNvPicPr preferRelativeResize="0"/>
                </pic:nvPicPr>
                <pic:blipFill>
                  <a:blip r:embed="rId4"/>
                  <a:srcRect/>
                  <a:stretch>
                    <a:fillRect/>
                  </a:stretch>
                </pic:blipFill>
                <pic:spPr>
                  <a:xfrm>
                    <a:off x="0" y="0"/>
                    <a:ext cx="424180" cy="211455"/>
                  </a:xfrm>
                  <a:prstGeom prst="rect">
                    <a:avLst/>
                  </a:prstGeom>
                  <a:ln/>
                </pic:spPr>
              </pic:pic>
            </a:graphicData>
          </a:graphic>
        </wp:anchor>
      </w:drawing>
    </w:r>
  </w:p>
  <w:p w:rsidR="007B4987" w:rsidRDefault="00451A51">
    <w:pPr>
      <w:spacing w:after="20"/>
      <w:ind w:right="707"/>
      <w:jc w:val="right"/>
      <w:rPr>
        <w:rFonts w:ascii="Book Antiqua" w:eastAsia="Book Antiqua" w:hAnsi="Book Antiqua" w:cs="Book Antiqua"/>
        <w:color w:val="2F5496"/>
        <w:sz w:val="18"/>
        <w:szCs w:val="18"/>
      </w:rPr>
    </w:pPr>
    <w:hyperlink r:id="rId5">
      <w:r>
        <w:rPr>
          <w:rFonts w:ascii="Book Antiqua" w:eastAsia="Book Antiqua" w:hAnsi="Book Antiqua" w:cs="Book Antiqua"/>
          <w:color w:val="2F5496"/>
          <w:sz w:val="18"/>
          <w:szCs w:val="18"/>
        </w:rPr>
        <w:t>Lisensi Creative Commons Atribusi-NonCommercial 4.0 Internasional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76C57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07D36586"/>
    <w:lvl w:ilvl="0">
      <w:start w:val="1"/>
      <w:numFmt w:val="upperLetter"/>
      <w:lvlText w:val="%1."/>
      <w:lvlJc w:val="left"/>
      <w:pPr>
        <w:ind w:left="3905" w:hanging="360"/>
      </w:pPr>
      <w:rPr>
        <w:rFonts w:hint="default"/>
      </w:r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2">
    <w:nsid w:val="15AB7B61"/>
    <w:multiLevelType w:val="multilevel"/>
    <w:tmpl w:val="111A7322"/>
    <w:lvl w:ilvl="0">
      <w:start w:val="1"/>
      <w:numFmt w:val="decimal"/>
      <w:lvlText w:val="%1."/>
      <w:lvlJc w:val="left"/>
      <w:pPr>
        <w:ind w:left="720" w:hanging="360"/>
      </w:pPr>
      <w:rPr>
        <w:color w:val="2F5496"/>
        <w:sz w:val="24"/>
        <w:szCs w:val="24"/>
      </w:rPr>
    </w:lvl>
    <w:lvl w:ilvl="1">
      <w:start w:val="1"/>
      <w:numFmt w:val="decimal"/>
      <w:lvlText w:val="%1.%2"/>
      <w:lvlJc w:val="left"/>
      <w:pPr>
        <w:ind w:left="720" w:hanging="360"/>
      </w:pPr>
      <w:rPr>
        <w:b w:val="0"/>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3">
    <w:nsid w:val="211E2B50"/>
    <w:multiLevelType w:val="multilevel"/>
    <w:tmpl w:val="342D7133"/>
    <w:lvl w:ilvl="0">
      <w:start w:val="1"/>
      <w:numFmt w:val="lowerLetter"/>
      <w:lvlText w:val="%1."/>
      <w:lvlJc w:val="left"/>
      <w:pPr>
        <w:ind w:left="3231" w:hanging="360"/>
      </w:pPr>
    </w:lvl>
    <w:lvl w:ilvl="1">
      <w:start w:val="1"/>
      <w:numFmt w:val="lowerLetter"/>
      <w:lvlText w:val="%2."/>
      <w:lvlJc w:val="left"/>
      <w:pPr>
        <w:ind w:left="3951" w:hanging="360"/>
      </w:pPr>
    </w:lvl>
    <w:lvl w:ilvl="2">
      <w:start w:val="1"/>
      <w:numFmt w:val="lowerRoman"/>
      <w:lvlText w:val="%3."/>
      <w:lvlJc w:val="right"/>
      <w:pPr>
        <w:ind w:left="4671" w:hanging="180"/>
      </w:pPr>
    </w:lvl>
    <w:lvl w:ilvl="3">
      <w:start w:val="1"/>
      <w:numFmt w:val="decimal"/>
      <w:lvlText w:val="%4."/>
      <w:lvlJc w:val="left"/>
      <w:pPr>
        <w:ind w:left="5391" w:hanging="360"/>
      </w:pPr>
    </w:lvl>
    <w:lvl w:ilvl="4">
      <w:start w:val="1"/>
      <w:numFmt w:val="lowerLetter"/>
      <w:lvlText w:val="%5."/>
      <w:lvlJc w:val="left"/>
      <w:pPr>
        <w:ind w:left="6111" w:hanging="360"/>
      </w:pPr>
    </w:lvl>
    <w:lvl w:ilvl="5">
      <w:start w:val="1"/>
      <w:numFmt w:val="lowerRoman"/>
      <w:lvlText w:val="%6."/>
      <w:lvlJc w:val="right"/>
      <w:pPr>
        <w:ind w:left="6831" w:hanging="180"/>
      </w:pPr>
    </w:lvl>
    <w:lvl w:ilvl="6">
      <w:start w:val="1"/>
      <w:numFmt w:val="decimal"/>
      <w:lvlText w:val="%7."/>
      <w:lvlJc w:val="left"/>
      <w:pPr>
        <w:ind w:left="7551" w:hanging="360"/>
      </w:pPr>
    </w:lvl>
    <w:lvl w:ilvl="7">
      <w:start w:val="1"/>
      <w:numFmt w:val="lowerLetter"/>
      <w:lvlText w:val="%8."/>
      <w:lvlJc w:val="left"/>
      <w:pPr>
        <w:ind w:left="8271" w:hanging="360"/>
      </w:pPr>
    </w:lvl>
    <w:lvl w:ilvl="8">
      <w:start w:val="1"/>
      <w:numFmt w:val="lowerRoman"/>
      <w:lvlText w:val="%9."/>
      <w:lvlJc w:val="right"/>
      <w:pPr>
        <w:ind w:left="8991" w:hanging="180"/>
      </w:pPr>
    </w:lvl>
  </w:abstractNum>
  <w:abstractNum w:abstractNumId="4">
    <w:nsid w:val="4B2E79B2"/>
    <w:multiLevelType w:val="multilevel"/>
    <w:tmpl w:val="FE7C6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evenAndOddHeaders/>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87"/>
    <w:rsid w:val="00305ECC"/>
    <w:rsid w:val="003C7C13"/>
    <w:rsid w:val="00451A51"/>
    <w:rsid w:val="007B4987"/>
    <w:rsid w:val="00917CF6"/>
    <w:rsid w:val="00B04FF6"/>
    <w:rsid w:val="00EE6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99D7C7-440E-43CD-BE16-B2555294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C4D"/>
    <w:rPr>
      <w:szCs w:val="28"/>
      <w:lang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305ECC"/>
    <w:rPr>
      <w:szCs w:val="28"/>
      <w:lang w:bidi="bn-IN"/>
    </w:rPr>
  </w:style>
  <w:style w:type="character" w:customStyle="1" w:styleId="markedcontent">
    <w:name w:val="markedcontent"/>
    <w:basedOn w:val="DefaultParagraphFont"/>
    <w:rsid w:val="0030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hlabetubun@gmail.com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s154@ums.ac.id" TargetMode="External"/><Relationship Id="rId5" Type="http://schemas.openxmlformats.org/officeDocument/2006/relationships/webSettings" Target="webSettings.xml"/><Relationship Id="rId15" Type="http://schemas.openxmlformats.org/officeDocument/2006/relationships/hyperlink" Target="mailto:kw268@ums.ac.id" TargetMode="External"/><Relationship Id="rId10" Type="http://schemas.openxmlformats.org/officeDocument/2006/relationships/hyperlink" Target="mailto:selfikuahaty@gmail.com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tosubiyanto@gmail.com" TargetMode="External"/><Relationship Id="rId14" Type="http://schemas.openxmlformats.org/officeDocument/2006/relationships/hyperlink" Target="mailto:kd255@ums.ac.id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21143/jhp.vol40.no2.219" TargetMode="External"/><Relationship Id="rId2" Type="http://schemas.openxmlformats.org/officeDocument/2006/relationships/hyperlink" Target="http://dx.doi.org/10.4108/eai.8-12-2018.2283961" TargetMode="External"/><Relationship Id="rId1" Type="http://schemas.openxmlformats.org/officeDocument/2006/relationships/hyperlink" Target="http://dx.doi.org/10.14421/ajish.2011.45.2.%25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7wOm/6QE1QJftQYT1nUqEjHTEg==">AMUW2mXMiGfL4Eb+u9e8Ti2D7bF0DW8xyefFKkWX6pdwNs0QRiXUs1xbBlbhb6m7ZyziRXX+dDBWs316sIaF8MM8mxhP4XkWxW5MyPogVqpRWeCg9K8s+plyTEAtOMkYw5hZmBDGmaPYJgmGCkVi/8q9BgvkVUnNDQ==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4573</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2</cp:revision>
  <dcterms:created xsi:type="dcterms:W3CDTF">2022-10-30T06:29:00Z</dcterms:created>
  <dcterms:modified xsi:type="dcterms:W3CDTF">2022-10-30T06:29:00Z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