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CF3"/>
  <w:body>
    <w:p w:rsidR="004B1F20" w:rsidRDefault="004B1F20" w:rsidP="00A26219">
      <w:pPr>
        <w:pStyle w:val="Heading3"/>
        <w:spacing w:before="0" w:line="240" w:lineRule="auto"/>
        <w:jc w:val="both"/>
        <w:rPr>
          <w:rStyle w:val="Heading1Char"/>
          <w:rFonts w:asciiTheme="majorHAnsi" w:hAnsiTheme="majorHAnsi" w:cstheme="majorHAnsi"/>
          <w:b/>
          <w:sz w:val="36"/>
          <w:lang w:val="id-ID"/>
        </w:rPr>
      </w:pPr>
      <w:bookmarkStart w:id="0" w:name="_Toc292564709"/>
      <w:bookmarkStart w:id="1" w:name="_Toc1"/>
    </w:p>
    <w:p w:rsidR="00AF20D0" w:rsidRPr="00AF20D0" w:rsidRDefault="00FB5B30" w:rsidP="00A26219">
      <w:pPr>
        <w:pStyle w:val="ListParagraph"/>
        <w:spacing w:after="120" w:line="240" w:lineRule="auto"/>
        <w:ind w:left="0"/>
        <w:contextualSpacing w:val="0"/>
        <w:rPr>
          <w:rFonts w:ascii="Book Antiqua" w:hAnsi="Book Antiqua" w:cs="Calibri"/>
          <w:b/>
          <w:iCs/>
          <w:color w:val="000000" w:themeColor="text1"/>
          <w:sz w:val="28"/>
        </w:rPr>
      </w:pPr>
      <w:r>
        <w:rPr>
          <w:rFonts w:ascii="Book Antiqua" w:hAnsi="Book Antiqua" w:cs="Calibri"/>
          <w:b/>
          <w:iCs/>
          <w:color w:val="000000" w:themeColor="text1"/>
          <w:sz w:val="32"/>
        </w:rPr>
        <w:t>Legal Certainty i</w:t>
      </w:r>
      <w:r w:rsidR="00E34A60" w:rsidRPr="00E34A60">
        <w:rPr>
          <w:rFonts w:ascii="Book Antiqua" w:hAnsi="Book Antiqua" w:cs="Calibri"/>
          <w:b/>
          <w:iCs/>
          <w:color w:val="000000" w:themeColor="text1"/>
          <w:sz w:val="32"/>
        </w:rPr>
        <w:t xml:space="preserve">n Customary Jurisdictions (Case Study </w:t>
      </w:r>
      <w:proofErr w:type="gramStart"/>
      <w:r w:rsidR="00E34A60" w:rsidRPr="00E34A60">
        <w:rPr>
          <w:rFonts w:ascii="Book Antiqua" w:hAnsi="Book Antiqua" w:cs="Calibri"/>
          <w:b/>
          <w:iCs/>
          <w:color w:val="000000" w:themeColor="text1"/>
          <w:sz w:val="32"/>
        </w:rPr>
        <w:t>In</w:t>
      </w:r>
      <w:proofErr w:type="gramEnd"/>
      <w:r w:rsidR="00E34A60" w:rsidRPr="00E34A60">
        <w:rPr>
          <w:rFonts w:ascii="Book Antiqua" w:hAnsi="Book Antiqua" w:cs="Calibri"/>
          <w:b/>
          <w:iCs/>
          <w:color w:val="000000" w:themeColor="text1"/>
          <w:sz w:val="32"/>
        </w:rPr>
        <w:t xml:space="preserve"> </w:t>
      </w:r>
      <w:proofErr w:type="spellStart"/>
      <w:r w:rsidR="00E34A60" w:rsidRPr="00E34A60">
        <w:rPr>
          <w:rFonts w:ascii="Book Antiqua" w:hAnsi="Book Antiqua" w:cs="Calibri"/>
          <w:b/>
          <w:iCs/>
          <w:color w:val="000000" w:themeColor="text1"/>
          <w:sz w:val="32"/>
        </w:rPr>
        <w:t>Muara</w:t>
      </w:r>
      <w:proofErr w:type="spellEnd"/>
      <w:r w:rsidR="00E34A60" w:rsidRPr="00E34A60">
        <w:rPr>
          <w:rFonts w:ascii="Book Antiqua" w:hAnsi="Book Antiqua" w:cs="Calibri"/>
          <w:b/>
          <w:iCs/>
          <w:color w:val="000000" w:themeColor="text1"/>
          <w:sz w:val="32"/>
        </w:rPr>
        <w:t xml:space="preserve"> </w:t>
      </w:r>
      <w:proofErr w:type="spellStart"/>
      <w:r w:rsidR="00E34A60" w:rsidRPr="00E34A60">
        <w:rPr>
          <w:rFonts w:ascii="Book Antiqua" w:hAnsi="Book Antiqua" w:cs="Calibri"/>
          <w:b/>
          <w:iCs/>
          <w:color w:val="000000" w:themeColor="text1"/>
          <w:sz w:val="32"/>
        </w:rPr>
        <w:t>Batu</w:t>
      </w:r>
      <w:proofErr w:type="spellEnd"/>
      <w:r w:rsidR="00E34A60" w:rsidRPr="00E34A60">
        <w:rPr>
          <w:rFonts w:ascii="Book Antiqua" w:hAnsi="Book Antiqua" w:cs="Calibri"/>
          <w:b/>
          <w:iCs/>
          <w:color w:val="000000" w:themeColor="text1"/>
          <w:sz w:val="32"/>
        </w:rPr>
        <w:t xml:space="preserve"> District, North Aceh)</w:t>
      </w:r>
    </w:p>
    <w:p w:rsidR="00AF20D0" w:rsidRDefault="00AF20D0" w:rsidP="00A26219">
      <w:pPr>
        <w:pStyle w:val="ListParagraph"/>
        <w:spacing w:after="120" w:line="240" w:lineRule="auto"/>
        <w:ind w:left="0"/>
        <w:contextualSpacing w:val="0"/>
        <w:rPr>
          <w:rFonts w:ascii="Book Antiqua" w:hAnsi="Book Antiqua" w:cs="Calibri"/>
          <w:b/>
          <w:iCs/>
          <w:color w:val="000000" w:themeColor="text1"/>
          <w:sz w:val="28"/>
        </w:rPr>
      </w:pPr>
    </w:p>
    <w:p w:rsidR="004B1F20" w:rsidRPr="00E873C0" w:rsidRDefault="00E34A60" w:rsidP="00A26219">
      <w:pPr>
        <w:spacing w:after="120" w:line="240" w:lineRule="auto"/>
        <w:rPr>
          <w:rFonts w:ascii="Book Antiqua" w:hAnsi="Book Antiqua"/>
          <w:b/>
          <w:bCs/>
          <w:sz w:val="24"/>
          <w:szCs w:val="24"/>
          <w:vertAlign w:val="superscript"/>
        </w:rPr>
      </w:pPr>
      <w:proofErr w:type="spellStart"/>
      <w:r w:rsidRPr="00E34A60">
        <w:rPr>
          <w:rFonts w:ascii="Book Antiqua" w:hAnsi="Book Antiqua"/>
          <w:b/>
          <w:bCs/>
          <w:sz w:val="24"/>
          <w:szCs w:val="24"/>
        </w:rPr>
        <w:t>Teuku</w:t>
      </w:r>
      <w:proofErr w:type="spellEnd"/>
      <w:r w:rsidRPr="00E34A60">
        <w:rPr>
          <w:rFonts w:ascii="Book Antiqua" w:hAnsi="Book Antiqua"/>
          <w:b/>
          <w:bCs/>
          <w:sz w:val="24"/>
          <w:szCs w:val="24"/>
        </w:rPr>
        <w:t xml:space="preserve"> </w:t>
      </w:r>
      <w:proofErr w:type="spellStart"/>
      <w:r w:rsidRPr="00E34A60">
        <w:rPr>
          <w:rFonts w:ascii="Book Antiqua" w:hAnsi="Book Antiqua"/>
          <w:b/>
          <w:bCs/>
          <w:sz w:val="24"/>
          <w:szCs w:val="24"/>
        </w:rPr>
        <w:t>Yudi</w:t>
      </w:r>
      <w:proofErr w:type="spellEnd"/>
      <w:r w:rsidRPr="00E34A60">
        <w:rPr>
          <w:rFonts w:ascii="Book Antiqua" w:hAnsi="Book Antiqua"/>
          <w:b/>
          <w:bCs/>
          <w:sz w:val="24"/>
          <w:szCs w:val="24"/>
        </w:rPr>
        <w:t xml:space="preserve"> Afrizal</w:t>
      </w:r>
      <w:r w:rsidR="004B1F20" w:rsidRPr="009001C8">
        <w:rPr>
          <w:rFonts w:ascii="Book Antiqua" w:hAnsi="Book Antiqua"/>
          <w:bCs/>
          <w:sz w:val="24"/>
          <w:szCs w:val="24"/>
          <w:vertAlign w:val="superscript"/>
        </w:rPr>
        <w:t>1</w:t>
      </w:r>
      <w:r w:rsidR="004B1F20" w:rsidRPr="00AF20D0">
        <w:rPr>
          <w:rFonts w:ascii="Book Antiqua" w:hAnsi="Book Antiqua"/>
          <w:b/>
          <w:bCs/>
          <w:sz w:val="24"/>
          <w:szCs w:val="24"/>
        </w:rPr>
        <w:t xml:space="preserve">, </w:t>
      </w:r>
      <w:r>
        <w:rPr>
          <w:rFonts w:ascii="Book Antiqua" w:hAnsi="Book Antiqua"/>
          <w:b/>
          <w:bCs/>
          <w:sz w:val="24"/>
          <w:szCs w:val="24"/>
        </w:rPr>
        <w:t>T. Saifullah</w:t>
      </w:r>
      <w:r w:rsidR="004B1F20" w:rsidRPr="00AF20D0">
        <w:rPr>
          <w:rFonts w:ascii="Book Antiqua" w:hAnsi="Book Antiqua"/>
          <w:b/>
          <w:bCs/>
          <w:sz w:val="24"/>
          <w:szCs w:val="24"/>
          <w:vertAlign w:val="superscript"/>
        </w:rPr>
        <w:t>2</w:t>
      </w:r>
      <w:r w:rsidR="009B07E0" w:rsidRPr="00AF20D0">
        <w:rPr>
          <w:rFonts w:ascii="Book Antiqua" w:hAnsi="Book Antiqua"/>
          <w:b/>
          <w:bCs/>
          <w:sz w:val="24"/>
          <w:szCs w:val="24"/>
          <w:vertAlign w:val="superscript"/>
        </w:rPr>
        <w:t>*</w:t>
      </w:r>
    </w:p>
    <w:p w:rsidR="004B1F20" w:rsidRPr="00BD6EB6" w:rsidRDefault="004B1F20" w:rsidP="00A26219">
      <w:pPr>
        <w:spacing w:after="120" w:line="240" w:lineRule="auto"/>
        <w:rPr>
          <w:rFonts w:ascii="Book Antiqua" w:hAnsi="Book Antiqua"/>
          <w:b/>
          <w:bCs/>
          <w:szCs w:val="22"/>
          <w:lang w:val="es-CO"/>
        </w:rPr>
      </w:pPr>
    </w:p>
    <w:p w:rsidR="004B1F20" w:rsidRDefault="00446AFC" w:rsidP="00A26219">
      <w:pPr>
        <w:spacing w:after="120" w:line="240" w:lineRule="auto"/>
        <w:rPr>
          <w:rFonts w:ascii="Book Antiqua" w:hAnsi="Book Antiqua"/>
          <w:bCs/>
          <w:szCs w:val="24"/>
        </w:rPr>
      </w:pPr>
      <w:r w:rsidRPr="001D6CFF">
        <w:rPr>
          <w:bCs/>
          <w:i/>
          <w:iCs/>
          <w:noProof/>
          <w:color w:val="000000" w:themeColor="text1"/>
          <w:lang w:bidi="ar-SA"/>
        </w:rPr>
        <w:drawing>
          <wp:anchor distT="0" distB="0" distL="114300" distR="114300" simplePos="0" relativeHeight="251660288" behindDoc="1" locked="0" layoutInCell="1" allowOverlap="1" wp14:anchorId="20885775" wp14:editId="298FF241">
            <wp:simplePos x="0" y="0"/>
            <wp:positionH relativeFrom="margin">
              <wp:posOffset>5722620</wp:posOffset>
            </wp:positionH>
            <wp:positionV relativeFrom="paragraph">
              <wp:posOffset>67310</wp:posOffset>
            </wp:positionV>
            <wp:extent cx="426720" cy="445770"/>
            <wp:effectExtent l="0" t="0" r="0" b="0"/>
            <wp:wrapNone/>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720" cy="445770"/>
                    </a:xfrm>
                    <a:prstGeom prst="rect">
                      <a:avLst/>
                    </a:prstGeom>
                  </pic:spPr>
                </pic:pic>
              </a:graphicData>
            </a:graphic>
            <wp14:sizeRelH relativeFrom="page">
              <wp14:pctWidth>0</wp14:pctWidth>
            </wp14:sizeRelH>
            <wp14:sizeRelV relativeFrom="page">
              <wp14:pctHeight>0</wp14:pctHeight>
            </wp14:sizeRelV>
          </wp:anchor>
        </w:drawing>
      </w:r>
      <w:r w:rsidR="0006198D">
        <w:rPr>
          <w:rFonts w:ascii="Book Antiqua" w:hAnsi="Book Antiqua"/>
          <w:bCs/>
          <w:szCs w:val="24"/>
          <w:vertAlign w:val="superscript"/>
        </w:rPr>
        <w:t>1</w:t>
      </w:r>
      <w:r w:rsidR="004B1F20" w:rsidRPr="00F14211">
        <w:rPr>
          <w:rFonts w:ascii="Book Antiqua" w:hAnsi="Book Antiqua"/>
          <w:bCs/>
          <w:szCs w:val="24"/>
          <w:vertAlign w:val="superscript"/>
        </w:rPr>
        <w:t xml:space="preserve"> </w:t>
      </w:r>
      <w:r w:rsidR="00E34A60" w:rsidRPr="00E34A60">
        <w:rPr>
          <w:rFonts w:ascii="Book Antiqua" w:hAnsi="Book Antiqua"/>
          <w:bCs/>
          <w:szCs w:val="24"/>
        </w:rPr>
        <w:t xml:space="preserve">Faculty </w:t>
      </w:r>
      <w:proofErr w:type="gramStart"/>
      <w:r w:rsidR="00E34A60" w:rsidRPr="00E34A60">
        <w:rPr>
          <w:rFonts w:ascii="Book Antiqua" w:hAnsi="Book Antiqua"/>
          <w:bCs/>
          <w:szCs w:val="24"/>
        </w:rPr>
        <w:t xml:space="preserve">of  </w:t>
      </w:r>
      <w:r w:rsidR="002B2792">
        <w:rPr>
          <w:rFonts w:ascii="Book Antiqua" w:hAnsi="Book Antiqua"/>
          <w:bCs/>
          <w:szCs w:val="24"/>
        </w:rPr>
        <w:t>Law</w:t>
      </w:r>
      <w:proofErr w:type="gramEnd"/>
      <w:r w:rsidR="00E34A60" w:rsidRPr="00E34A60">
        <w:rPr>
          <w:rFonts w:ascii="Book Antiqua" w:hAnsi="Book Antiqua"/>
          <w:bCs/>
          <w:szCs w:val="24"/>
        </w:rPr>
        <w:t xml:space="preserve">, </w:t>
      </w:r>
      <w:proofErr w:type="spellStart"/>
      <w:r w:rsidR="00E34A60" w:rsidRPr="00E34A60">
        <w:rPr>
          <w:rFonts w:ascii="Book Antiqua" w:hAnsi="Book Antiqua"/>
          <w:bCs/>
          <w:szCs w:val="24"/>
        </w:rPr>
        <w:t>Universitas</w:t>
      </w:r>
      <w:proofErr w:type="spellEnd"/>
      <w:r w:rsidR="00E34A60" w:rsidRPr="00E34A60">
        <w:rPr>
          <w:rFonts w:ascii="Book Antiqua" w:hAnsi="Book Antiqua"/>
          <w:bCs/>
          <w:szCs w:val="24"/>
        </w:rPr>
        <w:t xml:space="preserve"> </w:t>
      </w:r>
      <w:proofErr w:type="spellStart"/>
      <w:r w:rsidR="00E34A60" w:rsidRPr="00E34A60">
        <w:rPr>
          <w:rFonts w:ascii="Book Antiqua" w:hAnsi="Book Antiqua"/>
          <w:bCs/>
          <w:szCs w:val="24"/>
        </w:rPr>
        <w:t>Malikussaleh</w:t>
      </w:r>
      <w:proofErr w:type="spellEnd"/>
      <w:r w:rsidR="00E34A60" w:rsidRPr="00E34A60">
        <w:rPr>
          <w:rFonts w:ascii="Book Antiqua" w:hAnsi="Book Antiqua"/>
          <w:bCs/>
          <w:szCs w:val="24"/>
        </w:rPr>
        <w:t xml:space="preserve">, </w:t>
      </w:r>
      <w:proofErr w:type="spellStart"/>
      <w:r w:rsidR="00E34A60" w:rsidRPr="00E34A60">
        <w:rPr>
          <w:rFonts w:ascii="Book Antiqua" w:hAnsi="Book Antiqua"/>
          <w:bCs/>
          <w:szCs w:val="24"/>
        </w:rPr>
        <w:t>Lhokseumawe</w:t>
      </w:r>
      <w:proofErr w:type="spellEnd"/>
      <w:r w:rsidR="00E34A60" w:rsidRPr="00E34A60">
        <w:rPr>
          <w:rFonts w:ascii="Book Antiqua" w:hAnsi="Book Antiqua"/>
          <w:bCs/>
          <w:szCs w:val="24"/>
        </w:rPr>
        <w:t>, Aceh Province</w:t>
      </w:r>
      <w:r w:rsidR="004B1F20" w:rsidRPr="00F14211">
        <w:rPr>
          <w:rFonts w:ascii="Book Antiqua" w:hAnsi="Book Antiqua"/>
          <w:bCs/>
          <w:szCs w:val="24"/>
        </w:rPr>
        <w:t>.</w:t>
      </w:r>
    </w:p>
    <w:p w:rsidR="0006198D" w:rsidRPr="00912A35" w:rsidRDefault="0006198D" w:rsidP="00A26219">
      <w:pPr>
        <w:spacing w:after="120" w:line="240" w:lineRule="auto"/>
        <w:rPr>
          <w:rFonts w:ascii="Book Antiqua" w:hAnsi="Book Antiqua"/>
          <w:bCs/>
          <w:sz w:val="18"/>
          <w:szCs w:val="24"/>
        </w:rPr>
      </w:pPr>
      <w:r w:rsidRPr="00F14211">
        <w:rPr>
          <w:rFonts w:ascii="Book Antiqua" w:hAnsi="Book Antiqua"/>
          <w:bCs/>
          <w:szCs w:val="24"/>
          <w:vertAlign w:val="superscript"/>
        </w:rPr>
        <w:t xml:space="preserve">2 </w:t>
      </w:r>
      <w:r w:rsidR="008D798C" w:rsidRPr="008D798C">
        <w:rPr>
          <w:rFonts w:ascii="Book Antiqua" w:hAnsi="Book Antiqua"/>
          <w:bCs/>
          <w:szCs w:val="24"/>
        </w:rPr>
        <w:t xml:space="preserve">Faculty </w:t>
      </w:r>
      <w:proofErr w:type="gramStart"/>
      <w:r w:rsidR="008D798C" w:rsidRPr="008D798C">
        <w:rPr>
          <w:rFonts w:ascii="Book Antiqua" w:hAnsi="Book Antiqua"/>
          <w:bCs/>
          <w:szCs w:val="24"/>
        </w:rPr>
        <w:t>of  Law</w:t>
      </w:r>
      <w:proofErr w:type="gramEnd"/>
      <w:r w:rsidR="008D798C" w:rsidRPr="008D798C">
        <w:rPr>
          <w:rFonts w:ascii="Book Antiqua" w:hAnsi="Book Antiqua"/>
          <w:bCs/>
          <w:szCs w:val="24"/>
        </w:rPr>
        <w:t xml:space="preserve">, </w:t>
      </w:r>
      <w:proofErr w:type="spellStart"/>
      <w:r w:rsidR="008D798C" w:rsidRPr="008D798C">
        <w:rPr>
          <w:rFonts w:ascii="Book Antiqua" w:hAnsi="Book Antiqua"/>
          <w:bCs/>
          <w:szCs w:val="24"/>
        </w:rPr>
        <w:t>Universitas</w:t>
      </w:r>
      <w:proofErr w:type="spellEnd"/>
      <w:r w:rsidR="008D798C" w:rsidRPr="008D798C">
        <w:rPr>
          <w:rFonts w:ascii="Book Antiqua" w:hAnsi="Book Antiqua"/>
          <w:bCs/>
          <w:szCs w:val="24"/>
        </w:rPr>
        <w:t xml:space="preserve"> </w:t>
      </w:r>
      <w:proofErr w:type="spellStart"/>
      <w:r w:rsidR="008D798C" w:rsidRPr="008D798C">
        <w:rPr>
          <w:rFonts w:ascii="Book Antiqua" w:hAnsi="Book Antiqua"/>
          <w:bCs/>
          <w:szCs w:val="24"/>
        </w:rPr>
        <w:t>Malikussaleh</w:t>
      </w:r>
      <w:proofErr w:type="spellEnd"/>
      <w:r w:rsidR="008D798C" w:rsidRPr="008D798C">
        <w:rPr>
          <w:rFonts w:ascii="Book Antiqua" w:hAnsi="Book Antiqua"/>
          <w:bCs/>
          <w:szCs w:val="24"/>
        </w:rPr>
        <w:t xml:space="preserve">, </w:t>
      </w:r>
      <w:proofErr w:type="spellStart"/>
      <w:r w:rsidR="008D798C" w:rsidRPr="008D798C">
        <w:rPr>
          <w:rFonts w:ascii="Book Antiqua" w:hAnsi="Book Antiqua"/>
          <w:bCs/>
          <w:szCs w:val="24"/>
        </w:rPr>
        <w:t>Lhokseumawe</w:t>
      </w:r>
      <w:proofErr w:type="spellEnd"/>
      <w:r w:rsidR="008D798C" w:rsidRPr="008D798C">
        <w:rPr>
          <w:rFonts w:ascii="Book Antiqua" w:hAnsi="Book Antiqua"/>
          <w:bCs/>
          <w:szCs w:val="24"/>
        </w:rPr>
        <w:t>, Aceh Province</w:t>
      </w:r>
      <w:r w:rsidRPr="00F14211">
        <w:rPr>
          <w:rFonts w:ascii="Book Antiqua" w:hAnsi="Book Antiqua"/>
          <w:bCs/>
          <w:szCs w:val="24"/>
        </w:rPr>
        <w:t>.</w:t>
      </w:r>
    </w:p>
    <w:p w:rsidR="009001C8" w:rsidRPr="00023DA6" w:rsidRDefault="004B1F20" w:rsidP="00A26219">
      <w:pPr>
        <w:spacing w:after="120" w:line="240" w:lineRule="auto"/>
        <w:rPr>
          <w:rStyle w:val="Hyperlink"/>
          <w:rFonts w:ascii="Book Antiqua" w:hAnsi="Book Antiqua"/>
          <w:bCs/>
          <w:color w:val="000000" w:themeColor="text1"/>
          <w:szCs w:val="24"/>
          <w:u w:val="none"/>
        </w:rPr>
      </w:pPr>
      <w:r>
        <w:rPr>
          <w:rFonts w:ascii="Book Antiqua" w:hAnsi="Book Antiqua"/>
          <w:bCs/>
          <w:sz w:val="18"/>
          <w:szCs w:val="24"/>
        </w:rPr>
        <w:t xml:space="preserve"> </w:t>
      </w:r>
      <w:r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124D7DC9" wp14:editId="41DF3726">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18"/>
          <w:szCs w:val="24"/>
        </w:rPr>
        <w:t xml:space="preserve">       </w:t>
      </w:r>
      <w:r w:rsidRPr="00F14211">
        <w:rPr>
          <w:rFonts w:ascii="Book Antiqua" w:hAnsi="Book Antiqua"/>
          <w:bCs/>
          <w:szCs w:val="24"/>
        </w:rPr>
        <w:t>:</w:t>
      </w:r>
      <w:r w:rsidRPr="00F14211">
        <w:rPr>
          <w:rFonts w:ascii="Book Antiqua" w:hAnsi="Book Antiqua"/>
          <w:bCs/>
          <w:szCs w:val="24"/>
          <w:vertAlign w:val="superscript"/>
        </w:rPr>
        <w:t xml:space="preserve"> </w:t>
      </w:r>
      <w:r w:rsidR="00E34A60">
        <w:rPr>
          <w:rStyle w:val="Hyperlink"/>
          <w:rFonts w:ascii="Book Antiqua" w:hAnsi="Book Antiqua"/>
          <w:color w:val="000000" w:themeColor="text1"/>
          <w:sz w:val="20"/>
          <w:u w:val="none"/>
        </w:rPr>
        <w:t>tsaifullah</w:t>
      </w:r>
      <w:r w:rsidR="008D798C" w:rsidRPr="008D798C">
        <w:rPr>
          <w:rStyle w:val="Hyperlink"/>
          <w:rFonts w:ascii="Book Antiqua" w:hAnsi="Book Antiqua"/>
          <w:color w:val="000000" w:themeColor="text1"/>
          <w:sz w:val="20"/>
          <w:u w:val="none"/>
        </w:rPr>
        <w:t>@unimal.ac.id</w:t>
      </w:r>
    </w:p>
    <w:p w:rsidR="00023DA6" w:rsidRPr="00023DA6" w:rsidRDefault="00023DA6" w:rsidP="00A26219">
      <w:pPr>
        <w:spacing w:after="12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sidRPr="00023DA6">
        <w:rPr>
          <w:rFonts w:ascii="Book Antiqua" w:hAnsi="Book Antiqua"/>
          <w:bCs/>
          <w:sz w:val="20"/>
          <w:szCs w:val="24"/>
          <w:vertAlign w:val="superscript"/>
        </w:rPr>
        <w:t>*</w:t>
      </w:r>
    </w:p>
    <w:tbl>
      <w:tblPr>
        <w:tblW w:w="9639" w:type="dxa"/>
        <w:tblInd w:w="108" w:type="dxa"/>
        <w:tblLayout w:type="fixed"/>
        <w:tblLook w:val="04A0" w:firstRow="1" w:lastRow="0" w:firstColumn="1" w:lastColumn="0" w:noHBand="0" w:noVBand="1"/>
      </w:tblPr>
      <w:tblGrid>
        <w:gridCol w:w="2586"/>
        <w:gridCol w:w="96"/>
        <w:gridCol w:w="338"/>
        <w:gridCol w:w="2401"/>
        <w:gridCol w:w="4218"/>
      </w:tblGrid>
      <w:tr w:rsidR="004B1F20" w:rsidRPr="00123036" w:rsidTr="001868DE">
        <w:tc>
          <w:tcPr>
            <w:tcW w:w="2586" w:type="dxa"/>
            <w:tcBorders>
              <w:bottom w:val="single" w:sz="4" w:space="0" w:color="auto"/>
            </w:tcBorders>
            <w:shd w:val="clear" w:color="auto" w:fill="D0CECE" w:themeFill="background2" w:themeFillShade="E6"/>
          </w:tcPr>
          <w:p w:rsidR="004B1F20" w:rsidRPr="00DF0E65" w:rsidRDefault="008A0E02" w:rsidP="00A26219">
            <w:pPr>
              <w:spacing w:after="12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Subm</w:t>
            </w:r>
            <w:r w:rsidR="00DF0E65" w:rsidRPr="00DF0E65">
              <w:rPr>
                <w:rFonts w:ascii="Book Antiqua" w:hAnsi="Book Antiqua"/>
                <w:bCs/>
                <w:i/>
                <w:iCs/>
                <w:color w:val="000000"/>
                <w:sz w:val="20"/>
                <w:szCs w:val="24"/>
              </w:rPr>
              <w:t>itted</w:t>
            </w:r>
            <w:r w:rsidR="004B1F20" w:rsidRPr="00DF0E65">
              <w:rPr>
                <w:rFonts w:ascii="Book Antiqua" w:hAnsi="Book Antiqua"/>
                <w:bCs/>
                <w:i/>
                <w:iCs/>
                <w:color w:val="000000"/>
                <w:sz w:val="20"/>
                <w:szCs w:val="24"/>
              </w:rPr>
              <w:t>:</w:t>
            </w:r>
          </w:p>
        </w:tc>
        <w:tc>
          <w:tcPr>
            <w:tcW w:w="2835" w:type="dxa"/>
            <w:gridSpan w:val="3"/>
            <w:shd w:val="clear" w:color="auto" w:fill="D0CECE" w:themeFill="background2" w:themeFillShade="E6"/>
          </w:tcPr>
          <w:p w:rsidR="004B1F20" w:rsidRPr="00DF0E65" w:rsidRDefault="008A0E02" w:rsidP="00A26219">
            <w:pPr>
              <w:spacing w:after="120" w:line="240" w:lineRule="auto"/>
              <w:jc w:val="center"/>
              <w:rPr>
                <w:rFonts w:ascii="Book Antiqua" w:hAnsi="Book Antiqua"/>
                <w:bCs/>
                <w:i/>
                <w:iCs/>
                <w:color w:val="000000"/>
                <w:sz w:val="20"/>
                <w:szCs w:val="24"/>
                <w:lang w:val="id-ID"/>
              </w:rPr>
            </w:pPr>
            <w:r w:rsidRPr="00DF0E65">
              <w:rPr>
                <w:rFonts w:ascii="Book Antiqua" w:hAnsi="Book Antiqua"/>
                <w:bCs/>
                <w:i/>
                <w:iCs/>
                <w:color w:val="000000"/>
                <w:sz w:val="20"/>
                <w:szCs w:val="24"/>
              </w:rPr>
              <w:t>Revised</w:t>
            </w:r>
            <w:r w:rsidR="004B1F20" w:rsidRPr="00DF0E65">
              <w:rPr>
                <w:rFonts w:ascii="Book Antiqua" w:hAnsi="Book Antiqua"/>
                <w:bCs/>
                <w:i/>
                <w:iCs/>
                <w:color w:val="000000"/>
                <w:sz w:val="20"/>
                <w:szCs w:val="24"/>
              </w:rPr>
              <w:t>:</w:t>
            </w:r>
          </w:p>
        </w:tc>
        <w:tc>
          <w:tcPr>
            <w:tcW w:w="4218" w:type="dxa"/>
            <w:tcBorders>
              <w:bottom w:val="single" w:sz="4" w:space="0" w:color="auto"/>
            </w:tcBorders>
            <w:shd w:val="clear" w:color="auto" w:fill="D0CECE" w:themeFill="background2" w:themeFillShade="E6"/>
          </w:tcPr>
          <w:p w:rsidR="004B1F20" w:rsidRPr="00DF0E65" w:rsidRDefault="00DF0E65" w:rsidP="00A26219">
            <w:pPr>
              <w:spacing w:after="12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Published</w:t>
            </w:r>
            <w:r w:rsidR="004B1F20" w:rsidRPr="00DF0E65">
              <w:rPr>
                <w:rFonts w:ascii="Book Antiqua" w:hAnsi="Book Antiqua"/>
                <w:bCs/>
                <w:i/>
                <w:iCs/>
                <w:color w:val="000000"/>
                <w:sz w:val="20"/>
                <w:szCs w:val="24"/>
              </w:rPr>
              <w:t>:</w:t>
            </w:r>
          </w:p>
        </w:tc>
      </w:tr>
      <w:tr w:rsidR="004B1F20" w:rsidRPr="00123036" w:rsidTr="001868DE">
        <w:tc>
          <w:tcPr>
            <w:tcW w:w="2682" w:type="dxa"/>
            <w:gridSpan w:val="2"/>
            <w:tcBorders>
              <w:top w:val="single" w:sz="4" w:space="0" w:color="auto"/>
              <w:bottom w:val="single" w:sz="4" w:space="0" w:color="auto"/>
            </w:tcBorders>
            <w:shd w:val="clear" w:color="auto" w:fill="D9E2F3" w:themeFill="accent1" w:themeFillTint="33"/>
          </w:tcPr>
          <w:p w:rsidR="004B1F20" w:rsidRPr="001D295E" w:rsidRDefault="004B1F20" w:rsidP="00A26219">
            <w:pPr>
              <w:spacing w:after="120" w:line="240" w:lineRule="auto"/>
              <w:rPr>
                <w:rFonts w:ascii="Book Antiqua" w:hAnsi="Book Antiqua"/>
                <w:b/>
                <w:bCs/>
                <w:i/>
                <w:iCs/>
                <w:color w:val="000000"/>
                <w:szCs w:val="24"/>
                <w:lang w:val="id-ID"/>
              </w:rPr>
            </w:pPr>
            <w:r>
              <w:rPr>
                <w:rFonts w:ascii="Book Antiqua" w:hAnsi="Book Antiqua"/>
                <w:b/>
                <w:bCs/>
                <w:i/>
                <w:iCs/>
                <w:color w:val="000000"/>
                <w:szCs w:val="24"/>
                <w:lang w:val="id-ID"/>
              </w:rPr>
              <w:t>Article</w:t>
            </w:r>
            <w:r w:rsidRPr="001D295E">
              <w:rPr>
                <w:rFonts w:ascii="Book Antiqua" w:hAnsi="Book Antiqua"/>
                <w:b/>
                <w:bCs/>
                <w:i/>
                <w:iCs/>
                <w:color w:val="000000"/>
                <w:szCs w:val="24"/>
                <w:lang w:val="id-ID"/>
              </w:rPr>
              <w:t xml:space="preserve"> Info</w:t>
            </w:r>
          </w:p>
        </w:tc>
        <w:tc>
          <w:tcPr>
            <w:tcW w:w="338" w:type="dxa"/>
          </w:tcPr>
          <w:p w:rsidR="004B1F20" w:rsidRPr="001D295E" w:rsidRDefault="004B1F20" w:rsidP="00A26219">
            <w:pPr>
              <w:spacing w:after="120" w:line="240" w:lineRule="auto"/>
              <w:rPr>
                <w:rFonts w:ascii="Book Antiqua" w:hAnsi="Book Antiqua"/>
                <w:b/>
                <w:bCs/>
                <w:i/>
                <w:iCs/>
                <w:color w:val="000000"/>
                <w:szCs w:val="24"/>
                <w:lang w:val="id-ID"/>
              </w:rPr>
            </w:pPr>
          </w:p>
        </w:tc>
        <w:tc>
          <w:tcPr>
            <w:tcW w:w="6619" w:type="dxa"/>
            <w:gridSpan w:val="2"/>
            <w:tcBorders>
              <w:top w:val="single" w:sz="4" w:space="0" w:color="auto"/>
              <w:bottom w:val="single" w:sz="4" w:space="0" w:color="auto"/>
            </w:tcBorders>
            <w:shd w:val="clear" w:color="auto" w:fill="D9E2F3" w:themeFill="accent1" w:themeFillTint="33"/>
          </w:tcPr>
          <w:p w:rsidR="004B1F20" w:rsidRPr="001D295E" w:rsidRDefault="004B1F20" w:rsidP="00A26219">
            <w:pPr>
              <w:spacing w:after="120" w:line="240" w:lineRule="auto"/>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F505F5" w:rsidRPr="00DB3F2B" w:rsidTr="001868DE">
        <w:trPr>
          <w:trHeight w:val="2551"/>
        </w:trPr>
        <w:tc>
          <w:tcPr>
            <w:tcW w:w="2682" w:type="dxa"/>
            <w:gridSpan w:val="2"/>
            <w:vMerge w:val="restart"/>
            <w:shd w:val="clear" w:color="auto" w:fill="B4C6E7" w:themeFill="accent1" w:themeFillTint="66"/>
          </w:tcPr>
          <w:p w:rsidR="00F505F5" w:rsidRPr="00DB3F2B" w:rsidRDefault="00F505F5" w:rsidP="00A26219">
            <w:pPr>
              <w:tabs>
                <w:tab w:val="left" w:pos="330"/>
              </w:tabs>
              <w:spacing w:after="120" w:line="240" w:lineRule="auto"/>
              <w:rPr>
                <w:rFonts w:ascii="Book Antiqua" w:hAnsi="Book Antiqua"/>
                <w:b/>
                <w:bCs/>
                <w:i/>
                <w:iCs/>
                <w:color w:val="000000"/>
                <w:lang w:val="id-ID"/>
              </w:rPr>
            </w:pPr>
          </w:p>
          <w:p w:rsidR="00F505F5" w:rsidRPr="00276F68" w:rsidRDefault="00F505F5" w:rsidP="00A26219">
            <w:pPr>
              <w:tabs>
                <w:tab w:val="left" w:pos="330"/>
              </w:tabs>
              <w:spacing w:after="120" w:line="240" w:lineRule="auto"/>
              <w:rPr>
                <w:rFonts w:ascii="Book Antiqua" w:hAnsi="Book Antiqua"/>
                <w:b/>
                <w:bCs/>
                <w:i/>
                <w:iCs/>
                <w:color w:val="000000" w:themeColor="text1"/>
                <w:lang w:val="id-ID"/>
              </w:rPr>
            </w:pPr>
            <w:r w:rsidRPr="00276F68">
              <w:rPr>
                <w:rFonts w:ascii="Book Antiqua" w:hAnsi="Book Antiqua"/>
                <w:b/>
                <w:bCs/>
                <w:i/>
                <w:iCs/>
                <w:color w:val="000000" w:themeColor="text1"/>
                <w:lang w:val="id-ID"/>
              </w:rPr>
              <w:t>Keywords:</w:t>
            </w:r>
          </w:p>
          <w:p w:rsidR="00F505F5" w:rsidRDefault="001868DE" w:rsidP="00A26219">
            <w:pPr>
              <w:tabs>
                <w:tab w:val="left" w:pos="330"/>
              </w:tabs>
              <w:spacing w:after="120" w:line="240" w:lineRule="auto"/>
              <w:rPr>
                <w:rFonts w:ascii="Book Antiqua" w:hAnsi="Book Antiqua"/>
                <w:i/>
              </w:rPr>
            </w:pPr>
            <w:bookmarkStart w:id="2" w:name="_GoBack"/>
            <w:bookmarkEnd w:id="2"/>
            <w:r w:rsidRPr="001868DE">
              <w:rPr>
                <w:rFonts w:ascii="Book Antiqua" w:hAnsi="Book Antiqua"/>
                <w:i/>
              </w:rPr>
              <w:t>Customary justice</w:t>
            </w:r>
            <w:r>
              <w:rPr>
                <w:rFonts w:ascii="Book Antiqua" w:hAnsi="Book Antiqua"/>
                <w:i/>
              </w:rPr>
              <w:t>;</w:t>
            </w:r>
            <w:r w:rsidRPr="001868DE">
              <w:rPr>
                <w:rFonts w:ascii="Book Antiqua" w:hAnsi="Book Antiqua"/>
                <w:i/>
              </w:rPr>
              <w:t xml:space="preserve"> </w:t>
            </w:r>
            <w:proofErr w:type="spellStart"/>
            <w:r w:rsidRPr="001868DE">
              <w:rPr>
                <w:rFonts w:ascii="Book Antiqua" w:hAnsi="Book Antiqua"/>
                <w:i/>
              </w:rPr>
              <w:t>Gampong</w:t>
            </w:r>
            <w:proofErr w:type="spellEnd"/>
            <w:r w:rsidRPr="001868DE">
              <w:rPr>
                <w:rFonts w:ascii="Book Antiqua" w:hAnsi="Book Antiqua"/>
                <w:i/>
              </w:rPr>
              <w:t xml:space="preserve"> </w:t>
            </w:r>
            <w:proofErr w:type="spellStart"/>
            <w:r w:rsidRPr="001868DE">
              <w:rPr>
                <w:rFonts w:ascii="Book Antiqua" w:hAnsi="Book Antiqua"/>
                <w:i/>
              </w:rPr>
              <w:t>Qanun</w:t>
            </w:r>
            <w:proofErr w:type="spellEnd"/>
            <w:r>
              <w:rPr>
                <w:rFonts w:ascii="Book Antiqua" w:hAnsi="Book Antiqua"/>
                <w:i/>
              </w:rPr>
              <w:t>;</w:t>
            </w:r>
            <w:r w:rsidRPr="001868DE">
              <w:rPr>
                <w:rFonts w:ascii="Book Antiqua" w:hAnsi="Book Antiqua"/>
                <w:i/>
              </w:rPr>
              <w:t xml:space="preserve"> Legal Certainty</w:t>
            </w:r>
            <w:r>
              <w:rPr>
                <w:rFonts w:ascii="Book Antiqua" w:hAnsi="Book Antiqua"/>
                <w:i/>
              </w:rPr>
              <w:t>;</w:t>
            </w:r>
            <w:r w:rsidRPr="001868DE">
              <w:rPr>
                <w:rFonts w:ascii="Book Antiqua" w:hAnsi="Book Antiqua"/>
                <w:i/>
              </w:rPr>
              <w:t xml:space="preserve"> </w:t>
            </w:r>
            <w:proofErr w:type="spellStart"/>
            <w:r w:rsidRPr="001868DE">
              <w:rPr>
                <w:rFonts w:ascii="Book Antiqua" w:hAnsi="Book Antiqua"/>
                <w:i/>
              </w:rPr>
              <w:t>Muara</w:t>
            </w:r>
            <w:proofErr w:type="spellEnd"/>
            <w:r w:rsidRPr="001868DE">
              <w:rPr>
                <w:rFonts w:ascii="Book Antiqua" w:hAnsi="Book Antiqua"/>
                <w:i/>
              </w:rPr>
              <w:t xml:space="preserve"> </w:t>
            </w:r>
            <w:proofErr w:type="spellStart"/>
            <w:r w:rsidRPr="001868DE">
              <w:rPr>
                <w:rFonts w:ascii="Book Antiqua" w:hAnsi="Book Antiqua"/>
                <w:i/>
              </w:rPr>
              <w:t>Batu</w:t>
            </w:r>
            <w:proofErr w:type="spellEnd"/>
            <w:r>
              <w:rPr>
                <w:rFonts w:ascii="Book Antiqua" w:hAnsi="Book Antiqua"/>
                <w:i/>
              </w:rPr>
              <w:t>.</w:t>
            </w: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Default="00F505F5" w:rsidP="00A26219">
            <w:pPr>
              <w:tabs>
                <w:tab w:val="left" w:pos="330"/>
              </w:tabs>
              <w:spacing w:after="120" w:line="240" w:lineRule="auto"/>
              <w:rPr>
                <w:rFonts w:ascii="Book Antiqua" w:hAnsi="Book Antiqua"/>
                <w:i/>
              </w:rPr>
            </w:pPr>
          </w:p>
          <w:p w:rsidR="00F505F5" w:rsidRPr="003E3D3C" w:rsidRDefault="00F505F5" w:rsidP="00A26219">
            <w:pPr>
              <w:tabs>
                <w:tab w:val="left" w:pos="330"/>
              </w:tabs>
              <w:spacing w:after="120" w:line="240" w:lineRule="auto"/>
              <w:rPr>
                <w:rFonts w:ascii="Book Antiqua" w:hAnsi="Book Antiqua"/>
                <w:bCs/>
                <w:i/>
                <w:iCs/>
                <w:color w:val="000000"/>
              </w:rPr>
            </w:pPr>
          </w:p>
        </w:tc>
        <w:tc>
          <w:tcPr>
            <w:tcW w:w="338" w:type="dxa"/>
          </w:tcPr>
          <w:p w:rsidR="00F505F5" w:rsidRPr="00DB3F2B" w:rsidRDefault="00F505F5" w:rsidP="00A26219">
            <w:pPr>
              <w:spacing w:after="120" w:line="240" w:lineRule="auto"/>
              <w:jc w:val="both"/>
              <w:rPr>
                <w:rFonts w:ascii="Book Antiqua" w:hAnsi="Book Antiqua"/>
                <w:i/>
                <w:sz w:val="24"/>
                <w:szCs w:val="24"/>
                <w:lang w:val="id-ID"/>
              </w:rPr>
            </w:pPr>
          </w:p>
        </w:tc>
        <w:tc>
          <w:tcPr>
            <w:tcW w:w="6619" w:type="dxa"/>
            <w:gridSpan w:val="2"/>
            <w:vMerge w:val="restart"/>
            <w:tcBorders>
              <w:top w:val="single" w:sz="4" w:space="0" w:color="auto"/>
              <w:bottom w:val="single" w:sz="4" w:space="0" w:color="auto"/>
            </w:tcBorders>
            <w:shd w:val="clear" w:color="auto" w:fill="auto"/>
          </w:tcPr>
          <w:p w:rsidR="00F505F5" w:rsidRPr="00F505F5" w:rsidRDefault="00461F3D" w:rsidP="00A26219">
            <w:pPr>
              <w:spacing w:after="120" w:line="240" w:lineRule="auto"/>
              <w:ind w:right="-108"/>
              <w:jc w:val="both"/>
              <w:rPr>
                <w:rFonts w:ascii="Book Antiqua" w:hAnsi="Book Antiqua"/>
                <w:b/>
                <w:i/>
              </w:rPr>
            </w:pPr>
            <w:r>
              <w:rPr>
                <w:rFonts w:ascii="Book Antiqua" w:hAnsi="Book Antiqua"/>
                <w:b/>
                <w:i/>
                <w:color w:val="2F5496" w:themeColor="accent1" w:themeShade="BF"/>
              </w:rPr>
              <w:t>Introductio</w:t>
            </w:r>
            <w:r w:rsidR="00F505F5" w:rsidRPr="00F505F5">
              <w:rPr>
                <w:rFonts w:ascii="Book Antiqua" w:hAnsi="Book Antiqua"/>
                <w:b/>
                <w:i/>
                <w:color w:val="2F5496" w:themeColor="accent1" w:themeShade="BF"/>
              </w:rPr>
              <w:t>n:</w:t>
            </w:r>
            <w:r w:rsidR="00FD0BC6">
              <w:rPr>
                <w:rFonts w:ascii="Book Antiqua" w:hAnsi="Book Antiqua"/>
                <w:b/>
                <w:i/>
                <w:color w:val="2F5496" w:themeColor="accent1" w:themeShade="BF"/>
              </w:rPr>
              <w:t xml:space="preserve"> </w:t>
            </w:r>
            <w:proofErr w:type="spellStart"/>
            <w:r w:rsidR="00E34A60" w:rsidRPr="00E34A60">
              <w:rPr>
                <w:rFonts w:ascii="Book Antiqua" w:hAnsi="Book Antiqua"/>
                <w:i/>
              </w:rPr>
              <w:t>Gampongs</w:t>
            </w:r>
            <w:proofErr w:type="spellEnd"/>
            <w:r w:rsidR="00E34A60" w:rsidRPr="00E34A60">
              <w:rPr>
                <w:rFonts w:ascii="Book Antiqua" w:hAnsi="Book Antiqua"/>
                <w:i/>
              </w:rPr>
              <w:t xml:space="preserve"> or villages in Aceh province are the only village-level government in Indonesia that is given the authority to resolve a number of civil and criminal cases through customary courts in </w:t>
            </w:r>
            <w:proofErr w:type="spellStart"/>
            <w:r w:rsidR="00E34A60" w:rsidRPr="00E34A60">
              <w:rPr>
                <w:rFonts w:ascii="Book Antiqua" w:hAnsi="Book Antiqua"/>
                <w:i/>
              </w:rPr>
              <w:t>gampongs</w:t>
            </w:r>
            <w:proofErr w:type="spellEnd"/>
            <w:r w:rsidR="00FD0BC6" w:rsidRPr="00FD0BC6">
              <w:rPr>
                <w:rFonts w:ascii="Book Antiqua" w:hAnsi="Book Antiqua"/>
                <w:i/>
              </w:rPr>
              <w:t>.</w:t>
            </w:r>
          </w:p>
          <w:p w:rsidR="00F505F5" w:rsidRPr="001868DE" w:rsidRDefault="00F505F5" w:rsidP="00A26219">
            <w:pPr>
              <w:spacing w:after="120" w:line="240" w:lineRule="auto"/>
              <w:ind w:right="-108"/>
              <w:jc w:val="both"/>
              <w:rPr>
                <w:rFonts w:ascii="Book Antiqua" w:hAnsi="Book Antiqua"/>
                <w:bCs/>
                <w:i/>
              </w:rPr>
            </w:pPr>
            <w:r w:rsidRPr="00F505F5">
              <w:rPr>
                <w:rFonts w:ascii="Book Antiqua" w:hAnsi="Book Antiqua"/>
                <w:b/>
                <w:i/>
                <w:color w:val="2F5496" w:themeColor="accent1" w:themeShade="BF"/>
              </w:rPr>
              <w:t>Purposes of the Research</w:t>
            </w:r>
            <w:r w:rsidRPr="00F505F5">
              <w:rPr>
                <w:rFonts w:ascii="Book Antiqua" w:hAnsi="Book Antiqua"/>
                <w:b/>
                <w:bCs/>
                <w:i/>
                <w:color w:val="2F5496" w:themeColor="accent1" w:themeShade="BF"/>
              </w:rPr>
              <w:t xml:space="preserve">: </w:t>
            </w:r>
            <w:r w:rsidRPr="00F505F5">
              <w:rPr>
                <w:rFonts w:ascii="Book Antiqua" w:hAnsi="Book Antiqua"/>
                <w:b/>
                <w:bCs/>
                <w:i/>
              </w:rPr>
              <w:t xml:space="preserve"> </w:t>
            </w:r>
            <w:r w:rsidR="001868DE" w:rsidRPr="001868DE">
              <w:rPr>
                <w:rFonts w:ascii="Book Antiqua" w:hAnsi="Book Antiqua"/>
                <w:i/>
              </w:rPr>
              <w:t xml:space="preserve">This paper examines the legal certainty of customary court decisions in </w:t>
            </w:r>
            <w:proofErr w:type="spellStart"/>
            <w:r w:rsidR="001868DE" w:rsidRPr="001868DE">
              <w:rPr>
                <w:rFonts w:ascii="Book Antiqua" w:hAnsi="Book Antiqua"/>
                <w:i/>
              </w:rPr>
              <w:t>gampongs</w:t>
            </w:r>
            <w:proofErr w:type="spellEnd"/>
            <w:r w:rsidR="001868DE" w:rsidRPr="001868DE">
              <w:rPr>
                <w:rFonts w:ascii="Book Antiqua" w:hAnsi="Book Antiqua"/>
                <w:i/>
              </w:rPr>
              <w:t xml:space="preserve"> in the </w:t>
            </w:r>
            <w:proofErr w:type="spellStart"/>
            <w:r w:rsidR="001868DE" w:rsidRPr="001868DE">
              <w:rPr>
                <w:rFonts w:ascii="Book Antiqua" w:hAnsi="Book Antiqua"/>
                <w:i/>
              </w:rPr>
              <w:t>Muara</w:t>
            </w:r>
            <w:proofErr w:type="spellEnd"/>
            <w:r w:rsidR="001868DE" w:rsidRPr="001868DE">
              <w:rPr>
                <w:rFonts w:ascii="Book Antiqua" w:hAnsi="Book Antiqua"/>
                <w:i/>
              </w:rPr>
              <w:t xml:space="preserve"> </w:t>
            </w:r>
            <w:proofErr w:type="spellStart"/>
            <w:r w:rsidR="001868DE" w:rsidRPr="001868DE">
              <w:rPr>
                <w:rFonts w:ascii="Book Antiqua" w:hAnsi="Book Antiqua"/>
                <w:i/>
              </w:rPr>
              <w:t>Batu</w:t>
            </w:r>
            <w:proofErr w:type="spellEnd"/>
            <w:r w:rsidR="001868DE" w:rsidRPr="001868DE">
              <w:rPr>
                <w:rFonts w:ascii="Book Antiqua" w:hAnsi="Book Antiqua"/>
                <w:i/>
              </w:rPr>
              <w:t xml:space="preserve"> sub-district, North </w:t>
            </w:r>
            <w:proofErr w:type="gramStart"/>
            <w:r w:rsidR="001868DE" w:rsidRPr="001868DE">
              <w:rPr>
                <w:rFonts w:ascii="Book Antiqua" w:hAnsi="Book Antiqua"/>
                <w:i/>
              </w:rPr>
              <w:t>Aceh .</w:t>
            </w:r>
            <w:proofErr w:type="gramEnd"/>
            <w:r w:rsidR="001868DE" w:rsidRPr="001868DE">
              <w:rPr>
                <w:rFonts w:ascii="Book Antiqua" w:hAnsi="Book Antiqua"/>
                <w:i/>
              </w:rPr>
              <w:t xml:space="preserve"> The problems resolved in this paper are regarding the legal certainty of customary court decisions in </w:t>
            </w:r>
            <w:proofErr w:type="spellStart"/>
            <w:r w:rsidR="001868DE" w:rsidRPr="001868DE">
              <w:rPr>
                <w:rFonts w:ascii="Book Antiqua" w:hAnsi="Book Antiqua"/>
                <w:i/>
              </w:rPr>
              <w:t>gampongs</w:t>
            </w:r>
            <w:proofErr w:type="spellEnd"/>
            <w:r w:rsidR="001868DE" w:rsidRPr="001868DE">
              <w:rPr>
                <w:rFonts w:ascii="Book Antiqua" w:hAnsi="Book Antiqua"/>
                <w:i/>
              </w:rPr>
              <w:t xml:space="preserve"> and the extent to which </w:t>
            </w:r>
            <w:proofErr w:type="spellStart"/>
            <w:r w:rsidR="001868DE" w:rsidRPr="001868DE">
              <w:rPr>
                <w:rFonts w:ascii="Book Antiqua" w:hAnsi="Book Antiqua"/>
                <w:i/>
              </w:rPr>
              <w:t>gampongs</w:t>
            </w:r>
            <w:proofErr w:type="spellEnd"/>
            <w:r w:rsidR="001868DE" w:rsidRPr="001868DE">
              <w:rPr>
                <w:rFonts w:ascii="Book Antiqua" w:hAnsi="Book Antiqua"/>
                <w:i/>
              </w:rPr>
              <w:t xml:space="preserve"> in </w:t>
            </w:r>
            <w:proofErr w:type="spellStart"/>
            <w:r w:rsidR="001868DE" w:rsidRPr="001868DE">
              <w:rPr>
                <w:rFonts w:ascii="Book Antiqua" w:hAnsi="Book Antiqua"/>
                <w:i/>
              </w:rPr>
              <w:t>Muara</w:t>
            </w:r>
            <w:proofErr w:type="spellEnd"/>
            <w:r w:rsidR="001868DE" w:rsidRPr="001868DE">
              <w:rPr>
                <w:rFonts w:ascii="Book Antiqua" w:hAnsi="Book Antiqua"/>
                <w:i/>
              </w:rPr>
              <w:t xml:space="preserve"> </w:t>
            </w:r>
            <w:proofErr w:type="spellStart"/>
            <w:r w:rsidR="001868DE" w:rsidRPr="001868DE">
              <w:rPr>
                <w:rFonts w:ascii="Book Antiqua" w:hAnsi="Book Antiqua"/>
                <w:i/>
              </w:rPr>
              <w:t>Batu</w:t>
            </w:r>
            <w:proofErr w:type="spellEnd"/>
            <w:r w:rsidR="001868DE" w:rsidRPr="001868DE">
              <w:rPr>
                <w:rFonts w:ascii="Book Antiqua" w:hAnsi="Book Antiqua"/>
                <w:i/>
              </w:rPr>
              <w:t xml:space="preserve"> District implement customary justice in </w:t>
            </w:r>
            <w:proofErr w:type="spellStart"/>
            <w:r w:rsidR="001868DE" w:rsidRPr="001868DE">
              <w:rPr>
                <w:rFonts w:ascii="Book Antiqua" w:hAnsi="Book Antiqua"/>
                <w:i/>
              </w:rPr>
              <w:t>gampongs</w:t>
            </w:r>
            <w:proofErr w:type="spellEnd"/>
            <w:r w:rsidR="001868DE" w:rsidRPr="001868DE">
              <w:rPr>
                <w:rFonts w:ascii="Book Antiqua" w:hAnsi="Book Antiqua"/>
                <w:i/>
              </w:rPr>
              <w:t>.</w:t>
            </w:r>
          </w:p>
          <w:p w:rsidR="00F505F5" w:rsidRPr="00D35EA2" w:rsidRDefault="00F505F5" w:rsidP="00A26219">
            <w:pPr>
              <w:spacing w:after="120" w:line="240" w:lineRule="auto"/>
              <w:ind w:right="-108"/>
              <w:jc w:val="both"/>
              <w:rPr>
                <w:rFonts w:ascii="Book Antiqua" w:hAnsi="Book Antiqua"/>
                <w:bCs/>
                <w:i/>
              </w:rPr>
            </w:pPr>
            <w:r w:rsidRPr="00F505F5">
              <w:rPr>
                <w:rFonts w:ascii="Book Antiqua" w:hAnsi="Book Antiqua"/>
                <w:b/>
                <w:i/>
                <w:color w:val="2F5496" w:themeColor="accent1" w:themeShade="BF"/>
              </w:rPr>
              <w:t>Methods of the Research</w:t>
            </w:r>
            <w:r w:rsidRPr="00F505F5">
              <w:rPr>
                <w:rFonts w:ascii="Book Antiqua" w:hAnsi="Book Antiqua"/>
                <w:b/>
                <w:bCs/>
                <w:i/>
                <w:color w:val="2F5496" w:themeColor="accent1" w:themeShade="BF"/>
              </w:rPr>
              <w:t xml:space="preserve">: </w:t>
            </w:r>
            <w:r w:rsidR="00E34A60" w:rsidRPr="001868DE">
              <w:rPr>
                <w:rFonts w:ascii="Book Antiqua" w:hAnsi="Book Antiqua"/>
                <w:i/>
              </w:rPr>
              <w:t>This research is an empirical research. The data were collected from field data through interviews and observations as well as documentary data from legal writings</w:t>
            </w:r>
            <w:r w:rsidR="00D35EA2" w:rsidRPr="00D35EA2">
              <w:rPr>
                <w:rFonts w:ascii="Book Antiqua" w:hAnsi="Book Antiqua"/>
                <w:i/>
              </w:rPr>
              <w:t>.</w:t>
            </w:r>
          </w:p>
          <w:p w:rsidR="008B35C9" w:rsidRPr="001868DE" w:rsidRDefault="00E71049" w:rsidP="008B35C9">
            <w:pPr>
              <w:spacing w:after="120" w:line="240" w:lineRule="auto"/>
              <w:ind w:right="-76"/>
              <w:jc w:val="both"/>
              <w:rPr>
                <w:rFonts w:ascii="Book Antiqua" w:hAnsi="Book Antiqua"/>
                <w:i/>
                <w:color w:val="000000" w:themeColor="text1"/>
              </w:rPr>
            </w:pPr>
            <w:r>
              <w:rPr>
                <w:rFonts w:ascii="Book Antiqua" w:hAnsi="Book Antiqua"/>
                <w:b/>
                <w:i/>
                <w:color w:val="2F5496" w:themeColor="accent1" w:themeShade="BF"/>
              </w:rPr>
              <w:t>Results / Main Findings</w:t>
            </w:r>
            <w:r w:rsidR="00F70D71">
              <w:rPr>
                <w:rFonts w:ascii="Book Antiqua" w:hAnsi="Book Antiqua"/>
                <w:b/>
                <w:i/>
                <w:color w:val="2F5496" w:themeColor="accent1" w:themeShade="BF"/>
              </w:rPr>
              <w:t xml:space="preserve"> / </w:t>
            </w:r>
            <w:r w:rsidR="00F70D71" w:rsidRPr="00E71049">
              <w:rPr>
                <w:rFonts w:ascii="Book Antiqua" w:hAnsi="Book Antiqua"/>
                <w:b/>
                <w:i/>
                <w:color w:val="2F5496" w:themeColor="accent1" w:themeShade="BF"/>
              </w:rPr>
              <w:t>Novelty/Originality</w:t>
            </w:r>
            <w:r>
              <w:rPr>
                <w:rFonts w:ascii="Book Antiqua" w:hAnsi="Book Antiqua"/>
                <w:b/>
                <w:i/>
                <w:color w:val="2F5496" w:themeColor="accent1" w:themeShade="BF"/>
              </w:rPr>
              <w:t xml:space="preserve"> </w:t>
            </w:r>
            <w:r w:rsidR="00F505F5" w:rsidRPr="00F505F5">
              <w:rPr>
                <w:rFonts w:ascii="Book Antiqua" w:hAnsi="Book Antiqua"/>
                <w:b/>
                <w:i/>
                <w:color w:val="2F5496" w:themeColor="accent1" w:themeShade="BF"/>
              </w:rPr>
              <w:t>of the Research</w:t>
            </w:r>
            <w:r w:rsidR="00F505F5" w:rsidRPr="00F505F5">
              <w:rPr>
                <w:rFonts w:ascii="Book Antiqua" w:hAnsi="Book Antiqua"/>
                <w:b/>
                <w:bCs/>
                <w:i/>
                <w:color w:val="2F5496" w:themeColor="accent1" w:themeShade="BF"/>
              </w:rPr>
              <w:t>:</w:t>
            </w:r>
            <w:r w:rsidR="00F505F5" w:rsidRPr="00F505F5">
              <w:rPr>
                <w:rFonts w:ascii="Book Antiqua" w:hAnsi="Book Antiqua"/>
                <w:b/>
                <w:bCs/>
                <w:i/>
              </w:rPr>
              <w:t xml:space="preserve"> </w:t>
            </w:r>
            <w:r w:rsidR="008B35C9" w:rsidRPr="008B35C9">
              <w:rPr>
                <w:rFonts w:ascii="Book Antiqua" w:hAnsi="Book Antiqua"/>
                <w:i/>
                <w:color w:val="000000" w:themeColor="text1"/>
              </w:rPr>
              <w:t xml:space="preserve">The results of the research show that the decisions of the customary courts are binding and final. However, if the parties disagree with the customary court decision and seek legal proceedings, the customary court decision can become written evidence. In </w:t>
            </w:r>
            <w:proofErr w:type="spellStart"/>
            <w:r w:rsidR="008B35C9" w:rsidRPr="008B35C9">
              <w:rPr>
                <w:rFonts w:ascii="Book Antiqua" w:hAnsi="Book Antiqua"/>
                <w:i/>
                <w:color w:val="000000" w:themeColor="text1"/>
              </w:rPr>
              <w:t>Muara</w:t>
            </w:r>
            <w:proofErr w:type="spellEnd"/>
            <w:r w:rsidR="008B35C9" w:rsidRPr="008B35C9">
              <w:rPr>
                <w:rFonts w:ascii="Book Antiqua" w:hAnsi="Book Antiqua"/>
                <w:i/>
                <w:color w:val="000000" w:themeColor="text1"/>
              </w:rPr>
              <w:t xml:space="preserve"> </w:t>
            </w:r>
            <w:proofErr w:type="spellStart"/>
            <w:r w:rsidR="008B35C9" w:rsidRPr="008B35C9">
              <w:rPr>
                <w:rFonts w:ascii="Book Antiqua" w:hAnsi="Book Antiqua"/>
                <w:i/>
                <w:color w:val="000000" w:themeColor="text1"/>
              </w:rPr>
              <w:t>Batu</w:t>
            </w:r>
            <w:proofErr w:type="spellEnd"/>
            <w:r w:rsidR="008B35C9" w:rsidRPr="008B35C9">
              <w:rPr>
                <w:rFonts w:ascii="Book Antiqua" w:hAnsi="Book Antiqua"/>
                <w:i/>
                <w:color w:val="000000" w:themeColor="text1"/>
              </w:rPr>
              <w:t xml:space="preserve"> sub-district, each </w:t>
            </w:r>
            <w:proofErr w:type="spellStart"/>
            <w:r w:rsidR="008B35C9" w:rsidRPr="008B35C9">
              <w:rPr>
                <w:rFonts w:ascii="Book Antiqua" w:hAnsi="Book Antiqua"/>
                <w:i/>
                <w:color w:val="000000" w:themeColor="text1"/>
              </w:rPr>
              <w:t>gampong</w:t>
            </w:r>
            <w:proofErr w:type="spellEnd"/>
            <w:r w:rsidR="008B35C9" w:rsidRPr="008B35C9">
              <w:rPr>
                <w:rFonts w:ascii="Book Antiqua" w:hAnsi="Book Antiqua"/>
                <w:i/>
                <w:color w:val="000000" w:themeColor="text1"/>
              </w:rPr>
              <w:t xml:space="preserve"> has a customary court, but if they are related to minor crimes or </w:t>
            </w:r>
            <w:proofErr w:type="spellStart"/>
            <w:r w:rsidR="008B35C9" w:rsidRPr="008B35C9">
              <w:rPr>
                <w:rFonts w:ascii="Book Antiqua" w:hAnsi="Book Antiqua"/>
                <w:i/>
                <w:color w:val="000000" w:themeColor="text1"/>
              </w:rPr>
              <w:t>jinayat</w:t>
            </w:r>
            <w:proofErr w:type="spellEnd"/>
            <w:r w:rsidR="008B35C9" w:rsidRPr="008B35C9">
              <w:rPr>
                <w:rFonts w:ascii="Book Antiqua" w:hAnsi="Book Antiqua"/>
                <w:i/>
                <w:color w:val="000000" w:themeColor="text1"/>
              </w:rPr>
              <w:t xml:space="preserve">, the </w:t>
            </w:r>
            <w:proofErr w:type="spellStart"/>
            <w:r w:rsidR="008B35C9" w:rsidRPr="008B35C9">
              <w:rPr>
                <w:rFonts w:ascii="Book Antiqua" w:hAnsi="Book Antiqua"/>
                <w:i/>
                <w:color w:val="000000" w:themeColor="text1"/>
              </w:rPr>
              <w:t>gampong</w:t>
            </w:r>
            <w:proofErr w:type="spellEnd"/>
            <w:r w:rsidR="008B35C9" w:rsidRPr="008B35C9">
              <w:rPr>
                <w:rFonts w:ascii="Book Antiqua" w:hAnsi="Book Antiqua"/>
                <w:i/>
                <w:color w:val="000000" w:themeColor="text1"/>
              </w:rPr>
              <w:t xml:space="preserve"> apparatus prefers to hand over the case to the authorities, if a peaceful process is not found. Except for cases of immoral </w:t>
            </w:r>
            <w:proofErr w:type="spellStart"/>
            <w:r w:rsidR="008B35C9" w:rsidRPr="008B35C9">
              <w:rPr>
                <w:rFonts w:ascii="Book Antiqua" w:hAnsi="Book Antiqua"/>
                <w:i/>
                <w:color w:val="000000" w:themeColor="text1"/>
              </w:rPr>
              <w:t>khalwat</w:t>
            </w:r>
            <w:proofErr w:type="spellEnd"/>
            <w:r w:rsidR="008B35C9" w:rsidRPr="008B35C9">
              <w:rPr>
                <w:rFonts w:ascii="Book Antiqua" w:hAnsi="Book Antiqua"/>
                <w:i/>
                <w:color w:val="000000" w:themeColor="text1"/>
              </w:rPr>
              <w:t xml:space="preserve"> and adultery committed in the </w:t>
            </w:r>
            <w:proofErr w:type="spellStart"/>
            <w:r w:rsidR="008B35C9" w:rsidRPr="008B35C9">
              <w:rPr>
                <w:rFonts w:ascii="Book Antiqua" w:hAnsi="Book Antiqua"/>
                <w:i/>
                <w:color w:val="000000" w:themeColor="text1"/>
              </w:rPr>
              <w:t>gampong</w:t>
            </w:r>
            <w:proofErr w:type="spellEnd"/>
            <w:r w:rsidR="008B35C9" w:rsidRPr="008B35C9">
              <w:rPr>
                <w:rFonts w:ascii="Book Antiqua" w:hAnsi="Book Antiqua"/>
                <w:i/>
                <w:color w:val="000000" w:themeColor="text1"/>
              </w:rPr>
              <w:t xml:space="preserve">, the perpetrators are forced to marry or handed over to law enforcement to be processed according to </w:t>
            </w:r>
            <w:proofErr w:type="spellStart"/>
            <w:r w:rsidR="008B35C9" w:rsidRPr="008B35C9">
              <w:rPr>
                <w:rFonts w:ascii="Book Antiqua" w:hAnsi="Book Antiqua"/>
                <w:i/>
                <w:color w:val="000000" w:themeColor="text1"/>
              </w:rPr>
              <w:t>jinayat</w:t>
            </w:r>
            <w:proofErr w:type="spellEnd"/>
            <w:r w:rsidR="008B35C9" w:rsidRPr="008B35C9">
              <w:rPr>
                <w:rFonts w:ascii="Book Antiqua" w:hAnsi="Book Antiqua"/>
                <w:i/>
                <w:color w:val="000000" w:themeColor="text1"/>
              </w:rPr>
              <w:t xml:space="preserve"> law in Aceh.</w:t>
            </w:r>
          </w:p>
        </w:tc>
      </w:tr>
      <w:tr w:rsidR="00F505F5" w:rsidRPr="00DB3F2B" w:rsidTr="001868DE">
        <w:trPr>
          <w:trHeight w:val="2882"/>
        </w:trPr>
        <w:tc>
          <w:tcPr>
            <w:tcW w:w="2682" w:type="dxa"/>
            <w:gridSpan w:val="2"/>
            <w:vMerge/>
            <w:tcBorders>
              <w:bottom w:val="single" w:sz="4" w:space="0" w:color="auto"/>
            </w:tcBorders>
            <w:shd w:val="clear" w:color="auto" w:fill="8EAADB" w:themeFill="accent1" w:themeFillTint="99"/>
          </w:tcPr>
          <w:p w:rsidR="00F505F5" w:rsidRPr="00DB3F2B" w:rsidRDefault="00F505F5" w:rsidP="00A26219">
            <w:pPr>
              <w:spacing w:after="120" w:line="240" w:lineRule="auto"/>
              <w:rPr>
                <w:rFonts w:ascii="Book Antiqua" w:hAnsi="Book Antiqua"/>
                <w:b/>
                <w:bCs/>
                <w:i/>
                <w:iCs/>
                <w:color w:val="000000"/>
                <w:lang w:val="id-ID"/>
              </w:rPr>
            </w:pPr>
          </w:p>
        </w:tc>
        <w:tc>
          <w:tcPr>
            <w:tcW w:w="338" w:type="dxa"/>
          </w:tcPr>
          <w:p w:rsidR="00F505F5" w:rsidRPr="00DB3F2B" w:rsidRDefault="00F505F5" w:rsidP="00A26219">
            <w:pPr>
              <w:spacing w:after="120" w:line="240" w:lineRule="auto"/>
              <w:rPr>
                <w:rFonts w:ascii="Book Antiqua" w:hAnsi="Book Antiqua"/>
                <w:b/>
                <w:bCs/>
                <w:i/>
                <w:iCs/>
                <w:color w:val="000000"/>
                <w:sz w:val="24"/>
                <w:szCs w:val="24"/>
                <w:lang w:val="id-ID"/>
              </w:rPr>
            </w:pPr>
          </w:p>
        </w:tc>
        <w:tc>
          <w:tcPr>
            <w:tcW w:w="6619" w:type="dxa"/>
            <w:gridSpan w:val="2"/>
            <w:vMerge/>
            <w:tcBorders>
              <w:bottom w:val="single" w:sz="4" w:space="0" w:color="auto"/>
            </w:tcBorders>
            <w:shd w:val="clear" w:color="auto" w:fill="FBE4D5" w:themeFill="accent2" w:themeFillTint="33"/>
          </w:tcPr>
          <w:p w:rsidR="00F505F5" w:rsidRPr="00DB3F2B" w:rsidRDefault="00F505F5" w:rsidP="00A26219">
            <w:pPr>
              <w:spacing w:after="120" w:line="240" w:lineRule="auto"/>
              <w:rPr>
                <w:rFonts w:ascii="Book Antiqua" w:hAnsi="Book Antiqua"/>
                <w:b/>
                <w:bCs/>
                <w:i/>
                <w:iCs/>
                <w:color w:val="000000"/>
                <w:sz w:val="24"/>
                <w:szCs w:val="24"/>
                <w:lang w:val="id-ID"/>
              </w:rPr>
            </w:pPr>
          </w:p>
        </w:tc>
      </w:tr>
    </w:tbl>
    <w:p w:rsidR="004B1F20" w:rsidRDefault="004B1F20" w:rsidP="00A26219">
      <w:pPr>
        <w:spacing w:after="120" w:line="240" w:lineRule="auto"/>
        <w:jc w:val="both"/>
        <w:rPr>
          <w:rFonts w:ascii="Book Antiqua" w:hAnsi="Book Antiqua"/>
          <w:b/>
          <w:bCs/>
          <w:i/>
          <w:iCs/>
          <w:color w:val="FFC000" w:themeColor="accent4"/>
          <w:sz w:val="24"/>
          <w:szCs w:val="24"/>
        </w:rPr>
      </w:pPr>
    </w:p>
    <w:p w:rsidR="008B35C9" w:rsidRDefault="008B35C9" w:rsidP="00A26219">
      <w:pPr>
        <w:spacing w:after="120" w:line="240" w:lineRule="auto"/>
        <w:jc w:val="both"/>
        <w:rPr>
          <w:rFonts w:ascii="Book Antiqua" w:hAnsi="Book Antiqua"/>
          <w:b/>
          <w:bCs/>
          <w:i/>
          <w:iCs/>
          <w:color w:val="FFC000" w:themeColor="accent4"/>
          <w:sz w:val="24"/>
          <w:szCs w:val="24"/>
        </w:rPr>
      </w:pPr>
    </w:p>
    <w:p w:rsidR="008B35C9" w:rsidRDefault="008B35C9" w:rsidP="00A26219">
      <w:pPr>
        <w:spacing w:after="120" w:line="240" w:lineRule="auto"/>
        <w:jc w:val="both"/>
        <w:rPr>
          <w:rFonts w:ascii="Book Antiqua" w:hAnsi="Book Antiqua"/>
          <w:b/>
          <w:bCs/>
          <w:i/>
          <w:iCs/>
          <w:color w:val="FFC000" w:themeColor="accent4"/>
          <w:sz w:val="24"/>
          <w:szCs w:val="24"/>
        </w:rPr>
      </w:pPr>
    </w:p>
    <w:p w:rsidR="004B1F20" w:rsidRPr="001868DE" w:rsidRDefault="004B1F20" w:rsidP="001868DE">
      <w:pPr>
        <w:numPr>
          <w:ilvl w:val="0"/>
          <w:numId w:val="18"/>
        </w:numPr>
        <w:spacing w:after="120" w:line="240" w:lineRule="auto"/>
        <w:ind w:left="284" w:hanging="284"/>
        <w:jc w:val="both"/>
        <w:rPr>
          <w:rFonts w:ascii="Book Antiqua" w:hAnsi="Book Antiqua"/>
          <w:b/>
          <w:bCs/>
          <w:color w:val="4472C4" w:themeColor="accent1"/>
          <w:sz w:val="24"/>
          <w:szCs w:val="24"/>
          <w:lang w:val="id-ID"/>
        </w:rPr>
      </w:pPr>
      <w:r w:rsidRPr="001868DE">
        <w:rPr>
          <w:rFonts w:ascii="Book Antiqua" w:hAnsi="Book Antiqua"/>
          <w:b/>
          <w:bCs/>
          <w:color w:val="2F5496" w:themeColor="accent1" w:themeShade="BF"/>
          <w:sz w:val="24"/>
          <w:szCs w:val="24"/>
        </w:rPr>
        <w:lastRenderedPageBreak/>
        <w:t>INTRODUCTION</w:t>
      </w:r>
      <w:r w:rsidRPr="001868DE">
        <w:rPr>
          <w:rFonts w:ascii="Book Antiqua" w:hAnsi="Book Antiqua"/>
          <w:b/>
          <w:bCs/>
          <w:color w:val="4472C4" w:themeColor="accent1"/>
          <w:sz w:val="24"/>
          <w:szCs w:val="24"/>
          <w:lang w:val="id-ID"/>
        </w:rPr>
        <w:t xml:space="preserve"> </w:t>
      </w:r>
    </w:p>
    <w:p w:rsidR="001868DE" w:rsidRPr="001868DE" w:rsidRDefault="001868DE" w:rsidP="001868DE">
      <w:pPr>
        <w:pStyle w:val="BodyText"/>
        <w:spacing w:line="240" w:lineRule="auto"/>
        <w:ind w:right="-2"/>
        <w:jc w:val="both"/>
        <w:rPr>
          <w:rFonts w:ascii="Book Antiqua" w:hAnsi="Book Antiqua"/>
          <w:sz w:val="24"/>
          <w:szCs w:val="24"/>
        </w:rPr>
      </w:pPr>
      <w:r w:rsidRPr="001868DE">
        <w:rPr>
          <w:rFonts w:ascii="Book Antiqua" w:hAnsi="Book Antiqua"/>
          <w:sz w:val="24"/>
          <w:szCs w:val="24"/>
        </w:rPr>
        <w:t xml:space="preserve">The </w:t>
      </w:r>
      <w:proofErr w:type="spellStart"/>
      <w:r w:rsidRPr="001868DE">
        <w:rPr>
          <w:rFonts w:ascii="Book Antiqua" w:hAnsi="Book Antiqua"/>
          <w:sz w:val="24"/>
          <w:szCs w:val="24"/>
        </w:rPr>
        <w:t>gampong</w:t>
      </w:r>
      <w:proofErr w:type="spellEnd"/>
      <w:r w:rsidRPr="001868DE">
        <w:rPr>
          <w:rFonts w:ascii="Book Antiqua" w:hAnsi="Book Antiqua"/>
          <w:sz w:val="24"/>
          <w:szCs w:val="24"/>
        </w:rPr>
        <w:t xml:space="preserve"> or village in Aceh province is the only village-level government in Indonesia that is given the authority to resolve certain disputes through the customary court in the </w:t>
      </w:r>
      <w:proofErr w:type="spellStart"/>
      <w:r w:rsidRPr="001868DE">
        <w:rPr>
          <w:rFonts w:ascii="Book Antiqua" w:hAnsi="Book Antiqua"/>
          <w:sz w:val="24"/>
          <w:szCs w:val="24"/>
        </w:rPr>
        <w:t>gampong</w:t>
      </w:r>
      <w:proofErr w:type="spellEnd"/>
      <w:r w:rsidRPr="001868DE">
        <w:rPr>
          <w:rFonts w:ascii="Book Antiqua" w:hAnsi="Book Antiqua"/>
          <w:sz w:val="24"/>
          <w:szCs w:val="24"/>
        </w:rPr>
        <w:t>. This privilege, aside from the historical factor of customary justice in Aceh, is also legalized by legal regulations in Indonesia.</w:t>
      </w:r>
      <w:r w:rsidR="006662DB">
        <w:rPr>
          <w:rStyle w:val="FootnoteReference"/>
          <w:rFonts w:ascii="Book Antiqua" w:hAnsi="Book Antiqua"/>
          <w:sz w:val="24"/>
          <w:szCs w:val="24"/>
        </w:rPr>
        <w:footnoteReference w:id="1"/>
      </w:r>
    </w:p>
    <w:p w:rsidR="001868DE" w:rsidRPr="001868DE" w:rsidRDefault="001868DE" w:rsidP="001868DE">
      <w:pPr>
        <w:pStyle w:val="BodyText"/>
        <w:spacing w:line="240" w:lineRule="auto"/>
        <w:ind w:right="-2"/>
        <w:jc w:val="both"/>
        <w:rPr>
          <w:rFonts w:ascii="Book Antiqua" w:hAnsi="Book Antiqua"/>
          <w:sz w:val="24"/>
          <w:szCs w:val="24"/>
        </w:rPr>
      </w:pPr>
      <w:r w:rsidRPr="001868DE">
        <w:rPr>
          <w:rFonts w:ascii="Book Antiqua" w:hAnsi="Book Antiqua"/>
          <w:sz w:val="24"/>
          <w:szCs w:val="24"/>
        </w:rPr>
        <w:t xml:space="preserve">In Article 13 paragraph (3) of </w:t>
      </w:r>
      <w:proofErr w:type="spellStart"/>
      <w:r w:rsidRPr="001868DE">
        <w:rPr>
          <w:rFonts w:ascii="Book Antiqua" w:hAnsi="Book Antiqua"/>
          <w:sz w:val="24"/>
          <w:szCs w:val="24"/>
        </w:rPr>
        <w:t>Qanun</w:t>
      </w:r>
      <w:proofErr w:type="spellEnd"/>
      <w:r w:rsidRPr="001868DE">
        <w:rPr>
          <w:rFonts w:ascii="Book Antiqua" w:hAnsi="Book Antiqua"/>
          <w:sz w:val="24"/>
          <w:szCs w:val="24"/>
        </w:rPr>
        <w:t xml:space="preserve"> Aceh Number 9 of 2008 concerning the development of customary life and customs, it is stated that law enforcement officials provide an opportunity so that disputes that occur in </w:t>
      </w:r>
      <w:proofErr w:type="spellStart"/>
      <w:r w:rsidRPr="001868DE">
        <w:rPr>
          <w:rFonts w:ascii="Book Antiqua" w:hAnsi="Book Antiqua"/>
          <w:sz w:val="24"/>
          <w:szCs w:val="24"/>
        </w:rPr>
        <w:t>gampong</w:t>
      </w:r>
      <w:proofErr w:type="spellEnd"/>
      <w:r w:rsidRPr="001868DE">
        <w:rPr>
          <w:rFonts w:ascii="Book Antiqua" w:hAnsi="Book Antiqua"/>
          <w:sz w:val="24"/>
          <w:szCs w:val="24"/>
        </w:rPr>
        <w:t xml:space="preserve"> are resolved fir</w:t>
      </w:r>
      <w:r w:rsidR="005F6116">
        <w:rPr>
          <w:rFonts w:ascii="Book Antiqua" w:hAnsi="Book Antiqua"/>
          <w:sz w:val="24"/>
          <w:szCs w:val="24"/>
        </w:rPr>
        <w:t xml:space="preserve">st according to </w:t>
      </w:r>
      <w:proofErr w:type="spellStart"/>
      <w:r w:rsidR="005F6116">
        <w:rPr>
          <w:rFonts w:ascii="Book Antiqua" w:hAnsi="Book Antiqua"/>
          <w:sz w:val="24"/>
          <w:szCs w:val="24"/>
        </w:rPr>
        <w:t>Gampong</w:t>
      </w:r>
      <w:proofErr w:type="spellEnd"/>
      <w:r w:rsidR="005F6116">
        <w:rPr>
          <w:rFonts w:ascii="Book Antiqua" w:hAnsi="Book Antiqua"/>
          <w:sz w:val="24"/>
          <w:szCs w:val="24"/>
        </w:rPr>
        <w:t xml:space="preserve"> custom.</w:t>
      </w:r>
      <w:r w:rsidR="005F6116">
        <w:rPr>
          <w:rStyle w:val="FootnoteReference"/>
          <w:rFonts w:ascii="Book Antiqua" w:hAnsi="Book Antiqua"/>
          <w:sz w:val="24"/>
          <w:szCs w:val="24"/>
        </w:rPr>
        <w:footnoteReference w:id="2"/>
      </w:r>
      <w:r w:rsidR="005F6116">
        <w:rPr>
          <w:rFonts w:ascii="Book Antiqua" w:hAnsi="Book Antiqua"/>
          <w:sz w:val="24"/>
          <w:szCs w:val="24"/>
        </w:rPr>
        <w:t xml:space="preserve"> </w:t>
      </w:r>
      <w:r w:rsidRPr="001868DE">
        <w:rPr>
          <w:rFonts w:ascii="Book Antiqua" w:hAnsi="Book Antiqua"/>
          <w:sz w:val="24"/>
          <w:szCs w:val="24"/>
        </w:rPr>
        <w:t xml:space="preserve">However, not all criminal or civil matters can be resolved by the customary court in </w:t>
      </w:r>
      <w:proofErr w:type="spellStart"/>
      <w:r w:rsidRPr="001868DE">
        <w:rPr>
          <w:rFonts w:ascii="Book Antiqua" w:hAnsi="Book Antiqua"/>
          <w:sz w:val="24"/>
          <w:szCs w:val="24"/>
        </w:rPr>
        <w:t>Gampong</w:t>
      </w:r>
      <w:proofErr w:type="spellEnd"/>
      <w:r w:rsidRPr="001868DE">
        <w:rPr>
          <w:rFonts w:ascii="Book Antiqua" w:hAnsi="Book Antiqua"/>
          <w:sz w:val="24"/>
          <w:szCs w:val="24"/>
        </w:rPr>
        <w:t xml:space="preserve"> Aceh. In Article 13 paragraph (1) of </w:t>
      </w:r>
      <w:proofErr w:type="spellStart"/>
      <w:r w:rsidRPr="001868DE">
        <w:rPr>
          <w:rFonts w:ascii="Book Antiqua" w:hAnsi="Book Antiqua"/>
          <w:sz w:val="24"/>
          <w:szCs w:val="24"/>
        </w:rPr>
        <w:t>Qanun</w:t>
      </w:r>
      <w:proofErr w:type="spellEnd"/>
      <w:r w:rsidRPr="001868DE">
        <w:rPr>
          <w:rFonts w:ascii="Book Antiqua" w:hAnsi="Book Antiqua"/>
          <w:sz w:val="24"/>
          <w:szCs w:val="24"/>
        </w:rPr>
        <w:t xml:space="preserve"> Number 9 of 2008 concerning fostering customary life and customs, it is stated that there are 18 issues that can be resolved in customary courts at the </w:t>
      </w:r>
      <w:proofErr w:type="spellStart"/>
      <w:r w:rsidRPr="001868DE">
        <w:rPr>
          <w:rFonts w:ascii="Book Antiqua" w:hAnsi="Book Antiqua"/>
          <w:sz w:val="24"/>
          <w:szCs w:val="24"/>
        </w:rPr>
        <w:t>gampong</w:t>
      </w:r>
      <w:proofErr w:type="spellEnd"/>
      <w:r w:rsidRPr="001868DE">
        <w:rPr>
          <w:rFonts w:ascii="Book Antiqua" w:hAnsi="Book Antiqua"/>
          <w:sz w:val="24"/>
          <w:szCs w:val="24"/>
        </w:rPr>
        <w:t xml:space="preserve"> level.</w:t>
      </w:r>
      <w:r w:rsidR="006662DB">
        <w:rPr>
          <w:rStyle w:val="FootnoteReference"/>
          <w:rFonts w:ascii="Book Antiqua" w:hAnsi="Book Antiqua"/>
          <w:sz w:val="24"/>
          <w:szCs w:val="24"/>
        </w:rPr>
        <w:footnoteReference w:id="3"/>
      </w:r>
      <w:r w:rsidR="006662DB" w:rsidRPr="001868DE">
        <w:rPr>
          <w:rFonts w:ascii="Book Antiqua" w:hAnsi="Book Antiqua"/>
          <w:sz w:val="24"/>
          <w:szCs w:val="24"/>
        </w:rPr>
        <w:t xml:space="preserve"> </w:t>
      </w:r>
    </w:p>
    <w:p w:rsidR="001868DE" w:rsidRPr="001868DE" w:rsidRDefault="001868DE" w:rsidP="001868DE">
      <w:pPr>
        <w:pStyle w:val="BodyText"/>
        <w:spacing w:line="240" w:lineRule="auto"/>
        <w:ind w:right="-2"/>
        <w:jc w:val="both"/>
        <w:rPr>
          <w:rFonts w:ascii="Book Antiqua" w:hAnsi="Book Antiqua"/>
          <w:sz w:val="24"/>
          <w:szCs w:val="24"/>
        </w:rPr>
      </w:pPr>
      <w:r w:rsidRPr="001868DE">
        <w:rPr>
          <w:rFonts w:ascii="Book Antiqua" w:hAnsi="Book Antiqua"/>
          <w:sz w:val="24"/>
          <w:szCs w:val="24"/>
        </w:rPr>
        <w:t xml:space="preserve">Technically, the procedure for resolving disputes according to </w:t>
      </w:r>
      <w:proofErr w:type="spellStart"/>
      <w:r w:rsidRPr="001868DE">
        <w:rPr>
          <w:rFonts w:ascii="Book Antiqua" w:hAnsi="Book Antiqua"/>
          <w:sz w:val="24"/>
          <w:szCs w:val="24"/>
        </w:rPr>
        <w:t>Gampong</w:t>
      </w:r>
      <w:proofErr w:type="spellEnd"/>
      <w:r w:rsidRPr="001868DE">
        <w:rPr>
          <w:rFonts w:ascii="Book Antiqua" w:hAnsi="Book Antiqua"/>
          <w:sz w:val="24"/>
          <w:szCs w:val="24"/>
        </w:rPr>
        <w:t xml:space="preserve"> customs has been regulated in </w:t>
      </w:r>
      <w:hyperlink r:id="rId12" w:tgtFrame="_blank" w:history="1">
        <w:r w:rsidRPr="001868DE">
          <w:rPr>
            <w:rFonts w:ascii="Book Antiqua" w:hAnsi="Book Antiqua"/>
            <w:sz w:val="24"/>
            <w:szCs w:val="24"/>
          </w:rPr>
          <w:t xml:space="preserve">the Joint Decree of the Governor of Aceh, the Head of the Aceh Regional Police and the Aceh Traditional Council Number 189/667/20011, 1054/MAA/XII/2011, B/121/I/2012 regarding </w:t>
        </w:r>
      </w:hyperlink>
      <w:hyperlink r:id="rId13" w:tgtFrame="_blank" w:history="1">
        <w:r w:rsidRPr="001868DE">
          <w:rPr>
            <w:rFonts w:ascii="Book Antiqua" w:hAnsi="Book Antiqua"/>
            <w:sz w:val="24"/>
            <w:szCs w:val="24"/>
          </w:rPr>
          <w:t xml:space="preserve">the Implementation of </w:t>
        </w:r>
        <w:proofErr w:type="spellStart"/>
        <w:r w:rsidRPr="001868DE">
          <w:rPr>
            <w:rFonts w:ascii="Book Antiqua" w:hAnsi="Book Antiqua"/>
            <w:sz w:val="24"/>
            <w:szCs w:val="24"/>
          </w:rPr>
          <w:t>Gampong</w:t>
        </w:r>
        <w:proofErr w:type="spellEnd"/>
        <w:r w:rsidRPr="001868DE">
          <w:rPr>
            <w:rFonts w:ascii="Book Antiqua" w:hAnsi="Book Antiqua"/>
            <w:sz w:val="24"/>
            <w:szCs w:val="24"/>
          </w:rPr>
          <w:t xml:space="preserve"> and </w:t>
        </w:r>
        <w:proofErr w:type="spellStart"/>
        <w:r w:rsidRPr="001868DE">
          <w:rPr>
            <w:rFonts w:ascii="Book Antiqua" w:hAnsi="Book Antiqua"/>
            <w:sz w:val="24"/>
            <w:szCs w:val="24"/>
          </w:rPr>
          <w:t>Mukim</w:t>
        </w:r>
        <w:proofErr w:type="spellEnd"/>
        <w:r w:rsidRPr="001868DE">
          <w:rPr>
            <w:rFonts w:ascii="Book Antiqua" w:hAnsi="Book Antiqua"/>
            <w:sz w:val="24"/>
            <w:szCs w:val="24"/>
          </w:rPr>
          <w:t xml:space="preserve"> Traditional Courts or Other Names in Aceh </w:t>
        </w:r>
      </w:hyperlink>
      <w:r w:rsidRPr="001868DE">
        <w:rPr>
          <w:rFonts w:ascii="Book Antiqua" w:hAnsi="Book Antiqua"/>
          <w:sz w:val="24"/>
          <w:szCs w:val="24"/>
        </w:rPr>
        <w:t xml:space="preserve">(SKB), which expressly states that the </w:t>
      </w:r>
      <w:proofErr w:type="spellStart"/>
      <w:r w:rsidRPr="001868DE">
        <w:rPr>
          <w:rFonts w:ascii="Book Antiqua" w:hAnsi="Book Antiqua"/>
          <w:sz w:val="24"/>
          <w:szCs w:val="24"/>
        </w:rPr>
        <w:t>Gampong</w:t>
      </w:r>
      <w:proofErr w:type="spellEnd"/>
      <w:r w:rsidRPr="001868DE">
        <w:rPr>
          <w:rFonts w:ascii="Book Antiqua" w:hAnsi="Book Antiqua"/>
          <w:sz w:val="24"/>
          <w:szCs w:val="24"/>
        </w:rPr>
        <w:t xml:space="preserve"> Customary Court Decisions are final and binding. This means that cases resolved through the </w:t>
      </w:r>
      <w:proofErr w:type="spellStart"/>
      <w:r w:rsidRPr="001868DE">
        <w:rPr>
          <w:rFonts w:ascii="Book Antiqua" w:hAnsi="Book Antiqua"/>
          <w:sz w:val="24"/>
          <w:szCs w:val="24"/>
        </w:rPr>
        <w:t>Gampong</w:t>
      </w:r>
      <w:proofErr w:type="spellEnd"/>
      <w:r w:rsidRPr="001868DE">
        <w:rPr>
          <w:rFonts w:ascii="Book Antiqua" w:hAnsi="Book Antiqua"/>
          <w:sz w:val="24"/>
          <w:szCs w:val="24"/>
        </w:rPr>
        <w:t xml:space="preserve"> Customary Court cannot be submitted to other judicial institutions. This is confirmed in the sixth dictum of the SKB as follows:</w:t>
      </w:r>
    </w:p>
    <w:p w:rsidR="001868DE" w:rsidRPr="001868DE" w:rsidRDefault="001868DE" w:rsidP="001868DE">
      <w:pPr>
        <w:pStyle w:val="BodyText"/>
        <w:spacing w:line="240" w:lineRule="auto"/>
        <w:ind w:left="709" w:right="-2"/>
        <w:jc w:val="both"/>
        <w:rPr>
          <w:rFonts w:ascii="Book Antiqua" w:hAnsi="Book Antiqua"/>
          <w:sz w:val="24"/>
          <w:szCs w:val="24"/>
        </w:rPr>
      </w:pPr>
      <w:r w:rsidRPr="001868DE">
        <w:rPr>
          <w:rFonts w:ascii="Book Antiqua" w:hAnsi="Book Antiqua"/>
          <w:sz w:val="24"/>
          <w:szCs w:val="24"/>
        </w:rPr>
        <w:t xml:space="preserve">"Decision of the </w:t>
      </w:r>
      <w:proofErr w:type="spellStart"/>
      <w:r w:rsidRPr="001868DE">
        <w:rPr>
          <w:rFonts w:ascii="Book Antiqua" w:hAnsi="Book Antiqua"/>
          <w:sz w:val="24"/>
          <w:szCs w:val="24"/>
        </w:rPr>
        <w:t>Gampong</w:t>
      </w:r>
      <w:proofErr w:type="spellEnd"/>
      <w:r w:rsidRPr="001868DE">
        <w:rPr>
          <w:rFonts w:ascii="Book Antiqua" w:hAnsi="Book Antiqua"/>
          <w:sz w:val="24"/>
          <w:szCs w:val="24"/>
        </w:rPr>
        <w:t xml:space="preserve"> and </w:t>
      </w:r>
      <w:proofErr w:type="spellStart"/>
      <w:r w:rsidRPr="001868DE">
        <w:rPr>
          <w:rFonts w:ascii="Book Antiqua" w:hAnsi="Book Antiqua"/>
          <w:sz w:val="24"/>
          <w:szCs w:val="24"/>
        </w:rPr>
        <w:t>Mukim</w:t>
      </w:r>
      <w:proofErr w:type="spellEnd"/>
      <w:r w:rsidRPr="001868DE">
        <w:rPr>
          <w:rFonts w:ascii="Book Antiqua" w:hAnsi="Book Antiqua"/>
          <w:sz w:val="24"/>
          <w:szCs w:val="24"/>
        </w:rPr>
        <w:t xml:space="preserve"> Customary Courts or other names in Aceh is </w:t>
      </w:r>
      <w:proofErr w:type="gramStart"/>
      <w:r w:rsidRPr="001868DE">
        <w:rPr>
          <w:rFonts w:ascii="Book Antiqua" w:hAnsi="Book Antiqua"/>
          <w:sz w:val="24"/>
          <w:szCs w:val="24"/>
        </w:rPr>
        <w:t>Final</w:t>
      </w:r>
      <w:proofErr w:type="gramEnd"/>
      <w:r w:rsidRPr="001868DE">
        <w:rPr>
          <w:rFonts w:ascii="Book Antiqua" w:hAnsi="Book Antiqua"/>
          <w:sz w:val="24"/>
          <w:szCs w:val="24"/>
        </w:rPr>
        <w:t xml:space="preserve"> and Binding and cannot be submitted again to general courts or other courts."</w:t>
      </w:r>
    </w:p>
    <w:p w:rsidR="001868DE" w:rsidRPr="001868DE" w:rsidRDefault="001868DE" w:rsidP="001868DE">
      <w:pPr>
        <w:pStyle w:val="BodyText"/>
        <w:spacing w:line="240" w:lineRule="auto"/>
        <w:ind w:right="-2"/>
        <w:jc w:val="both"/>
        <w:rPr>
          <w:rFonts w:ascii="Book Antiqua" w:hAnsi="Book Antiqua"/>
          <w:sz w:val="24"/>
          <w:szCs w:val="24"/>
        </w:rPr>
      </w:pPr>
      <w:r w:rsidRPr="001868DE">
        <w:rPr>
          <w:rFonts w:ascii="Book Antiqua" w:hAnsi="Book Antiqua"/>
          <w:sz w:val="24"/>
          <w:szCs w:val="24"/>
        </w:rPr>
        <w:t xml:space="preserve">The binding nature of the Customary Court Decision is also reaffirmed in Article 18 paragraph (1) of </w:t>
      </w:r>
      <w:proofErr w:type="spellStart"/>
      <w:r w:rsidRPr="001868DE">
        <w:rPr>
          <w:rFonts w:ascii="Book Antiqua" w:hAnsi="Book Antiqua"/>
          <w:sz w:val="24"/>
          <w:szCs w:val="24"/>
        </w:rPr>
        <w:t>Pergub</w:t>
      </w:r>
      <w:proofErr w:type="spellEnd"/>
      <w:r w:rsidRPr="001868DE">
        <w:rPr>
          <w:rFonts w:ascii="Book Antiqua" w:hAnsi="Book Antiqua"/>
          <w:sz w:val="24"/>
          <w:szCs w:val="24"/>
        </w:rPr>
        <w:t xml:space="preserve"> Aceh 60/2013 which also states the following:</w:t>
      </w:r>
    </w:p>
    <w:p w:rsidR="001868DE" w:rsidRPr="001868DE" w:rsidRDefault="001868DE" w:rsidP="001868DE">
      <w:pPr>
        <w:pStyle w:val="BodyText"/>
        <w:spacing w:line="240" w:lineRule="auto"/>
        <w:ind w:left="709" w:right="-2"/>
        <w:jc w:val="both"/>
        <w:rPr>
          <w:rFonts w:ascii="Book Antiqua" w:hAnsi="Book Antiqua"/>
          <w:sz w:val="24"/>
          <w:szCs w:val="24"/>
        </w:rPr>
      </w:pPr>
      <w:r w:rsidRPr="001868DE">
        <w:rPr>
          <w:rFonts w:ascii="Book Antiqua" w:hAnsi="Book Antiqua"/>
          <w:sz w:val="24"/>
          <w:szCs w:val="24"/>
        </w:rPr>
        <w:t>"Decision of the Customary Court is peaceful and binding".</w:t>
      </w:r>
    </w:p>
    <w:p w:rsidR="001868DE" w:rsidRPr="001868DE" w:rsidRDefault="001868DE" w:rsidP="001868DE">
      <w:pPr>
        <w:pStyle w:val="BodyText"/>
        <w:spacing w:line="240" w:lineRule="auto"/>
        <w:ind w:right="-2"/>
        <w:jc w:val="both"/>
        <w:rPr>
          <w:rFonts w:ascii="Book Antiqua" w:hAnsi="Book Antiqua"/>
          <w:sz w:val="24"/>
          <w:szCs w:val="24"/>
        </w:rPr>
      </w:pPr>
      <w:r w:rsidRPr="001868DE">
        <w:rPr>
          <w:rFonts w:ascii="Book Antiqua" w:hAnsi="Book Antiqua"/>
          <w:sz w:val="24"/>
          <w:szCs w:val="24"/>
        </w:rPr>
        <w:t xml:space="preserve">In practice, there are instances where customary court decisions can be re-processed through legal remedies according to the type of case. For example, the case that happened to a </w:t>
      </w:r>
      <w:proofErr w:type="spellStart"/>
      <w:r w:rsidRPr="001868DE">
        <w:rPr>
          <w:rFonts w:ascii="Book Antiqua" w:hAnsi="Book Antiqua"/>
          <w:sz w:val="24"/>
          <w:szCs w:val="24"/>
        </w:rPr>
        <w:t>Keuchik</w:t>
      </w:r>
      <w:proofErr w:type="spellEnd"/>
      <w:r w:rsidRPr="001868DE">
        <w:rPr>
          <w:rFonts w:ascii="Book Antiqua" w:hAnsi="Book Antiqua"/>
          <w:sz w:val="24"/>
          <w:szCs w:val="24"/>
        </w:rPr>
        <w:t xml:space="preserve"> in one of the </w:t>
      </w:r>
      <w:proofErr w:type="spellStart"/>
      <w:r w:rsidRPr="001868DE">
        <w:rPr>
          <w:rFonts w:ascii="Book Antiqua" w:hAnsi="Book Antiqua"/>
          <w:sz w:val="24"/>
          <w:szCs w:val="24"/>
        </w:rPr>
        <w:t>gampongs</w:t>
      </w:r>
      <w:proofErr w:type="spellEnd"/>
      <w:r w:rsidRPr="001868DE">
        <w:rPr>
          <w:rFonts w:ascii="Book Antiqua" w:hAnsi="Book Antiqua"/>
          <w:sz w:val="24"/>
          <w:szCs w:val="24"/>
        </w:rPr>
        <w:t xml:space="preserve"> in </w:t>
      </w:r>
      <w:proofErr w:type="spellStart"/>
      <w:r w:rsidRPr="001868DE">
        <w:rPr>
          <w:rFonts w:ascii="Book Antiqua" w:hAnsi="Book Antiqua"/>
          <w:sz w:val="24"/>
          <w:szCs w:val="24"/>
        </w:rPr>
        <w:t>Lhokseumawe</w:t>
      </w:r>
      <w:proofErr w:type="spellEnd"/>
      <w:r w:rsidRPr="001868DE">
        <w:rPr>
          <w:rFonts w:ascii="Book Antiqua" w:hAnsi="Book Antiqua"/>
          <w:sz w:val="24"/>
          <w:szCs w:val="24"/>
        </w:rPr>
        <w:t xml:space="preserve"> City where after deciding a case that fell under the authority of 18 </w:t>
      </w:r>
      <w:proofErr w:type="spellStart"/>
      <w:r w:rsidRPr="001868DE">
        <w:rPr>
          <w:rFonts w:ascii="Book Antiqua" w:hAnsi="Book Antiqua"/>
          <w:sz w:val="24"/>
          <w:szCs w:val="24"/>
        </w:rPr>
        <w:t>gampongs</w:t>
      </w:r>
      <w:proofErr w:type="spellEnd"/>
      <w:r w:rsidRPr="001868DE">
        <w:rPr>
          <w:rFonts w:ascii="Book Antiqua" w:hAnsi="Book Antiqua"/>
          <w:sz w:val="24"/>
          <w:szCs w:val="24"/>
        </w:rPr>
        <w:t xml:space="preserve"> in Aceh, he was named a suspect with the offense of extortion. He stated that in the </w:t>
      </w:r>
      <w:proofErr w:type="spellStart"/>
      <w:r w:rsidRPr="001868DE">
        <w:rPr>
          <w:rFonts w:ascii="Book Antiqua" w:hAnsi="Book Antiqua"/>
          <w:sz w:val="24"/>
          <w:szCs w:val="24"/>
        </w:rPr>
        <w:t>gampong</w:t>
      </w:r>
      <w:proofErr w:type="spellEnd"/>
      <w:r w:rsidRPr="001868DE">
        <w:rPr>
          <w:rFonts w:ascii="Book Antiqua" w:hAnsi="Book Antiqua"/>
          <w:sz w:val="24"/>
          <w:szCs w:val="24"/>
        </w:rPr>
        <w:t xml:space="preserve"> where he is </w:t>
      </w:r>
      <w:proofErr w:type="spellStart"/>
      <w:r w:rsidRPr="001868DE">
        <w:rPr>
          <w:rFonts w:ascii="Book Antiqua" w:hAnsi="Book Antiqua"/>
          <w:sz w:val="24"/>
          <w:szCs w:val="24"/>
        </w:rPr>
        <w:t>Keuchik</w:t>
      </w:r>
      <w:proofErr w:type="spellEnd"/>
      <w:r w:rsidRPr="001868DE">
        <w:rPr>
          <w:rFonts w:ascii="Book Antiqua" w:hAnsi="Book Antiqua"/>
          <w:sz w:val="24"/>
          <w:szCs w:val="24"/>
        </w:rPr>
        <w:t xml:space="preserve">, it was a mutual agreement that every pervert who had not committed adultery would be fined with an amount of money handed over to the </w:t>
      </w:r>
      <w:proofErr w:type="spellStart"/>
      <w:r w:rsidRPr="001868DE">
        <w:rPr>
          <w:rFonts w:ascii="Book Antiqua" w:hAnsi="Book Antiqua"/>
          <w:sz w:val="24"/>
          <w:szCs w:val="24"/>
        </w:rPr>
        <w:t>Gampong</w:t>
      </w:r>
      <w:proofErr w:type="spellEnd"/>
      <w:r w:rsidRPr="001868DE">
        <w:rPr>
          <w:rFonts w:ascii="Book Antiqua" w:hAnsi="Book Antiqua"/>
          <w:sz w:val="24"/>
          <w:szCs w:val="24"/>
        </w:rPr>
        <w:t xml:space="preserve">. However, he did not expect that his decision would lead to his being named a suspect with the offense of extortion after the perverted perpetrator reported him. Based on the data obtained, the perpetrators of customary violations report the </w:t>
      </w:r>
      <w:proofErr w:type="spellStart"/>
      <w:r w:rsidRPr="001868DE">
        <w:rPr>
          <w:rFonts w:ascii="Book Antiqua" w:hAnsi="Book Antiqua"/>
          <w:sz w:val="24"/>
          <w:szCs w:val="24"/>
        </w:rPr>
        <w:t>gampong</w:t>
      </w:r>
      <w:proofErr w:type="spellEnd"/>
      <w:r w:rsidRPr="001868DE">
        <w:rPr>
          <w:rFonts w:ascii="Book Antiqua" w:hAnsi="Book Antiqua"/>
          <w:sz w:val="24"/>
          <w:szCs w:val="24"/>
        </w:rPr>
        <w:t xml:space="preserve"> government, causing a number of </w:t>
      </w:r>
      <w:proofErr w:type="spellStart"/>
      <w:r w:rsidRPr="001868DE">
        <w:rPr>
          <w:rFonts w:ascii="Book Antiqua" w:hAnsi="Book Antiqua"/>
          <w:sz w:val="24"/>
          <w:szCs w:val="24"/>
        </w:rPr>
        <w:t>gampong</w:t>
      </w:r>
      <w:proofErr w:type="spellEnd"/>
      <w:r w:rsidRPr="001868DE">
        <w:rPr>
          <w:rFonts w:ascii="Book Antiqua" w:hAnsi="Book Antiqua"/>
          <w:sz w:val="24"/>
          <w:szCs w:val="24"/>
        </w:rPr>
        <w:t xml:space="preserve"> governments not dare </w:t>
      </w:r>
      <w:r w:rsidR="00910821" w:rsidRPr="001868DE">
        <w:rPr>
          <w:rFonts w:ascii="Book Antiqua" w:hAnsi="Book Antiqua"/>
          <w:sz w:val="24"/>
          <w:szCs w:val="24"/>
        </w:rPr>
        <w:t>implementing</w:t>
      </w:r>
      <w:r w:rsidRPr="001868DE">
        <w:rPr>
          <w:rFonts w:ascii="Book Antiqua" w:hAnsi="Book Antiqua"/>
          <w:sz w:val="24"/>
          <w:szCs w:val="24"/>
        </w:rPr>
        <w:t xml:space="preserve"> some of the judicial authority given to </w:t>
      </w:r>
      <w:proofErr w:type="spellStart"/>
      <w:r w:rsidRPr="001868DE">
        <w:rPr>
          <w:rFonts w:ascii="Book Antiqua" w:hAnsi="Book Antiqua"/>
          <w:sz w:val="24"/>
          <w:szCs w:val="24"/>
        </w:rPr>
        <w:t>gampong</w:t>
      </w:r>
      <w:proofErr w:type="spellEnd"/>
      <w:r w:rsidRPr="001868DE">
        <w:rPr>
          <w:rFonts w:ascii="Book Antiqua" w:hAnsi="Book Antiqua"/>
          <w:sz w:val="24"/>
          <w:szCs w:val="24"/>
        </w:rPr>
        <w:t>.</w:t>
      </w:r>
    </w:p>
    <w:p w:rsidR="004B1F20" w:rsidRPr="001868DE" w:rsidRDefault="001868DE" w:rsidP="001868DE">
      <w:pPr>
        <w:spacing w:after="120" w:line="240" w:lineRule="auto"/>
        <w:jc w:val="both"/>
        <w:rPr>
          <w:rFonts w:ascii="Book Antiqua" w:hAnsi="Book Antiqua" w:cstheme="majorHAnsi"/>
          <w:sz w:val="24"/>
          <w:szCs w:val="24"/>
          <w:lang w:val="en-GB"/>
        </w:rPr>
      </w:pPr>
      <w:r w:rsidRPr="001868DE">
        <w:rPr>
          <w:rFonts w:ascii="Book Antiqua" w:hAnsi="Book Antiqua"/>
          <w:sz w:val="24"/>
          <w:szCs w:val="24"/>
        </w:rPr>
        <w:lastRenderedPageBreak/>
        <w:t xml:space="preserve">In this paper, researchers examine the legal force of customary court decisions and also the extent to which customary justice in </w:t>
      </w:r>
      <w:proofErr w:type="spellStart"/>
      <w:r w:rsidRPr="001868DE">
        <w:rPr>
          <w:rFonts w:ascii="Book Antiqua" w:hAnsi="Book Antiqua"/>
          <w:sz w:val="24"/>
          <w:szCs w:val="24"/>
        </w:rPr>
        <w:t>gampongs</w:t>
      </w:r>
      <w:proofErr w:type="spellEnd"/>
      <w:r w:rsidRPr="001868DE">
        <w:rPr>
          <w:rFonts w:ascii="Book Antiqua" w:hAnsi="Book Antiqua"/>
          <w:sz w:val="24"/>
          <w:szCs w:val="24"/>
        </w:rPr>
        <w:t xml:space="preserve"> in </w:t>
      </w:r>
      <w:proofErr w:type="spellStart"/>
      <w:r w:rsidRPr="001868DE">
        <w:rPr>
          <w:rFonts w:ascii="Book Antiqua" w:hAnsi="Book Antiqua"/>
          <w:sz w:val="24"/>
          <w:szCs w:val="24"/>
        </w:rPr>
        <w:t>Muara</w:t>
      </w:r>
      <w:proofErr w:type="spellEnd"/>
      <w:r w:rsidRPr="001868DE">
        <w:rPr>
          <w:rFonts w:ascii="Book Antiqua" w:hAnsi="Book Antiqua"/>
          <w:sz w:val="24"/>
          <w:szCs w:val="24"/>
        </w:rPr>
        <w:t xml:space="preserve"> </w:t>
      </w:r>
      <w:proofErr w:type="spellStart"/>
      <w:r w:rsidRPr="001868DE">
        <w:rPr>
          <w:rFonts w:ascii="Book Antiqua" w:hAnsi="Book Antiqua"/>
          <w:sz w:val="24"/>
          <w:szCs w:val="24"/>
        </w:rPr>
        <w:t>Batu</w:t>
      </w:r>
      <w:proofErr w:type="spellEnd"/>
      <w:r w:rsidRPr="001868DE">
        <w:rPr>
          <w:rFonts w:ascii="Book Antiqua" w:hAnsi="Book Antiqua"/>
          <w:sz w:val="24"/>
          <w:szCs w:val="24"/>
        </w:rPr>
        <w:t xml:space="preserve"> District, North Aceh applies customary justice and what obstacles are encountered in this effort.</w:t>
      </w:r>
    </w:p>
    <w:p w:rsidR="00AF20D0" w:rsidRPr="00DE3E9D" w:rsidRDefault="00AF20D0" w:rsidP="00A26219">
      <w:pPr>
        <w:spacing w:after="120" w:line="240" w:lineRule="auto"/>
        <w:jc w:val="both"/>
        <w:rPr>
          <w:rFonts w:ascii="Book Antiqua" w:hAnsi="Book Antiqua"/>
          <w:sz w:val="24"/>
          <w:szCs w:val="24"/>
        </w:rPr>
      </w:pPr>
    </w:p>
    <w:p w:rsidR="004B1F20" w:rsidRPr="001868DE" w:rsidRDefault="004B1F20" w:rsidP="001868DE">
      <w:pPr>
        <w:numPr>
          <w:ilvl w:val="0"/>
          <w:numId w:val="18"/>
        </w:numPr>
        <w:spacing w:after="120" w:line="240" w:lineRule="auto"/>
        <w:ind w:left="284" w:hanging="284"/>
        <w:jc w:val="both"/>
        <w:rPr>
          <w:rFonts w:ascii="Book Antiqua" w:hAnsi="Book Antiqua"/>
          <w:b/>
          <w:bCs/>
          <w:color w:val="4472C4" w:themeColor="accent1"/>
          <w:sz w:val="24"/>
          <w:szCs w:val="24"/>
          <w:lang w:val="id-ID"/>
        </w:rPr>
      </w:pPr>
      <w:r w:rsidRPr="001868DE">
        <w:rPr>
          <w:rFonts w:ascii="Book Antiqua" w:hAnsi="Book Antiqua"/>
          <w:b/>
          <w:color w:val="2F5496" w:themeColor="accent1" w:themeShade="BF"/>
          <w:sz w:val="24"/>
          <w:szCs w:val="24"/>
        </w:rPr>
        <w:t>METHOD</w:t>
      </w:r>
    </w:p>
    <w:p w:rsidR="001868DE" w:rsidRPr="001868DE" w:rsidRDefault="001868DE" w:rsidP="001868DE">
      <w:pPr>
        <w:pStyle w:val="BodyText"/>
        <w:spacing w:line="240" w:lineRule="auto"/>
        <w:ind w:right="-2"/>
        <w:jc w:val="both"/>
        <w:rPr>
          <w:rFonts w:ascii="Book Antiqua" w:hAnsi="Book Antiqua"/>
          <w:sz w:val="24"/>
          <w:szCs w:val="24"/>
        </w:rPr>
      </w:pPr>
      <w:r w:rsidRPr="001868DE">
        <w:rPr>
          <w:rFonts w:ascii="Book Antiqua" w:hAnsi="Book Antiqua"/>
          <w:sz w:val="24"/>
          <w:szCs w:val="24"/>
        </w:rPr>
        <w:t xml:space="preserve">This study uses a qualitative approach. The choice of a qualitative approach in this research is because this research wants to comprehensively understand the legal compliance of customary court decisions in Aceh by taking case studies in </w:t>
      </w:r>
      <w:proofErr w:type="spellStart"/>
      <w:r w:rsidRPr="001868DE">
        <w:rPr>
          <w:rFonts w:ascii="Book Antiqua" w:hAnsi="Book Antiqua"/>
          <w:sz w:val="24"/>
          <w:szCs w:val="24"/>
        </w:rPr>
        <w:t>gampongs</w:t>
      </w:r>
      <w:proofErr w:type="spellEnd"/>
      <w:r w:rsidRPr="001868DE">
        <w:rPr>
          <w:rFonts w:ascii="Book Antiqua" w:hAnsi="Book Antiqua"/>
          <w:sz w:val="24"/>
          <w:szCs w:val="24"/>
        </w:rPr>
        <w:t xml:space="preserve"> in </w:t>
      </w:r>
      <w:proofErr w:type="spellStart"/>
      <w:r w:rsidRPr="001868DE">
        <w:rPr>
          <w:rFonts w:ascii="Book Antiqua" w:hAnsi="Book Antiqua"/>
          <w:sz w:val="24"/>
          <w:szCs w:val="24"/>
        </w:rPr>
        <w:t>Muara</w:t>
      </w:r>
      <w:proofErr w:type="spellEnd"/>
      <w:r w:rsidRPr="001868DE">
        <w:rPr>
          <w:rFonts w:ascii="Book Antiqua" w:hAnsi="Book Antiqua"/>
          <w:sz w:val="24"/>
          <w:szCs w:val="24"/>
        </w:rPr>
        <w:t xml:space="preserve"> </w:t>
      </w:r>
      <w:proofErr w:type="spellStart"/>
      <w:r w:rsidRPr="001868DE">
        <w:rPr>
          <w:rFonts w:ascii="Book Antiqua" w:hAnsi="Book Antiqua"/>
          <w:sz w:val="24"/>
          <w:szCs w:val="24"/>
        </w:rPr>
        <w:t>Batu</w:t>
      </w:r>
      <w:proofErr w:type="spellEnd"/>
      <w:r w:rsidRPr="001868DE">
        <w:rPr>
          <w:rFonts w:ascii="Book Antiqua" w:hAnsi="Book Antiqua"/>
          <w:sz w:val="24"/>
          <w:szCs w:val="24"/>
        </w:rPr>
        <w:t xml:space="preserve"> District, North Aceh.</w:t>
      </w:r>
      <w:r w:rsidR="00C21629">
        <w:rPr>
          <w:rStyle w:val="FootnoteReference"/>
          <w:rFonts w:ascii="Book Antiqua" w:hAnsi="Book Antiqua" w:cstheme="majorHAnsi"/>
          <w:sz w:val="24"/>
          <w:szCs w:val="24"/>
        </w:rPr>
        <w:footnoteReference w:id="4"/>
      </w:r>
      <w:r w:rsidRPr="001868DE">
        <w:rPr>
          <w:rFonts w:ascii="Book Antiqua" w:hAnsi="Book Antiqua"/>
          <w:sz w:val="24"/>
          <w:szCs w:val="24"/>
        </w:rPr>
        <w:t xml:space="preserve"> In this study, researchers used normative and sociological legal methodologies. The subjects or participants in this study were the community and village government in </w:t>
      </w:r>
      <w:proofErr w:type="spellStart"/>
      <w:r w:rsidRPr="001868DE">
        <w:rPr>
          <w:rFonts w:ascii="Book Antiqua" w:hAnsi="Book Antiqua"/>
          <w:sz w:val="24"/>
          <w:szCs w:val="24"/>
        </w:rPr>
        <w:t>Muara</w:t>
      </w:r>
      <w:proofErr w:type="spellEnd"/>
      <w:r w:rsidRPr="001868DE">
        <w:rPr>
          <w:rFonts w:ascii="Book Antiqua" w:hAnsi="Book Antiqua"/>
          <w:sz w:val="24"/>
          <w:szCs w:val="24"/>
        </w:rPr>
        <w:t xml:space="preserve"> </w:t>
      </w:r>
      <w:proofErr w:type="spellStart"/>
      <w:r w:rsidRPr="001868DE">
        <w:rPr>
          <w:rFonts w:ascii="Book Antiqua" w:hAnsi="Book Antiqua"/>
          <w:sz w:val="24"/>
          <w:szCs w:val="24"/>
        </w:rPr>
        <w:t>Batu</w:t>
      </w:r>
      <w:proofErr w:type="spellEnd"/>
      <w:r w:rsidRPr="001868DE">
        <w:rPr>
          <w:rFonts w:ascii="Book Antiqua" w:hAnsi="Book Antiqua"/>
          <w:sz w:val="24"/>
          <w:szCs w:val="24"/>
        </w:rPr>
        <w:t xml:space="preserve"> District. All of the subjects were selected using a purposive sampling method because in qualitative research what is important is the accuracy of the informants and the completeness and integrity of the data with the research context.</w:t>
      </w:r>
      <w:r w:rsidRPr="001868DE">
        <w:rPr>
          <w:rStyle w:val="FootnoteReference"/>
          <w:rFonts w:ascii="Book Antiqua" w:hAnsi="Book Antiqua" w:cstheme="majorHAnsi"/>
          <w:sz w:val="24"/>
          <w:szCs w:val="24"/>
        </w:rPr>
        <w:footnoteReference w:id="5"/>
      </w:r>
    </w:p>
    <w:p w:rsidR="001868DE" w:rsidRPr="001868DE" w:rsidRDefault="001868DE" w:rsidP="001868DE">
      <w:pPr>
        <w:pStyle w:val="BodyText"/>
        <w:spacing w:line="240" w:lineRule="auto"/>
        <w:ind w:right="-2"/>
        <w:jc w:val="both"/>
        <w:rPr>
          <w:rFonts w:ascii="Book Antiqua" w:hAnsi="Book Antiqua"/>
          <w:sz w:val="24"/>
          <w:szCs w:val="24"/>
        </w:rPr>
      </w:pPr>
      <w:r w:rsidRPr="001868DE">
        <w:rPr>
          <w:rFonts w:ascii="Book Antiqua" w:hAnsi="Book Antiqua"/>
          <w:sz w:val="24"/>
          <w:szCs w:val="24"/>
        </w:rPr>
        <w:t xml:space="preserve">In this study the data analysis techniques used were: First, the data reduction stage, in which the researcher will read the entire transcript of the results of the interviews, observations, and documents that are relevant to the research being raised so that general information will be obtained from each transcript. </w:t>
      </w:r>
      <w:proofErr w:type="gramStart"/>
      <w:r w:rsidRPr="001868DE">
        <w:rPr>
          <w:rFonts w:ascii="Book Antiqua" w:hAnsi="Book Antiqua"/>
          <w:sz w:val="24"/>
          <w:szCs w:val="24"/>
        </w:rPr>
        <w:t>Second, the data presentation stage.</w:t>
      </w:r>
      <w:proofErr w:type="gramEnd"/>
      <w:r w:rsidRPr="001868DE">
        <w:rPr>
          <w:rFonts w:ascii="Book Antiqua" w:hAnsi="Book Antiqua"/>
          <w:sz w:val="24"/>
          <w:szCs w:val="24"/>
        </w:rPr>
        <w:t xml:space="preserve"> The general messages that were revealed will then be compiled by researchers so that they become specific data (specific messages).</w:t>
      </w:r>
    </w:p>
    <w:p w:rsidR="004B1F20" w:rsidRPr="001868DE" w:rsidRDefault="001868DE" w:rsidP="001868DE">
      <w:pPr>
        <w:spacing w:after="120" w:line="240" w:lineRule="auto"/>
        <w:jc w:val="both"/>
        <w:rPr>
          <w:rFonts w:ascii="Book Antiqua" w:hAnsi="Book Antiqua" w:cstheme="majorHAnsi"/>
          <w:sz w:val="24"/>
          <w:szCs w:val="24"/>
        </w:rPr>
      </w:pPr>
      <w:r w:rsidRPr="001868DE">
        <w:rPr>
          <w:rFonts w:ascii="Book Antiqua" w:hAnsi="Book Antiqua"/>
          <w:sz w:val="24"/>
          <w:szCs w:val="24"/>
        </w:rPr>
        <w:t xml:space="preserve">Later, from these specific messages, the general pattern of data will be known, so that data can be grouped based on the sequence of events, categories, and typologies regarding the events </w:t>
      </w:r>
      <w:proofErr w:type="gramStart"/>
      <w:r w:rsidRPr="001868DE">
        <w:rPr>
          <w:rFonts w:ascii="Book Antiqua" w:hAnsi="Book Antiqua"/>
          <w:sz w:val="24"/>
          <w:szCs w:val="24"/>
        </w:rPr>
        <w:t>raised</w:t>
      </w:r>
      <w:proofErr w:type="gramEnd"/>
      <w:r w:rsidRPr="001868DE">
        <w:rPr>
          <w:rFonts w:ascii="Book Antiqua" w:hAnsi="Book Antiqua"/>
          <w:sz w:val="24"/>
          <w:szCs w:val="24"/>
        </w:rPr>
        <w:t xml:space="preserve"> in this study. Third, the stage of drawing conclusions and verification, namely the researcher will draw conclusions based on the findings obtained in the second stage. After drawing these initial conclusions, the researcher will collect supporting evidence to review whether the conclusions made are appropriate or not. Finally, as is common in qualitative research, analysis of case study data begins with the researcher in the field, when collecting data and when all the data has been collected.</w:t>
      </w:r>
    </w:p>
    <w:p w:rsidR="00AF20D0" w:rsidRPr="001868DE" w:rsidRDefault="00AF20D0" w:rsidP="00A26219">
      <w:pPr>
        <w:spacing w:after="120" w:line="240" w:lineRule="auto"/>
        <w:jc w:val="both"/>
        <w:rPr>
          <w:rFonts w:ascii="Book Antiqua" w:hAnsi="Book Antiqua" w:cs="Calibri"/>
          <w:color w:val="333333"/>
          <w:sz w:val="24"/>
          <w:szCs w:val="24"/>
        </w:rPr>
      </w:pPr>
    </w:p>
    <w:p w:rsidR="004B1F20" w:rsidRPr="00A833F3" w:rsidRDefault="004B1F20" w:rsidP="00A833F3">
      <w:pPr>
        <w:numPr>
          <w:ilvl w:val="0"/>
          <w:numId w:val="18"/>
        </w:numPr>
        <w:spacing w:after="120" w:line="240" w:lineRule="auto"/>
        <w:ind w:left="284" w:hanging="284"/>
        <w:jc w:val="both"/>
        <w:rPr>
          <w:rFonts w:ascii="Book Antiqua" w:hAnsi="Book Antiqua"/>
          <w:b/>
          <w:color w:val="2F5496" w:themeColor="accent1" w:themeShade="BF"/>
          <w:sz w:val="24"/>
          <w:szCs w:val="24"/>
        </w:rPr>
      </w:pPr>
      <w:r w:rsidRPr="00A833F3">
        <w:rPr>
          <w:rFonts w:ascii="Book Antiqua" w:hAnsi="Book Antiqua"/>
          <w:b/>
          <w:color w:val="2F5496" w:themeColor="accent1" w:themeShade="BF"/>
          <w:sz w:val="24"/>
          <w:szCs w:val="24"/>
        </w:rPr>
        <w:t>RESULTS AND DISCUSSION</w:t>
      </w:r>
    </w:p>
    <w:p w:rsidR="004B1F20" w:rsidRPr="00A833F3" w:rsidRDefault="001868DE" w:rsidP="00A833F3">
      <w:pPr>
        <w:pStyle w:val="ListParagraph"/>
        <w:numPr>
          <w:ilvl w:val="1"/>
          <w:numId w:val="18"/>
        </w:numPr>
        <w:spacing w:after="120" w:line="240" w:lineRule="auto"/>
        <w:ind w:left="360"/>
        <w:contextualSpacing w:val="0"/>
        <w:jc w:val="both"/>
        <w:rPr>
          <w:rFonts w:ascii="Book Antiqua" w:eastAsia="Arial Unicode MS" w:hAnsi="Book Antiqua" w:cstheme="majorHAnsi"/>
          <w:b/>
          <w:color w:val="000000" w:themeColor="text1"/>
          <w:sz w:val="24"/>
          <w:szCs w:val="24"/>
        </w:rPr>
      </w:pPr>
      <w:proofErr w:type="spellStart"/>
      <w:r w:rsidRPr="00A833F3">
        <w:rPr>
          <w:rFonts w:ascii="Book Antiqua" w:eastAsia="Arial Unicode MS" w:hAnsi="Book Antiqua" w:cstheme="majorHAnsi"/>
          <w:b/>
          <w:color w:val="000000" w:themeColor="text1"/>
          <w:sz w:val="24"/>
          <w:szCs w:val="24"/>
        </w:rPr>
        <w:t>Gampong</w:t>
      </w:r>
      <w:proofErr w:type="spellEnd"/>
      <w:r w:rsidRPr="00A833F3">
        <w:rPr>
          <w:rFonts w:ascii="Book Antiqua" w:eastAsia="Arial Unicode MS" w:hAnsi="Book Antiqua" w:cstheme="majorHAnsi"/>
          <w:b/>
          <w:color w:val="000000" w:themeColor="text1"/>
          <w:sz w:val="24"/>
          <w:szCs w:val="24"/>
        </w:rPr>
        <w:t xml:space="preserve"> Authority in Aceh</w:t>
      </w:r>
    </w:p>
    <w:p w:rsidR="00A833F3" w:rsidRPr="00A833F3" w:rsidRDefault="00A833F3" w:rsidP="00A833F3">
      <w:pPr>
        <w:pStyle w:val="BodyText"/>
        <w:spacing w:line="240" w:lineRule="auto"/>
        <w:ind w:right="-2"/>
        <w:jc w:val="both"/>
        <w:rPr>
          <w:rFonts w:ascii="Book Antiqua" w:hAnsi="Book Antiqua"/>
          <w:sz w:val="24"/>
          <w:szCs w:val="24"/>
        </w:rPr>
      </w:pPr>
      <w:r w:rsidRPr="00A833F3">
        <w:rPr>
          <w:rFonts w:ascii="Book Antiqua" w:hAnsi="Book Antiqua"/>
          <w:sz w:val="24"/>
          <w:szCs w:val="24"/>
        </w:rPr>
        <w:t xml:space="preserve">As a region with special authority in Indonesia,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government (another name for village) in Aceh is given the authority to administer justice at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level related to customary life and customs.</w:t>
      </w:r>
      <w:r w:rsidR="002B2792">
        <w:rPr>
          <w:rStyle w:val="FootnoteReference"/>
          <w:rFonts w:ascii="Book Antiqua" w:hAnsi="Book Antiqua"/>
          <w:sz w:val="24"/>
          <w:szCs w:val="24"/>
        </w:rPr>
        <w:footnoteReference w:id="6"/>
      </w:r>
      <w:r w:rsidRPr="00A833F3">
        <w:rPr>
          <w:rFonts w:ascii="Book Antiqua" w:hAnsi="Book Antiqua"/>
          <w:sz w:val="24"/>
          <w:szCs w:val="24"/>
        </w:rPr>
        <w:t xml:space="preserve"> The authority of the customary court includes civil cases such as settlement of inheritance disputes and also cases related to minor crimes.</w:t>
      </w:r>
    </w:p>
    <w:p w:rsidR="00A833F3" w:rsidRPr="00A833F3" w:rsidRDefault="00A833F3" w:rsidP="00A833F3">
      <w:pPr>
        <w:pStyle w:val="BodyText"/>
        <w:spacing w:line="240" w:lineRule="auto"/>
        <w:ind w:right="-2"/>
        <w:jc w:val="both"/>
        <w:rPr>
          <w:rFonts w:ascii="Book Antiqua" w:hAnsi="Book Antiqua"/>
          <w:sz w:val="24"/>
          <w:szCs w:val="24"/>
        </w:rPr>
      </w:pPr>
      <w:r w:rsidRPr="00A833F3">
        <w:rPr>
          <w:rFonts w:ascii="Book Antiqua" w:hAnsi="Book Antiqua"/>
          <w:sz w:val="24"/>
          <w:szCs w:val="24"/>
        </w:rPr>
        <w:t xml:space="preserve">In article 13 of </w:t>
      </w:r>
      <w:proofErr w:type="spellStart"/>
      <w:r w:rsidRPr="00A833F3">
        <w:rPr>
          <w:rFonts w:ascii="Book Antiqua" w:hAnsi="Book Antiqua"/>
          <w:sz w:val="24"/>
          <w:szCs w:val="24"/>
        </w:rPr>
        <w:t>Qanun</w:t>
      </w:r>
      <w:proofErr w:type="spellEnd"/>
      <w:r w:rsidRPr="00A833F3">
        <w:rPr>
          <w:rFonts w:ascii="Book Antiqua" w:hAnsi="Book Antiqua"/>
          <w:sz w:val="24"/>
          <w:szCs w:val="24"/>
        </w:rPr>
        <w:t xml:space="preserve"> Number 9 of 2008 concerning the development of customary life and customs, it is stated that </w:t>
      </w:r>
      <w:proofErr w:type="spellStart"/>
      <w:r w:rsidRPr="00A833F3">
        <w:rPr>
          <w:rFonts w:ascii="Book Antiqua" w:hAnsi="Book Antiqua"/>
          <w:sz w:val="24"/>
          <w:szCs w:val="24"/>
        </w:rPr>
        <w:t>gampongs</w:t>
      </w:r>
      <w:proofErr w:type="spellEnd"/>
      <w:r w:rsidRPr="00A833F3">
        <w:rPr>
          <w:rFonts w:ascii="Book Antiqua" w:hAnsi="Book Antiqua"/>
          <w:sz w:val="24"/>
          <w:szCs w:val="24"/>
        </w:rPr>
        <w:t xml:space="preserve"> in Aceh can resolve the following cases:</w:t>
      </w:r>
    </w:p>
    <w:p w:rsidR="00A833F3" w:rsidRPr="00A833F3" w:rsidRDefault="00A833F3" w:rsidP="00A833F3">
      <w:pPr>
        <w:pStyle w:val="BodyText"/>
        <w:numPr>
          <w:ilvl w:val="0"/>
          <w:numId w:val="40"/>
        </w:numPr>
        <w:spacing w:after="0" w:line="240" w:lineRule="auto"/>
        <w:ind w:left="357" w:hanging="357"/>
        <w:jc w:val="both"/>
        <w:rPr>
          <w:rFonts w:ascii="Book Antiqua" w:hAnsi="Book Antiqua"/>
          <w:sz w:val="24"/>
          <w:szCs w:val="24"/>
        </w:rPr>
      </w:pPr>
      <w:r w:rsidRPr="00A833F3">
        <w:rPr>
          <w:rFonts w:ascii="Book Antiqua" w:hAnsi="Book Antiqua"/>
          <w:sz w:val="24"/>
          <w:szCs w:val="24"/>
        </w:rPr>
        <w:t>Disputes in the household</w:t>
      </w:r>
    </w:p>
    <w:p w:rsidR="00A833F3" w:rsidRPr="00A833F3" w:rsidRDefault="00A833F3" w:rsidP="00A833F3">
      <w:pPr>
        <w:pStyle w:val="BodyText"/>
        <w:numPr>
          <w:ilvl w:val="0"/>
          <w:numId w:val="40"/>
        </w:numPr>
        <w:spacing w:after="0" w:line="240" w:lineRule="auto"/>
        <w:ind w:left="357" w:hanging="357"/>
        <w:jc w:val="both"/>
        <w:rPr>
          <w:rFonts w:ascii="Book Antiqua" w:hAnsi="Book Antiqua"/>
          <w:sz w:val="24"/>
          <w:szCs w:val="24"/>
        </w:rPr>
      </w:pPr>
      <w:r w:rsidRPr="00A833F3">
        <w:rPr>
          <w:rFonts w:ascii="Book Antiqua" w:hAnsi="Book Antiqua"/>
          <w:sz w:val="24"/>
          <w:szCs w:val="24"/>
        </w:rPr>
        <w:lastRenderedPageBreak/>
        <w:t xml:space="preserve">Disputes in the family related to </w:t>
      </w:r>
      <w:proofErr w:type="spellStart"/>
      <w:r w:rsidRPr="00A833F3">
        <w:rPr>
          <w:rFonts w:ascii="Book Antiqua" w:hAnsi="Book Antiqua"/>
          <w:sz w:val="24"/>
          <w:szCs w:val="24"/>
        </w:rPr>
        <w:t>faraids</w:t>
      </w:r>
      <w:proofErr w:type="spellEnd"/>
      <w:r w:rsidRPr="00A833F3">
        <w:rPr>
          <w:rFonts w:ascii="Book Antiqua" w:hAnsi="Book Antiqua"/>
          <w:sz w:val="24"/>
          <w:szCs w:val="24"/>
        </w:rPr>
        <w:t>;</w:t>
      </w:r>
    </w:p>
    <w:p w:rsidR="00A833F3" w:rsidRPr="00A833F3" w:rsidRDefault="00A833F3" w:rsidP="00A833F3">
      <w:pPr>
        <w:pStyle w:val="BodyText"/>
        <w:numPr>
          <w:ilvl w:val="0"/>
          <w:numId w:val="40"/>
        </w:numPr>
        <w:spacing w:after="0" w:line="240" w:lineRule="auto"/>
        <w:ind w:left="357" w:hanging="357"/>
        <w:jc w:val="both"/>
        <w:rPr>
          <w:rFonts w:ascii="Book Antiqua" w:hAnsi="Book Antiqua"/>
          <w:sz w:val="24"/>
          <w:szCs w:val="24"/>
        </w:rPr>
      </w:pPr>
      <w:r w:rsidRPr="00A833F3">
        <w:rPr>
          <w:rFonts w:ascii="Book Antiqua" w:hAnsi="Book Antiqua"/>
          <w:sz w:val="24"/>
          <w:szCs w:val="24"/>
        </w:rPr>
        <w:t>Disputes between residents;</w:t>
      </w:r>
    </w:p>
    <w:p w:rsidR="00A833F3" w:rsidRPr="00A833F3" w:rsidRDefault="00A833F3" w:rsidP="00A833F3">
      <w:pPr>
        <w:pStyle w:val="BodyText"/>
        <w:numPr>
          <w:ilvl w:val="0"/>
          <w:numId w:val="40"/>
        </w:numPr>
        <w:spacing w:after="0" w:line="240" w:lineRule="auto"/>
        <w:ind w:left="357" w:hanging="357"/>
        <w:jc w:val="both"/>
        <w:rPr>
          <w:rFonts w:ascii="Book Antiqua" w:hAnsi="Book Antiqua"/>
          <w:sz w:val="24"/>
          <w:szCs w:val="24"/>
        </w:rPr>
      </w:pPr>
      <w:r w:rsidRPr="00A833F3">
        <w:rPr>
          <w:rFonts w:ascii="Book Antiqua" w:hAnsi="Book Antiqua"/>
          <w:sz w:val="24"/>
          <w:szCs w:val="24"/>
        </w:rPr>
        <w:t xml:space="preserve">perverted </w:t>
      </w:r>
      <w:proofErr w:type="spellStart"/>
      <w:r w:rsidRPr="00A833F3">
        <w:rPr>
          <w:rFonts w:ascii="Book Antiqua" w:hAnsi="Book Antiqua"/>
          <w:sz w:val="24"/>
          <w:szCs w:val="24"/>
        </w:rPr>
        <w:t>khalwat</w:t>
      </w:r>
      <w:proofErr w:type="spellEnd"/>
      <w:r w:rsidRPr="00A833F3">
        <w:rPr>
          <w:rFonts w:ascii="Book Antiqua" w:hAnsi="Book Antiqua"/>
          <w:sz w:val="24"/>
          <w:szCs w:val="24"/>
        </w:rPr>
        <w:t>;</w:t>
      </w:r>
    </w:p>
    <w:p w:rsidR="00A833F3" w:rsidRPr="00A833F3" w:rsidRDefault="00A833F3" w:rsidP="00A833F3">
      <w:pPr>
        <w:pStyle w:val="BodyText"/>
        <w:numPr>
          <w:ilvl w:val="0"/>
          <w:numId w:val="40"/>
        </w:numPr>
        <w:spacing w:after="0" w:line="240" w:lineRule="auto"/>
        <w:ind w:left="357" w:hanging="357"/>
        <w:jc w:val="both"/>
        <w:rPr>
          <w:rFonts w:ascii="Book Antiqua" w:hAnsi="Book Antiqua"/>
          <w:sz w:val="24"/>
          <w:szCs w:val="24"/>
        </w:rPr>
      </w:pPr>
      <w:r w:rsidRPr="00A833F3">
        <w:rPr>
          <w:rFonts w:ascii="Book Antiqua" w:hAnsi="Book Antiqua"/>
          <w:sz w:val="24"/>
          <w:szCs w:val="24"/>
        </w:rPr>
        <w:t>Disputes about property rights;</w:t>
      </w:r>
    </w:p>
    <w:p w:rsidR="00A833F3" w:rsidRPr="00A833F3" w:rsidRDefault="00A833F3" w:rsidP="00A833F3">
      <w:pPr>
        <w:pStyle w:val="BodyText"/>
        <w:numPr>
          <w:ilvl w:val="0"/>
          <w:numId w:val="40"/>
        </w:numPr>
        <w:spacing w:after="0" w:line="240" w:lineRule="auto"/>
        <w:ind w:left="357" w:hanging="357"/>
        <w:jc w:val="both"/>
        <w:rPr>
          <w:rFonts w:ascii="Book Antiqua" w:hAnsi="Book Antiqua"/>
          <w:sz w:val="24"/>
          <w:szCs w:val="24"/>
        </w:rPr>
      </w:pPr>
      <w:r w:rsidRPr="00A833F3">
        <w:rPr>
          <w:rFonts w:ascii="Book Antiqua" w:hAnsi="Book Antiqua"/>
          <w:sz w:val="24"/>
          <w:szCs w:val="24"/>
        </w:rPr>
        <w:t>Theft in the family;</w:t>
      </w:r>
    </w:p>
    <w:p w:rsidR="00A833F3" w:rsidRPr="00A833F3" w:rsidRDefault="00A833F3" w:rsidP="00A833F3">
      <w:pPr>
        <w:pStyle w:val="BodyText"/>
        <w:numPr>
          <w:ilvl w:val="0"/>
          <w:numId w:val="40"/>
        </w:numPr>
        <w:spacing w:after="0" w:line="240" w:lineRule="auto"/>
        <w:ind w:left="357" w:hanging="357"/>
        <w:jc w:val="both"/>
        <w:rPr>
          <w:rFonts w:ascii="Book Antiqua" w:hAnsi="Book Antiqua"/>
          <w:sz w:val="24"/>
          <w:szCs w:val="24"/>
        </w:rPr>
      </w:pPr>
      <w:proofErr w:type="spellStart"/>
      <w:r w:rsidRPr="00A833F3">
        <w:rPr>
          <w:rFonts w:ascii="Book Antiqua" w:hAnsi="Book Antiqua"/>
          <w:sz w:val="24"/>
          <w:szCs w:val="24"/>
        </w:rPr>
        <w:t>Seuhareukat</w:t>
      </w:r>
      <w:proofErr w:type="spellEnd"/>
      <w:r w:rsidRPr="00A833F3">
        <w:rPr>
          <w:rFonts w:ascii="Book Antiqua" w:hAnsi="Book Antiqua"/>
          <w:sz w:val="24"/>
          <w:szCs w:val="24"/>
        </w:rPr>
        <w:t xml:space="preserve"> property disputes;</w:t>
      </w:r>
    </w:p>
    <w:p w:rsidR="00A833F3" w:rsidRPr="00A833F3" w:rsidRDefault="00A833F3" w:rsidP="00A833F3">
      <w:pPr>
        <w:pStyle w:val="BodyText"/>
        <w:numPr>
          <w:ilvl w:val="0"/>
          <w:numId w:val="40"/>
        </w:numPr>
        <w:spacing w:after="0" w:line="240" w:lineRule="auto"/>
        <w:ind w:left="357" w:hanging="357"/>
        <w:jc w:val="both"/>
        <w:rPr>
          <w:rFonts w:ascii="Book Antiqua" w:hAnsi="Book Antiqua"/>
          <w:sz w:val="24"/>
          <w:szCs w:val="24"/>
        </w:rPr>
      </w:pPr>
      <w:r w:rsidRPr="00A833F3">
        <w:rPr>
          <w:rFonts w:ascii="Book Antiqua" w:hAnsi="Book Antiqua"/>
          <w:sz w:val="24"/>
          <w:szCs w:val="24"/>
        </w:rPr>
        <w:t>Petty theft;</w:t>
      </w:r>
    </w:p>
    <w:p w:rsidR="00A833F3" w:rsidRPr="00A833F3" w:rsidRDefault="00A833F3" w:rsidP="00A833F3">
      <w:pPr>
        <w:pStyle w:val="BodyText"/>
        <w:numPr>
          <w:ilvl w:val="0"/>
          <w:numId w:val="40"/>
        </w:numPr>
        <w:spacing w:after="0" w:line="240" w:lineRule="auto"/>
        <w:ind w:left="357" w:hanging="357"/>
        <w:jc w:val="both"/>
        <w:rPr>
          <w:rFonts w:ascii="Book Antiqua" w:hAnsi="Book Antiqua"/>
          <w:sz w:val="24"/>
          <w:szCs w:val="24"/>
        </w:rPr>
      </w:pPr>
      <w:r w:rsidRPr="00A833F3">
        <w:rPr>
          <w:rFonts w:ascii="Book Antiqua" w:hAnsi="Book Antiqua"/>
          <w:sz w:val="24"/>
          <w:szCs w:val="24"/>
        </w:rPr>
        <w:t>Pet livestock theft;</w:t>
      </w:r>
    </w:p>
    <w:p w:rsidR="00A833F3" w:rsidRPr="00A833F3" w:rsidRDefault="00A833F3" w:rsidP="00A833F3">
      <w:pPr>
        <w:pStyle w:val="BodyText"/>
        <w:numPr>
          <w:ilvl w:val="0"/>
          <w:numId w:val="40"/>
        </w:numPr>
        <w:spacing w:after="0" w:line="240" w:lineRule="auto"/>
        <w:ind w:left="357" w:hanging="357"/>
        <w:jc w:val="both"/>
        <w:rPr>
          <w:rFonts w:ascii="Book Antiqua" w:hAnsi="Book Antiqua"/>
          <w:sz w:val="24"/>
          <w:szCs w:val="24"/>
        </w:rPr>
      </w:pPr>
      <w:r w:rsidRPr="00A833F3">
        <w:rPr>
          <w:rFonts w:ascii="Book Antiqua" w:hAnsi="Book Antiqua"/>
          <w:sz w:val="24"/>
          <w:szCs w:val="24"/>
        </w:rPr>
        <w:t>Indigenous violations regarding livestock, agriculture, and forests;</w:t>
      </w:r>
    </w:p>
    <w:p w:rsidR="00A833F3" w:rsidRPr="00A833F3" w:rsidRDefault="00A833F3" w:rsidP="00A833F3">
      <w:pPr>
        <w:pStyle w:val="BodyText"/>
        <w:numPr>
          <w:ilvl w:val="0"/>
          <w:numId w:val="40"/>
        </w:numPr>
        <w:spacing w:after="0" w:line="240" w:lineRule="auto"/>
        <w:ind w:left="357" w:hanging="357"/>
        <w:jc w:val="both"/>
        <w:rPr>
          <w:rFonts w:ascii="Book Antiqua" w:hAnsi="Book Antiqua"/>
          <w:sz w:val="24"/>
          <w:szCs w:val="24"/>
        </w:rPr>
      </w:pPr>
      <w:r w:rsidRPr="00A833F3">
        <w:rPr>
          <w:rFonts w:ascii="Book Antiqua" w:hAnsi="Book Antiqua"/>
          <w:sz w:val="24"/>
          <w:szCs w:val="24"/>
        </w:rPr>
        <w:t>maritime disputes;</w:t>
      </w:r>
    </w:p>
    <w:p w:rsidR="00A833F3" w:rsidRPr="00A833F3" w:rsidRDefault="00A833F3" w:rsidP="00A833F3">
      <w:pPr>
        <w:pStyle w:val="BodyText"/>
        <w:numPr>
          <w:ilvl w:val="0"/>
          <w:numId w:val="40"/>
        </w:numPr>
        <w:spacing w:after="0" w:line="240" w:lineRule="auto"/>
        <w:ind w:left="357" w:hanging="357"/>
        <w:jc w:val="both"/>
        <w:rPr>
          <w:rFonts w:ascii="Book Antiqua" w:hAnsi="Book Antiqua"/>
          <w:sz w:val="24"/>
          <w:szCs w:val="24"/>
        </w:rPr>
      </w:pPr>
      <w:r w:rsidRPr="00A833F3">
        <w:rPr>
          <w:rFonts w:ascii="Book Antiqua" w:hAnsi="Book Antiqua"/>
          <w:sz w:val="24"/>
          <w:szCs w:val="24"/>
        </w:rPr>
        <w:t>Disputes in the market;</w:t>
      </w:r>
    </w:p>
    <w:p w:rsidR="00A833F3" w:rsidRPr="00A833F3" w:rsidRDefault="00A833F3" w:rsidP="00A833F3">
      <w:pPr>
        <w:pStyle w:val="BodyText"/>
        <w:numPr>
          <w:ilvl w:val="0"/>
          <w:numId w:val="40"/>
        </w:numPr>
        <w:spacing w:after="0" w:line="240" w:lineRule="auto"/>
        <w:ind w:left="357" w:hanging="357"/>
        <w:jc w:val="both"/>
        <w:rPr>
          <w:rFonts w:ascii="Book Antiqua" w:hAnsi="Book Antiqua"/>
          <w:sz w:val="24"/>
          <w:szCs w:val="24"/>
        </w:rPr>
      </w:pPr>
      <w:r w:rsidRPr="00A833F3">
        <w:rPr>
          <w:rFonts w:ascii="Book Antiqua" w:hAnsi="Book Antiqua"/>
          <w:sz w:val="24"/>
          <w:szCs w:val="24"/>
        </w:rPr>
        <w:t>Mild abuse;</w:t>
      </w:r>
    </w:p>
    <w:p w:rsidR="00A833F3" w:rsidRPr="00A833F3" w:rsidRDefault="00A833F3" w:rsidP="00A833F3">
      <w:pPr>
        <w:pStyle w:val="BodyText"/>
        <w:numPr>
          <w:ilvl w:val="0"/>
          <w:numId w:val="40"/>
        </w:numPr>
        <w:spacing w:after="0" w:line="240" w:lineRule="auto"/>
        <w:ind w:left="357" w:hanging="357"/>
        <w:jc w:val="both"/>
        <w:rPr>
          <w:rFonts w:ascii="Book Antiqua" w:hAnsi="Book Antiqua"/>
          <w:sz w:val="24"/>
          <w:szCs w:val="24"/>
        </w:rPr>
      </w:pPr>
      <w:r w:rsidRPr="00A833F3">
        <w:rPr>
          <w:rFonts w:ascii="Book Antiqua" w:hAnsi="Book Antiqua"/>
          <w:sz w:val="24"/>
          <w:szCs w:val="24"/>
        </w:rPr>
        <w:t>Forest burning (on a small scale that harms indigenous communities)</w:t>
      </w:r>
    </w:p>
    <w:p w:rsidR="00A833F3" w:rsidRPr="00A833F3" w:rsidRDefault="00A833F3" w:rsidP="00A833F3">
      <w:pPr>
        <w:pStyle w:val="BodyText"/>
        <w:numPr>
          <w:ilvl w:val="0"/>
          <w:numId w:val="40"/>
        </w:numPr>
        <w:spacing w:after="0" w:line="240" w:lineRule="auto"/>
        <w:ind w:left="357" w:hanging="357"/>
        <w:jc w:val="both"/>
        <w:rPr>
          <w:rFonts w:ascii="Book Antiqua" w:hAnsi="Book Antiqua"/>
          <w:sz w:val="24"/>
          <w:szCs w:val="24"/>
        </w:rPr>
      </w:pPr>
      <w:r w:rsidRPr="00A833F3">
        <w:rPr>
          <w:rFonts w:ascii="Book Antiqua" w:hAnsi="Book Antiqua"/>
          <w:sz w:val="24"/>
          <w:szCs w:val="24"/>
        </w:rPr>
        <w:t>Harassment, incitement, slander, and defamation;</w:t>
      </w:r>
    </w:p>
    <w:p w:rsidR="00A833F3" w:rsidRPr="00A833F3" w:rsidRDefault="00A833F3" w:rsidP="00A833F3">
      <w:pPr>
        <w:pStyle w:val="BodyText"/>
        <w:numPr>
          <w:ilvl w:val="0"/>
          <w:numId w:val="40"/>
        </w:numPr>
        <w:spacing w:after="0" w:line="240" w:lineRule="auto"/>
        <w:ind w:left="357" w:hanging="357"/>
        <w:jc w:val="both"/>
        <w:rPr>
          <w:rFonts w:ascii="Book Antiqua" w:hAnsi="Book Antiqua"/>
          <w:sz w:val="24"/>
          <w:szCs w:val="24"/>
        </w:rPr>
      </w:pPr>
      <w:r w:rsidRPr="00A833F3">
        <w:rPr>
          <w:rFonts w:ascii="Book Antiqua" w:hAnsi="Book Antiqua"/>
          <w:sz w:val="24"/>
          <w:szCs w:val="24"/>
        </w:rPr>
        <w:t>Environmental pollution (small scale)</w:t>
      </w:r>
    </w:p>
    <w:p w:rsidR="00A833F3" w:rsidRPr="00A833F3" w:rsidRDefault="00A833F3" w:rsidP="00A833F3">
      <w:pPr>
        <w:pStyle w:val="BodyText"/>
        <w:numPr>
          <w:ilvl w:val="0"/>
          <w:numId w:val="40"/>
        </w:numPr>
        <w:spacing w:after="0" w:line="240" w:lineRule="auto"/>
        <w:ind w:left="357" w:hanging="357"/>
        <w:jc w:val="both"/>
        <w:rPr>
          <w:rFonts w:ascii="Book Antiqua" w:hAnsi="Book Antiqua"/>
          <w:sz w:val="24"/>
          <w:szCs w:val="24"/>
        </w:rPr>
      </w:pPr>
      <w:r w:rsidRPr="00A833F3">
        <w:rPr>
          <w:rFonts w:ascii="Book Antiqua" w:hAnsi="Book Antiqua"/>
          <w:sz w:val="24"/>
          <w:szCs w:val="24"/>
        </w:rPr>
        <w:t>Threats threaten (depending on the type of threat)</w:t>
      </w:r>
      <w:proofErr w:type="gramStart"/>
      <w:r w:rsidRPr="00A833F3">
        <w:rPr>
          <w:rFonts w:ascii="Book Antiqua" w:hAnsi="Book Antiqua"/>
          <w:sz w:val="24"/>
          <w:szCs w:val="24"/>
        </w:rPr>
        <w:t>;.</w:t>
      </w:r>
      <w:proofErr w:type="gramEnd"/>
    </w:p>
    <w:p w:rsidR="00A833F3" w:rsidRPr="00A833F3" w:rsidRDefault="00A833F3" w:rsidP="00C21629">
      <w:pPr>
        <w:pStyle w:val="BodyText"/>
        <w:numPr>
          <w:ilvl w:val="0"/>
          <w:numId w:val="40"/>
        </w:numPr>
        <w:spacing w:after="0" w:line="360" w:lineRule="auto"/>
        <w:ind w:left="357" w:hanging="357"/>
        <w:jc w:val="both"/>
        <w:rPr>
          <w:rFonts w:ascii="Book Antiqua" w:hAnsi="Book Antiqua"/>
          <w:sz w:val="24"/>
          <w:szCs w:val="24"/>
        </w:rPr>
      </w:pPr>
      <w:r w:rsidRPr="00A833F3">
        <w:rPr>
          <w:rFonts w:ascii="Book Antiqua" w:hAnsi="Book Antiqua"/>
          <w:sz w:val="24"/>
          <w:szCs w:val="24"/>
        </w:rPr>
        <w:t>Other violations that violate customs and traditions.</w:t>
      </w:r>
    </w:p>
    <w:p w:rsidR="00A833F3" w:rsidRPr="00A833F3" w:rsidRDefault="00A833F3" w:rsidP="00A833F3">
      <w:pPr>
        <w:pStyle w:val="BodyText"/>
        <w:spacing w:line="240" w:lineRule="auto"/>
        <w:ind w:right="-2"/>
        <w:jc w:val="both"/>
        <w:rPr>
          <w:rFonts w:ascii="Book Antiqua" w:hAnsi="Book Antiqua"/>
          <w:sz w:val="24"/>
          <w:szCs w:val="24"/>
        </w:rPr>
      </w:pPr>
      <w:r w:rsidRPr="00A833F3">
        <w:rPr>
          <w:rFonts w:ascii="Book Antiqua" w:hAnsi="Book Antiqua"/>
          <w:sz w:val="24"/>
          <w:szCs w:val="24"/>
        </w:rPr>
        <w:t xml:space="preserve">In fact, the authority of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which concerns customary justice is not limited to these 18 questions because in paragraph 18 it states "other violations that violate customs", which means that the authority of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court can be extended to every matter deemed necessary to regulate. In general, the authority of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is to resolve two issues, namely civil disputes and criminal disputes. This is understandable because in the perspective of Customary Law there is no difference betw</w:t>
      </w:r>
      <w:r w:rsidR="006662DB">
        <w:rPr>
          <w:rFonts w:ascii="Book Antiqua" w:hAnsi="Book Antiqua"/>
          <w:sz w:val="24"/>
          <w:szCs w:val="24"/>
        </w:rPr>
        <w:t>een criminal law and civil law.</w:t>
      </w:r>
      <w:r w:rsidR="006662DB">
        <w:rPr>
          <w:rStyle w:val="FootnoteReference"/>
          <w:rFonts w:ascii="Book Antiqua" w:hAnsi="Book Antiqua"/>
          <w:sz w:val="24"/>
          <w:szCs w:val="24"/>
        </w:rPr>
        <w:footnoteReference w:id="7"/>
      </w:r>
    </w:p>
    <w:p w:rsidR="00A833F3" w:rsidRPr="00A833F3" w:rsidRDefault="00A833F3" w:rsidP="00A833F3">
      <w:pPr>
        <w:pStyle w:val="BodyText"/>
        <w:spacing w:line="240" w:lineRule="auto"/>
        <w:ind w:right="-2"/>
        <w:jc w:val="both"/>
        <w:rPr>
          <w:rFonts w:ascii="Book Antiqua" w:hAnsi="Book Antiqua"/>
          <w:sz w:val="24"/>
          <w:szCs w:val="24"/>
        </w:rPr>
      </w:pPr>
      <w:r w:rsidRPr="00A833F3">
        <w:rPr>
          <w:rFonts w:ascii="Book Antiqua" w:hAnsi="Book Antiqua"/>
          <w:sz w:val="24"/>
          <w:szCs w:val="24"/>
        </w:rPr>
        <w:t xml:space="preserve">For cases related to these customs, as stated in article 13 paragraph 3 </w:t>
      </w:r>
      <w:proofErr w:type="spellStart"/>
      <w:r w:rsidRPr="00A833F3">
        <w:rPr>
          <w:rFonts w:ascii="Book Antiqua" w:hAnsi="Book Antiqua"/>
          <w:sz w:val="24"/>
          <w:szCs w:val="24"/>
        </w:rPr>
        <w:t>qanun</w:t>
      </w:r>
      <w:proofErr w:type="spellEnd"/>
      <w:r w:rsidRPr="00A833F3">
        <w:rPr>
          <w:rFonts w:ascii="Book Antiqua" w:hAnsi="Book Antiqua"/>
          <w:sz w:val="24"/>
          <w:szCs w:val="24"/>
        </w:rPr>
        <w:t xml:space="preserve"> number 9 of 2008 it is stated that law enforcement officials provide an opportunity for a dispute to be resolved first by the customary court in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This means that if there is a dispute, law enforcers are obliged to provide an opportunity for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government where the incident occurred to resolve the case in accordance with customary law.</w:t>
      </w:r>
      <w:r w:rsidR="006662DB">
        <w:rPr>
          <w:rStyle w:val="FootnoteReference"/>
          <w:rFonts w:ascii="Book Antiqua" w:hAnsi="Book Antiqua"/>
          <w:sz w:val="24"/>
          <w:szCs w:val="24"/>
        </w:rPr>
        <w:footnoteReference w:id="8"/>
      </w:r>
    </w:p>
    <w:p w:rsidR="00A833F3" w:rsidRPr="00A833F3" w:rsidRDefault="00A833F3" w:rsidP="00A833F3">
      <w:pPr>
        <w:pStyle w:val="BodyText"/>
        <w:spacing w:line="240" w:lineRule="auto"/>
        <w:ind w:right="-2"/>
        <w:jc w:val="both"/>
        <w:rPr>
          <w:rFonts w:ascii="Book Antiqua" w:hAnsi="Book Antiqua"/>
          <w:sz w:val="24"/>
          <w:szCs w:val="24"/>
        </w:rPr>
      </w:pPr>
      <w:r w:rsidRPr="00A833F3">
        <w:rPr>
          <w:rFonts w:ascii="Book Antiqua" w:hAnsi="Book Antiqua"/>
          <w:sz w:val="24"/>
          <w:szCs w:val="24"/>
        </w:rPr>
        <w:t xml:space="preserve">In the regulation of the Governor of Aceh No. 25 of 2011 stated that one of the tasks of the </w:t>
      </w:r>
      <w:proofErr w:type="spellStart"/>
      <w:r w:rsidRPr="00A833F3">
        <w:rPr>
          <w:rFonts w:ascii="Book Antiqua" w:hAnsi="Book Antiqua"/>
          <w:sz w:val="24"/>
          <w:szCs w:val="24"/>
        </w:rPr>
        <w:t>Geuchiek</w:t>
      </w:r>
      <w:proofErr w:type="spellEnd"/>
      <w:r w:rsidRPr="00A833F3">
        <w:rPr>
          <w:rFonts w:ascii="Book Antiqua" w:hAnsi="Book Antiqua"/>
          <w:sz w:val="24"/>
          <w:szCs w:val="24"/>
        </w:rPr>
        <w:t xml:space="preserve"> is to become a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judge whose job is to resolve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problems related to disputes in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w:t>
      </w:r>
      <w:proofErr w:type="spellStart"/>
      <w:r w:rsidRPr="00A833F3">
        <w:rPr>
          <w:rFonts w:ascii="Book Antiqua" w:hAnsi="Book Antiqua"/>
          <w:sz w:val="24"/>
          <w:szCs w:val="24"/>
        </w:rPr>
        <w:t>Geuchiek's</w:t>
      </w:r>
      <w:proofErr w:type="spellEnd"/>
      <w:r w:rsidRPr="00A833F3">
        <w:rPr>
          <w:rFonts w:ascii="Book Antiqua" w:hAnsi="Book Antiqua"/>
          <w:sz w:val="24"/>
          <w:szCs w:val="24"/>
        </w:rPr>
        <w:t xml:space="preserve"> authority is clarified again in Aceh </w:t>
      </w:r>
      <w:proofErr w:type="spellStart"/>
      <w:r w:rsidRPr="00A833F3">
        <w:rPr>
          <w:rFonts w:ascii="Book Antiqua" w:hAnsi="Book Antiqua"/>
          <w:sz w:val="24"/>
          <w:szCs w:val="24"/>
        </w:rPr>
        <w:t>Qanun</w:t>
      </w:r>
      <w:proofErr w:type="spellEnd"/>
      <w:r w:rsidRPr="00A833F3">
        <w:rPr>
          <w:rFonts w:ascii="Book Antiqua" w:hAnsi="Book Antiqua"/>
          <w:sz w:val="24"/>
          <w:szCs w:val="24"/>
        </w:rPr>
        <w:t xml:space="preserve"> No. 10 of 2008 concerning customary institutions where in article 15 is stated that </w:t>
      </w:r>
      <w:proofErr w:type="spellStart"/>
      <w:r w:rsidRPr="00A833F3">
        <w:rPr>
          <w:rFonts w:ascii="Book Antiqua" w:hAnsi="Book Antiqua"/>
          <w:sz w:val="24"/>
          <w:szCs w:val="24"/>
        </w:rPr>
        <w:t>Geuchiek</w:t>
      </w:r>
      <w:proofErr w:type="spellEnd"/>
      <w:r w:rsidRPr="00A833F3">
        <w:rPr>
          <w:rFonts w:ascii="Book Antiqua" w:hAnsi="Book Antiqua"/>
          <w:sz w:val="24"/>
          <w:szCs w:val="24"/>
        </w:rPr>
        <w:t xml:space="preserve"> is in charge of leading and solving social problems and being a peacemaker for disputes among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residents.</w:t>
      </w:r>
    </w:p>
    <w:p w:rsidR="00A833F3" w:rsidRPr="00A833F3" w:rsidRDefault="00A833F3" w:rsidP="00A833F3">
      <w:pPr>
        <w:pStyle w:val="BodyText"/>
        <w:spacing w:line="240" w:lineRule="auto"/>
        <w:ind w:right="-2"/>
        <w:jc w:val="both"/>
        <w:rPr>
          <w:rFonts w:ascii="Book Antiqua" w:hAnsi="Book Antiqua"/>
          <w:sz w:val="24"/>
          <w:szCs w:val="24"/>
        </w:rPr>
      </w:pPr>
      <w:r w:rsidRPr="00A833F3">
        <w:rPr>
          <w:rFonts w:ascii="Book Antiqua" w:hAnsi="Book Antiqua"/>
          <w:sz w:val="24"/>
          <w:szCs w:val="24"/>
        </w:rPr>
        <w:t xml:space="preserve">In this case, it becomes clear that the task of the </w:t>
      </w:r>
      <w:proofErr w:type="spellStart"/>
      <w:r w:rsidRPr="00A833F3">
        <w:rPr>
          <w:rFonts w:ascii="Book Antiqua" w:hAnsi="Book Antiqua"/>
          <w:sz w:val="24"/>
          <w:szCs w:val="24"/>
        </w:rPr>
        <w:t>geuchiek</w:t>
      </w:r>
      <w:proofErr w:type="spellEnd"/>
      <w:r w:rsidRPr="00A833F3">
        <w:rPr>
          <w:rFonts w:ascii="Book Antiqua" w:hAnsi="Book Antiqua"/>
          <w:sz w:val="24"/>
          <w:szCs w:val="24"/>
        </w:rPr>
        <w:t xml:space="preserve"> is as a judge at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level in resolving disputes among residents. </w:t>
      </w:r>
      <w:proofErr w:type="gramStart"/>
      <w:r w:rsidRPr="00A833F3">
        <w:rPr>
          <w:rFonts w:ascii="Book Antiqua" w:hAnsi="Book Antiqua"/>
          <w:sz w:val="24"/>
          <w:szCs w:val="24"/>
        </w:rPr>
        <w:t xml:space="preserve">In carrying out their duties, as stated in article 14 of </w:t>
      </w:r>
      <w:proofErr w:type="spellStart"/>
      <w:r w:rsidRPr="00A833F3">
        <w:rPr>
          <w:rFonts w:ascii="Book Antiqua" w:hAnsi="Book Antiqua"/>
          <w:sz w:val="24"/>
          <w:szCs w:val="24"/>
        </w:rPr>
        <w:t>Qanun</w:t>
      </w:r>
      <w:proofErr w:type="spellEnd"/>
      <w:r w:rsidRPr="00A833F3">
        <w:rPr>
          <w:rFonts w:ascii="Book Antiqua" w:hAnsi="Book Antiqua"/>
          <w:sz w:val="24"/>
          <w:szCs w:val="24"/>
        </w:rPr>
        <w:t xml:space="preserve"> Aceh Number 9 of 2008 Jo.</w:t>
      </w:r>
      <w:proofErr w:type="gramEnd"/>
      <w:r w:rsidRPr="00A833F3">
        <w:rPr>
          <w:rFonts w:ascii="Book Antiqua" w:hAnsi="Book Antiqua"/>
          <w:sz w:val="24"/>
          <w:szCs w:val="24"/>
        </w:rPr>
        <w:t xml:space="preserve"> Article 16 </w:t>
      </w:r>
      <w:proofErr w:type="spellStart"/>
      <w:r w:rsidRPr="00A833F3">
        <w:rPr>
          <w:rFonts w:ascii="Book Antiqua" w:hAnsi="Book Antiqua"/>
          <w:sz w:val="24"/>
          <w:szCs w:val="24"/>
        </w:rPr>
        <w:t>Pergub</w:t>
      </w:r>
      <w:proofErr w:type="spellEnd"/>
      <w:r w:rsidRPr="00A833F3">
        <w:rPr>
          <w:rFonts w:ascii="Book Antiqua" w:hAnsi="Book Antiqua"/>
          <w:sz w:val="24"/>
          <w:szCs w:val="24"/>
        </w:rPr>
        <w:t xml:space="preserve"> Aceh Number 60 of 2013, </w:t>
      </w:r>
      <w:proofErr w:type="spellStart"/>
      <w:r w:rsidRPr="00A833F3">
        <w:rPr>
          <w:rFonts w:ascii="Book Antiqua" w:hAnsi="Book Antiqua"/>
          <w:sz w:val="24"/>
          <w:szCs w:val="24"/>
        </w:rPr>
        <w:t>Geuchiek</w:t>
      </w:r>
      <w:proofErr w:type="spellEnd"/>
      <w:r w:rsidRPr="00A833F3">
        <w:rPr>
          <w:rFonts w:ascii="Book Antiqua" w:hAnsi="Book Antiqua"/>
          <w:sz w:val="24"/>
          <w:szCs w:val="24"/>
        </w:rPr>
        <w:t xml:space="preserve"> is assisted by other parties in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namely </w:t>
      </w:r>
      <w:proofErr w:type="spellStart"/>
      <w:r w:rsidRPr="00A833F3">
        <w:rPr>
          <w:rFonts w:ascii="Book Antiqua" w:hAnsi="Book Antiqua"/>
          <w:sz w:val="24"/>
          <w:szCs w:val="24"/>
        </w:rPr>
        <w:t>Imum</w:t>
      </w:r>
      <w:proofErr w:type="spellEnd"/>
      <w:r w:rsidRPr="00A833F3">
        <w:rPr>
          <w:rFonts w:ascii="Book Antiqua" w:hAnsi="Book Antiqua"/>
          <w:sz w:val="24"/>
          <w:szCs w:val="24"/>
        </w:rPr>
        <w:t xml:space="preserve"> </w:t>
      </w:r>
      <w:proofErr w:type="spellStart"/>
      <w:r w:rsidRPr="00A833F3">
        <w:rPr>
          <w:rFonts w:ascii="Book Antiqua" w:hAnsi="Book Antiqua"/>
          <w:sz w:val="24"/>
          <w:szCs w:val="24"/>
        </w:rPr>
        <w:t>Meunasah</w:t>
      </w:r>
      <w:proofErr w:type="spellEnd"/>
      <w:r w:rsidRPr="00A833F3">
        <w:rPr>
          <w:rFonts w:ascii="Book Antiqua" w:hAnsi="Book Antiqua"/>
          <w:sz w:val="24"/>
          <w:szCs w:val="24"/>
        </w:rPr>
        <w:t xml:space="preserve">, </w:t>
      </w:r>
      <w:proofErr w:type="spellStart"/>
      <w:r w:rsidRPr="00A833F3">
        <w:rPr>
          <w:rFonts w:ascii="Book Antiqua" w:hAnsi="Book Antiqua"/>
          <w:sz w:val="24"/>
          <w:szCs w:val="24"/>
        </w:rPr>
        <w:t>Tuha</w:t>
      </w:r>
      <w:proofErr w:type="spellEnd"/>
      <w:r w:rsidRPr="00A833F3">
        <w:rPr>
          <w:rFonts w:ascii="Book Antiqua" w:hAnsi="Book Antiqua"/>
          <w:sz w:val="24"/>
          <w:szCs w:val="24"/>
        </w:rPr>
        <w:t xml:space="preserve"> </w:t>
      </w:r>
      <w:proofErr w:type="spellStart"/>
      <w:r w:rsidRPr="00A833F3">
        <w:rPr>
          <w:rFonts w:ascii="Book Antiqua" w:hAnsi="Book Antiqua"/>
          <w:sz w:val="24"/>
          <w:szCs w:val="24"/>
        </w:rPr>
        <w:lastRenderedPageBreak/>
        <w:t>Peut</w:t>
      </w:r>
      <w:proofErr w:type="spellEnd"/>
      <w:r w:rsidRPr="00A833F3">
        <w:rPr>
          <w:rFonts w:ascii="Book Antiqua" w:hAnsi="Book Antiqua"/>
          <w:sz w:val="24"/>
          <w:szCs w:val="24"/>
        </w:rPr>
        <w:t xml:space="preserv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Secretary, </w:t>
      </w:r>
      <w:proofErr w:type="spellStart"/>
      <w:r w:rsidRPr="00A833F3">
        <w:rPr>
          <w:rFonts w:ascii="Book Antiqua" w:hAnsi="Book Antiqua"/>
          <w:sz w:val="24"/>
          <w:szCs w:val="24"/>
        </w:rPr>
        <w:t>Ulama</w:t>
      </w:r>
      <w:proofErr w:type="spellEnd"/>
      <w:r w:rsidRPr="00A833F3">
        <w:rPr>
          <w:rFonts w:ascii="Book Antiqua" w:hAnsi="Book Antiqua"/>
          <w:sz w:val="24"/>
          <w:szCs w:val="24"/>
        </w:rPr>
        <w:t xml:space="preserve">, and other parties in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according to the case being handled.</w:t>
      </w:r>
      <w:r w:rsidR="005F6116">
        <w:rPr>
          <w:rStyle w:val="FootnoteReference"/>
          <w:rFonts w:ascii="Book Antiqua" w:hAnsi="Book Antiqua"/>
          <w:sz w:val="24"/>
          <w:szCs w:val="24"/>
        </w:rPr>
        <w:footnoteReference w:id="9"/>
      </w:r>
      <w:r w:rsidRPr="00A833F3">
        <w:rPr>
          <w:rFonts w:ascii="Book Antiqua" w:hAnsi="Book Antiqua"/>
          <w:sz w:val="24"/>
          <w:szCs w:val="24"/>
        </w:rPr>
        <w:t xml:space="preserve"> </w:t>
      </w:r>
    </w:p>
    <w:p w:rsidR="00A833F3" w:rsidRPr="00A833F3" w:rsidRDefault="00A833F3" w:rsidP="00A833F3">
      <w:pPr>
        <w:pStyle w:val="BodyText"/>
        <w:spacing w:line="240" w:lineRule="auto"/>
        <w:ind w:right="-2"/>
        <w:jc w:val="both"/>
        <w:rPr>
          <w:rFonts w:ascii="Book Antiqua" w:hAnsi="Book Antiqua"/>
          <w:sz w:val="24"/>
          <w:szCs w:val="24"/>
        </w:rPr>
      </w:pPr>
      <w:r w:rsidRPr="00A833F3">
        <w:rPr>
          <w:rFonts w:ascii="Book Antiqua" w:hAnsi="Book Antiqua"/>
          <w:sz w:val="24"/>
          <w:szCs w:val="24"/>
        </w:rPr>
        <w:t xml:space="preserve">In principle, customary court at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level as stated in article 14 paragraph 4 of </w:t>
      </w:r>
      <w:proofErr w:type="spellStart"/>
      <w:r w:rsidRPr="00A833F3">
        <w:rPr>
          <w:rFonts w:ascii="Book Antiqua" w:hAnsi="Book Antiqua"/>
          <w:sz w:val="24"/>
          <w:szCs w:val="24"/>
        </w:rPr>
        <w:t>Qanun</w:t>
      </w:r>
      <w:proofErr w:type="spellEnd"/>
      <w:r w:rsidRPr="00A833F3">
        <w:rPr>
          <w:rFonts w:ascii="Book Antiqua" w:hAnsi="Book Antiqua"/>
          <w:sz w:val="24"/>
          <w:szCs w:val="24"/>
        </w:rPr>
        <w:t xml:space="preserve"> No. 9 of 2008 held at the </w:t>
      </w:r>
      <w:proofErr w:type="spellStart"/>
      <w:r w:rsidRPr="00A833F3">
        <w:rPr>
          <w:rFonts w:ascii="Book Antiqua" w:hAnsi="Book Antiqua"/>
          <w:sz w:val="24"/>
          <w:szCs w:val="24"/>
        </w:rPr>
        <w:t>Meunasah</w:t>
      </w:r>
      <w:proofErr w:type="spellEnd"/>
      <w:r w:rsidRPr="00A833F3">
        <w:rPr>
          <w:rFonts w:ascii="Book Antiqua" w:hAnsi="Book Antiqua"/>
          <w:sz w:val="24"/>
          <w:szCs w:val="24"/>
        </w:rPr>
        <w:t xml:space="preserve"> or </w:t>
      </w:r>
      <w:proofErr w:type="spellStart"/>
      <w:r w:rsidRPr="00A833F3">
        <w:rPr>
          <w:rFonts w:ascii="Book Antiqua" w:hAnsi="Book Antiqua"/>
          <w:sz w:val="24"/>
          <w:szCs w:val="24"/>
        </w:rPr>
        <w:t>Mushala</w:t>
      </w:r>
      <w:proofErr w:type="spellEnd"/>
      <w:r w:rsidRPr="00A833F3">
        <w:rPr>
          <w:rFonts w:ascii="Book Antiqua" w:hAnsi="Book Antiqua"/>
          <w:sz w:val="24"/>
          <w:szCs w:val="24"/>
        </w:rPr>
        <w:t xml:space="preserv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which open to the public. This means that customary justice cannot be closed to the public where the main goal is related to fairness and legality of the results of the customary court decision.</w:t>
      </w:r>
      <w:r w:rsidR="006662DB">
        <w:rPr>
          <w:rStyle w:val="FootnoteReference"/>
          <w:rFonts w:ascii="Book Antiqua" w:hAnsi="Book Antiqua"/>
          <w:sz w:val="24"/>
          <w:szCs w:val="24"/>
        </w:rPr>
        <w:footnoteReference w:id="10"/>
      </w:r>
      <w:r w:rsidRPr="00A833F3">
        <w:rPr>
          <w:rFonts w:ascii="Book Antiqua" w:hAnsi="Book Antiqua"/>
          <w:sz w:val="24"/>
          <w:szCs w:val="24"/>
        </w:rPr>
        <w:t xml:space="preserve"> The customary court process may be closed (article 16 paragraph 8) if the dispute involves women and children, either as perpetrators or victims, then the implementation will be carried out behind closed doors at one of the traditional leader's houses such as </w:t>
      </w:r>
      <w:proofErr w:type="spellStart"/>
      <w:r w:rsidRPr="00A833F3">
        <w:rPr>
          <w:rFonts w:ascii="Book Antiqua" w:hAnsi="Book Antiqua"/>
          <w:sz w:val="24"/>
          <w:szCs w:val="24"/>
        </w:rPr>
        <w:t>Geuchik</w:t>
      </w:r>
      <w:proofErr w:type="spellEnd"/>
      <w:r w:rsidRPr="00A833F3">
        <w:rPr>
          <w:rFonts w:ascii="Book Antiqua" w:hAnsi="Book Antiqua"/>
          <w:sz w:val="24"/>
          <w:szCs w:val="24"/>
        </w:rPr>
        <w:t xml:space="preserve">, </w:t>
      </w:r>
      <w:proofErr w:type="spellStart"/>
      <w:r w:rsidRPr="00A833F3">
        <w:rPr>
          <w:rFonts w:ascii="Book Antiqua" w:hAnsi="Book Antiqua"/>
          <w:sz w:val="24"/>
          <w:szCs w:val="24"/>
        </w:rPr>
        <w:t>Tuha</w:t>
      </w:r>
      <w:proofErr w:type="spellEnd"/>
      <w:r w:rsidRPr="00A833F3">
        <w:rPr>
          <w:rFonts w:ascii="Book Antiqua" w:hAnsi="Book Antiqua"/>
          <w:sz w:val="24"/>
          <w:szCs w:val="24"/>
        </w:rPr>
        <w:t xml:space="preserve"> </w:t>
      </w:r>
      <w:proofErr w:type="spellStart"/>
      <w:r w:rsidRPr="00A833F3">
        <w:rPr>
          <w:rFonts w:ascii="Book Antiqua" w:hAnsi="Book Antiqua"/>
          <w:sz w:val="24"/>
          <w:szCs w:val="24"/>
        </w:rPr>
        <w:t>Peuet</w:t>
      </w:r>
      <w:proofErr w:type="spellEnd"/>
      <w:r w:rsidRPr="00A833F3">
        <w:rPr>
          <w:rFonts w:ascii="Book Antiqua" w:hAnsi="Book Antiqua"/>
          <w:sz w:val="24"/>
          <w:szCs w:val="24"/>
        </w:rPr>
        <w:t xml:space="preserve">, or at the </w:t>
      </w:r>
      <w:proofErr w:type="spellStart"/>
      <w:r w:rsidRPr="00A833F3">
        <w:rPr>
          <w:rFonts w:ascii="Book Antiqua" w:hAnsi="Book Antiqua"/>
          <w:sz w:val="24"/>
          <w:szCs w:val="24"/>
        </w:rPr>
        <w:t>Geuchiek</w:t>
      </w:r>
      <w:proofErr w:type="spellEnd"/>
      <w:r w:rsidRPr="00A833F3">
        <w:rPr>
          <w:rFonts w:ascii="Book Antiqua" w:hAnsi="Book Antiqua"/>
          <w:sz w:val="24"/>
          <w:szCs w:val="24"/>
        </w:rPr>
        <w:t xml:space="preserve"> office.</w:t>
      </w:r>
    </w:p>
    <w:p w:rsidR="00A833F3" w:rsidRPr="00A833F3" w:rsidRDefault="00A833F3" w:rsidP="00A833F3">
      <w:pPr>
        <w:pStyle w:val="BodyText"/>
        <w:spacing w:line="240" w:lineRule="auto"/>
        <w:ind w:right="-2"/>
        <w:jc w:val="both"/>
        <w:rPr>
          <w:rFonts w:ascii="Book Antiqua" w:hAnsi="Book Antiqua"/>
          <w:sz w:val="24"/>
          <w:szCs w:val="24"/>
        </w:rPr>
      </w:pPr>
      <w:r w:rsidRPr="00A833F3">
        <w:rPr>
          <w:rFonts w:ascii="Book Antiqua" w:hAnsi="Book Antiqua"/>
          <w:sz w:val="24"/>
          <w:szCs w:val="24"/>
        </w:rPr>
        <w:t xml:space="preserve">Regarding the procedures for implementing customary justice, as regulated in Article 15 of </w:t>
      </w:r>
      <w:proofErr w:type="spellStart"/>
      <w:r w:rsidRPr="00A833F3">
        <w:rPr>
          <w:rFonts w:ascii="Book Antiqua" w:hAnsi="Book Antiqua"/>
          <w:sz w:val="24"/>
          <w:szCs w:val="24"/>
        </w:rPr>
        <w:t>Qanun</w:t>
      </w:r>
      <w:proofErr w:type="spellEnd"/>
      <w:r w:rsidRPr="00A833F3">
        <w:rPr>
          <w:rFonts w:ascii="Book Antiqua" w:hAnsi="Book Antiqua"/>
          <w:sz w:val="24"/>
          <w:szCs w:val="24"/>
        </w:rPr>
        <w:t xml:space="preserve"> Number 9 of 2008 it is stated that the procedures and conditions for settling disputes are carried out in accordance with local customary provisions. This article implies that the formal law relating to the trial process is fully adapted to local custom.</w:t>
      </w:r>
    </w:p>
    <w:p w:rsidR="00A833F3" w:rsidRPr="00A833F3" w:rsidRDefault="00A833F3" w:rsidP="00A833F3">
      <w:pPr>
        <w:pStyle w:val="BodyText"/>
        <w:spacing w:line="240" w:lineRule="auto"/>
        <w:ind w:right="-2"/>
        <w:jc w:val="both"/>
        <w:rPr>
          <w:rFonts w:ascii="Book Antiqua" w:hAnsi="Book Antiqua"/>
          <w:sz w:val="24"/>
          <w:szCs w:val="24"/>
        </w:rPr>
      </w:pPr>
      <w:r w:rsidRPr="00A833F3">
        <w:rPr>
          <w:rFonts w:ascii="Book Antiqua" w:hAnsi="Book Antiqua"/>
          <w:sz w:val="24"/>
          <w:szCs w:val="24"/>
        </w:rPr>
        <w:t xml:space="preserve">In its implementation, as explained by </w:t>
      </w:r>
      <w:proofErr w:type="spellStart"/>
      <w:r w:rsidRPr="00A833F3">
        <w:rPr>
          <w:rFonts w:ascii="Book Antiqua" w:hAnsi="Book Antiqua"/>
          <w:sz w:val="24"/>
          <w:szCs w:val="24"/>
        </w:rPr>
        <w:t>Fajri</w:t>
      </w:r>
      <w:proofErr w:type="spellEnd"/>
      <w:r w:rsidRPr="00A833F3">
        <w:rPr>
          <w:rFonts w:ascii="Book Antiqua" w:hAnsi="Book Antiqua"/>
          <w:sz w:val="24"/>
          <w:szCs w:val="24"/>
        </w:rPr>
        <w:t xml:space="preserve">, </w:t>
      </w:r>
      <w:proofErr w:type="spellStart"/>
      <w:r w:rsidRPr="00A833F3">
        <w:rPr>
          <w:rFonts w:ascii="Book Antiqua" w:hAnsi="Book Antiqua"/>
          <w:sz w:val="24"/>
          <w:szCs w:val="24"/>
        </w:rPr>
        <w:t>Geuchik</w:t>
      </w:r>
      <w:proofErr w:type="spellEnd"/>
      <w:r w:rsidRPr="00A833F3">
        <w:rPr>
          <w:rFonts w:ascii="Book Antiqua" w:hAnsi="Book Antiqua"/>
          <w:sz w:val="24"/>
          <w:szCs w:val="24"/>
        </w:rPr>
        <w:t xml:space="preserve"> Cot </w:t>
      </w:r>
      <w:proofErr w:type="spellStart"/>
      <w:r w:rsidRPr="00A833F3">
        <w:rPr>
          <w:rFonts w:ascii="Book Antiqua" w:hAnsi="Book Antiqua"/>
          <w:sz w:val="24"/>
          <w:szCs w:val="24"/>
        </w:rPr>
        <w:t>Seurani</w:t>
      </w:r>
      <w:proofErr w:type="spellEnd"/>
      <w:r w:rsidRPr="00A833F3">
        <w:rPr>
          <w:rFonts w:ascii="Book Antiqua" w:hAnsi="Book Antiqua"/>
          <w:sz w:val="24"/>
          <w:szCs w:val="24"/>
        </w:rPr>
        <w:t xml:space="preserve">, the process of customary justice must not conflict with Islamic law. For example, in an accusation of adultery, witnesses cannot be less than 4 (people) in accordance with Islamic law. </w:t>
      </w:r>
      <w:proofErr w:type="spellStart"/>
      <w:r w:rsidRPr="00A833F3">
        <w:rPr>
          <w:rFonts w:ascii="Book Antiqua" w:hAnsi="Book Antiqua"/>
          <w:sz w:val="24"/>
          <w:szCs w:val="24"/>
        </w:rPr>
        <w:t>Fajri's</w:t>
      </w:r>
      <w:proofErr w:type="spellEnd"/>
      <w:r w:rsidRPr="00A833F3">
        <w:rPr>
          <w:rFonts w:ascii="Book Antiqua" w:hAnsi="Book Antiqua"/>
          <w:sz w:val="24"/>
          <w:szCs w:val="24"/>
        </w:rPr>
        <w:t xml:space="preserve"> explanation is because in Aceh, </w:t>
      </w:r>
      <w:proofErr w:type="spellStart"/>
      <w:r w:rsidRPr="00A833F3">
        <w:rPr>
          <w:rFonts w:ascii="Book Antiqua" w:hAnsi="Book Antiqua"/>
          <w:sz w:val="24"/>
          <w:szCs w:val="24"/>
        </w:rPr>
        <w:t>adat</w:t>
      </w:r>
      <w:proofErr w:type="spellEnd"/>
      <w:r w:rsidRPr="00A833F3">
        <w:rPr>
          <w:rFonts w:ascii="Book Antiqua" w:hAnsi="Book Antiqua"/>
          <w:sz w:val="24"/>
          <w:szCs w:val="24"/>
        </w:rPr>
        <w:t xml:space="preserve"> and </w:t>
      </w:r>
      <w:proofErr w:type="spellStart"/>
      <w:r w:rsidRPr="00A833F3">
        <w:rPr>
          <w:rFonts w:ascii="Book Antiqua" w:hAnsi="Book Antiqua"/>
          <w:sz w:val="24"/>
          <w:szCs w:val="24"/>
        </w:rPr>
        <w:t>Syariah</w:t>
      </w:r>
      <w:proofErr w:type="spellEnd"/>
      <w:r w:rsidRPr="00A833F3">
        <w:rPr>
          <w:rFonts w:ascii="Book Antiqua" w:hAnsi="Book Antiqua"/>
          <w:sz w:val="24"/>
          <w:szCs w:val="24"/>
        </w:rPr>
        <w:t xml:space="preserve"> are like two unified elements, so </w:t>
      </w:r>
      <w:proofErr w:type="spellStart"/>
      <w:r w:rsidRPr="00A833F3">
        <w:rPr>
          <w:rFonts w:ascii="Book Antiqua" w:hAnsi="Book Antiqua"/>
          <w:sz w:val="24"/>
          <w:szCs w:val="24"/>
        </w:rPr>
        <w:t>Snouck</w:t>
      </w:r>
      <w:proofErr w:type="spellEnd"/>
      <w:r w:rsidRPr="00A833F3">
        <w:rPr>
          <w:rFonts w:ascii="Book Antiqua" w:hAnsi="Book Antiqua"/>
          <w:sz w:val="24"/>
          <w:szCs w:val="24"/>
        </w:rPr>
        <w:t xml:space="preserve"> </w:t>
      </w:r>
      <w:proofErr w:type="spellStart"/>
      <w:r w:rsidRPr="00A833F3">
        <w:rPr>
          <w:rFonts w:ascii="Book Antiqua" w:hAnsi="Book Antiqua"/>
          <w:sz w:val="24"/>
          <w:szCs w:val="24"/>
        </w:rPr>
        <w:t>Hurgronje</w:t>
      </w:r>
      <w:proofErr w:type="spellEnd"/>
      <w:r w:rsidRPr="00A833F3">
        <w:rPr>
          <w:rFonts w:ascii="Book Antiqua" w:hAnsi="Book Antiqua"/>
          <w:sz w:val="24"/>
          <w:szCs w:val="24"/>
        </w:rPr>
        <w:t xml:space="preserve"> said that customary law will apply if customary law is in accordance with Islamic law </w:t>
      </w:r>
      <w:r w:rsidRPr="00A833F3">
        <w:rPr>
          <w:rFonts w:ascii="Book Antiqua" w:hAnsi="Book Antiqua"/>
          <w:sz w:val="24"/>
          <w:szCs w:val="24"/>
        </w:rPr>
        <w:fldChar w:fldCharType="begin" w:fldLock="1"/>
      </w:r>
      <w:r w:rsidRPr="00A833F3">
        <w:rPr>
          <w:rFonts w:ascii="Book Antiqua" w:hAnsi="Book Antiqua"/>
          <w:sz w:val="24"/>
          <w:szCs w:val="24"/>
        </w:rPr>
        <w:instrText>ADDIN CSL_CITATION {"citationItems":[{"id":"ITEM-1","itemData":{"ISSN":"22773878","abstract":"This study found that structurally there was a lack of clarity about legal institutions and institutions, their police, judges, prosecutors and their lawyers and judges in the adat court. All of that must be arranged in a systemic structure. Substantially seen, it creates uncertainty about how the rules are, whether they have fulfilled a sense of justice, are not discriminatory, responsive or not. So it is necessary to rearrange the material of the legislation. In a legal culture, it is necessary to focus on efforts to establish community legal awareness, shape public understanding of the law, and provide legal services to the community in the case of resolving khalwat cases.","author":[{"dropping-particle":"","family":"Yusrizal","given":"","non-dropping-particle":"","parse-names":false,"suffix":""},{"dropping-particle":"","family":"Mukhlis","given":"","non-dropping-particle":"","parse-names":false,"suffix":""},{"dropping-particle":"","family":"Amalia","given":"Nanda","non-dropping-particle":"","parse-names":false,"suffix":""}],"container-title":"International Journal of Recent Technology and Engineering","id":"ITEM-1","issue":"6","issued":{"date-parts":[["2019"]]},"page":"1367-1370","title":"Adat court vs syar’iyah court: Study of the legal culture of aceh communities completing the khalwat cases","type":"article-journal","volume":"7"},"uris":["http://www.mendeley.com/documents/?uuid=de758600-3f7b-412c-8429-c75cfad7fbf3"]}],"mendeley":{"formattedCitation":"(Yusrizal, Mukhlis and Amalia, 2019)","plainTextFormattedCitation":"(Yusrizal, Mukhlis and Amalia, 2019)","previouslyFormattedCitation":"(Yusrizal, Mukhlis and Amalia, 2019)"},"properties":{"noteIndex":0},"schema":"https://github.com/citation-style-language/schema/raw/master/csl-citation.json"}</w:instrText>
      </w:r>
      <w:r w:rsidRPr="00A833F3">
        <w:rPr>
          <w:rFonts w:ascii="Book Antiqua" w:hAnsi="Book Antiqua"/>
          <w:sz w:val="24"/>
          <w:szCs w:val="24"/>
        </w:rPr>
        <w:fldChar w:fldCharType="separate"/>
      </w:r>
      <w:r w:rsidRPr="00A833F3">
        <w:rPr>
          <w:rFonts w:ascii="Book Antiqua" w:hAnsi="Book Antiqua"/>
          <w:noProof/>
          <w:sz w:val="24"/>
          <w:szCs w:val="24"/>
        </w:rPr>
        <w:t xml:space="preserve">(Yusrizal, Mukhlis and Amalia, 2019) </w:t>
      </w:r>
      <w:r w:rsidRPr="00A833F3">
        <w:rPr>
          <w:rFonts w:ascii="Book Antiqua" w:hAnsi="Book Antiqua"/>
          <w:sz w:val="24"/>
          <w:szCs w:val="24"/>
        </w:rPr>
        <w:fldChar w:fldCharType="end"/>
      </w:r>
      <w:r w:rsidRPr="00A833F3">
        <w:rPr>
          <w:rFonts w:ascii="Book Antiqua" w:hAnsi="Book Antiqua"/>
          <w:sz w:val="24"/>
          <w:szCs w:val="24"/>
        </w:rPr>
        <w:t>. In another sense, any customary rules and customary trial processes that are inconsistent with Islamic law will be rejected.</w:t>
      </w:r>
    </w:p>
    <w:p w:rsidR="00A833F3" w:rsidRPr="00A833F3" w:rsidRDefault="00A833F3" w:rsidP="00A833F3">
      <w:pPr>
        <w:pStyle w:val="BodyText"/>
        <w:spacing w:line="240" w:lineRule="auto"/>
        <w:ind w:right="-2"/>
        <w:jc w:val="both"/>
        <w:rPr>
          <w:rFonts w:ascii="Book Antiqua" w:hAnsi="Book Antiqua"/>
          <w:sz w:val="24"/>
          <w:szCs w:val="24"/>
        </w:rPr>
      </w:pPr>
      <w:r w:rsidRPr="00A833F3">
        <w:rPr>
          <w:rFonts w:ascii="Book Antiqua" w:hAnsi="Book Antiqua"/>
          <w:sz w:val="24"/>
          <w:szCs w:val="24"/>
        </w:rPr>
        <w:t>The process for filing cases or customary disputes in Aceh that is usually practiced is as follows:</w:t>
      </w:r>
    </w:p>
    <w:p w:rsidR="00A833F3" w:rsidRPr="00A833F3" w:rsidRDefault="00A833F3" w:rsidP="00A833F3">
      <w:pPr>
        <w:pStyle w:val="BodyText"/>
        <w:numPr>
          <w:ilvl w:val="0"/>
          <w:numId w:val="41"/>
        </w:numPr>
        <w:spacing w:after="0" w:line="240" w:lineRule="auto"/>
        <w:ind w:left="357" w:hanging="357"/>
        <w:jc w:val="both"/>
        <w:rPr>
          <w:rFonts w:ascii="Book Antiqua" w:hAnsi="Book Antiqua"/>
          <w:sz w:val="24"/>
          <w:szCs w:val="24"/>
        </w:rPr>
      </w:pPr>
      <w:r w:rsidRPr="00A833F3">
        <w:rPr>
          <w:rFonts w:ascii="Book Antiqua" w:hAnsi="Book Antiqua"/>
          <w:sz w:val="24"/>
          <w:szCs w:val="24"/>
        </w:rPr>
        <w:t xml:space="preserve">Acceptance of cases by </w:t>
      </w:r>
      <w:proofErr w:type="spellStart"/>
      <w:r w:rsidRPr="00A833F3">
        <w:rPr>
          <w:rFonts w:ascii="Book Antiqua" w:hAnsi="Book Antiqua"/>
          <w:sz w:val="24"/>
          <w:szCs w:val="24"/>
        </w:rPr>
        <w:t>Gechiek</w:t>
      </w:r>
      <w:proofErr w:type="spellEnd"/>
      <w:r w:rsidRPr="00A833F3">
        <w:rPr>
          <w:rFonts w:ascii="Book Antiqua" w:hAnsi="Book Antiqua"/>
          <w:sz w:val="24"/>
          <w:szCs w:val="24"/>
        </w:rPr>
        <w:t xml:space="preserve"> either based on the victim's </w:t>
      </w:r>
      <w:r>
        <w:rPr>
          <w:rFonts w:ascii="Book Antiqua" w:hAnsi="Book Antiqua"/>
          <w:sz w:val="24"/>
          <w:szCs w:val="24"/>
        </w:rPr>
        <w:t>confession or caught in the act;</w:t>
      </w:r>
    </w:p>
    <w:p w:rsidR="00A833F3" w:rsidRPr="00A833F3" w:rsidRDefault="00A833F3" w:rsidP="00A833F3">
      <w:pPr>
        <w:pStyle w:val="BodyText"/>
        <w:numPr>
          <w:ilvl w:val="0"/>
          <w:numId w:val="41"/>
        </w:numPr>
        <w:spacing w:after="0" w:line="240" w:lineRule="auto"/>
        <w:ind w:left="357" w:hanging="357"/>
        <w:jc w:val="both"/>
        <w:rPr>
          <w:rFonts w:ascii="Book Antiqua" w:hAnsi="Book Antiqua"/>
          <w:sz w:val="24"/>
          <w:szCs w:val="24"/>
        </w:rPr>
      </w:pPr>
      <w:r>
        <w:rPr>
          <w:rFonts w:ascii="Book Antiqua" w:hAnsi="Book Antiqua"/>
          <w:sz w:val="24"/>
          <w:szCs w:val="24"/>
        </w:rPr>
        <w:t>N</w:t>
      </w:r>
      <w:r w:rsidRPr="00A833F3">
        <w:rPr>
          <w:rFonts w:ascii="Book Antiqua" w:hAnsi="Book Antiqua"/>
          <w:sz w:val="24"/>
          <w:szCs w:val="24"/>
        </w:rPr>
        <w:t xml:space="preserve">otification to </w:t>
      </w:r>
      <w:proofErr w:type="spellStart"/>
      <w:r w:rsidRPr="00A833F3">
        <w:rPr>
          <w:rFonts w:ascii="Book Antiqua" w:hAnsi="Book Antiqua"/>
          <w:sz w:val="24"/>
          <w:szCs w:val="24"/>
        </w:rPr>
        <w:t>Tuha</w:t>
      </w:r>
      <w:proofErr w:type="spellEnd"/>
      <w:r w:rsidRPr="00A833F3">
        <w:rPr>
          <w:rFonts w:ascii="Book Antiqua" w:hAnsi="Book Antiqua"/>
          <w:sz w:val="24"/>
          <w:szCs w:val="24"/>
        </w:rPr>
        <w:t xml:space="preserve"> </w:t>
      </w:r>
      <w:proofErr w:type="spellStart"/>
      <w:r w:rsidRPr="00A833F3">
        <w:rPr>
          <w:rFonts w:ascii="Book Antiqua" w:hAnsi="Book Antiqua"/>
          <w:sz w:val="24"/>
          <w:szCs w:val="24"/>
        </w:rPr>
        <w:t>Pe</w:t>
      </w:r>
      <w:r>
        <w:rPr>
          <w:rFonts w:ascii="Book Antiqua" w:hAnsi="Book Antiqua"/>
          <w:sz w:val="24"/>
          <w:szCs w:val="24"/>
        </w:rPr>
        <w:t>ut</w:t>
      </w:r>
      <w:proofErr w:type="spellEnd"/>
      <w:r>
        <w:rPr>
          <w:rFonts w:ascii="Book Antiqua" w:hAnsi="Book Antiqua"/>
          <w:sz w:val="24"/>
          <w:szCs w:val="24"/>
        </w:rPr>
        <w:t xml:space="preserve"> and </w:t>
      </w:r>
      <w:proofErr w:type="spellStart"/>
      <w:r>
        <w:rPr>
          <w:rFonts w:ascii="Book Antiqua" w:hAnsi="Book Antiqua"/>
          <w:sz w:val="24"/>
          <w:szCs w:val="24"/>
        </w:rPr>
        <w:t>Imuem</w:t>
      </w:r>
      <w:proofErr w:type="spellEnd"/>
      <w:r>
        <w:rPr>
          <w:rFonts w:ascii="Book Antiqua" w:hAnsi="Book Antiqua"/>
          <w:sz w:val="24"/>
          <w:szCs w:val="24"/>
        </w:rPr>
        <w:t xml:space="preserve"> </w:t>
      </w:r>
      <w:proofErr w:type="spellStart"/>
      <w:r>
        <w:rPr>
          <w:rFonts w:ascii="Book Antiqua" w:hAnsi="Book Antiqua"/>
          <w:sz w:val="24"/>
          <w:szCs w:val="24"/>
        </w:rPr>
        <w:t>Meunasah</w:t>
      </w:r>
      <w:proofErr w:type="spellEnd"/>
      <w:r>
        <w:rPr>
          <w:rFonts w:ascii="Book Antiqua" w:hAnsi="Book Antiqua"/>
          <w:sz w:val="24"/>
          <w:szCs w:val="24"/>
        </w:rPr>
        <w:t xml:space="preserve"> by </w:t>
      </w:r>
      <w:proofErr w:type="spellStart"/>
      <w:r>
        <w:rPr>
          <w:rFonts w:ascii="Book Antiqua" w:hAnsi="Book Antiqua"/>
          <w:sz w:val="24"/>
          <w:szCs w:val="24"/>
        </w:rPr>
        <w:t>Kechik</w:t>
      </w:r>
      <w:proofErr w:type="spellEnd"/>
      <w:r>
        <w:rPr>
          <w:rFonts w:ascii="Book Antiqua" w:hAnsi="Book Antiqua"/>
          <w:sz w:val="24"/>
          <w:szCs w:val="24"/>
        </w:rPr>
        <w:t>;</w:t>
      </w:r>
    </w:p>
    <w:p w:rsidR="00A833F3" w:rsidRPr="00A833F3" w:rsidRDefault="00A833F3" w:rsidP="00A833F3">
      <w:pPr>
        <w:pStyle w:val="BodyText"/>
        <w:numPr>
          <w:ilvl w:val="0"/>
          <w:numId w:val="41"/>
        </w:numPr>
        <w:spacing w:after="0" w:line="240" w:lineRule="auto"/>
        <w:ind w:left="357" w:hanging="357"/>
        <w:jc w:val="both"/>
        <w:rPr>
          <w:rFonts w:ascii="Book Antiqua" w:hAnsi="Book Antiqua"/>
          <w:sz w:val="24"/>
          <w:szCs w:val="24"/>
        </w:rPr>
      </w:pPr>
      <w:r>
        <w:rPr>
          <w:rFonts w:ascii="Book Antiqua" w:hAnsi="Book Antiqua"/>
          <w:sz w:val="24"/>
          <w:szCs w:val="24"/>
        </w:rPr>
        <w:t>C</w:t>
      </w:r>
      <w:r w:rsidRPr="00A833F3">
        <w:rPr>
          <w:rFonts w:ascii="Book Antiqua" w:hAnsi="Book Antiqua"/>
          <w:sz w:val="24"/>
          <w:szCs w:val="24"/>
        </w:rPr>
        <w:t>a</w:t>
      </w:r>
      <w:r>
        <w:rPr>
          <w:rFonts w:ascii="Book Antiqua" w:hAnsi="Book Antiqua"/>
          <w:sz w:val="24"/>
          <w:szCs w:val="24"/>
        </w:rPr>
        <w:t>lling and examining the parties;</w:t>
      </w:r>
    </w:p>
    <w:p w:rsidR="00A833F3" w:rsidRPr="00A833F3" w:rsidRDefault="00A833F3" w:rsidP="00A833F3">
      <w:pPr>
        <w:pStyle w:val="BodyText"/>
        <w:numPr>
          <w:ilvl w:val="0"/>
          <w:numId w:val="41"/>
        </w:numPr>
        <w:spacing w:after="0" w:line="240" w:lineRule="auto"/>
        <w:ind w:left="357" w:hanging="357"/>
        <w:jc w:val="both"/>
        <w:rPr>
          <w:rFonts w:ascii="Book Antiqua" w:hAnsi="Book Antiqua"/>
          <w:sz w:val="24"/>
          <w:szCs w:val="24"/>
        </w:rPr>
      </w:pPr>
      <w:r>
        <w:rPr>
          <w:rFonts w:ascii="Book Antiqua" w:hAnsi="Book Antiqua"/>
          <w:sz w:val="24"/>
          <w:szCs w:val="24"/>
        </w:rPr>
        <w:t>Decision deal;</w:t>
      </w:r>
    </w:p>
    <w:p w:rsidR="00A833F3" w:rsidRPr="00A833F3" w:rsidRDefault="00A833F3" w:rsidP="00A833F3">
      <w:pPr>
        <w:pStyle w:val="BodyText"/>
        <w:numPr>
          <w:ilvl w:val="0"/>
          <w:numId w:val="41"/>
        </w:numPr>
        <w:spacing w:after="0" w:line="360" w:lineRule="auto"/>
        <w:ind w:left="357" w:hanging="357"/>
        <w:jc w:val="both"/>
        <w:rPr>
          <w:rFonts w:ascii="Book Antiqua" w:hAnsi="Book Antiqua"/>
          <w:sz w:val="24"/>
          <w:szCs w:val="24"/>
        </w:rPr>
      </w:pPr>
      <w:r w:rsidRPr="00A833F3">
        <w:rPr>
          <w:rFonts w:ascii="Book Antiqua" w:hAnsi="Book Antiqua"/>
          <w:sz w:val="24"/>
          <w:szCs w:val="24"/>
        </w:rPr>
        <w:t>Enforcement of sanctions</w:t>
      </w:r>
      <w:r>
        <w:rPr>
          <w:rFonts w:ascii="Book Antiqua" w:hAnsi="Book Antiqua"/>
          <w:sz w:val="24"/>
          <w:szCs w:val="24"/>
        </w:rPr>
        <w:t>.</w:t>
      </w:r>
    </w:p>
    <w:p w:rsidR="00A833F3" w:rsidRPr="00A833F3" w:rsidRDefault="00A833F3" w:rsidP="00A833F3">
      <w:pPr>
        <w:pStyle w:val="BodyText"/>
        <w:spacing w:line="240" w:lineRule="auto"/>
        <w:ind w:right="-2"/>
        <w:jc w:val="both"/>
        <w:rPr>
          <w:rFonts w:ascii="Book Antiqua" w:hAnsi="Book Antiqua"/>
          <w:sz w:val="24"/>
          <w:szCs w:val="24"/>
        </w:rPr>
      </w:pPr>
      <w:r w:rsidRPr="00A833F3">
        <w:rPr>
          <w:rFonts w:ascii="Book Antiqua" w:hAnsi="Book Antiqua"/>
          <w:sz w:val="24"/>
          <w:szCs w:val="24"/>
        </w:rPr>
        <w:t>The application of sanctions is given in accordance with the disputes that occur, the losses and impacts incurred, as well as the socio-economic conditions of the parties to the dispute. In article 16 it is stated that the legal sanctions that can be applied in the customary disputes are as follows:</w:t>
      </w:r>
    </w:p>
    <w:p w:rsidR="00A833F3" w:rsidRPr="00A833F3" w:rsidRDefault="00A833F3" w:rsidP="00A833F3">
      <w:pPr>
        <w:pStyle w:val="BodyText"/>
        <w:numPr>
          <w:ilvl w:val="0"/>
          <w:numId w:val="42"/>
        </w:numPr>
        <w:spacing w:after="0" w:line="240" w:lineRule="auto"/>
        <w:ind w:left="357" w:hanging="357"/>
        <w:jc w:val="both"/>
        <w:rPr>
          <w:rFonts w:ascii="Book Antiqua" w:hAnsi="Book Antiqua"/>
          <w:sz w:val="24"/>
          <w:szCs w:val="24"/>
        </w:rPr>
      </w:pPr>
      <w:r>
        <w:rPr>
          <w:rFonts w:ascii="Book Antiqua" w:hAnsi="Book Antiqua"/>
          <w:sz w:val="24"/>
          <w:szCs w:val="24"/>
        </w:rPr>
        <w:t>A</w:t>
      </w:r>
      <w:r w:rsidRPr="00A833F3">
        <w:rPr>
          <w:rFonts w:ascii="Book Antiqua" w:hAnsi="Book Antiqua"/>
          <w:sz w:val="24"/>
          <w:szCs w:val="24"/>
        </w:rPr>
        <w:t>dvice;</w:t>
      </w:r>
    </w:p>
    <w:p w:rsidR="00A833F3" w:rsidRPr="00A833F3" w:rsidRDefault="00A833F3" w:rsidP="00A833F3">
      <w:pPr>
        <w:pStyle w:val="BodyText"/>
        <w:numPr>
          <w:ilvl w:val="0"/>
          <w:numId w:val="42"/>
        </w:numPr>
        <w:spacing w:after="0" w:line="240" w:lineRule="auto"/>
        <w:ind w:left="357" w:hanging="357"/>
        <w:jc w:val="both"/>
        <w:rPr>
          <w:rFonts w:ascii="Book Antiqua" w:hAnsi="Book Antiqua"/>
          <w:sz w:val="24"/>
          <w:szCs w:val="24"/>
        </w:rPr>
      </w:pPr>
      <w:r>
        <w:rPr>
          <w:rFonts w:ascii="Book Antiqua" w:hAnsi="Book Antiqua"/>
          <w:sz w:val="24"/>
          <w:szCs w:val="24"/>
        </w:rPr>
        <w:t>R</w:t>
      </w:r>
      <w:r w:rsidRPr="00A833F3">
        <w:rPr>
          <w:rFonts w:ascii="Book Antiqua" w:hAnsi="Book Antiqua"/>
          <w:sz w:val="24"/>
          <w:szCs w:val="24"/>
        </w:rPr>
        <w:t>eprimand;</w:t>
      </w:r>
    </w:p>
    <w:p w:rsidR="00A833F3" w:rsidRPr="00A833F3" w:rsidRDefault="00A833F3" w:rsidP="00A833F3">
      <w:pPr>
        <w:pStyle w:val="BodyText"/>
        <w:numPr>
          <w:ilvl w:val="0"/>
          <w:numId w:val="42"/>
        </w:numPr>
        <w:spacing w:after="0" w:line="240" w:lineRule="auto"/>
        <w:ind w:left="357" w:hanging="357"/>
        <w:jc w:val="both"/>
        <w:rPr>
          <w:rFonts w:ascii="Book Antiqua" w:hAnsi="Book Antiqua"/>
          <w:sz w:val="24"/>
          <w:szCs w:val="24"/>
        </w:rPr>
      </w:pPr>
      <w:r>
        <w:rPr>
          <w:rFonts w:ascii="Book Antiqua" w:hAnsi="Book Antiqua"/>
          <w:sz w:val="24"/>
          <w:szCs w:val="24"/>
        </w:rPr>
        <w:t>A</w:t>
      </w:r>
      <w:r w:rsidRPr="00A833F3">
        <w:rPr>
          <w:rFonts w:ascii="Book Antiqua" w:hAnsi="Book Antiqua"/>
          <w:sz w:val="24"/>
          <w:szCs w:val="24"/>
        </w:rPr>
        <w:t>pology;</w:t>
      </w:r>
    </w:p>
    <w:p w:rsidR="00A833F3" w:rsidRPr="00A833F3" w:rsidRDefault="00A833F3" w:rsidP="00A833F3">
      <w:pPr>
        <w:pStyle w:val="BodyText"/>
        <w:numPr>
          <w:ilvl w:val="0"/>
          <w:numId w:val="42"/>
        </w:numPr>
        <w:spacing w:after="0" w:line="240" w:lineRule="auto"/>
        <w:ind w:left="357" w:hanging="357"/>
        <w:jc w:val="both"/>
        <w:rPr>
          <w:rFonts w:ascii="Book Antiqua" w:hAnsi="Book Antiqua"/>
          <w:sz w:val="24"/>
          <w:szCs w:val="24"/>
        </w:rPr>
      </w:pPr>
      <w:proofErr w:type="spellStart"/>
      <w:r w:rsidRPr="00A833F3">
        <w:rPr>
          <w:rFonts w:ascii="Book Antiqua" w:hAnsi="Book Antiqua"/>
          <w:sz w:val="24"/>
          <w:szCs w:val="24"/>
        </w:rPr>
        <w:t>Siyam</w:t>
      </w:r>
      <w:proofErr w:type="spellEnd"/>
      <w:r w:rsidRPr="00A833F3">
        <w:rPr>
          <w:rFonts w:ascii="Book Antiqua" w:hAnsi="Book Antiqua"/>
          <w:sz w:val="24"/>
          <w:szCs w:val="24"/>
        </w:rPr>
        <w:t>;</w:t>
      </w:r>
    </w:p>
    <w:p w:rsidR="00A833F3" w:rsidRPr="00A833F3" w:rsidRDefault="00A833F3" w:rsidP="00A833F3">
      <w:pPr>
        <w:pStyle w:val="BodyText"/>
        <w:numPr>
          <w:ilvl w:val="0"/>
          <w:numId w:val="42"/>
        </w:numPr>
        <w:spacing w:after="0" w:line="240" w:lineRule="auto"/>
        <w:ind w:left="357" w:hanging="357"/>
        <w:jc w:val="both"/>
        <w:rPr>
          <w:rFonts w:ascii="Book Antiqua" w:hAnsi="Book Antiqua"/>
          <w:sz w:val="24"/>
          <w:szCs w:val="24"/>
        </w:rPr>
      </w:pPr>
      <w:proofErr w:type="spellStart"/>
      <w:r w:rsidRPr="00A833F3">
        <w:rPr>
          <w:rFonts w:ascii="Book Antiqua" w:hAnsi="Book Antiqua"/>
          <w:sz w:val="24"/>
          <w:szCs w:val="24"/>
        </w:rPr>
        <w:t>Diyat</w:t>
      </w:r>
      <w:proofErr w:type="spellEnd"/>
      <w:r w:rsidRPr="00A833F3">
        <w:rPr>
          <w:rFonts w:ascii="Book Antiqua" w:hAnsi="Book Antiqua"/>
          <w:sz w:val="24"/>
          <w:szCs w:val="24"/>
        </w:rPr>
        <w:t>;</w:t>
      </w:r>
    </w:p>
    <w:p w:rsidR="00A833F3" w:rsidRPr="00A833F3" w:rsidRDefault="00A833F3" w:rsidP="00A833F3">
      <w:pPr>
        <w:pStyle w:val="BodyText"/>
        <w:numPr>
          <w:ilvl w:val="0"/>
          <w:numId w:val="42"/>
        </w:numPr>
        <w:spacing w:after="0" w:line="240" w:lineRule="auto"/>
        <w:ind w:left="357" w:hanging="357"/>
        <w:jc w:val="both"/>
        <w:rPr>
          <w:rFonts w:ascii="Book Antiqua" w:hAnsi="Book Antiqua"/>
          <w:sz w:val="24"/>
          <w:szCs w:val="24"/>
        </w:rPr>
      </w:pPr>
      <w:r w:rsidRPr="00A833F3">
        <w:rPr>
          <w:rFonts w:ascii="Book Antiqua" w:hAnsi="Book Antiqua"/>
          <w:sz w:val="24"/>
          <w:szCs w:val="24"/>
        </w:rPr>
        <w:t>Fine;</w:t>
      </w:r>
    </w:p>
    <w:p w:rsidR="00A833F3" w:rsidRPr="00A833F3" w:rsidRDefault="00A833F3" w:rsidP="00A833F3">
      <w:pPr>
        <w:pStyle w:val="BodyText"/>
        <w:numPr>
          <w:ilvl w:val="0"/>
          <w:numId w:val="42"/>
        </w:numPr>
        <w:spacing w:after="0" w:line="240" w:lineRule="auto"/>
        <w:ind w:left="357" w:hanging="357"/>
        <w:jc w:val="both"/>
        <w:rPr>
          <w:rFonts w:ascii="Book Antiqua" w:hAnsi="Book Antiqua"/>
          <w:sz w:val="24"/>
          <w:szCs w:val="24"/>
        </w:rPr>
      </w:pPr>
      <w:r>
        <w:rPr>
          <w:rFonts w:ascii="Book Antiqua" w:hAnsi="Book Antiqua"/>
          <w:sz w:val="24"/>
          <w:szCs w:val="24"/>
        </w:rPr>
        <w:t>C</w:t>
      </w:r>
      <w:r w:rsidRPr="00A833F3">
        <w:rPr>
          <w:rFonts w:ascii="Book Antiqua" w:hAnsi="Book Antiqua"/>
          <w:sz w:val="24"/>
          <w:szCs w:val="24"/>
        </w:rPr>
        <w:t>ompensation;</w:t>
      </w:r>
    </w:p>
    <w:p w:rsidR="00A833F3" w:rsidRPr="00A833F3" w:rsidRDefault="00A833F3" w:rsidP="00A833F3">
      <w:pPr>
        <w:pStyle w:val="BodyText"/>
        <w:numPr>
          <w:ilvl w:val="0"/>
          <w:numId w:val="42"/>
        </w:numPr>
        <w:spacing w:after="0" w:line="240" w:lineRule="auto"/>
        <w:ind w:left="357" w:hanging="357"/>
        <w:jc w:val="both"/>
        <w:rPr>
          <w:rFonts w:ascii="Book Antiqua" w:hAnsi="Book Antiqua"/>
          <w:sz w:val="24"/>
          <w:szCs w:val="24"/>
        </w:rPr>
      </w:pPr>
      <w:r>
        <w:rPr>
          <w:rFonts w:ascii="Book Antiqua" w:hAnsi="Book Antiqua"/>
          <w:sz w:val="24"/>
          <w:szCs w:val="24"/>
        </w:rPr>
        <w:lastRenderedPageBreak/>
        <w:t>O</w:t>
      </w:r>
      <w:r w:rsidRPr="00A833F3">
        <w:rPr>
          <w:rFonts w:ascii="Book Antiqua" w:hAnsi="Book Antiqua"/>
          <w:sz w:val="24"/>
          <w:szCs w:val="24"/>
        </w:rPr>
        <w:t xml:space="preserve">stracized by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community or by another name;</w:t>
      </w:r>
    </w:p>
    <w:p w:rsidR="00A833F3" w:rsidRPr="00A833F3" w:rsidRDefault="00A833F3" w:rsidP="00A833F3">
      <w:pPr>
        <w:pStyle w:val="BodyText"/>
        <w:numPr>
          <w:ilvl w:val="0"/>
          <w:numId w:val="42"/>
        </w:numPr>
        <w:spacing w:after="0" w:line="240" w:lineRule="auto"/>
        <w:ind w:left="357" w:hanging="357"/>
        <w:jc w:val="both"/>
        <w:rPr>
          <w:rFonts w:ascii="Book Antiqua" w:hAnsi="Book Antiqua"/>
          <w:sz w:val="24"/>
          <w:szCs w:val="24"/>
        </w:rPr>
      </w:pPr>
      <w:r>
        <w:rPr>
          <w:rFonts w:ascii="Book Antiqua" w:hAnsi="Book Antiqua"/>
          <w:sz w:val="24"/>
          <w:szCs w:val="24"/>
        </w:rPr>
        <w:t>E</w:t>
      </w:r>
      <w:r w:rsidRPr="00A833F3">
        <w:rPr>
          <w:rFonts w:ascii="Book Antiqua" w:hAnsi="Book Antiqua"/>
          <w:sz w:val="24"/>
          <w:szCs w:val="24"/>
        </w:rPr>
        <w:t xml:space="preserve">xpelled from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community or by another name;</w:t>
      </w:r>
    </w:p>
    <w:p w:rsidR="00A833F3" w:rsidRPr="00A833F3" w:rsidRDefault="00A833F3" w:rsidP="00A833F3">
      <w:pPr>
        <w:pStyle w:val="BodyText"/>
        <w:numPr>
          <w:ilvl w:val="0"/>
          <w:numId w:val="42"/>
        </w:numPr>
        <w:spacing w:after="0" w:line="240" w:lineRule="auto"/>
        <w:ind w:left="357" w:hanging="357"/>
        <w:jc w:val="both"/>
        <w:rPr>
          <w:rFonts w:ascii="Book Antiqua" w:hAnsi="Book Antiqua"/>
          <w:sz w:val="24"/>
          <w:szCs w:val="24"/>
        </w:rPr>
      </w:pPr>
      <w:r>
        <w:rPr>
          <w:rFonts w:ascii="Book Antiqua" w:hAnsi="Book Antiqua"/>
          <w:sz w:val="24"/>
          <w:szCs w:val="24"/>
        </w:rPr>
        <w:t>R</w:t>
      </w:r>
      <w:r w:rsidRPr="00A833F3">
        <w:rPr>
          <w:rFonts w:ascii="Book Antiqua" w:hAnsi="Book Antiqua"/>
          <w:sz w:val="24"/>
          <w:szCs w:val="24"/>
        </w:rPr>
        <w:t>evocation of customary titles; and</w:t>
      </w:r>
    </w:p>
    <w:p w:rsidR="00A833F3" w:rsidRPr="00A833F3" w:rsidRDefault="00A833F3" w:rsidP="00A833F3">
      <w:pPr>
        <w:pStyle w:val="BodyText"/>
        <w:numPr>
          <w:ilvl w:val="0"/>
          <w:numId w:val="42"/>
        </w:numPr>
        <w:spacing w:after="0" w:line="360" w:lineRule="auto"/>
        <w:ind w:left="357" w:hanging="357"/>
        <w:jc w:val="both"/>
        <w:rPr>
          <w:rFonts w:ascii="Book Antiqua" w:hAnsi="Book Antiqua"/>
          <w:sz w:val="24"/>
          <w:szCs w:val="24"/>
        </w:rPr>
      </w:pPr>
      <w:r>
        <w:rPr>
          <w:rFonts w:ascii="Book Antiqua" w:hAnsi="Book Antiqua"/>
          <w:sz w:val="24"/>
          <w:szCs w:val="24"/>
        </w:rPr>
        <w:t>O</w:t>
      </w:r>
      <w:r w:rsidRPr="00A833F3">
        <w:rPr>
          <w:rFonts w:ascii="Book Antiqua" w:hAnsi="Book Antiqua"/>
          <w:sz w:val="24"/>
          <w:szCs w:val="24"/>
        </w:rPr>
        <w:t>ther forms of sanctions in accordance with local customs.</w:t>
      </w:r>
    </w:p>
    <w:p w:rsidR="00A833F3" w:rsidRPr="00A833F3" w:rsidRDefault="00A833F3" w:rsidP="00A833F3">
      <w:pPr>
        <w:pStyle w:val="BodyText"/>
        <w:spacing w:line="240" w:lineRule="auto"/>
        <w:ind w:right="-2"/>
        <w:jc w:val="both"/>
        <w:rPr>
          <w:rFonts w:ascii="Book Antiqua" w:hAnsi="Book Antiqua"/>
          <w:sz w:val="24"/>
          <w:szCs w:val="24"/>
        </w:rPr>
      </w:pPr>
      <w:r w:rsidRPr="00A833F3">
        <w:rPr>
          <w:rFonts w:ascii="Book Antiqua" w:hAnsi="Book Antiqua"/>
          <w:sz w:val="24"/>
          <w:szCs w:val="24"/>
        </w:rPr>
        <w:t>These sanctions are imposed in stages, in accordance with the agreement between the parties and/or actors and the Customary Judicial Council. If the sanctions decided by the Assembly are not carried out, the assembly meets to discuss the implementation of the sanctions that have been imposed. Each decision of the customary court assembly is accompanied by a pr</w:t>
      </w:r>
      <w:r w:rsidR="005F6116">
        <w:rPr>
          <w:rFonts w:ascii="Book Antiqua" w:hAnsi="Book Antiqua"/>
          <w:sz w:val="24"/>
          <w:szCs w:val="24"/>
        </w:rPr>
        <w:t>ocess of peace and restoration.</w:t>
      </w:r>
      <w:r w:rsidR="005F6116">
        <w:rPr>
          <w:rStyle w:val="FootnoteReference"/>
          <w:rFonts w:ascii="Book Antiqua" w:hAnsi="Book Antiqua"/>
          <w:sz w:val="24"/>
          <w:szCs w:val="24"/>
        </w:rPr>
        <w:footnoteReference w:id="11"/>
      </w:r>
      <w:r w:rsidRPr="00A833F3">
        <w:rPr>
          <w:rFonts w:ascii="Book Antiqua" w:hAnsi="Book Antiqua"/>
          <w:sz w:val="24"/>
          <w:szCs w:val="24"/>
        </w:rPr>
        <w:t xml:space="preserve"> This process is manifested in the form of mutual forgiveness (shaking hands) and/or </w:t>
      </w:r>
      <w:proofErr w:type="spellStart"/>
      <w:r w:rsidRPr="00A833F3">
        <w:rPr>
          <w:rFonts w:ascii="Book Antiqua" w:hAnsi="Book Antiqua"/>
          <w:i/>
          <w:sz w:val="24"/>
          <w:szCs w:val="24"/>
        </w:rPr>
        <w:t>Pesijuk</w:t>
      </w:r>
      <w:proofErr w:type="spellEnd"/>
      <w:r w:rsidRPr="00A833F3">
        <w:rPr>
          <w:rFonts w:ascii="Book Antiqua" w:hAnsi="Book Antiqua"/>
          <w:sz w:val="24"/>
          <w:szCs w:val="24"/>
        </w:rPr>
        <w:t xml:space="preserve"> events. The Customary Judicial Council is obliged to confirm that the settlement has been resolved, asking the parties and members of the community not to bring up any problems that have occurred. The peace process must be attended by t</w:t>
      </w:r>
      <w:r w:rsidR="006662DB">
        <w:rPr>
          <w:rFonts w:ascii="Book Antiqua" w:hAnsi="Book Antiqua"/>
          <w:sz w:val="24"/>
          <w:szCs w:val="24"/>
        </w:rPr>
        <w:t>he parties and village leaders.</w:t>
      </w:r>
      <w:r w:rsidR="006662DB">
        <w:rPr>
          <w:rStyle w:val="FootnoteReference"/>
          <w:rFonts w:ascii="Book Antiqua" w:hAnsi="Book Antiqua"/>
          <w:sz w:val="24"/>
          <w:szCs w:val="24"/>
        </w:rPr>
        <w:footnoteReference w:id="12"/>
      </w:r>
    </w:p>
    <w:p w:rsidR="00A833F3" w:rsidRPr="00A833F3" w:rsidRDefault="00A833F3" w:rsidP="00A833F3">
      <w:pPr>
        <w:pStyle w:val="BodyText"/>
        <w:spacing w:line="240" w:lineRule="auto"/>
        <w:ind w:right="-2"/>
        <w:jc w:val="both"/>
        <w:rPr>
          <w:rFonts w:ascii="Book Antiqua" w:hAnsi="Book Antiqua"/>
          <w:sz w:val="24"/>
          <w:szCs w:val="24"/>
        </w:rPr>
      </w:pPr>
      <w:r w:rsidRPr="00A833F3">
        <w:rPr>
          <w:rFonts w:ascii="Book Antiqua" w:hAnsi="Book Antiqua"/>
          <w:sz w:val="24"/>
          <w:szCs w:val="24"/>
        </w:rPr>
        <w:t xml:space="preserve">Each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Customary Court Decision or any other name in Aceh is made in writing, signed by the Chairperson and Members of the Assembly as well as both parties to the dispute, and copies of which are submitted to the Head of the Sector Police (</w:t>
      </w:r>
      <w:proofErr w:type="spellStart"/>
      <w:r w:rsidRPr="00A833F3">
        <w:rPr>
          <w:rFonts w:ascii="Book Antiqua" w:hAnsi="Book Antiqua"/>
          <w:sz w:val="24"/>
          <w:szCs w:val="24"/>
        </w:rPr>
        <w:t>Kapolsek</w:t>
      </w:r>
      <w:proofErr w:type="spellEnd"/>
      <w:r w:rsidRPr="00A833F3">
        <w:rPr>
          <w:rFonts w:ascii="Book Antiqua" w:hAnsi="Book Antiqua"/>
          <w:sz w:val="24"/>
          <w:szCs w:val="24"/>
        </w:rPr>
        <w:t xml:space="preserve">), the </w:t>
      </w:r>
      <w:proofErr w:type="spellStart"/>
      <w:r w:rsidRPr="00A833F3">
        <w:rPr>
          <w:rFonts w:ascii="Book Antiqua" w:hAnsi="Book Antiqua"/>
          <w:sz w:val="24"/>
          <w:szCs w:val="24"/>
        </w:rPr>
        <w:t>Camat</w:t>
      </w:r>
      <w:proofErr w:type="spellEnd"/>
      <w:r w:rsidRPr="00A833F3">
        <w:rPr>
          <w:rFonts w:ascii="Book Antiqua" w:hAnsi="Book Antiqua"/>
          <w:sz w:val="24"/>
          <w:szCs w:val="24"/>
        </w:rPr>
        <w:t xml:space="preserve"> and the District Aceh </w:t>
      </w:r>
      <w:proofErr w:type="spellStart"/>
      <w:r w:rsidRPr="00A833F3">
        <w:rPr>
          <w:rFonts w:ascii="Book Antiqua" w:hAnsi="Book Antiqua"/>
          <w:sz w:val="24"/>
          <w:szCs w:val="24"/>
        </w:rPr>
        <w:t>Adat</w:t>
      </w:r>
      <w:proofErr w:type="spellEnd"/>
      <w:r w:rsidRPr="00A833F3">
        <w:rPr>
          <w:rFonts w:ascii="Book Antiqua" w:hAnsi="Book Antiqua"/>
          <w:sz w:val="24"/>
          <w:szCs w:val="24"/>
        </w:rPr>
        <w:t xml:space="preserve"> Council. </w:t>
      </w:r>
    </w:p>
    <w:p w:rsidR="004B1F20" w:rsidRDefault="004B1F20" w:rsidP="00A26219">
      <w:pPr>
        <w:spacing w:after="120" w:line="240" w:lineRule="auto"/>
        <w:jc w:val="both"/>
        <w:rPr>
          <w:rFonts w:ascii="Book Antiqua" w:hAnsi="Book Antiqua" w:cstheme="majorHAnsi"/>
          <w:color w:val="000000" w:themeColor="text1"/>
          <w:sz w:val="24"/>
          <w:szCs w:val="24"/>
        </w:rPr>
      </w:pPr>
    </w:p>
    <w:p w:rsidR="004B1F20" w:rsidRPr="00A833F3" w:rsidRDefault="00A833F3" w:rsidP="00A833F3">
      <w:pPr>
        <w:pStyle w:val="ListParagraph"/>
        <w:numPr>
          <w:ilvl w:val="1"/>
          <w:numId w:val="18"/>
        </w:numPr>
        <w:spacing w:after="120" w:line="240" w:lineRule="auto"/>
        <w:ind w:left="360"/>
        <w:contextualSpacing w:val="0"/>
        <w:jc w:val="both"/>
        <w:rPr>
          <w:rFonts w:ascii="Book Antiqua" w:hAnsi="Book Antiqua" w:cs="Calibri"/>
          <w:color w:val="000000" w:themeColor="text1"/>
          <w:sz w:val="24"/>
          <w:szCs w:val="24"/>
          <w:lang w:val="id-ID"/>
        </w:rPr>
      </w:pPr>
      <w:r w:rsidRPr="00A833F3">
        <w:rPr>
          <w:rFonts w:ascii="Book Antiqua" w:eastAsia="Arial Unicode MS" w:hAnsi="Book Antiqua" w:cstheme="majorHAnsi"/>
          <w:b/>
          <w:color w:val="000000" w:themeColor="text1"/>
          <w:sz w:val="24"/>
          <w:szCs w:val="24"/>
        </w:rPr>
        <w:t>Legal Force of Customary Court Decisions</w:t>
      </w:r>
    </w:p>
    <w:p w:rsidR="00A833F3" w:rsidRPr="00A833F3" w:rsidRDefault="002E336A" w:rsidP="00A833F3">
      <w:pPr>
        <w:pStyle w:val="BodyText"/>
        <w:spacing w:line="240" w:lineRule="auto"/>
        <w:ind w:right="-2"/>
        <w:jc w:val="both"/>
        <w:rPr>
          <w:rFonts w:ascii="Book Antiqua" w:hAnsi="Book Antiqua"/>
          <w:sz w:val="24"/>
          <w:szCs w:val="24"/>
        </w:rPr>
      </w:pPr>
      <w:r w:rsidRPr="00A833F3">
        <w:rPr>
          <w:rFonts w:ascii="Book Antiqua" w:hAnsi="Book Antiqua" w:cstheme="majorHAnsi"/>
          <w:color w:val="000000" w:themeColor="text1"/>
          <w:sz w:val="24"/>
          <w:szCs w:val="24"/>
        </w:rPr>
        <w:t>In</w:t>
      </w:r>
      <w:r w:rsidR="00A833F3" w:rsidRPr="00A833F3">
        <w:rPr>
          <w:rFonts w:ascii="Book Antiqua" w:hAnsi="Book Antiqua"/>
          <w:sz w:val="24"/>
          <w:szCs w:val="24"/>
        </w:rPr>
        <w:t xml:space="preserve"> </w:t>
      </w:r>
      <w:hyperlink r:id="rId14" w:tgtFrame="_blank" w:history="1">
        <w:r w:rsidR="00A833F3" w:rsidRPr="00A833F3">
          <w:rPr>
            <w:rFonts w:ascii="Book Antiqua" w:hAnsi="Book Antiqua"/>
            <w:sz w:val="24"/>
            <w:szCs w:val="24"/>
          </w:rPr>
          <w:t xml:space="preserve">the Joint Decrees of the Governor of Aceh, the Head of the Aceh Regional Police and the Aceh Traditional Council Number 189/667/20011, 1054/MAA/XII/2011, B/121/I/2012 </w:t>
        </w:r>
      </w:hyperlink>
      <w:hyperlink r:id="rId15" w:tgtFrame="_blank" w:history="1">
        <w:r w:rsidR="00A833F3" w:rsidRPr="00A833F3">
          <w:rPr>
            <w:rFonts w:ascii="Book Antiqua" w:hAnsi="Book Antiqua"/>
            <w:sz w:val="24"/>
            <w:szCs w:val="24"/>
          </w:rPr>
          <w:t xml:space="preserve">concerning the Implementation of </w:t>
        </w:r>
        <w:proofErr w:type="spellStart"/>
        <w:r w:rsidR="00A833F3" w:rsidRPr="00A833F3">
          <w:rPr>
            <w:rFonts w:ascii="Book Antiqua" w:hAnsi="Book Antiqua"/>
            <w:sz w:val="24"/>
            <w:szCs w:val="24"/>
          </w:rPr>
          <w:t>Gampong</w:t>
        </w:r>
        <w:proofErr w:type="spellEnd"/>
        <w:r w:rsidR="00A833F3" w:rsidRPr="00A833F3">
          <w:rPr>
            <w:rFonts w:ascii="Book Antiqua" w:hAnsi="Book Antiqua"/>
            <w:sz w:val="24"/>
            <w:szCs w:val="24"/>
          </w:rPr>
          <w:t xml:space="preserve"> and </w:t>
        </w:r>
        <w:proofErr w:type="spellStart"/>
        <w:r w:rsidR="00A833F3" w:rsidRPr="00A833F3">
          <w:rPr>
            <w:rFonts w:ascii="Book Antiqua" w:hAnsi="Book Antiqua"/>
            <w:sz w:val="24"/>
            <w:szCs w:val="24"/>
          </w:rPr>
          <w:t>Mukim</w:t>
        </w:r>
        <w:proofErr w:type="spellEnd"/>
        <w:r w:rsidR="00A833F3" w:rsidRPr="00A833F3">
          <w:rPr>
            <w:rFonts w:ascii="Book Antiqua" w:hAnsi="Book Antiqua"/>
            <w:sz w:val="24"/>
            <w:szCs w:val="24"/>
          </w:rPr>
          <w:t xml:space="preserve"> Customary Courts or Other Names in Aceh </w:t>
        </w:r>
      </w:hyperlink>
      <w:r w:rsidR="00A833F3" w:rsidRPr="00A833F3">
        <w:rPr>
          <w:rFonts w:ascii="Book Antiqua" w:hAnsi="Book Antiqua"/>
          <w:sz w:val="24"/>
          <w:szCs w:val="24"/>
        </w:rPr>
        <w:t>( SKB), stated in the sixth dictum of the SKB as follows:</w:t>
      </w:r>
      <w:r w:rsidR="006662DB">
        <w:rPr>
          <w:rStyle w:val="FootnoteReference"/>
          <w:rFonts w:ascii="Book Antiqua" w:hAnsi="Book Antiqua"/>
          <w:sz w:val="24"/>
          <w:szCs w:val="24"/>
        </w:rPr>
        <w:footnoteReference w:id="13"/>
      </w:r>
    </w:p>
    <w:p w:rsidR="00A833F3" w:rsidRPr="00A833F3" w:rsidRDefault="00A833F3" w:rsidP="00A833F3">
      <w:pPr>
        <w:pStyle w:val="BodyText"/>
        <w:spacing w:line="240" w:lineRule="auto"/>
        <w:ind w:left="709" w:right="-2"/>
        <w:jc w:val="both"/>
        <w:rPr>
          <w:rFonts w:ascii="Book Antiqua" w:hAnsi="Book Antiqua"/>
          <w:sz w:val="24"/>
          <w:szCs w:val="24"/>
        </w:rPr>
      </w:pPr>
      <w:r w:rsidRPr="00A833F3">
        <w:rPr>
          <w:rFonts w:ascii="Book Antiqua" w:hAnsi="Book Antiqua"/>
          <w:sz w:val="24"/>
          <w:szCs w:val="24"/>
        </w:rPr>
        <w:t xml:space="preserve">"Decision of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and </w:t>
      </w:r>
      <w:proofErr w:type="spellStart"/>
      <w:r w:rsidRPr="00A833F3">
        <w:rPr>
          <w:rFonts w:ascii="Book Antiqua" w:hAnsi="Book Antiqua"/>
          <w:sz w:val="24"/>
          <w:szCs w:val="24"/>
        </w:rPr>
        <w:t>Mukim</w:t>
      </w:r>
      <w:proofErr w:type="spellEnd"/>
      <w:r w:rsidRPr="00A833F3">
        <w:rPr>
          <w:rFonts w:ascii="Book Antiqua" w:hAnsi="Book Antiqua"/>
          <w:sz w:val="24"/>
          <w:szCs w:val="24"/>
        </w:rPr>
        <w:t xml:space="preserve"> Customary Courts or other names in Aceh is </w:t>
      </w:r>
      <w:proofErr w:type="gramStart"/>
      <w:r w:rsidRPr="00A833F3">
        <w:rPr>
          <w:rFonts w:ascii="Book Antiqua" w:hAnsi="Book Antiqua"/>
          <w:sz w:val="24"/>
          <w:szCs w:val="24"/>
        </w:rPr>
        <w:t>Final</w:t>
      </w:r>
      <w:proofErr w:type="gramEnd"/>
      <w:r w:rsidRPr="00A833F3">
        <w:rPr>
          <w:rFonts w:ascii="Book Antiqua" w:hAnsi="Book Antiqua"/>
          <w:sz w:val="24"/>
          <w:szCs w:val="24"/>
        </w:rPr>
        <w:t xml:space="preserve"> and Binding and cannot be submitted again to general courts or other courts."</w:t>
      </w:r>
    </w:p>
    <w:p w:rsidR="00A833F3" w:rsidRPr="00A833F3" w:rsidRDefault="00A833F3" w:rsidP="00A833F3">
      <w:pPr>
        <w:pStyle w:val="BodyText"/>
        <w:spacing w:line="240" w:lineRule="auto"/>
        <w:ind w:right="-2" w:firstLine="709"/>
        <w:jc w:val="both"/>
        <w:rPr>
          <w:rFonts w:ascii="Book Antiqua" w:hAnsi="Book Antiqua"/>
          <w:sz w:val="24"/>
          <w:szCs w:val="24"/>
        </w:rPr>
      </w:pPr>
      <w:r w:rsidRPr="00A833F3">
        <w:rPr>
          <w:rFonts w:ascii="Book Antiqua" w:hAnsi="Book Antiqua"/>
          <w:sz w:val="24"/>
          <w:szCs w:val="24"/>
        </w:rPr>
        <w:t xml:space="preserve">The binding nature of the Customary Court Decision is also reaffirmed in Article 18 paragraph (1) of </w:t>
      </w:r>
      <w:proofErr w:type="spellStart"/>
      <w:r w:rsidRPr="00A833F3">
        <w:rPr>
          <w:rFonts w:ascii="Book Antiqua" w:hAnsi="Book Antiqua"/>
          <w:sz w:val="24"/>
          <w:szCs w:val="24"/>
        </w:rPr>
        <w:t>Pergub</w:t>
      </w:r>
      <w:proofErr w:type="spellEnd"/>
      <w:r w:rsidRPr="00A833F3">
        <w:rPr>
          <w:rFonts w:ascii="Book Antiqua" w:hAnsi="Book Antiqua"/>
          <w:sz w:val="24"/>
          <w:szCs w:val="24"/>
        </w:rPr>
        <w:t xml:space="preserve"> Aceh 60/2013 which also states the following:</w:t>
      </w:r>
    </w:p>
    <w:p w:rsidR="00A833F3" w:rsidRPr="00A833F3" w:rsidRDefault="00A833F3" w:rsidP="00A833F3">
      <w:pPr>
        <w:pStyle w:val="BodyText"/>
        <w:spacing w:line="240" w:lineRule="auto"/>
        <w:ind w:right="-2" w:firstLine="709"/>
        <w:rPr>
          <w:rFonts w:ascii="Book Antiqua" w:hAnsi="Book Antiqua"/>
          <w:sz w:val="24"/>
          <w:szCs w:val="24"/>
        </w:rPr>
      </w:pPr>
      <w:r w:rsidRPr="00A833F3">
        <w:rPr>
          <w:rFonts w:ascii="Book Antiqua" w:hAnsi="Book Antiqua"/>
          <w:sz w:val="24"/>
          <w:szCs w:val="24"/>
        </w:rPr>
        <w:t>"Decision of the Customary Court is peaceful and binding".</w:t>
      </w:r>
    </w:p>
    <w:p w:rsidR="00A833F3" w:rsidRPr="00A833F3" w:rsidRDefault="00A833F3" w:rsidP="00A833F3">
      <w:pPr>
        <w:pStyle w:val="BodyText"/>
        <w:spacing w:line="240" w:lineRule="auto"/>
        <w:ind w:right="-2"/>
        <w:jc w:val="both"/>
        <w:rPr>
          <w:rFonts w:ascii="Book Antiqua" w:hAnsi="Book Antiqua"/>
          <w:sz w:val="24"/>
          <w:szCs w:val="24"/>
        </w:rPr>
      </w:pPr>
      <w:r w:rsidRPr="00A833F3">
        <w:rPr>
          <w:rFonts w:ascii="Book Antiqua" w:hAnsi="Book Antiqua"/>
          <w:sz w:val="24"/>
          <w:szCs w:val="24"/>
        </w:rPr>
        <w:t xml:space="preserve">This means that the customary court decisions in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in Aceh that fall under the authority of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are final and have legal force, so that other</w:t>
      </w:r>
      <w:r w:rsidR="005F6116">
        <w:rPr>
          <w:rFonts w:ascii="Book Antiqua" w:hAnsi="Book Antiqua"/>
          <w:sz w:val="24"/>
          <w:szCs w:val="24"/>
        </w:rPr>
        <w:t xml:space="preserve"> legal remedies cannot be taken.</w:t>
      </w:r>
      <w:r w:rsidRPr="00A833F3">
        <w:rPr>
          <w:rFonts w:ascii="Book Antiqua" w:hAnsi="Book Antiqua"/>
          <w:sz w:val="24"/>
          <w:szCs w:val="24"/>
        </w:rPr>
        <w:t xml:space="preserve"> Basically, customary court decisions in Aceh can be categori</w:t>
      </w:r>
      <w:r w:rsidR="005F6116">
        <w:rPr>
          <w:rFonts w:ascii="Book Antiqua" w:hAnsi="Book Antiqua"/>
          <w:sz w:val="24"/>
          <w:szCs w:val="24"/>
        </w:rPr>
        <w:t>zed in two forms, namely:</w:t>
      </w:r>
      <w:r w:rsidR="005F6116">
        <w:rPr>
          <w:rStyle w:val="FootnoteReference"/>
          <w:rFonts w:ascii="Book Antiqua" w:hAnsi="Book Antiqua"/>
          <w:sz w:val="24"/>
          <w:szCs w:val="24"/>
        </w:rPr>
        <w:footnoteReference w:id="14"/>
      </w:r>
    </w:p>
    <w:p w:rsidR="00A833F3" w:rsidRPr="00A833F3" w:rsidRDefault="00A833F3" w:rsidP="00A833F3">
      <w:pPr>
        <w:pStyle w:val="BodyText"/>
        <w:numPr>
          <w:ilvl w:val="0"/>
          <w:numId w:val="43"/>
        </w:numPr>
        <w:spacing w:line="240" w:lineRule="auto"/>
        <w:ind w:left="284" w:right="-2" w:hanging="284"/>
        <w:jc w:val="both"/>
        <w:rPr>
          <w:rFonts w:ascii="Book Antiqua" w:hAnsi="Book Antiqua"/>
          <w:sz w:val="24"/>
          <w:szCs w:val="24"/>
        </w:rPr>
      </w:pPr>
      <w:r w:rsidRPr="00A833F3">
        <w:rPr>
          <w:rFonts w:ascii="Book Antiqua" w:hAnsi="Book Antiqua"/>
          <w:sz w:val="24"/>
          <w:szCs w:val="24"/>
        </w:rPr>
        <w:t xml:space="preserve">For cases that fall into the category of disputes that do not tarnish the moral values of indigenous peoples, such as inheritance disputes, fights that cause minor injuries and slander, the nature of customary decisions is to seek common ground between the </w:t>
      </w:r>
      <w:r w:rsidRPr="00A833F3">
        <w:rPr>
          <w:rFonts w:ascii="Book Antiqua" w:hAnsi="Book Antiqua"/>
          <w:sz w:val="24"/>
          <w:szCs w:val="24"/>
        </w:rPr>
        <w:lastRenderedPageBreak/>
        <w:t xml:space="preserve">litigating parties. Customary sanctions for this type are usually fines, compensation, and </w:t>
      </w:r>
      <w:proofErr w:type="spellStart"/>
      <w:r w:rsidRPr="00A833F3">
        <w:rPr>
          <w:rFonts w:ascii="Book Antiqua" w:hAnsi="Book Antiqua"/>
          <w:sz w:val="24"/>
          <w:szCs w:val="24"/>
        </w:rPr>
        <w:t>diyat</w:t>
      </w:r>
      <w:proofErr w:type="spellEnd"/>
      <w:r w:rsidRPr="00A833F3">
        <w:rPr>
          <w:rFonts w:ascii="Book Antiqua" w:hAnsi="Book Antiqua"/>
          <w:sz w:val="24"/>
          <w:szCs w:val="24"/>
        </w:rPr>
        <w:t>;</w:t>
      </w:r>
    </w:p>
    <w:p w:rsidR="00A833F3" w:rsidRPr="00A833F3" w:rsidRDefault="00A833F3" w:rsidP="00A833F3">
      <w:pPr>
        <w:pStyle w:val="BodyText"/>
        <w:numPr>
          <w:ilvl w:val="0"/>
          <w:numId w:val="43"/>
        </w:numPr>
        <w:spacing w:line="240" w:lineRule="auto"/>
        <w:ind w:left="284" w:right="-2" w:hanging="284"/>
        <w:jc w:val="both"/>
        <w:rPr>
          <w:rFonts w:ascii="Book Antiqua" w:hAnsi="Book Antiqua"/>
          <w:sz w:val="24"/>
          <w:szCs w:val="24"/>
        </w:rPr>
      </w:pPr>
      <w:r w:rsidRPr="00A833F3">
        <w:rPr>
          <w:rFonts w:ascii="Book Antiqua" w:hAnsi="Book Antiqua"/>
          <w:sz w:val="24"/>
          <w:szCs w:val="24"/>
        </w:rPr>
        <w:t xml:space="preserve">For customary cases that offend customary and moral norms, such as adultery, </w:t>
      </w:r>
      <w:proofErr w:type="spellStart"/>
      <w:r w:rsidRPr="00A833F3">
        <w:rPr>
          <w:rFonts w:ascii="Book Antiqua" w:hAnsi="Book Antiqua"/>
          <w:sz w:val="24"/>
          <w:szCs w:val="24"/>
        </w:rPr>
        <w:t>Zina</w:t>
      </w:r>
      <w:proofErr w:type="spellEnd"/>
      <w:r w:rsidRPr="00A833F3">
        <w:rPr>
          <w:rFonts w:ascii="Book Antiqua" w:hAnsi="Book Antiqua"/>
          <w:sz w:val="24"/>
          <w:szCs w:val="24"/>
        </w:rPr>
        <w:t xml:space="preserve">, </w:t>
      </w:r>
      <w:proofErr w:type="spellStart"/>
      <w:r w:rsidRPr="00A833F3">
        <w:rPr>
          <w:rFonts w:ascii="Book Antiqua" w:hAnsi="Book Antiqua"/>
          <w:sz w:val="24"/>
          <w:szCs w:val="24"/>
        </w:rPr>
        <w:t>khalwat</w:t>
      </w:r>
      <w:proofErr w:type="spellEnd"/>
      <w:r w:rsidRPr="00A833F3">
        <w:rPr>
          <w:rFonts w:ascii="Book Antiqua" w:hAnsi="Book Antiqua"/>
          <w:sz w:val="24"/>
          <w:szCs w:val="24"/>
        </w:rPr>
        <w:t xml:space="preserve">, the customary sanctions for this type are usually ostracism by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community or another name and expulsion from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w:t>
      </w:r>
      <w:proofErr w:type="gramStart"/>
      <w:r w:rsidRPr="00A833F3">
        <w:rPr>
          <w:rFonts w:ascii="Book Antiqua" w:hAnsi="Book Antiqua"/>
          <w:sz w:val="24"/>
          <w:szCs w:val="24"/>
        </w:rPr>
        <w:t>community ,</w:t>
      </w:r>
      <w:proofErr w:type="gramEnd"/>
      <w:r w:rsidRPr="00A833F3">
        <w:rPr>
          <w:rFonts w:ascii="Book Antiqua" w:hAnsi="Book Antiqua"/>
          <w:sz w:val="24"/>
          <w:szCs w:val="24"/>
        </w:rPr>
        <w:t xml:space="preserve"> and sometimes fines are added.</w:t>
      </w:r>
    </w:p>
    <w:p w:rsidR="00A833F3" w:rsidRPr="00A833F3" w:rsidRDefault="00A833F3" w:rsidP="00A833F3">
      <w:pPr>
        <w:pStyle w:val="BodyText"/>
        <w:spacing w:line="240" w:lineRule="auto"/>
        <w:ind w:right="-2"/>
        <w:jc w:val="both"/>
        <w:rPr>
          <w:rFonts w:ascii="Book Antiqua" w:hAnsi="Book Antiqua"/>
          <w:sz w:val="24"/>
          <w:szCs w:val="24"/>
        </w:rPr>
      </w:pPr>
      <w:r w:rsidRPr="00A833F3">
        <w:rPr>
          <w:rFonts w:ascii="Book Antiqua" w:hAnsi="Book Antiqua"/>
          <w:sz w:val="24"/>
          <w:szCs w:val="24"/>
        </w:rPr>
        <w:t xml:space="preserve">Decisions on customary cases that fall into the first category are usually made in consultation with the litigants, so that, according to the data we have obtained, they rarely cause problems in the future, both for the parties and the executors of customary justice in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However, if it falls into the second category, it is very likely that the parties will sue the customary justice executor, because the nature of the decision is to revoke the perpetrator's social status in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community, either by expulsion or ostracism. Moreover, this second type of decision is sometimes accompanied by a fine paid to the </w:t>
      </w:r>
      <w:proofErr w:type="spellStart"/>
      <w:r w:rsidRPr="00A833F3">
        <w:rPr>
          <w:rFonts w:ascii="Book Antiqua" w:hAnsi="Book Antiqua"/>
          <w:sz w:val="24"/>
          <w:szCs w:val="24"/>
        </w:rPr>
        <w:t>gampong</w:t>
      </w:r>
      <w:proofErr w:type="spellEnd"/>
      <w:r w:rsidR="006662DB">
        <w:rPr>
          <w:rFonts w:ascii="Book Antiqua" w:hAnsi="Book Antiqua"/>
          <w:sz w:val="24"/>
          <w:szCs w:val="24"/>
        </w:rPr>
        <w:t>.</w:t>
      </w:r>
      <w:r w:rsidR="006662DB">
        <w:rPr>
          <w:rStyle w:val="FootnoteReference"/>
          <w:rFonts w:ascii="Book Antiqua" w:hAnsi="Book Antiqua"/>
          <w:sz w:val="24"/>
          <w:szCs w:val="24"/>
        </w:rPr>
        <w:footnoteReference w:id="15"/>
      </w:r>
    </w:p>
    <w:p w:rsidR="00A833F3" w:rsidRPr="00A833F3" w:rsidRDefault="00A833F3" w:rsidP="00A833F3">
      <w:pPr>
        <w:pStyle w:val="BodyText"/>
        <w:spacing w:line="240" w:lineRule="auto"/>
        <w:ind w:right="-2"/>
        <w:jc w:val="both"/>
        <w:rPr>
          <w:rFonts w:ascii="Book Antiqua" w:hAnsi="Book Antiqua"/>
          <w:sz w:val="24"/>
          <w:szCs w:val="24"/>
        </w:rPr>
      </w:pPr>
      <w:r w:rsidRPr="00A833F3">
        <w:rPr>
          <w:rFonts w:ascii="Book Antiqua" w:hAnsi="Book Antiqua"/>
          <w:sz w:val="24"/>
          <w:szCs w:val="24"/>
        </w:rPr>
        <w:t xml:space="preserve">In a case, a </w:t>
      </w:r>
      <w:proofErr w:type="spellStart"/>
      <w:r w:rsidRPr="00A833F3">
        <w:rPr>
          <w:rFonts w:ascii="Book Antiqua" w:hAnsi="Book Antiqua"/>
          <w:sz w:val="24"/>
          <w:szCs w:val="24"/>
        </w:rPr>
        <w:t>Geuchik</w:t>
      </w:r>
      <w:proofErr w:type="spellEnd"/>
      <w:r w:rsidRPr="00A833F3">
        <w:rPr>
          <w:rFonts w:ascii="Book Antiqua" w:hAnsi="Book Antiqua"/>
          <w:sz w:val="24"/>
          <w:szCs w:val="24"/>
        </w:rPr>
        <w:t xml:space="preserve"> in a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in </w:t>
      </w:r>
      <w:proofErr w:type="spellStart"/>
      <w:r w:rsidRPr="00A833F3">
        <w:rPr>
          <w:rFonts w:ascii="Book Antiqua" w:hAnsi="Book Antiqua"/>
          <w:sz w:val="24"/>
          <w:szCs w:val="24"/>
        </w:rPr>
        <w:t>Lhokseumawe</w:t>
      </w:r>
      <w:proofErr w:type="spellEnd"/>
      <w:r w:rsidRPr="00A833F3">
        <w:rPr>
          <w:rFonts w:ascii="Book Antiqua" w:hAnsi="Book Antiqua"/>
          <w:sz w:val="24"/>
          <w:szCs w:val="24"/>
        </w:rPr>
        <w:t xml:space="preserve"> City where after he decided on a case that fell under the authority of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in Aceh, he was named a suspect with the offense of extortion, although investigators reconciled. He stated that in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where he was </w:t>
      </w:r>
      <w:proofErr w:type="spellStart"/>
      <w:r w:rsidRPr="00A833F3">
        <w:rPr>
          <w:rFonts w:ascii="Book Antiqua" w:hAnsi="Book Antiqua"/>
          <w:sz w:val="24"/>
          <w:szCs w:val="24"/>
        </w:rPr>
        <w:t>Geuchik</w:t>
      </w:r>
      <w:proofErr w:type="spellEnd"/>
      <w:r w:rsidRPr="00A833F3">
        <w:rPr>
          <w:rFonts w:ascii="Book Antiqua" w:hAnsi="Book Antiqua"/>
          <w:sz w:val="24"/>
          <w:szCs w:val="24"/>
        </w:rPr>
        <w:t xml:space="preserve">, it was a mutual agreement that for every immoral </w:t>
      </w:r>
      <w:proofErr w:type="spellStart"/>
      <w:r w:rsidRPr="00A833F3">
        <w:rPr>
          <w:rFonts w:ascii="Book Antiqua" w:hAnsi="Book Antiqua"/>
          <w:sz w:val="24"/>
          <w:szCs w:val="24"/>
        </w:rPr>
        <w:t>khalwat</w:t>
      </w:r>
      <w:proofErr w:type="spellEnd"/>
      <w:r w:rsidRPr="00A833F3">
        <w:rPr>
          <w:rFonts w:ascii="Book Antiqua" w:hAnsi="Book Antiqua"/>
          <w:sz w:val="24"/>
          <w:szCs w:val="24"/>
        </w:rPr>
        <w:t xml:space="preserve"> perpetrator in the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the penalty was a fine as a customary punishment with amount of money handed over to the </w:t>
      </w:r>
      <w:proofErr w:type="spellStart"/>
      <w:r w:rsidRPr="00A833F3">
        <w:rPr>
          <w:rFonts w:ascii="Book Antiqua" w:hAnsi="Book Antiqua"/>
          <w:sz w:val="24"/>
          <w:szCs w:val="24"/>
        </w:rPr>
        <w:t>gampong</w:t>
      </w:r>
      <w:proofErr w:type="spellEnd"/>
      <w:r w:rsidRPr="00A833F3">
        <w:rPr>
          <w:rFonts w:ascii="Book Antiqua" w:hAnsi="Book Antiqua"/>
          <w:sz w:val="24"/>
          <w:szCs w:val="24"/>
        </w:rPr>
        <w:t>. He did not expect that the implementation of these customary rules would cause legal problems.</w:t>
      </w:r>
      <w:r w:rsidR="006662DB">
        <w:rPr>
          <w:rStyle w:val="FootnoteReference"/>
          <w:rFonts w:ascii="Book Antiqua" w:hAnsi="Book Antiqua"/>
          <w:sz w:val="24"/>
          <w:szCs w:val="24"/>
        </w:rPr>
        <w:footnoteReference w:id="16"/>
      </w:r>
    </w:p>
    <w:p w:rsidR="004B1F20" w:rsidRDefault="00A833F3" w:rsidP="00A833F3">
      <w:pPr>
        <w:spacing w:after="120" w:line="240" w:lineRule="auto"/>
        <w:jc w:val="both"/>
        <w:rPr>
          <w:rFonts w:ascii="Book Antiqua" w:hAnsi="Book Antiqua" w:cstheme="majorHAnsi"/>
          <w:color w:val="000000" w:themeColor="text1"/>
          <w:sz w:val="24"/>
          <w:szCs w:val="24"/>
        </w:rPr>
      </w:pPr>
      <w:r w:rsidRPr="00A833F3">
        <w:rPr>
          <w:rFonts w:ascii="Book Antiqua" w:hAnsi="Book Antiqua"/>
          <w:sz w:val="24"/>
          <w:szCs w:val="24"/>
        </w:rPr>
        <w:t xml:space="preserve">In interviews with police officers, it was explained that the party reporting the customary court decision would still be processed according to the alleged offense. </w:t>
      </w:r>
      <w:proofErr w:type="gramStart"/>
      <w:r w:rsidRPr="00A833F3">
        <w:rPr>
          <w:rFonts w:ascii="Book Antiqua" w:hAnsi="Book Antiqua"/>
          <w:sz w:val="24"/>
          <w:szCs w:val="24"/>
        </w:rPr>
        <w:t>Although investigators will still try to reconcile the two parties.</w:t>
      </w:r>
      <w:proofErr w:type="gramEnd"/>
      <w:r w:rsidRPr="00A833F3">
        <w:rPr>
          <w:rFonts w:ascii="Book Antiqua" w:hAnsi="Book Antiqua"/>
          <w:sz w:val="24"/>
          <w:szCs w:val="24"/>
        </w:rPr>
        <w:t xml:space="preserve"> If reconciliation does not occur, then the process will proceed to the stage of determining the suspect, detention if necessary and prosecution in court. Ultimately, the judge will decide whether the suspect is guilty or not. With regard to customary court decisions in </w:t>
      </w:r>
      <w:proofErr w:type="spellStart"/>
      <w:r w:rsidRPr="00A833F3">
        <w:rPr>
          <w:rFonts w:ascii="Book Antiqua" w:hAnsi="Book Antiqua"/>
          <w:sz w:val="24"/>
          <w:szCs w:val="24"/>
        </w:rPr>
        <w:t>gampong</w:t>
      </w:r>
      <w:proofErr w:type="spellEnd"/>
      <w:r w:rsidRPr="00A833F3">
        <w:rPr>
          <w:rFonts w:ascii="Book Antiqua" w:hAnsi="Book Antiqua"/>
          <w:sz w:val="24"/>
          <w:szCs w:val="24"/>
        </w:rPr>
        <w:t xml:space="preserve">, the judge will use this as evidence and then form the basis for court decisions. Thus, on the one hand, customary court decisions have a legal basis for their application, but on the other hand, customary court decisions do not stop the parties' efforts to seek justice through other legal </w:t>
      </w:r>
      <w:proofErr w:type="spellStart"/>
      <w:r w:rsidRPr="00A833F3">
        <w:rPr>
          <w:rFonts w:ascii="Book Antiqua" w:hAnsi="Book Antiqua"/>
          <w:sz w:val="24"/>
          <w:szCs w:val="24"/>
        </w:rPr>
        <w:t>pocedure</w:t>
      </w:r>
      <w:proofErr w:type="spellEnd"/>
      <w:r w:rsidR="002E336A" w:rsidRPr="00A833F3">
        <w:rPr>
          <w:rFonts w:ascii="Book Antiqua" w:hAnsi="Book Antiqua" w:cstheme="majorHAnsi"/>
          <w:color w:val="000000" w:themeColor="text1"/>
          <w:sz w:val="24"/>
          <w:szCs w:val="24"/>
        </w:rPr>
        <w:t>.</w:t>
      </w:r>
    </w:p>
    <w:p w:rsidR="00F211B0" w:rsidRPr="00A833F3" w:rsidRDefault="00F211B0" w:rsidP="00A833F3">
      <w:pPr>
        <w:spacing w:after="120" w:line="240" w:lineRule="auto"/>
        <w:jc w:val="both"/>
        <w:rPr>
          <w:rFonts w:ascii="Book Antiqua" w:hAnsi="Book Antiqua" w:cstheme="majorHAnsi"/>
          <w:color w:val="000000" w:themeColor="text1"/>
          <w:sz w:val="24"/>
          <w:szCs w:val="24"/>
        </w:rPr>
      </w:pPr>
    </w:p>
    <w:p w:rsidR="00F211B0" w:rsidRPr="00F211B0" w:rsidRDefault="00F211B0" w:rsidP="00F211B0">
      <w:pPr>
        <w:pStyle w:val="ListParagraph"/>
        <w:numPr>
          <w:ilvl w:val="1"/>
          <w:numId w:val="18"/>
        </w:numPr>
        <w:spacing w:after="120" w:line="240" w:lineRule="auto"/>
        <w:ind w:left="360"/>
        <w:contextualSpacing w:val="0"/>
        <w:jc w:val="both"/>
        <w:rPr>
          <w:rFonts w:ascii="Book Antiqua" w:hAnsi="Book Antiqua" w:cs="Calibri"/>
          <w:color w:val="000000" w:themeColor="text1"/>
          <w:sz w:val="24"/>
          <w:szCs w:val="24"/>
          <w:lang w:val="id-ID"/>
        </w:rPr>
      </w:pPr>
      <w:r w:rsidRPr="00F211B0">
        <w:rPr>
          <w:rFonts w:ascii="Book Antiqua" w:eastAsia="Arial Unicode MS" w:hAnsi="Book Antiqua" w:cstheme="majorHAnsi"/>
          <w:b/>
          <w:color w:val="000000" w:themeColor="text1"/>
          <w:sz w:val="24"/>
          <w:szCs w:val="24"/>
        </w:rPr>
        <w:t xml:space="preserve">A Case Study in </w:t>
      </w:r>
      <w:proofErr w:type="spellStart"/>
      <w:r w:rsidRPr="00F211B0">
        <w:rPr>
          <w:rFonts w:ascii="Book Antiqua" w:eastAsia="Arial Unicode MS" w:hAnsi="Book Antiqua" w:cstheme="majorHAnsi"/>
          <w:b/>
          <w:color w:val="000000" w:themeColor="text1"/>
          <w:sz w:val="24"/>
          <w:szCs w:val="24"/>
        </w:rPr>
        <w:t>Muara</w:t>
      </w:r>
      <w:proofErr w:type="spellEnd"/>
      <w:r w:rsidRPr="00F211B0">
        <w:rPr>
          <w:rFonts w:ascii="Book Antiqua" w:eastAsia="Arial Unicode MS" w:hAnsi="Book Antiqua" w:cstheme="majorHAnsi"/>
          <w:b/>
          <w:color w:val="000000" w:themeColor="text1"/>
          <w:sz w:val="24"/>
          <w:szCs w:val="24"/>
        </w:rPr>
        <w:t xml:space="preserve"> </w:t>
      </w:r>
      <w:proofErr w:type="spellStart"/>
      <w:r w:rsidRPr="00F211B0">
        <w:rPr>
          <w:rFonts w:ascii="Book Antiqua" w:eastAsia="Arial Unicode MS" w:hAnsi="Book Antiqua" w:cstheme="majorHAnsi"/>
          <w:b/>
          <w:color w:val="000000" w:themeColor="text1"/>
          <w:sz w:val="24"/>
          <w:szCs w:val="24"/>
        </w:rPr>
        <w:t>Batu</w:t>
      </w:r>
      <w:proofErr w:type="spellEnd"/>
      <w:r w:rsidRPr="00F211B0">
        <w:rPr>
          <w:rFonts w:ascii="Book Antiqua" w:eastAsia="Arial Unicode MS" w:hAnsi="Book Antiqua" w:cstheme="majorHAnsi"/>
          <w:b/>
          <w:color w:val="000000" w:themeColor="text1"/>
          <w:sz w:val="24"/>
          <w:szCs w:val="24"/>
        </w:rPr>
        <w:t xml:space="preserve"> District</w:t>
      </w:r>
    </w:p>
    <w:p w:rsidR="00F211B0" w:rsidRPr="00F211B0" w:rsidRDefault="00F211B0" w:rsidP="00F211B0">
      <w:pPr>
        <w:pStyle w:val="BodyText"/>
        <w:spacing w:line="240" w:lineRule="auto"/>
        <w:ind w:right="-2"/>
        <w:jc w:val="both"/>
        <w:rPr>
          <w:rFonts w:ascii="Book Antiqua" w:hAnsi="Book Antiqua"/>
          <w:sz w:val="24"/>
          <w:szCs w:val="24"/>
        </w:rPr>
      </w:pPr>
      <w:proofErr w:type="spellStart"/>
      <w:r w:rsidRPr="00F211B0">
        <w:rPr>
          <w:rFonts w:ascii="Book Antiqua" w:hAnsi="Book Antiqua"/>
          <w:sz w:val="24"/>
          <w:szCs w:val="24"/>
        </w:rPr>
        <w:t>Muara</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Batu</w:t>
      </w:r>
      <w:proofErr w:type="spellEnd"/>
      <w:r w:rsidRPr="00F211B0">
        <w:rPr>
          <w:rFonts w:ascii="Book Antiqua" w:hAnsi="Book Antiqua"/>
          <w:sz w:val="24"/>
          <w:szCs w:val="24"/>
        </w:rPr>
        <w:t xml:space="preserve"> sub-district is the westernmost sub-district of North Aceh district. The number of </w:t>
      </w:r>
      <w:proofErr w:type="spellStart"/>
      <w:r w:rsidRPr="00F211B0">
        <w:rPr>
          <w:rFonts w:ascii="Book Antiqua" w:hAnsi="Book Antiqua"/>
          <w:sz w:val="24"/>
          <w:szCs w:val="24"/>
        </w:rPr>
        <w:t>gampongs</w:t>
      </w:r>
      <w:proofErr w:type="spellEnd"/>
      <w:r w:rsidRPr="00F211B0">
        <w:rPr>
          <w:rFonts w:ascii="Book Antiqua" w:hAnsi="Book Antiqua"/>
          <w:sz w:val="24"/>
          <w:szCs w:val="24"/>
        </w:rPr>
        <w:t xml:space="preserve"> in </w:t>
      </w:r>
      <w:proofErr w:type="spellStart"/>
      <w:r w:rsidRPr="00F211B0">
        <w:rPr>
          <w:rFonts w:ascii="Book Antiqua" w:hAnsi="Book Antiqua"/>
          <w:sz w:val="24"/>
          <w:szCs w:val="24"/>
        </w:rPr>
        <w:t>Muara</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Batu</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subdistrict</w:t>
      </w:r>
      <w:proofErr w:type="spellEnd"/>
      <w:r w:rsidRPr="00F211B0">
        <w:rPr>
          <w:rFonts w:ascii="Book Antiqua" w:hAnsi="Book Antiqua"/>
          <w:sz w:val="24"/>
          <w:szCs w:val="24"/>
        </w:rPr>
        <w:t xml:space="preserve"> is 24 </w:t>
      </w:r>
      <w:proofErr w:type="spellStart"/>
      <w:r w:rsidRPr="00F211B0">
        <w:rPr>
          <w:rFonts w:ascii="Book Antiqua" w:hAnsi="Book Antiqua"/>
          <w:sz w:val="24"/>
          <w:szCs w:val="24"/>
        </w:rPr>
        <w:t>gampongs</w:t>
      </w:r>
      <w:proofErr w:type="spellEnd"/>
      <w:r w:rsidRPr="00F211B0">
        <w:rPr>
          <w:rFonts w:ascii="Book Antiqua" w:hAnsi="Book Antiqua"/>
          <w:sz w:val="24"/>
          <w:szCs w:val="24"/>
        </w:rPr>
        <w:t xml:space="preserve">. The total population in </w:t>
      </w:r>
      <w:proofErr w:type="spellStart"/>
      <w:r w:rsidRPr="00F211B0">
        <w:rPr>
          <w:rFonts w:ascii="Book Antiqua" w:hAnsi="Book Antiqua"/>
          <w:sz w:val="24"/>
          <w:szCs w:val="24"/>
        </w:rPr>
        <w:t>Muara</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Batu</w:t>
      </w:r>
      <w:proofErr w:type="spellEnd"/>
      <w:r w:rsidRPr="00F211B0">
        <w:rPr>
          <w:rFonts w:ascii="Book Antiqua" w:hAnsi="Book Antiqua"/>
          <w:sz w:val="24"/>
          <w:szCs w:val="24"/>
        </w:rPr>
        <w:t xml:space="preserve"> District in 2021 is 28,782 which are divided into 6,826 households. The employment sector of the majority of the population in the District is in the agricultural sector, while others work in the industrial, trade, transportation and other sectors. The </w:t>
      </w:r>
      <w:proofErr w:type="gramStart"/>
      <w:r w:rsidRPr="00F211B0">
        <w:rPr>
          <w:rFonts w:ascii="Book Antiqua" w:hAnsi="Book Antiqua"/>
          <w:sz w:val="24"/>
          <w:szCs w:val="24"/>
        </w:rPr>
        <w:t xml:space="preserve">population in </w:t>
      </w:r>
      <w:proofErr w:type="spellStart"/>
      <w:r w:rsidRPr="00F211B0">
        <w:rPr>
          <w:rFonts w:ascii="Book Antiqua" w:hAnsi="Book Antiqua"/>
          <w:sz w:val="24"/>
          <w:szCs w:val="24"/>
        </w:rPr>
        <w:t>Muara</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Batu</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Subdistrict</w:t>
      </w:r>
      <w:proofErr w:type="spellEnd"/>
      <w:r w:rsidRPr="00F211B0">
        <w:rPr>
          <w:rFonts w:ascii="Book Antiqua" w:hAnsi="Book Antiqua"/>
          <w:sz w:val="24"/>
          <w:szCs w:val="24"/>
        </w:rPr>
        <w:t>, as is common in other villages in the North Aceh re</w:t>
      </w:r>
      <w:r w:rsidR="006662DB">
        <w:rPr>
          <w:rFonts w:ascii="Book Antiqua" w:hAnsi="Book Antiqua"/>
          <w:sz w:val="24"/>
          <w:szCs w:val="24"/>
        </w:rPr>
        <w:t>gion, are</w:t>
      </w:r>
      <w:proofErr w:type="gramEnd"/>
      <w:r w:rsidR="006662DB">
        <w:rPr>
          <w:rFonts w:ascii="Book Antiqua" w:hAnsi="Book Antiqua"/>
          <w:sz w:val="24"/>
          <w:szCs w:val="24"/>
        </w:rPr>
        <w:t xml:space="preserve"> Muslim.</w:t>
      </w:r>
      <w:r w:rsidR="006662DB">
        <w:rPr>
          <w:rStyle w:val="FootnoteReference"/>
          <w:rFonts w:ascii="Book Antiqua" w:hAnsi="Book Antiqua"/>
          <w:sz w:val="24"/>
          <w:szCs w:val="24"/>
        </w:rPr>
        <w:footnoteReference w:id="17"/>
      </w:r>
    </w:p>
    <w:p w:rsidR="00F211B0" w:rsidRDefault="00F211B0" w:rsidP="00F211B0">
      <w:pPr>
        <w:pStyle w:val="BodyText"/>
        <w:spacing w:line="240" w:lineRule="auto"/>
        <w:ind w:right="-2"/>
        <w:jc w:val="both"/>
        <w:rPr>
          <w:rFonts w:ascii="Book Antiqua" w:hAnsi="Book Antiqua"/>
          <w:sz w:val="24"/>
          <w:szCs w:val="24"/>
        </w:rPr>
      </w:pPr>
      <w:r w:rsidRPr="00F211B0">
        <w:rPr>
          <w:rFonts w:ascii="Book Antiqua" w:hAnsi="Book Antiqua"/>
          <w:sz w:val="24"/>
          <w:szCs w:val="24"/>
        </w:rPr>
        <w:lastRenderedPageBreak/>
        <w:t xml:space="preserve">Based on the data the researchers obtained, every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in </w:t>
      </w:r>
      <w:proofErr w:type="spellStart"/>
      <w:r w:rsidRPr="00F211B0">
        <w:rPr>
          <w:rFonts w:ascii="Book Antiqua" w:hAnsi="Book Antiqua"/>
          <w:sz w:val="24"/>
          <w:szCs w:val="24"/>
        </w:rPr>
        <w:t>Muara</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Batu</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Subdistrict</w:t>
      </w:r>
      <w:proofErr w:type="spellEnd"/>
      <w:r w:rsidRPr="00F211B0">
        <w:rPr>
          <w:rFonts w:ascii="Book Antiqua" w:hAnsi="Book Antiqua"/>
          <w:sz w:val="24"/>
          <w:szCs w:val="24"/>
        </w:rPr>
        <w:t xml:space="preserve"> has a customary court, information about which can be seen at the </w:t>
      </w:r>
      <w:proofErr w:type="spellStart"/>
      <w:r w:rsidRPr="00F211B0">
        <w:rPr>
          <w:rFonts w:ascii="Book Antiqua" w:hAnsi="Book Antiqua"/>
          <w:sz w:val="24"/>
          <w:szCs w:val="24"/>
        </w:rPr>
        <w:t>geuchik's</w:t>
      </w:r>
      <w:proofErr w:type="spellEnd"/>
      <w:r w:rsidRPr="00F211B0">
        <w:rPr>
          <w:rFonts w:ascii="Book Antiqua" w:hAnsi="Book Antiqua"/>
          <w:sz w:val="24"/>
          <w:szCs w:val="24"/>
        </w:rPr>
        <w:t xml:space="preserve"> office or village hall which is posted on the wall in the form of a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customary court charter.</w:t>
      </w:r>
    </w:p>
    <w:p w:rsidR="00CA5B07" w:rsidRDefault="00CA5B07" w:rsidP="00CA5B07">
      <w:pPr>
        <w:pStyle w:val="BodyText"/>
        <w:ind w:right="-2"/>
        <w:jc w:val="both"/>
        <w:rPr>
          <w:rFonts w:ascii="Book Antiqua" w:hAnsi="Book Antiqua"/>
          <w:sz w:val="24"/>
          <w:szCs w:val="24"/>
        </w:rPr>
      </w:pPr>
      <w:proofErr w:type="gramStart"/>
      <w:r w:rsidRPr="00CA5B07">
        <w:rPr>
          <w:rFonts w:ascii="Book Antiqua" w:hAnsi="Book Antiqua"/>
          <w:b/>
          <w:sz w:val="24"/>
          <w:szCs w:val="24"/>
        </w:rPr>
        <w:t>Figure 1.</w:t>
      </w:r>
      <w:proofErr w:type="gramEnd"/>
      <w:r w:rsidRPr="00F211B0">
        <w:rPr>
          <w:rFonts w:ascii="Book Antiqua" w:hAnsi="Book Antiqua"/>
          <w:sz w:val="24"/>
          <w:szCs w:val="24"/>
        </w:rPr>
        <w:t xml:space="preserve"> </w:t>
      </w:r>
      <w:proofErr w:type="gramStart"/>
      <w:r w:rsidRPr="00F211B0">
        <w:rPr>
          <w:rFonts w:ascii="Book Antiqua" w:hAnsi="Book Antiqua"/>
          <w:sz w:val="24"/>
          <w:szCs w:val="24"/>
        </w:rPr>
        <w:t xml:space="preserve">Information on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Authorities at </w:t>
      </w:r>
      <w:proofErr w:type="spellStart"/>
      <w:r w:rsidRPr="00F211B0">
        <w:rPr>
          <w:rFonts w:ascii="Book Antiqua" w:hAnsi="Book Antiqua"/>
          <w:sz w:val="24"/>
          <w:szCs w:val="24"/>
        </w:rPr>
        <w:t>Balai</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Cot </w:t>
      </w:r>
      <w:proofErr w:type="spellStart"/>
      <w:r w:rsidRPr="00F211B0">
        <w:rPr>
          <w:rFonts w:ascii="Book Antiqua" w:hAnsi="Book Antiqua"/>
          <w:sz w:val="24"/>
          <w:szCs w:val="24"/>
        </w:rPr>
        <w:t>Seurani</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Muara</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Batu</w:t>
      </w:r>
      <w:proofErr w:type="spellEnd"/>
      <w:r w:rsidRPr="00F211B0">
        <w:rPr>
          <w:rFonts w:ascii="Book Antiqua" w:hAnsi="Book Antiqua"/>
          <w:sz w:val="24"/>
          <w:szCs w:val="24"/>
        </w:rPr>
        <w:t>.</w:t>
      </w:r>
      <w:proofErr w:type="gramEnd"/>
    </w:p>
    <w:p w:rsidR="00F211B0" w:rsidRPr="00F211B0" w:rsidRDefault="00F211B0" w:rsidP="00F211B0">
      <w:pPr>
        <w:pStyle w:val="BodyText"/>
        <w:spacing w:before="1" w:line="360" w:lineRule="auto"/>
        <w:ind w:right="-2"/>
        <w:jc w:val="center"/>
        <w:rPr>
          <w:rFonts w:ascii="Book Antiqua" w:hAnsi="Book Antiqua"/>
          <w:sz w:val="24"/>
          <w:szCs w:val="24"/>
        </w:rPr>
      </w:pPr>
      <w:r w:rsidRPr="00F211B0">
        <w:rPr>
          <w:rFonts w:ascii="Book Antiqua" w:hAnsi="Book Antiqua"/>
          <w:noProof/>
          <w:sz w:val="24"/>
          <w:szCs w:val="24"/>
          <w:lang w:bidi="ar-SA"/>
        </w:rPr>
        <w:drawing>
          <wp:inline distT="0" distB="0" distL="0" distR="0" wp14:anchorId="76151A84" wp14:editId="22A73AE8">
            <wp:extent cx="5350933" cy="2269066"/>
            <wp:effectExtent l="0" t="0" r="2540" b="0"/>
            <wp:docPr id="7" name="Picture 7" descr="C:\Users\ACER\Downloads\IMG_20220922_124641_39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IMG_20220922_124641_390 (1).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085" t="7749" r="9201" b="17433"/>
                    <a:stretch/>
                  </pic:blipFill>
                  <pic:spPr bwMode="auto">
                    <a:xfrm>
                      <a:off x="0" y="0"/>
                      <a:ext cx="5361510" cy="2273551"/>
                    </a:xfrm>
                    <a:prstGeom prst="rect">
                      <a:avLst/>
                    </a:prstGeom>
                    <a:noFill/>
                    <a:ln>
                      <a:noFill/>
                    </a:ln>
                    <a:extLst>
                      <a:ext uri="{53640926-AAD7-44D8-BBD7-CCE9431645EC}">
                        <a14:shadowObscured xmlns:a14="http://schemas.microsoft.com/office/drawing/2010/main"/>
                      </a:ext>
                    </a:extLst>
                  </pic:spPr>
                </pic:pic>
              </a:graphicData>
            </a:graphic>
          </wp:inline>
        </w:drawing>
      </w:r>
    </w:p>
    <w:p w:rsidR="00F211B0" w:rsidRDefault="00F211B0" w:rsidP="00F211B0">
      <w:pPr>
        <w:pStyle w:val="BodyText"/>
        <w:spacing w:line="360" w:lineRule="auto"/>
        <w:ind w:right="-2"/>
        <w:jc w:val="both"/>
        <w:rPr>
          <w:rFonts w:ascii="Book Antiqua" w:hAnsi="Book Antiqua"/>
          <w:sz w:val="24"/>
          <w:szCs w:val="24"/>
        </w:rPr>
      </w:pPr>
      <w:r w:rsidRPr="00F211B0">
        <w:rPr>
          <w:rFonts w:ascii="Book Antiqua" w:hAnsi="Book Antiqua"/>
          <w:sz w:val="24"/>
          <w:szCs w:val="24"/>
        </w:rPr>
        <w:t xml:space="preserve">The customary rules that apply in </w:t>
      </w:r>
      <w:proofErr w:type="spellStart"/>
      <w:r w:rsidRPr="00F211B0">
        <w:rPr>
          <w:rFonts w:ascii="Book Antiqua" w:hAnsi="Book Antiqua"/>
          <w:sz w:val="24"/>
          <w:szCs w:val="24"/>
        </w:rPr>
        <w:t>Muara</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Batu</w:t>
      </w:r>
      <w:proofErr w:type="spellEnd"/>
      <w:r w:rsidRPr="00F211B0">
        <w:rPr>
          <w:rFonts w:ascii="Book Antiqua" w:hAnsi="Book Antiqua"/>
          <w:sz w:val="24"/>
          <w:szCs w:val="24"/>
        </w:rPr>
        <w:t xml:space="preserve"> District can be seen in the following table:</w:t>
      </w:r>
    </w:p>
    <w:p w:rsidR="00CA5B07" w:rsidRPr="00F211B0" w:rsidRDefault="00CA5B07" w:rsidP="00CA5B07">
      <w:pPr>
        <w:pStyle w:val="BodyText"/>
        <w:ind w:right="-2"/>
        <w:jc w:val="center"/>
        <w:rPr>
          <w:rFonts w:ascii="Book Antiqua" w:hAnsi="Book Antiqua"/>
          <w:sz w:val="24"/>
          <w:szCs w:val="24"/>
        </w:rPr>
      </w:pPr>
      <w:proofErr w:type="gramStart"/>
      <w:r w:rsidRPr="00CA5B07">
        <w:rPr>
          <w:rFonts w:ascii="Book Antiqua" w:hAnsi="Book Antiqua"/>
          <w:b/>
          <w:sz w:val="24"/>
          <w:szCs w:val="24"/>
        </w:rPr>
        <w:t>Table 1.</w:t>
      </w:r>
      <w:proofErr w:type="gramEnd"/>
      <w:r w:rsidRPr="00F211B0">
        <w:rPr>
          <w:rFonts w:ascii="Book Antiqua" w:hAnsi="Book Antiqua"/>
          <w:sz w:val="24"/>
          <w:szCs w:val="24"/>
        </w:rPr>
        <w:t xml:space="preserve"> Customary Law and Implementation in </w:t>
      </w:r>
      <w:proofErr w:type="spellStart"/>
      <w:r w:rsidRPr="00F211B0">
        <w:rPr>
          <w:rFonts w:ascii="Book Antiqua" w:hAnsi="Book Antiqua"/>
          <w:sz w:val="24"/>
          <w:szCs w:val="24"/>
        </w:rPr>
        <w:t>Muara</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Batu</w:t>
      </w:r>
      <w:proofErr w:type="spellEnd"/>
      <w:r w:rsidRPr="00F211B0">
        <w:rPr>
          <w:rFonts w:ascii="Book Antiqua" w:hAnsi="Book Antiqua"/>
          <w:sz w:val="24"/>
          <w:szCs w:val="24"/>
        </w:rPr>
        <w:t xml:space="preserve"> District, North Aceh</w:t>
      </w:r>
    </w:p>
    <w:tbl>
      <w:tblPr>
        <w:tblStyle w:val="TableGrid"/>
        <w:tblW w:w="0" w:type="auto"/>
        <w:tblInd w:w="534" w:type="dxa"/>
        <w:tblBorders>
          <w:left w:val="none" w:sz="0" w:space="0" w:color="auto"/>
          <w:right w:val="none" w:sz="0" w:space="0" w:color="auto"/>
        </w:tblBorders>
        <w:tblLook w:val="04A0" w:firstRow="1" w:lastRow="0" w:firstColumn="1" w:lastColumn="0" w:noHBand="0" w:noVBand="1"/>
      </w:tblPr>
      <w:tblGrid>
        <w:gridCol w:w="548"/>
        <w:gridCol w:w="5010"/>
        <w:gridCol w:w="3372"/>
      </w:tblGrid>
      <w:tr w:rsidR="00F211B0" w:rsidRPr="00F211B0" w:rsidTr="00CA5B07">
        <w:tc>
          <w:tcPr>
            <w:tcW w:w="548" w:type="dxa"/>
            <w:tcBorders>
              <w:bottom w:val="single" w:sz="4" w:space="0" w:color="auto"/>
            </w:tcBorders>
          </w:tcPr>
          <w:p w:rsidR="00F211B0" w:rsidRPr="00F211B0" w:rsidRDefault="00F211B0" w:rsidP="00F211B0">
            <w:pPr>
              <w:pStyle w:val="BodyText"/>
              <w:spacing w:line="360" w:lineRule="auto"/>
              <w:ind w:right="-2"/>
              <w:jc w:val="center"/>
              <w:rPr>
                <w:rFonts w:ascii="Book Antiqua" w:hAnsi="Book Antiqua"/>
                <w:b/>
                <w:sz w:val="24"/>
                <w:szCs w:val="24"/>
              </w:rPr>
            </w:pPr>
            <w:r w:rsidRPr="00F211B0">
              <w:rPr>
                <w:rFonts w:ascii="Book Antiqua" w:hAnsi="Book Antiqua"/>
                <w:b/>
                <w:sz w:val="24"/>
                <w:szCs w:val="24"/>
              </w:rPr>
              <w:t>No</w:t>
            </w:r>
          </w:p>
        </w:tc>
        <w:tc>
          <w:tcPr>
            <w:tcW w:w="5010" w:type="dxa"/>
            <w:tcBorders>
              <w:bottom w:val="single" w:sz="4" w:space="0" w:color="auto"/>
            </w:tcBorders>
          </w:tcPr>
          <w:p w:rsidR="00F211B0" w:rsidRPr="00F211B0" w:rsidRDefault="00F211B0" w:rsidP="00F211B0">
            <w:pPr>
              <w:pStyle w:val="BodyText"/>
              <w:spacing w:line="360" w:lineRule="auto"/>
              <w:ind w:right="-2"/>
              <w:jc w:val="both"/>
              <w:rPr>
                <w:rFonts w:ascii="Book Antiqua" w:hAnsi="Book Antiqua"/>
                <w:b/>
                <w:sz w:val="24"/>
                <w:szCs w:val="24"/>
              </w:rPr>
            </w:pPr>
            <w:r w:rsidRPr="00F211B0">
              <w:rPr>
                <w:rFonts w:ascii="Book Antiqua" w:hAnsi="Book Antiqua"/>
                <w:b/>
                <w:sz w:val="24"/>
                <w:szCs w:val="24"/>
              </w:rPr>
              <w:t>Customary law</w:t>
            </w:r>
          </w:p>
        </w:tc>
        <w:tc>
          <w:tcPr>
            <w:tcW w:w="3372" w:type="dxa"/>
            <w:tcBorders>
              <w:bottom w:val="single" w:sz="4" w:space="0" w:color="auto"/>
            </w:tcBorders>
          </w:tcPr>
          <w:p w:rsidR="00F211B0" w:rsidRPr="00F211B0" w:rsidRDefault="00F211B0" w:rsidP="00F211B0">
            <w:pPr>
              <w:pStyle w:val="BodyText"/>
              <w:spacing w:line="360" w:lineRule="auto"/>
              <w:ind w:right="-2"/>
              <w:jc w:val="both"/>
              <w:rPr>
                <w:rFonts w:ascii="Book Antiqua" w:hAnsi="Book Antiqua"/>
                <w:b/>
                <w:sz w:val="24"/>
                <w:szCs w:val="24"/>
              </w:rPr>
            </w:pPr>
            <w:r w:rsidRPr="00F211B0">
              <w:rPr>
                <w:rFonts w:ascii="Book Antiqua" w:hAnsi="Book Antiqua"/>
                <w:b/>
                <w:sz w:val="24"/>
                <w:szCs w:val="24"/>
              </w:rPr>
              <w:t>executor</w:t>
            </w:r>
          </w:p>
        </w:tc>
      </w:tr>
      <w:tr w:rsidR="00F211B0" w:rsidRPr="00F211B0" w:rsidTr="00CA5B07">
        <w:tc>
          <w:tcPr>
            <w:tcW w:w="548" w:type="dxa"/>
            <w:tcBorders>
              <w:bottom w:val="nil"/>
              <w:right w:val="nil"/>
            </w:tcBorders>
          </w:tcPr>
          <w:p w:rsidR="00F211B0" w:rsidRPr="00F211B0" w:rsidRDefault="00F211B0" w:rsidP="00F211B0">
            <w:pPr>
              <w:pStyle w:val="BodyText"/>
              <w:spacing w:line="360" w:lineRule="auto"/>
              <w:ind w:right="-2"/>
              <w:jc w:val="center"/>
              <w:rPr>
                <w:rFonts w:ascii="Book Antiqua" w:hAnsi="Book Antiqua"/>
                <w:sz w:val="24"/>
                <w:szCs w:val="24"/>
              </w:rPr>
            </w:pPr>
            <w:r w:rsidRPr="00F211B0">
              <w:rPr>
                <w:rFonts w:ascii="Book Antiqua" w:hAnsi="Book Antiqua"/>
                <w:sz w:val="24"/>
                <w:szCs w:val="24"/>
              </w:rPr>
              <w:t>1</w:t>
            </w:r>
          </w:p>
        </w:tc>
        <w:tc>
          <w:tcPr>
            <w:tcW w:w="5010" w:type="dxa"/>
            <w:tcBorders>
              <w:left w:val="nil"/>
              <w:bottom w:val="nil"/>
              <w:right w:val="nil"/>
            </w:tcBorders>
          </w:tcPr>
          <w:p w:rsidR="00F211B0" w:rsidRPr="00F211B0" w:rsidRDefault="00F211B0" w:rsidP="00F211B0">
            <w:pPr>
              <w:pStyle w:val="BodyText"/>
              <w:spacing w:line="240" w:lineRule="auto"/>
              <w:ind w:right="-2"/>
              <w:jc w:val="both"/>
              <w:rPr>
                <w:rFonts w:ascii="Book Antiqua" w:hAnsi="Book Antiqua"/>
                <w:sz w:val="24"/>
                <w:szCs w:val="24"/>
              </w:rPr>
            </w:pPr>
            <w:r w:rsidRPr="00F211B0">
              <w:rPr>
                <w:rFonts w:ascii="Book Antiqua" w:hAnsi="Book Antiqua"/>
                <w:sz w:val="24"/>
                <w:szCs w:val="24"/>
              </w:rPr>
              <w:t xml:space="preserve">Disputes: Disputes within the household, Disputes within the family related to </w:t>
            </w:r>
            <w:proofErr w:type="spellStart"/>
            <w:r w:rsidRPr="00F211B0">
              <w:rPr>
                <w:rFonts w:ascii="Book Antiqua" w:hAnsi="Book Antiqua"/>
                <w:sz w:val="24"/>
                <w:szCs w:val="24"/>
              </w:rPr>
              <w:t>faraids</w:t>
            </w:r>
            <w:proofErr w:type="spellEnd"/>
            <w:r w:rsidRPr="00F211B0">
              <w:rPr>
                <w:rFonts w:ascii="Book Antiqua" w:hAnsi="Book Antiqua"/>
                <w:sz w:val="24"/>
                <w:szCs w:val="24"/>
              </w:rPr>
              <w:t xml:space="preserve"> and joint property, Disputes between residents,</w:t>
            </w:r>
          </w:p>
          <w:p w:rsidR="00F211B0" w:rsidRPr="00F211B0" w:rsidRDefault="00F211B0" w:rsidP="00F211B0">
            <w:pPr>
              <w:pStyle w:val="BodyText"/>
              <w:spacing w:line="240" w:lineRule="auto"/>
              <w:ind w:right="-2"/>
              <w:jc w:val="both"/>
              <w:rPr>
                <w:rFonts w:ascii="Book Antiqua" w:hAnsi="Book Antiqua"/>
                <w:sz w:val="24"/>
                <w:szCs w:val="24"/>
              </w:rPr>
            </w:pPr>
            <w:r w:rsidRPr="00F211B0">
              <w:rPr>
                <w:rFonts w:ascii="Book Antiqua" w:hAnsi="Book Antiqua"/>
                <w:sz w:val="24"/>
                <w:szCs w:val="24"/>
              </w:rPr>
              <w:t xml:space="preserve">Disputes: Insidious </w:t>
            </w:r>
            <w:proofErr w:type="spellStart"/>
            <w:r w:rsidRPr="00F211B0">
              <w:rPr>
                <w:rFonts w:ascii="Book Antiqua" w:hAnsi="Book Antiqua"/>
                <w:sz w:val="24"/>
                <w:szCs w:val="24"/>
              </w:rPr>
              <w:t>khalwat</w:t>
            </w:r>
            <w:proofErr w:type="spellEnd"/>
            <w:r w:rsidRPr="00F211B0">
              <w:rPr>
                <w:rFonts w:ascii="Book Antiqua" w:hAnsi="Book Antiqua"/>
                <w:sz w:val="24"/>
                <w:szCs w:val="24"/>
              </w:rPr>
              <w:t>, Mild abuse, Harassment, incitement, slander, Theft in the Family, and defamation</w:t>
            </w:r>
          </w:p>
        </w:tc>
        <w:tc>
          <w:tcPr>
            <w:tcW w:w="3372" w:type="dxa"/>
            <w:tcBorders>
              <w:left w:val="nil"/>
              <w:bottom w:val="nil"/>
            </w:tcBorders>
          </w:tcPr>
          <w:p w:rsidR="00F211B0" w:rsidRPr="00F211B0" w:rsidRDefault="00F211B0" w:rsidP="00F211B0">
            <w:pPr>
              <w:pStyle w:val="BodyText"/>
              <w:spacing w:line="240" w:lineRule="auto"/>
              <w:ind w:right="-2"/>
              <w:jc w:val="both"/>
              <w:rPr>
                <w:rFonts w:ascii="Book Antiqua" w:hAnsi="Book Antiqua"/>
                <w:sz w:val="24"/>
                <w:szCs w:val="24"/>
              </w:rPr>
            </w:pPr>
            <w:r w:rsidRPr="00F211B0">
              <w:rPr>
                <w:rFonts w:ascii="Book Antiqua" w:hAnsi="Book Antiqua"/>
                <w:sz w:val="24"/>
                <w:szCs w:val="24"/>
              </w:rPr>
              <w:t xml:space="preserve">All </w:t>
            </w:r>
            <w:proofErr w:type="spellStart"/>
            <w:r w:rsidRPr="00F211B0">
              <w:rPr>
                <w:rFonts w:ascii="Book Antiqua" w:hAnsi="Book Antiqua"/>
                <w:sz w:val="24"/>
                <w:szCs w:val="24"/>
              </w:rPr>
              <w:t>gampongs</w:t>
            </w:r>
            <w:proofErr w:type="spellEnd"/>
            <w:r w:rsidRPr="00F211B0">
              <w:rPr>
                <w:rFonts w:ascii="Book Antiqua" w:hAnsi="Book Antiqua"/>
                <w:sz w:val="24"/>
                <w:szCs w:val="24"/>
              </w:rPr>
              <w:t xml:space="preserve"> in </w:t>
            </w:r>
            <w:proofErr w:type="spellStart"/>
            <w:r w:rsidRPr="00F211B0">
              <w:rPr>
                <w:rFonts w:ascii="Book Antiqua" w:hAnsi="Book Antiqua"/>
                <w:sz w:val="24"/>
                <w:szCs w:val="24"/>
              </w:rPr>
              <w:t>Muara</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Batu</w:t>
            </w:r>
            <w:proofErr w:type="spellEnd"/>
            <w:r w:rsidRPr="00F211B0">
              <w:rPr>
                <w:rFonts w:ascii="Book Antiqua" w:hAnsi="Book Antiqua"/>
                <w:sz w:val="24"/>
                <w:szCs w:val="24"/>
              </w:rPr>
              <w:t xml:space="preserve"> District</w:t>
            </w:r>
          </w:p>
        </w:tc>
      </w:tr>
      <w:tr w:rsidR="00F211B0" w:rsidRPr="00F211B0" w:rsidTr="00CA5B07">
        <w:tc>
          <w:tcPr>
            <w:tcW w:w="548" w:type="dxa"/>
            <w:tcBorders>
              <w:top w:val="nil"/>
              <w:right w:val="nil"/>
            </w:tcBorders>
          </w:tcPr>
          <w:p w:rsidR="00F211B0" w:rsidRPr="00F211B0" w:rsidRDefault="00F211B0" w:rsidP="00F211B0">
            <w:pPr>
              <w:pStyle w:val="BodyText"/>
              <w:spacing w:line="360" w:lineRule="auto"/>
              <w:ind w:right="-2"/>
              <w:jc w:val="center"/>
              <w:rPr>
                <w:rFonts w:ascii="Book Antiqua" w:hAnsi="Book Antiqua"/>
                <w:sz w:val="24"/>
                <w:szCs w:val="24"/>
              </w:rPr>
            </w:pPr>
            <w:r w:rsidRPr="00F211B0">
              <w:rPr>
                <w:rFonts w:ascii="Book Antiqua" w:hAnsi="Book Antiqua"/>
                <w:sz w:val="24"/>
                <w:szCs w:val="24"/>
              </w:rPr>
              <w:t>2</w:t>
            </w:r>
          </w:p>
        </w:tc>
        <w:tc>
          <w:tcPr>
            <w:tcW w:w="5010" w:type="dxa"/>
            <w:tcBorders>
              <w:top w:val="nil"/>
              <w:left w:val="nil"/>
              <w:right w:val="nil"/>
            </w:tcBorders>
          </w:tcPr>
          <w:p w:rsidR="00F211B0" w:rsidRPr="00F211B0" w:rsidRDefault="00F211B0" w:rsidP="00F211B0">
            <w:pPr>
              <w:pStyle w:val="BodyText"/>
              <w:spacing w:line="240" w:lineRule="auto"/>
              <w:ind w:right="-2"/>
              <w:jc w:val="both"/>
              <w:rPr>
                <w:rFonts w:ascii="Book Antiqua" w:hAnsi="Book Antiqua"/>
                <w:sz w:val="24"/>
                <w:szCs w:val="24"/>
              </w:rPr>
            </w:pPr>
            <w:r w:rsidRPr="00F211B0">
              <w:rPr>
                <w:rFonts w:ascii="Book Antiqua" w:hAnsi="Book Antiqua"/>
                <w:sz w:val="24"/>
                <w:szCs w:val="24"/>
              </w:rPr>
              <w:t>Indigenous violations regarding livestock, and agriculture</w:t>
            </w:r>
          </w:p>
        </w:tc>
        <w:tc>
          <w:tcPr>
            <w:tcW w:w="3372" w:type="dxa"/>
            <w:tcBorders>
              <w:top w:val="nil"/>
              <w:left w:val="nil"/>
            </w:tcBorders>
          </w:tcPr>
          <w:p w:rsidR="00F211B0" w:rsidRPr="00F211B0" w:rsidRDefault="00F211B0" w:rsidP="00F211B0">
            <w:pPr>
              <w:pStyle w:val="BodyText"/>
              <w:spacing w:line="240" w:lineRule="auto"/>
              <w:ind w:right="-2"/>
              <w:jc w:val="both"/>
              <w:rPr>
                <w:rFonts w:ascii="Book Antiqua" w:hAnsi="Book Antiqua"/>
                <w:sz w:val="24"/>
                <w:szCs w:val="24"/>
              </w:rPr>
            </w:pPr>
            <w:r w:rsidRPr="00F211B0">
              <w:rPr>
                <w:rFonts w:ascii="Book Antiqua" w:hAnsi="Book Antiqua"/>
                <w:sz w:val="24"/>
                <w:szCs w:val="24"/>
              </w:rPr>
              <w:t xml:space="preserve">Cot </w:t>
            </w:r>
            <w:proofErr w:type="spellStart"/>
            <w:r w:rsidRPr="00F211B0">
              <w:rPr>
                <w:rFonts w:ascii="Book Antiqua" w:hAnsi="Book Antiqua"/>
                <w:sz w:val="24"/>
                <w:szCs w:val="24"/>
              </w:rPr>
              <w:t>Seurani</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Keude</w:t>
            </w:r>
            <w:proofErr w:type="spellEnd"/>
            <w:r w:rsidRPr="00F211B0">
              <w:rPr>
                <w:rFonts w:ascii="Book Antiqua" w:hAnsi="Book Antiqua"/>
                <w:sz w:val="24"/>
                <w:szCs w:val="24"/>
              </w:rPr>
              <w:t xml:space="preserve"> Mane, </w:t>
            </w:r>
            <w:proofErr w:type="spellStart"/>
            <w:r w:rsidRPr="00F211B0">
              <w:rPr>
                <w:rFonts w:ascii="Book Antiqua" w:hAnsi="Book Antiqua"/>
                <w:sz w:val="24"/>
                <w:szCs w:val="24"/>
              </w:rPr>
              <w:t>Pante</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Gurah</w:t>
            </w:r>
            <w:proofErr w:type="spellEnd"/>
            <w:r w:rsidRPr="00F211B0">
              <w:rPr>
                <w:rFonts w:ascii="Book Antiqua" w:hAnsi="Book Antiqua"/>
                <w:sz w:val="24"/>
                <w:szCs w:val="24"/>
              </w:rPr>
              <w:t xml:space="preserve"> , </w:t>
            </w:r>
            <w:proofErr w:type="spellStart"/>
            <w:r w:rsidRPr="00F211B0">
              <w:rPr>
                <w:rFonts w:ascii="Book Antiqua" w:hAnsi="Book Antiqua"/>
                <w:sz w:val="24"/>
                <w:szCs w:val="24"/>
              </w:rPr>
              <w:t>Tanoh</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Anoe</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Meunasah</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Lhok</w:t>
            </w:r>
            <w:proofErr w:type="spellEnd"/>
            <w:r w:rsidRPr="00F211B0">
              <w:rPr>
                <w:rFonts w:ascii="Book Antiqua" w:hAnsi="Book Antiqua"/>
                <w:sz w:val="24"/>
                <w:szCs w:val="24"/>
              </w:rPr>
              <w:t xml:space="preserve">, Mane </w:t>
            </w:r>
            <w:proofErr w:type="spellStart"/>
            <w:r w:rsidRPr="00F211B0">
              <w:rPr>
                <w:rFonts w:ascii="Book Antiqua" w:hAnsi="Book Antiqua"/>
                <w:sz w:val="24"/>
                <w:szCs w:val="24"/>
              </w:rPr>
              <w:t>Tunoeng</w:t>
            </w:r>
            <w:proofErr w:type="spellEnd"/>
            <w:r w:rsidRPr="00F211B0">
              <w:rPr>
                <w:rFonts w:ascii="Book Antiqua" w:hAnsi="Book Antiqua"/>
                <w:sz w:val="24"/>
                <w:szCs w:val="24"/>
              </w:rPr>
              <w:t xml:space="preserve">, Kuala </w:t>
            </w:r>
            <w:proofErr w:type="spellStart"/>
            <w:r w:rsidRPr="00F211B0">
              <w:rPr>
                <w:rFonts w:ascii="Book Antiqua" w:hAnsi="Book Antiqua"/>
                <w:sz w:val="24"/>
                <w:szCs w:val="24"/>
              </w:rPr>
              <w:t>Dua</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Meunasah</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Baro</w:t>
            </w:r>
            <w:proofErr w:type="spellEnd"/>
          </w:p>
        </w:tc>
      </w:tr>
    </w:tbl>
    <w:p w:rsidR="00CA5B07" w:rsidRPr="00CA5B07" w:rsidRDefault="00CA5B07" w:rsidP="00CA5B07">
      <w:pPr>
        <w:pStyle w:val="BodyText"/>
        <w:spacing w:line="240" w:lineRule="auto"/>
        <w:ind w:right="-2" w:firstLine="426"/>
        <w:jc w:val="both"/>
        <w:rPr>
          <w:rFonts w:ascii="Book Antiqua" w:hAnsi="Book Antiqua"/>
          <w:i/>
          <w:szCs w:val="22"/>
        </w:rPr>
      </w:pPr>
      <w:r w:rsidRPr="00CA5B07">
        <w:rPr>
          <w:rFonts w:ascii="Book Antiqua" w:hAnsi="Book Antiqua"/>
          <w:i/>
          <w:szCs w:val="22"/>
        </w:rPr>
        <w:t xml:space="preserve">Source: </w:t>
      </w:r>
      <w:r w:rsidRPr="00CA5B07">
        <w:rPr>
          <w:rFonts w:ascii="Book Antiqua" w:hAnsi="Book Antiqua" w:cstheme="majorHAnsi"/>
          <w:i/>
          <w:iCs/>
          <w:color w:val="000000" w:themeColor="text1"/>
          <w:szCs w:val="22"/>
          <w:lang w:val="id-ID"/>
        </w:rPr>
        <w:t>North Aceh Regional Government Data, 20</w:t>
      </w:r>
      <w:r w:rsidRPr="00CA5B07">
        <w:rPr>
          <w:rFonts w:ascii="Book Antiqua" w:hAnsi="Book Antiqua" w:cstheme="majorHAnsi"/>
          <w:i/>
          <w:iCs/>
          <w:color w:val="000000" w:themeColor="text1"/>
          <w:szCs w:val="22"/>
        </w:rPr>
        <w:t>20</w:t>
      </w:r>
    </w:p>
    <w:p w:rsidR="00F211B0" w:rsidRPr="00F211B0" w:rsidRDefault="00F211B0" w:rsidP="00F211B0">
      <w:pPr>
        <w:pStyle w:val="BodyText"/>
        <w:spacing w:line="240" w:lineRule="auto"/>
        <w:ind w:right="-2"/>
        <w:jc w:val="both"/>
        <w:rPr>
          <w:rFonts w:ascii="Book Antiqua" w:hAnsi="Book Antiqua"/>
          <w:sz w:val="24"/>
          <w:szCs w:val="24"/>
        </w:rPr>
      </w:pPr>
      <w:r w:rsidRPr="00F211B0">
        <w:rPr>
          <w:rFonts w:ascii="Book Antiqua" w:hAnsi="Book Antiqua"/>
          <w:sz w:val="24"/>
          <w:szCs w:val="24"/>
        </w:rPr>
        <w:t xml:space="preserve">Legal sanctions for customary violations in the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in the </w:t>
      </w:r>
      <w:proofErr w:type="spellStart"/>
      <w:r w:rsidRPr="00F211B0">
        <w:rPr>
          <w:rFonts w:ascii="Book Antiqua" w:hAnsi="Book Antiqua"/>
          <w:sz w:val="24"/>
          <w:szCs w:val="24"/>
        </w:rPr>
        <w:t>Muara</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Batu</w:t>
      </w:r>
      <w:proofErr w:type="spellEnd"/>
      <w:r w:rsidRPr="00F211B0">
        <w:rPr>
          <w:rFonts w:ascii="Book Antiqua" w:hAnsi="Book Antiqua"/>
          <w:sz w:val="24"/>
          <w:szCs w:val="24"/>
        </w:rPr>
        <w:t xml:space="preserve"> District are divided into 2 (two). First, for all customary violations </w:t>
      </w:r>
      <w:proofErr w:type="gramStart"/>
      <w:r w:rsidRPr="00F211B0">
        <w:rPr>
          <w:rFonts w:ascii="Book Antiqua" w:hAnsi="Book Antiqua"/>
          <w:sz w:val="24"/>
          <w:szCs w:val="24"/>
        </w:rPr>
        <w:t>that fall</w:t>
      </w:r>
      <w:proofErr w:type="gramEnd"/>
      <w:r w:rsidRPr="00F211B0">
        <w:rPr>
          <w:rFonts w:ascii="Book Antiqua" w:hAnsi="Book Antiqua"/>
          <w:sz w:val="24"/>
          <w:szCs w:val="24"/>
        </w:rPr>
        <w:t xml:space="preserve"> into the category of civil disputes, such as inheritance disputes, and family disputes seek peace and mutual forgiveness. Whereas for customary violations that are included in criminal disputes or can be included in minor crimes such as livestock theft, family theft, fights, slander, and immoral </w:t>
      </w:r>
      <w:proofErr w:type="spellStart"/>
      <w:r w:rsidRPr="00F211B0">
        <w:rPr>
          <w:rFonts w:ascii="Book Antiqua" w:hAnsi="Book Antiqua"/>
          <w:sz w:val="24"/>
          <w:szCs w:val="24"/>
        </w:rPr>
        <w:t>khalwat</w:t>
      </w:r>
      <w:proofErr w:type="spellEnd"/>
      <w:r w:rsidRPr="00F211B0">
        <w:rPr>
          <w:rFonts w:ascii="Book Antiqua" w:hAnsi="Book Antiqua"/>
          <w:sz w:val="24"/>
          <w:szCs w:val="24"/>
        </w:rPr>
        <w:t xml:space="preserve">, the legal sanctions are </w:t>
      </w:r>
      <w:proofErr w:type="spellStart"/>
      <w:r w:rsidRPr="00F211B0">
        <w:rPr>
          <w:rFonts w:ascii="Book Antiqua" w:hAnsi="Book Antiqua"/>
          <w:i/>
          <w:sz w:val="24"/>
          <w:szCs w:val="24"/>
        </w:rPr>
        <w:t>sayam</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peusijuk</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diyat</w:t>
      </w:r>
      <w:proofErr w:type="spellEnd"/>
      <w:r w:rsidRPr="00F211B0">
        <w:rPr>
          <w:rFonts w:ascii="Book Antiqua" w:hAnsi="Book Antiqua"/>
          <w:sz w:val="24"/>
          <w:szCs w:val="24"/>
        </w:rPr>
        <w:t xml:space="preserve">, fines, compensation, and expulsion or ostracized from the village community . However, in many cases, customary violations whose customary sanctions are fines, </w:t>
      </w:r>
      <w:proofErr w:type="spellStart"/>
      <w:r w:rsidRPr="00F211B0">
        <w:rPr>
          <w:rFonts w:ascii="Book Antiqua" w:hAnsi="Book Antiqua"/>
          <w:sz w:val="24"/>
          <w:szCs w:val="24"/>
        </w:rPr>
        <w:t>diyat</w:t>
      </w:r>
      <w:proofErr w:type="spellEnd"/>
      <w:r w:rsidRPr="00F211B0">
        <w:rPr>
          <w:rFonts w:ascii="Book Antiqua" w:hAnsi="Book Antiqua"/>
          <w:sz w:val="24"/>
          <w:szCs w:val="24"/>
        </w:rPr>
        <w:t xml:space="preserve">, and expulsion from the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are not carried out because the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is very vulnerable to legal problems.</w:t>
      </w:r>
    </w:p>
    <w:p w:rsidR="00F211B0" w:rsidRPr="00F211B0" w:rsidRDefault="00F211B0" w:rsidP="00F211B0">
      <w:pPr>
        <w:pStyle w:val="BodyText"/>
        <w:spacing w:line="240" w:lineRule="auto"/>
        <w:ind w:right="-2"/>
        <w:jc w:val="both"/>
        <w:rPr>
          <w:rFonts w:ascii="Book Antiqua" w:hAnsi="Book Antiqua"/>
          <w:sz w:val="24"/>
          <w:szCs w:val="24"/>
        </w:rPr>
      </w:pPr>
      <w:r w:rsidRPr="00F211B0">
        <w:rPr>
          <w:rFonts w:ascii="Book Antiqua" w:hAnsi="Book Antiqua"/>
          <w:sz w:val="24"/>
          <w:szCs w:val="24"/>
        </w:rPr>
        <w:lastRenderedPageBreak/>
        <w:t xml:space="preserve">As stated by </w:t>
      </w:r>
      <w:proofErr w:type="spellStart"/>
      <w:r w:rsidRPr="00F211B0">
        <w:rPr>
          <w:rFonts w:ascii="Book Antiqua" w:hAnsi="Book Antiqua"/>
          <w:sz w:val="24"/>
          <w:szCs w:val="24"/>
        </w:rPr>
        <w:t>Geuchik</w:t>
      </w:r>
      <w:proofErr w:type="spellEnd"/>
      <w:r w:rsidRPr="00F211B0">
        <w:rPr>
          <w:rFonts w:ascii="Book Antiqua" w:hAnsi="Book Antiqua"/>
          <w:sz w:val="24"/>
          <w:szCs w:val="24"/>
        </w:rPr>
        <w:t xml:space="preserve"> Mane </w:t>
      </w:r>
      <w:proofErr w:type="spellStart"/>
      <w:r w:rsidRPr="00F211B0">
        <w:rPr>
          <w:rFonts w:ascii="Book Antiqua" w:hAnsi="Book Antiqua"/>
          <w:sz w:val="24"/>
          <w:szCs w:val="24"/>
        </w:rPr>
        <w:t>Tunoeng</w:t>
      </w:r>
      <w:proofErr w:type="spellEnd"/>
      <w:r w:rsidRPr="00F211B0">
        <w:rPr>
          <w:rFonts w:ascii="Book Antiqua" w:hAnsi="Book Antiqua"/>
          <w:sz w:val="24"/>
          <w:szCs w:val="24"/>
        </w:rPr>
        <w:t xml:space="preserve"> that one of his residents committed adultery, there were no sanctions for them, even the perpetrators of adultery refused to marry. He explained that the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government of Mane </w:t>
      </w:r>
      <w:proofErr w:type="spellStart"/>
      <w:r w:rsidRPr="00F211B0">
        <w:rPr>
          <w:rFonts w:ascii="Book Antiqua" w:hAnsi="Book Antiqua"/>
          <w:sz w:val="24"/>
          <w:szCs w:val="24"/>
        </w:rPr>
        <w:t>Tunoeng</w:t>
      </w:r>
      <w:proofErr w:type="spellEnd"/>
      <w:r w:rsidRPr="00F211B0">
        <w:rPr>
          <w:rFonts w:ascii="Book Antiqua" w:hAnsi="Book Antiqua"/>
          <w:sz w:val="24"/>
          <w:szCs w:val="24"/>
        </w:rPr>
        <w:t xml:space="preserve"> would not implement any customary rules relating to crimes as long as there was no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qanun</w:t>
      </w:r>
      <w:proofErr w:type="spellEnd"/>
      <w:r w:rsidRPr="00F211B0">
        <w:rPr>
          <w:rFonts w:ascii="Book Antiqua" w:hAnsi="Book Antiqua"/>
          <w:sz w:val="24"/>
          <w:szCs w:val="24"/>
        </w:rPr>
        <w:t xml:space="preserve"> regarding this. On the other hand, customary regulations that are included in the civil dispute can be applied even though there is no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qanun</w:t>
      </w:r>
      <w:proofErr w:type="spellEnd"/>
      <w:r w:rsidRPr="00F211B0">
        <w:rPr>
          <w:rFonts w:ascii="Book Antiqua" w:hAnsi="Book Antiqua"/>
          <w:sz w:val="24"/>
          <w:szCs w:val="24"/>
        </w:rPr>
        <w:t xml:space="preserve"> about it.</w:t>
      </w:r>
    </w:p>
    <w:p w:rsidR="00F211B0" w:rsidRPr="00F211B0" w:rsidRDefault="00F211B0" w:rsidP="00F211B0">
      <w:pPr>
        <w:pStyle w:val="BodyText"/>
        <w:spacing w:line="240" w:lineRule="auto"/>
        <w:ind w:right="-2"/>
        <w:jc w:val="both"/>
        <w:rPr>
          <w:rFonts w:ascii="Book Antiqua" w:hAnsi="Book Antiqua"/>
          <w:sz w:val="24"/>
          <w:szCs w:val="24"/>
        </w:rPr>
      </w:pPr>
      <w:r w:rsidRPr="00F211B0">
        <w:rPr>
          <w:rFonts w:ascii="Book Antiqua" w:hAnsi="Book Antiqua"/>
          <w:sz w:val="24"/>
          <w:szCs w:val="24"/>
        </w:rPr>
        <w:t xml:space="preserve">The same was explained by the </w:t>
      </w:r>
      <w:proofErr w:type="spellStart"/>
      <w:r w:rsidRPr="00F211B0">
        <w:rPr>
          <w:rFonts w:ascii="Book Antiqua" w:hAnsi="Book Antiqua"/>
          <w:sz w:val="24"/>
          <w:szCs w:val="24"/>
        </w:rPr>
        <w:t>Geuchik</w:t>
      </w:r>
      <w:proofErr w:type="spellEnd"/>
      <w:r w:rsidRPr="00F211B0">
        <w:rPr>
          <w:rFonts w:ascii="Book Antiqua" w:hAnsi="Book Antiqua"/>
          <w:sz w:val="24"/>
          <w:szCs w:val="24"/>
        </w:rPr>
        <w:t xml:space="preserve"> of Cot </w:t>
      </w:r>
      <w:proofErr w:type="spellStart"/>
      <w:r w:rsidRPr="00F211B0">
        <w:rPr>
          <w:rFonts w:ascii="Book Antiqua" w:hAnsi="Book Antiqua"/>
          <w:sz w:val="24"/>
          <w:szCs w:val="24"/>
        </w:rPr>
        <w:t>Seurani</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Fajri</w:t>
      </w:r>
      <w:proofErr w:type="spellEnd"/>
      <w:r w:rsidRPr="00F211B0">
        <w:rPr>
          <w:rFonts w:ascii="Book Antiqua" w:hAnsi="Book Antiqua"/>
          <w:sz w:val="24"/>
          <w:szCs w:val="24"/>
        </w:rPr>
        <w:t xml:space="preserve">, that any perpetrators of customary violations and have not been regulated in the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qanun</w:t>
      </w:r>
      <w:proofErr w:type="spellEnd"/>
      <w:r w:rsidRPr="00F211B0">
        <w:rPr>
          <w:rFonts w:ascii="Book Antiqua" w:hAnsi="Book Antiqua"/>
          <w:sz w:val="24"/>
          <w:szCs w:val="24"/>
        </w:rPr>
        <w:t xml:space="preserve">, the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party only seeks peace between the parties. However, if the victim does not want to make peace, the village apparatus will hand over the case to the victim to carry out legal proceedings in accordance with criminal law rules. As for sexual harassment and adultery, in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Cot </w:t>
      </w:r>
      <w:proofErr w:type="spellStart"/>
      <w:r w:rsidRPr="00F211B0">
        <w:rPr>
          <w:rFonts w:ascii="Book Antiqua" w:hAnsi="Book Antiqua"/>
          <w:sz w:val="24"/>
          <w:szCs w:val="24"/>
        </w:rPr>
        <w:t>Seurani</w:t>
      </w:r>
      <w:proofErr w:type="spellEnd"/>
      <w:r w:rsidRPr="00F211B0">
        <w:rPr>
          <w:rFonts w:ascii="Book Antiqua" w:hAnsi="Book Antiqua"/>
          <w:sz w:val="24"/>
          <w:szCs w:val="24"/>
        </w:rPr>
        <w:t xml:space="preserve">, the case will be handed over directly to the police because according to him it is more appropriate to be punished by </w:t>
      </w:r>
      <w:proofErr w:type="spellStart"/>
      <w:r w:rsidRPr="00F211B0">
        <w:rPr>
          <w:rFonts w:ascii="Book Antiqua" w:hAnsi="Book Antiqua"/>
          <w:sz w:val="24"/>
          <w:szCs w:val="24"/>
        </w:rPr>
        <w:t>Qanun</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Jinayat</w:t>
      </w:r>
      <w:proofErr w:type="spellEnd"/>
      <w:r w:rsidRPr="00F211B0">
        <w:rPr>
          <w:rFonts w:ascii="Book Antiqua" w:hAnsi="Book Antiqua"/>
          <w:sz w:val="24"/>
          <w:szCs w:val="24"/>
        </w:rPr>
        <w:t xml:space="preserve"> </w:t>
      </w:r>
      <w:r w:rsidRPr="00F211B0">
        <w:rPr>
          <w:rFonts w:ascii="Book Antiqua" w:hAnsi="Book Antiqua"/>
          <w:sz w:val="24"/>
          <w:szCs w:val="24"/>
        </w:rPr>
        <w:fldChar w:fldCharType="begin" w:fldLock="1"/>
      </w:r>
      <w:r w:rsidRPr="00F211B0">
        <w:rPr>
          <w:rFonts w:ascii="Book Antiqua" w:hAnsi="Book Antiqua"/>
          <w:sz w:val="24"/>
          <w:szCs w:val="24"/>
        </w:rPr>
        <w:instrText>ADDIN CSL_CITATION {"citationItems":[{"id":"ITEM-1","itemData":{"ISSN":"22773878","abstract":"This study found that structurally there was a lack of clarity about legal institutions and institutions, their police, judges, prosecutors and their lawyers and judges in the adat court. All of that must be arranged in a systemic structure. Substantially seen, it creates uncertainty about how the rules are, whether they have fulfilled a sense of justice, are not discriminatory, responsive or not. So it is necessary to rearrange the material of the legislation. In a legal culture, it is necessary to focus on efforts to establish community legal awareness, shape public understanding of the law, and provide legal services to the community in the case of resolving khalwat cases.","author":[{"dropping-particle":"","family":"Yusrizal","given":"","non-dropping-particle":"","parse-names":false,"suffix":""},{"dropping-particle":"","family":"Mukhlis","given":"","non-dropping-particle":"","parse-names":false,"suffix":""},{"dropping-particle":"","family":"Amalia","given":"Nanda","non-dropping-particle":"","parse-names":false,"suffix":""}],"container-title":"International Journal of Recent Technology and Engineering","id":"ITEM-1","issue":"6","issued":{"date-parts":[["2019"]]},"page":"1367-1370","title":"Adat court vs syar’iyah court: Study of the legal culture of aceh communities completing the khalwat cases","type":"article-journal","volume":"7"},"uris":["http://www.mendeley.com/documents/?uuid=de758600-3f7b-412c-8429-c75cfad7fbf3"]}],"mendeley":{"formattedCitation":"(Yusrizal, Mukhlis and Amalia, 2019)","plainTextFormattedCitation":"(Yusrizal, Mukhlis and Amalia, 2019)","previouslyFormattedCitation":"(Yusrizal, Mukhlis and Amalia, 2019)"},"properties":{"noteIndex":0},"schema":"https://github.com/citation-style-language/schema/raw/master/csl-citation.json"}</w:instrText>
      </w:r>
      <w:r w:rsidRPr="00F211B0">
        <w:rPr>
          <w:rFonts w:ascii="Book Antiqua" w:hAnsi="Book Antiqua"/>
          <w:sz w:val="24"/>
          <w:szCs w:val="24"/>
        </w:rPr>
        <w:fldChar w:fldCharType="separate"/>
      </w:r>
      <w:r w:rsidRPr="00F211B0">
        <w:rPr>
          <w:rFonts w:ascii="Book Antiqua" w:hAnsi="Book Antiqua"/>
          <w:noProof/>
          <w:sz w:val="24"/>
          <w:szCs w:val="24"/>
        </w:rPr>
        <w:t xml:space="preserve">(Yusrizal, Mukhlis and Amalia, 2019) </w:t>
      </w:r>
      <w:r w:rsidRPr="00F211B0">
        <w:rPr>
          <w:rFonts w:ascii="Book Antiqua" w:hAnsi="Book Antiqua"/>
          <w:sz w:val="24"/>
          <w:szCs w:val="24"/>
        </w:rPr>
        <w:fldChar w:fldCharType="end"/>
      </w:r>
      <w:r w:rsidRPr="00F211B0">
        <w:rPr>
          <w:rFonts w:ascii="Book Antiqua" w:hAnsi="Book Antiqua"/>
          <w:sz w:val="24"/>
          <w:szCs w:val="24"/>
        </w:rPr>
        <w:t>.</w:t>
      </w:r>
    </w:p>
    <w:p w:rsidR="00F211B0" w:rsidRPr="00F211B0" w:rsidRDefault="00F211B0" w:rsidP="00F211B0">
      <w:pPr>
        <w:pStyle w:val="BodyText"/>
        <w:spacing w:line="240" w:lineRule="auto"/>
        <w:ind w:right="-2"/>
        <w:jc w:val="both"/>
        <w:rPr>
          <w:rFonts w:ascii="Book Antiqua" w:hAnsi="Book Antiqua"/>
          <w:sz w:val="24"/>
          <w:szCs w:val="24"/>
        </w:rPr>
      </w:pPr>
      <w:r w:rsidRPr="00F211B0">
        <w:rPr>
          <w:rFonts w:ascii="Book Antiqua" w:hAnsi="Book Antiqua"/>
          <w:sz w:val="24"/>
          <w:szCs w:val="24"/>
        </w:rPr>
        <w:t xml:space="preserve">Apart from the reasons above, a number of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governments in </w:t>
      </w:r>
      <w:proofErr w:type="spellStart"/>
      <w:r w:rsidRPr="00F211B0">
        <w:rPr>
          <w:rFonts w:ascii="Book Antiqua" w:hAnsi="Book Antiqua"/>
          <w:sz w:val="24"/>
          <w:szCs w:val="24"/>
        </w:rPr>
        <w:t>Muara</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Batu</w:t>
      </w:r>
      <w:proofErr w:type="spellEnd"/>
      <w:r w:rsidRPr="00F211B0">
        <w:rPr>
          <w:rFonts w:ascii="Book Antiqua" w:hAnsi="Book Antiqua"/>
          <w:sz w:val="24"/>
          <w:szCs w:val="24"/>
        </w:rPr>
        <w:t xml:space="preserve"> District, doubt the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authority regarding customary disputes. Especially the issue of the status of customary rules, because as explained by </w:t>
      </w:r>
      <w:proofErr w:type="spellStart"/>
      <w:r w:rsidRPr="00F211B0">
        <w:rPr>
          <w:rFonts w:ascii="Book Antiqua" w:hAnsi="Book Antiqua"/>
          <w:sz w:val="24"/>
          <w:szCs w:val="24"/>
        </w:rPr>
        <w:t>Fikar</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Geuchiek</w:t>
      </w:r>
      <w:proofErr w:type="spellEnd"/>
      <w:r w:rsidRPr="00F211B0">
        <w:rPr>
          <w:rFonts w:ascii="Book Antiqua" w:hAnsi="Book Antiqua"/>
          <w:sz w:val="24"/>
          <w:szCs w:val="24"/>
        </w:rPr>
        <w:t xml:space="preserve"> of  </w:t>
      </w:r>
      <w:proofErr w:type="spellStart"/>
      <w:r w:rsidRPr="00F211B0">
        <w:rPr>
          <w:rFonts w:ascii="Book Antiqua" w:hAnsi="Book Antiqua"/>
          <w:sz w:val="24"/>
          <w:szCs w:val="24"/>
        </w:rPr>
        <w:t>Keude</w:t>
      </w:r>
      <w:proofErr w:type="spellEnd"/>
      <w:r w:rsidRPr="00F211B0">
        <w:rPr>
          <w:rFonts w:ascii="Book Antiqua" w:hAnsi="Book Antiqua"/>
          <w:sz w:val="24"/>
          <w:szCs w:val="24"/>
        </w:rPr>
        <w:t xml:space="preserve"> Mane Village, if they are called customary rules then those rules and sanctions should have been known by the community without the need for further clarification.</w:t>
      </w:r>
    </w:p>
    <w:p w:rsidR="00F211B0" w:rsidRPr="00F211B0" w:rsidRDefault="00F211B0" w:rsidP="00F211B0">
      <w:pPr>
        <w:pStyle w:val="BodyText"/>
        <w:spacing w:line="240" w:lineRule="auto"/>
        <w:ind w:right="-2"/>
        <w:jc w:val="both"/>
        <w:rPr>
          <w:rFonts w:ascii="Book Antiqua" w:hAnsi="Book Antiqua"/>
          <w:sz w:val="24"/>
          <w:szCs w:val="24"/>
        </w:rPr>
      </w:pPr>
      <w:proofErr w:type="spellStart"/>
      <w:r w:rsidRPr="00F211B0">
        <w:rPr>
          <w:rFonts w:ascii="Book Antiqua" w:hAnsi="Book Antiqua"/>
          <w:sz w:val="24"/>
          <w:szCs w:val="24"/>
        </w:rPr>
        <w:t>Fikar's</w:t>
      </w:r>
      <w:proofErr w:type="spellEnd"/>
      <w:r w:rsidRPr="00F211B0">
        <w:rPr>
          <w:rFonts w:ascii="Book Antiqua" w:hAnsi="Book Antiqua"/>
          <w:sz w:val="24"/>
          <w:szCs w:val="24"/>
        </w:rPr>
        <w:t xml:space="preserve"> explanation is acceptable, because the basic nature of </w:t>
      </w:r>
      <w:proofErr w:type="spellStart"/>
      <w:r w:rsidRPr="00F211B0">
        <w:rPr>
          <w:rFonts w:ascii="Book Antiqua" w:hAnsi="Book Antiqua"/>
          <w:sz w:val="24"/>
          <w:szCs w:val="24"/>
        </w:rPr>
        <w:t>adat</w:t>
      </w:r>
      <w:proofErr w:type="spellEnd"/>
      <w:r w:rsidRPr="00F211B0">
        <w:rPr>
          <w:rFonts w:ascii="Book Antiqua" w:hAnsi="Book Antiqua"/>
          <w:sz w:val="24"/>
          <w:szCs w:val="24"/>
        </w:rPr>
        <w:t xml:space="preserve"> is that it is carried out and internalized continuously by the community where the custom exists. For example, the division of inheritance with the matrilineal system or </w:t>
      </w:r>
      <w:proofErr w:type="spellStart"/>
      <w:r w:rsidRPr="00F211B0">
        <w:rPr>
          <w:rFonts w:ascii="Book Antiqua" w:hAnsi="Book Antiqua"/>
          <w:i/>
          <w:sz w:val="24"/>
          <w:szCs w:val="24"/>
        </w:rPr>
        <w:t>Mamak</w:t>
      </w:r>
      <w:proofErr w:type="spellEnd"/>
      <w:r w:rsidRPr="00F211B0">
        <w:rPr>
          <w:rFonts w:ascii="Book Antiqua" w:hAnsi="Book Antiqua"/>
          <w:i/>
          <w:sz w:val="24"/>
          <w:szCs w:val="24"/>
        </w:rPr>
        <w:t xml:space="preserve"> </w:t>
      </w:r>
      <w:r w:rsidRPr="00F211B0">
        <w:rPr>
          <w:rFonts w:ascii="Book Antiqua" w:hAnsi="Book Antiqua"/>
          <w:sz w:val="24"/>
          <w:szCs w:val="24"/>
        </w:rPr>
        <w:t xml:space="preserve">inheritance that applies in </w:t>
      </w:r>
      <w:r w:rsidR="006662DB">
        <w:rPr>
          <w:rFonts w:ascii="Book Antiqua" w:hAnsi="Book Antiqua"/>
          <w:sz w:val="24"/>
          <w:szCs w:val="24"/>
        </w:rPr>
        <w:t xml:space="preserve">several areas in </w:t>
      </w:r>
      <w:proofErr w:type="spellStart"/>
      <w:r w:rsidR="006662DB">
        <w:rPr>
          <w:rFonts w:ascii="Book Antiqua" w:hAnsi="Book Antiqua"/>
          <w:sz w:val="24"/>
          <w:szCs w:val="24"/>
        </w:rPr>
        <w:t>Minangkabau</w:t>
      </w:r>
      <w:proofErr w:type="spellEnd"/>
      <w:r w:rsidR="006662DB">
        <w:rPr>
          <w:rFonts w:ascii="Book Antiqua" w:hAnsi="Book Antiqua"/>
          <w:sz w:val="24"/>
          <w:szCs w:val="24"/>
        </w:rPr>
        <w:t>.</w:t>
      </w:r>
      <w:r w:rsidR="006662DB">
        <w:rPr>
          <w:rStyle w:val="FootnoteReference"/>
          <w:rFonts w:ascii="Book Antiqua" w:hAnsi="Book Antiqua"/>
          <w:sz w:val="24"/>
          <w:szCs w:val="24"/>
        </w:rPr>
        <w:footnoteReference w:id="18"/>
      </w:r>
      <w:r w:rsidR="006662DB">
        <w:rPr>
          <w:rFonts w:ascii="Book Antiqua" w:hAnsi="Book Antiqua"/>
          <w:sz w:val="24"/>
          <w:szCs w:val="24"/>
        </w:rPr>
        <w:t xml:space="preserve"> </w:t>
      </w:r>
      <w:r w:rsidRPr="00F211B0">
        <w:rPr>
          <w:rFonts w:ascii="Book Antiqua" w:hAnsi="Book Antiqua"/>
          <w:sz w:val="24"/>
          <w:szCs w:val="24"/>
        </w:rPr>
        <w:t xml:space="preserve">The </w:t>
      </w:r>
      <w:proofErr w:type="spellStart"/>
      <w:r w:rsidRPr="00F211B0">
        <w:rPr>
          <w:rFonts w:ascii="Book Antiqua" w:hAnsi="Book Antiqua"/>
          <w:sz w:val="24"/>
          <w:szCs w:val="24"/>
        </w:rPr>
        <w:t>mamak</w:t>
      </w:r>
      <w:proofErr w:type="spellEnd"/>
      <w:r w:rsidRPr="00F211B0">
        <w:rPr>
          <w:rFonts w:ascii="Book Antiqua" w:hAnsi="Book Antiqua"/>
          <w:sz w:val="24"/>
          <w:szCs w:val="24"/>
        </w:rPr>
        <w:t xml:space="preserve"> inheritance rule has been in effect continuously, so that no </w:t>
      </w:r>
      <w:proofErr w:type="spellStart"/>
      <w:r w:rsidRPr="00F211B0">
        <w:rPr>
          <w:rFonts w:ascii="Book Antiqua" w:hAnsi="Book Antiqua"/>
          <w:sz w:val="24"/>
          <w:szCs w:val="24"/>
        </w:rPr>
        <w:t>Minangkabau</w:t>
      </w:r>
      <w:proofErr w:type="spellEnd"/>
      <w:r w:rsidRPr="00F211B0">
        <w:rPr>
          <w:rFonts w:ascii="Book Antiqua" w:hAnsi="Book Antiqua"/>
          <w:sz w:val="24"/>
          <w:szCs w:val="24"/>
        </w:rPr>
        <w:t xml:space="preserve"> people thi</w:t>
      </w:r>
      <w:r w:rsidR="006662DB">
        <w:rPr>
          <w:rFonts w:ascii="Book Antiqua" w:hAnsi="Book Antiqua"/>
          <w:sz w:val="24"/>
          <w:szCs w:val="24"/>
        </w:rPr>
        <w:t>nk it is strange or question it.</w:t>
      </w:r>
      <w:r w:rsidR="006662DB">
        <w:rPr>
          <w:rStyle w:val="FootnoteReference"/>
          <w:rFonts w:ascii="Book Antiqua" w:hAnsi="Book Antiqua"/>
          <w:sz w:val="24"/>
          <w:szCs w:val="24"/>
        </w:rPr>
        <w:footnoteReference w:id="19"/>
      </w:r>
    </w:p>
    <w:p w:rsidR="00F211B0" w:rsidRPr="00F211B0" w:rsidRDefault="00F211B0" w:rsidP="00F211B0">
      <w:pPr>
        <w:pStyle w:val="BodyText"/>
        <w:spacing w:line="240" w:lineRule="auto"/>
        <w:ind w:right="-2"/>
        <w:jc w:val="both"/>
        <w:rPr>
          <w:rFonts w:ascii="Book Antiqua" w:hAnsi="Book Antiqua"/>
          <w:sz w:val="24"/>
          <w:szCs w:val="24"/>
        </w:rPr>
      </w:pPr>
      <w:r w:rsidRPr="00F211B0">
        <w:rPr>
          <w:rFonts w:ascii="Book Antiqua" w:hAnsi="Book Antiqua"/>
          <w:sz w:val="24"/>
          <w:szCs w:val="24"/>
        </w:rPr>
        <w:t xml:space="preserve">Based on this explanation, actually the implementation of customary justice in </w:t>
      </w:r>
      <w:proofErr w:type="spellStart"/>
      <w:r w:rsidRPr="00F211B0">
        <w:rPr>
          <w:rFonts w:ascii="Book Antiqua" w:hAnsi="Book Antiqua"/>
          <w:sz w:val="24"/>
          <w:szCs w:val="24"/>
        </w:rPr>
        <w:t>gampongs</w:t>
      </w:r>
      <w:proofErr w:type="spellEnd"/>
      <w:r w:rsidRPr="00F211B0">
        <w:rPr>
          <w:rFonts w:ascii="Book Antiqua" w:hAnsi="Book Antiqua"/>
          <w:sz w:val="24"/>
          <w:szCs w:val="24"/>
        </w:rPr>
        <w:t xml:space="preserve"> in Aceh needs to be accompanied by the codification of these customary regulations into the form of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qanuns</w:t>
      </w:r>
      <w:proofErr w:type="spellEnd"/>
      <w:r w:rsidRPr="00F211B0">
        <w:rPr>
          <w:rFonts w:ascii="Book Antiqua" w:hAnsi="Book Antiqua"/>
          <w:sz w:val="24"/>
          <w:szCs w:val="24"/>
        </w:rPr>
        <w:t xml:space="preserve">. The codification of customary rules into </w:t>
      </w:r>
      <w:proofErr w:type="spellStart"/>
      <w:r w:rsidRPr="00F211B0">
        <w:rPr>
          <w:rFonts w:ascii="Book Antiqua" w:hAnsi="Book Antiqua"/>
          <w:sz w:val="24"/>
          <w:szCs w:val="24"/>
        </w:rPr>
        <w:t>qanun</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on the one hand, is contrary to the basic principles of customary law, namely as an unwritten law that has been passed down from generation to generation in a society. As explained by </w:t>
      </w:r>
      <w:proofErr w:type="spellStart"/>
      <w:r w:rsidRPr="00F211B0">
        <w:rPr>
          <w:rFonts w:ascii="Book Antiqua" w:hAnsi="Book Antiqua"/>
          <w:sz w:val="24"/>
          <w:szCs w:val="24"/>
        </w:rPr>
        <w:t>Husni</w:t>
      </w:r>
      <w:proofErr w:type="spellEnd"/>
      <w:r w:rsidRPr="00F211B0">
        <w:rPr>
          <w:rFonts w:ascii="Book Antiqua" w:hAnsi="Book Antiqua"/>
          <w:sz w:val="24"/>
          <w:szCs w:val="24"/>
        </w:rPr>
        <w:t>, a lecturer in customary law, customary rules that are legislated into law, lose their customary nature because all customary dispute resolution processes do not refer to customary rules, but to written legal rules.</w:t>
      </w:r>
    </w:p>
    <w:p w:rsidR="00F211B0" w:rsidRPr="00F211B0" w:rsidRDefault="00F211B0" w:rsidP="00F211B0">
      <w:pPr>
        <w:pStyle w:val="BodyText"/>
        <w:spacing w:line="240" w:lineRule="auto"/>
        <w:ind w:right="-2"/>
        <w:jc w:val="both"/>
        <w:rPr>
          <w:rFonts w:ascii="Book Antiqua" w:hAnsi="Book Antiqua"/>
          <w:sz w:val="24"/>
          <w:szCs w:val="24"/>
        </w:rPr>
      </w:pPr>
      <w:r w:rsidRPr="00F211B0">
        <w:rPr>
          <w:rFonts w:ascii="Book Antiqua" w:hAnsi="Book Antiqua"/>
          <w:sz w:val="24"/>
          <w:szCs w:val="24"/>
        </w:rPr>
        <w:t xml:space="preserve">In addition, in </w:t>
      </w:r>
      <w:proofErr w:type="spellStart"/>
      <w:r w:rsidRPr="00F211B0">
        <w:rPr>
          <w:rFonts w:ascii="Book Antiqua" w:hAnsi="Book Antiqua"/>
          <w:sz w:val="24"/>
          <w:szCs w:val="24"/>
        </w:rPr>
        <w:t>Qanun</w:t>
      </w:r>
      <w:proofErr w:type="spellEnd"/>
      <w:r w:rsidRPr="00F211B0">
        <w:rPr>
          <w:rFonts w:ascii="Book Antiqua" w:hAnsi="Book Antiqua"/>
          <w:sz w:val="24"/>
          <w:szCs w:val="24"/>
        </w:rPr>
        <w:t xml:space="preserve"> No. 9 of 2008 there is no article indicating the obligation of the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to </w:t>
      </w:r>
      <w:proofErr w:type="gramStart"/>
      <w:r w:rsidRPr="00F211B0">
        <w:rPr>
          <w:rFonts w:ascii="Book Antiqua" w:hAnsi="Book Antiqua"/>
          <w:sz w:val="24"/>
          <w:szCs w:val="24"/>
        </w:rPr>
        <w:t>legislate</w:t>
      </w:r>
      <w:proofErr w:type="gramEnd"/>
      <w:r w:rsidRPr="00F211B0">
        <w:rPr>
          <w:rFonts w:ascii="Book Antiqua" w:hAnsi="Book Antiqua"/>
          <w:sz w:val="24"/>
          <w:szCs w:val="24"/>
        </w:rPr>
        <w:t xml:space="preserve"> these customary regulations into a </w:t>
      </w:r>
      <w:proofErr w:type="spellStart"/>
      <w:r w:rsidRPr="00F211B0">
        <w:rPr>
          <w:rFonts w:ascii="Book Antiqua" w:hAnsi="Book Antiqua"/>
          <w:sz w:val="24"/>
          <w:szCs w:val="24"/>
        </w:rPr>
        <w:t>Qanun</w:t>
      </w:r>
      <w:proofErr w:type="spellEnd"/>
      <w:r w:rsidRPr="00F211B0">
        <w:rPr>
          <w:rFonts w:ascii="Book Antiqua" w:hAnsi="Book Antiqua"/>
          <w:sz w:val="24"/>
          <w:szCs w:val="24"/>
        </w:rPr>
        <w:t xml:space="preserve">. However, codifying customary rules into village </w:t>
      </w:r>
      <w:proofErr w:type="spellStart"/>
      <w:r w:rsidRPr="00F211B0">
        <w:rPr>
          <w:rFonts w:ascii="Book Antiqua" w:hAnsi="Book Antiqua"/>
          <w:sz w:val="24"/>
          <w:szCs w:val="24"/>
        </w:rPr>
        <w:t>qanuns</w:t>
      </w:r>
      <w:proofErr w:type="spellEnd"/>
      <w:r w:rsidRPr="00F211B0">
        <w:rPr>
          <w:rFonts w:ascii="Book Antiqua" w:hAnsi="Book Antiqua"/>
          <w:sz w:val="24"/>
          <w:szCs w:val="24"/>
        </w:rPr>
        <w:t xml:space="preserve"> provides a number of advantages, including:</w:t>
      </w:r>
    </w:p>
    <w:p w:rsidR="00F211B0" w:rsidRPr="00F211B0" w:rsidRDefault="00F211B0" w:rsidP="00DE3E9D">
      <w:pPr>
        <w:pStyle w:val="BodyText"/>
        <w:numPr>
          <w:ilvl w:val="0"/>
          <w:numId w:val="44"/>
        </w:numPr>
        <w:spacing w:after="0" w:line="240" w:lineRule="auto"/>
        <w:ind w:left="357" w:hanging="357"/>
        <w:jc w:val="both"/>
        <w:rPr>
          <w:rFonts w:ascii="Book Antiqua" w:hAnsi="Book Antiqua"/>
          <w:sz w:val="24"/>
          <w:szCs w:val="24"/>
        </w:rPr>
      </w:pPr>
      <w:r w:rsidRPr="00F211B0">
        <w:rPr>
          <w:rFonts w:ascii="Book Antiqua" w:hAnsi="Book Antiqua"/>
          <w:sz w:val="24"/>
          <w:szCs w:val="24"/>
        </w:rPr>
        <w:t>Provide legal certainty. Everyone will know which actions are included in the category of customary court authority, and what sanctions will be received when those regulations are violated.</w:t>
      </w:r>
    </w:p>
    <w:p w:rsidR="00F211B0" w:rsidRPr="00F211B0" w:rsidRDefault="00F211B0" w:rsidP="00DE3E9D">
      <w:pPr>
        <w:pStyle w:val="BodyText"/>
        <w:numPr>
          <w:ilvl w:val="0"/>
          <w:numId w:val="44"/>
        </w:numPr>
        <w:spacing w:after="0" w:line="240" w:lineRule="auto"/>
        <w:ind w:left="357" w:hanging="357"/>
        <w:jc w:val="both"/>
        <w:rPr>
          <w:rFonts w:ascii="Book Antiqua" w:hAnsi="Book Antiqua"/>
          <w:sz w:val="24"/>
          <w:szCs w:val="24"/>
        </w:rPr>
      </w:pPr>
      <w:r w:rsidRPr="00F211B0">
        <w:rPr>
          <w:rFonts w:ascii="Book Antiqua" w:hAnsi="Book Antiqua"/>
          <w:sz w:val="24"/>
          <w:szCs w:val="24"/>
        </w:rPr>
        <w:t xml:space="preserve">It becomes the basis for imposing sanctions, because it could be rules that are considered customary as stated in </w:t>
      </w:r>
      <w:proofErr w:type="spellStart"/>
      <w:r w:rsidRPr="00F211B0">
        <w:rPr>
          <w:rFonts w:ascii="Book Antiqua" w:hAnsi="Book Antiqua"/>
          <w:sz w:val="24"/>
          <w:szCs w:val="24"/>
        </w:rPr>
        <w:t>Qanun</w:t>
      </w:r>
      <w:proofErr w:type="spellEnd"/>
      <w:r w:rsidRPr="00F211B0">
        <w:rPr>
          <w:rFonts w:ascii="Book Antiqua" w:hAnsi="Book Antiqua"/>
          <w:sz w:val="24"/>
          <w:szCs w:val="24"/>
        </w:rPr>
        <w:t xml:space="preserve"> No. 9 of 2008 is no longer known by the </w:t>
      </w:r>
      <w:r w:rsidRPr="00F211B0">
        <w:rPr>
          <w:rFonts w:ascii="Book Antiqua" w:hAnsi="Book Antiqua"/>
          <w:sz w:val="24"/>
          <w:szCs w:val="24"/>
        </w:rPr>
        <w:lastRenderedPageBreak/>
        <w:t xml:space="preserve">public. So actually when referring to the theory of customary rules, these rules can no longer </w:t>
      </w:r>
      <w:proofErr w:type="gramStart"/>
      <w:r w:rsidRPr="00F211B0">
        <w:rPr>
          <w:rFonts w:ascii="Book Antiqua" w:hAnsi="Book Antiqua"/>
          <w:sz w:val="24"/>
          <w:szCs w:val="24"/>
        </w:rPr>
        <w:t>be</w:t>
      </w:r>
      <w:proofErr w:type="gramEnd"/>
      <w:r w:rsidRPr="00F211B0">
        <w:rPr>
          <w:rFonts w:ascii="Book Antiqua" w:hAnsi="Book Antiqua"/>
          <w:sz w:val="24"/>
          <w:szCs w:val="24"/>
        </w:rPr>
        <w:t xml:space="preserve"> categorized as customary rules. With the codification of customary law into a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qanun</w:t>
      </w:r>
      <w:proofErr w:type="spellEnd"/>
      <w:r w:rsidRPr="00F211B0">
        <w:rPr>
          <w:rFonts w:ascii="Book Antiqua" w:hAnsi="Book Antiqua"/>
          <w:sz w:val="24"/>
          <w:szCs w:val="24"/>
        </w:rPr>
        <w:t xml:space="preserve">, the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will be safer when dealing with the law if at one time there are parties who take legal action</w:t>
      </w:r>
    </w:p>
    <w:p w:rsidR="004B1F20" w:rsidRPr="00AA7C96" w:rsidRDefault="004B1F20" w:rsidP="00F211B0">
      <w:pPr>
        <w:numPr>
          <w:ilvl w:val="0"/>
          <w:numId w:val="18"/>
        </w:numPr>
        <w:spacing w:after="120" w:line="240" w:lineRule="auto"/>
        <w:ind w:left="284" w:hanging="284"/>
        <w:jc w:val="both"/>
        <w:rPr>
          <w:rFonts w:ascii="Book Antiqua" w:hAnsi="Book Antiqua"/>
          <w:b/>
          <w:bCs/>
          <w:color w:val="FFC000" w:themeColor="accent4"/>
          <w:szCs w:val="22"/>
          <w:lang w:val="id-ID"/>
        </w:rPr>
      </w:pPr>
      <w:r w:rsidRPr="00AA7C96">
        <w:rPr>
          <w:rFonts w:ascii="Book Antiqua" w:hAnsi="Book Antiqua"/>
          <w:b/>
          <w:color w:val="2F5496" w:themeColor="accent1" w:themeShade="BF"/>
          <w:sz w:val="24"/>
          <w:szCs w:val="24"/>
        </w:rPr>
        <w:t>CONCLUSION</w:t>
      </w:r>
    </w:p>
    <w:p w:rsidR="00F211B0" w:rsidRPr="00F211B0" w:rsidRDefault="00F211B0" w:rsidP="00F211B0">
      <w:pPr>
        <w:pStyle w:val="BodyText"/>
        <w:spacing w:line="240" w:lineRule="auto"/>
        <w:ind w:right="-2"/>
        <w:rPr>
          <w:rFonts w:ascii="Book Antiqua" w:hAnsi="Book Antiqua"/>
          <w:sz w:val="24"/>
          <w:szCs w:val="24"/>
        </w:rPr>
      </w:pPr>
      <w:r w:rsidRPr="00F211B0">
        <w:rPr>
          <w:rFonts w:ascii="Book Antiqua" w:hAnsi="Book Antiqua"/>
          <w:sz w:val="24"/>
          <w:szCs w:val="24"/>
        </w:rPr>
        <w:t>From the explanation above there are several rules that can be drawn, namely:</w:t>
      </w:r>
    </w:p>
    <w:p w:rsidR="00F211B0" w:rsidRPr="00F211B0" w:rsidRDefault="00F211B0" w:rsidP="00F211B0">
      <w:pPr>
        <w:pStyle w:val="BodyText"/>
        <w:numPr>
          <w:ilvl w:val="0"/>
          <w:numId w:val="45"/>
        </w:numPr>
        <w:spacing w:line="240" w:lineRule="auto"/>
        <w:ind w:left="360" w:right="-2"/>
        <w:jc w:val="both"/>
        <w:rPr>
          <w:rFonts w:ascii="Book Antiqua" w:hAnsi="Book Antiqua"/>
          <w:sz w:val="24"/>
          <w:szCs w:val="24"/>
        </w:rPr>
      </w:pPr>
      <w:proofErr w:type="spellStart"/>
      <w:r w:rsidRPr="00F211B0">
        <w:rPr>
          <w:rFonts w:ascii="Book Antiqua" w:hAnsi="Book Antiqua"/>
          <w:sz w:val="24"/>
          <w:szCs w:val="24"/>
        </w:rPr>
        <w:t>Gampongs</w:t>
      </w:r>
      <w:proofErr w:type="spellEnd"/>
      <w:r w:rsidRPr="00F211B0">
        <w:rPr>
          <w:rFonts w:ascii="Book Antiqua" w:hAnsi="Book Antiqua"/>
          <w:sz w:val="24"/>
          <w:szCs w:val="24"/>
        </w:rPr>
        <w:t xml:space="preserve"> in Aceh have the authority to adjudicate cases of customary disputes at the customary courts in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Its legal basis is </w:t>
      </w:r>
      <w:proofErr w:type="spellStart"/>
      <w:r w:rsidRPr="00F211B0">
        <w:rPr>
          <w:rFonts w:ascii="Book Antiqua" w:hAnsi="Book Antiqua"/>
          <w:sz w:val="24"/>
          <w:szCs w:val="24"/>
        </w:rPr>
        <w:t>qanun</w:t>
      </w:r>
      <w:proofErr w:type="spellEnd"/>
      <w:r w:rsidRPr="00F211B0">
        <w:rPr>
          <w:rFonts w:ascii="Book Antiqua" w:hAnsi="Book Antiqua"/>
          <w:sz w:val="24"/>
          <w:szCs w:val="24"/>
        </w:rPr>
        <w:t xml:space="preserve"> Number 9 of 2008 concerning the development of customary life and customs.</w:t>
      </w:r>
      <w:r w:rsidRPr="00F211B0">
        <w:rPr>
          <w:rFonts w:ascii="Book Antiqua" w:hAnsi="Book Antiqua"/>
          <w:sz w:val="24"/>
          <w:szCs w:val="24"/>
        </w:rPr>
        <w:tab/>
      </w:r>
    </w:p>
    <w:p w:rsidR="00F211B0" w:rsidRPr="00F211B0" w:rsidRDefault="00F211B0" w:rsidP="00F211B0">
      <w:pPr>
        <w:pStyle w:val="BodyText"/>
        <w:numPr>
          <w:ilvl w:val="0"/>
          <w:numId w:val="45"/>
        </w:numPr>
        <w:spacing w:line="240" w:lineRule="auto"/>
        <w:ind w:left="360" w:right="-2"/>
        <w:jc w:val="both"/>
        <w:rPr>
          <w:rFonts w:ascii="Book Antiqua" w:hAnsi="Book Antiqua"/>
          <w:sz w:val="24"/>
          <w:szCs w:val="24"/>
        </w:rPr>
      </w:pPr>
      <w:r w:rsidRPr="00F211B0">
        <w:rPr>
          <w:rFonts w:ascii="Book Antiqua" w:hAnsi="Book Antiqua"/>
          <w:sz w:val="24"/>
          <w:szCs w:val="24"/>
        </w:rPr>
        <w:t xml:space="preserve">Decisions of customary courts are binding and final, and cannot be submitted again to general courts or other courts. If the customary court decision is related to disputes such as inheritance disputes, the decision can be used as written evidence in court if the parties continue the lawsuit in court. However, if the decision relates to a minor crime such as theft of livestock, immoral </w:t>
      </w:r>
      <w:proofErr w:type="spellStart"/>
      <w:r w:rsidRPr="00F211B0">
        <w:rPr>
          <w:rFonts w:ascii="Book Antiqua" w:hAnsi="Book Antiqua"/>
          <w:sz w:val="24"/>
          <w:szCs w:val="24"/>
        </w:rPr>
        <w:t>khalwat</w:t>
      </w:r>
      <w:proofErr w:type="spellEnd"/>
      <w:r w:rsidRPr="00F211B0">
        <w:rPr>
          <w:rFonts w:ascii="Book Antiqua" w:hAnsi="Book Antiqua"/>
          <w:sz w:val="24"/>
          <w:szCs w:val="24"/>
        </w:rPr>
        <w:t xml:space="preserve">, then the decision can be used as evidence in a criminal or </w:t>
      </w:r>
      <w:proofErr w:type="spellStart"/>
      <w:r w:rsidRPr="00F211B0">
        <w:rPr>
          <w:rFonts w:ascii="Book Antiqua" w:hAnsi="Book Antiqua"/>
          <w:i/>
          <w:sz w:val="24"/>
          <w:szCs w:val="24"/>
        </w:rPr>
        <w:t>jinayat</w:t>
      </w:r>
      <w:proofErr w:type="spellEnd"/>
      <w:r w:rsidRPr="00F211B0">
        <w:rPr>
          <w:rFonts w:ascii="Book Antiqua" w:hAnsi="Book Antiqua"/>
          <w:sz w:val="24"/>
          <w:szCs w:val="24"/>
        </w:rPr>
        <w:t xml:space="preserve"> trial.</w:t>
      </w:r>
      <w:r w:rsidRPr="00F211B0">
        <w:rPr>
          <w:rFonts w:ascii="Book Antiqua" w:hAnsi="Book Antiqua"/>
          <w:sz w:val="24"/>
          <w:szCs w:val="24"/>
        </w:rPr>
        <w:tab/>
      </w:r>
    </w:p>
    <w:p w:rsidR="00F211B0" w:rsidRPr="00F211B0" w:rsidRDefault="00F211B0" w:rsidP="00F211B0">
      <w:pPr>
        <w:pStyle w:val="BodyText"/>
        <w:numPr>
          <w:ilvl w:val="0"/>
          <w:numId w:val="45"/>
        </w:numPr>
        <w:spacing w:line="240" w:lineRule="auto"/>
        <w:ind w:left="360" w:right="-2"/>
        <w:jc w:val="both"/>
        <w:rPr>
          <w:rFonts w:ascii="Book Antiqua" w:hAnsi="Book Antiqua"/>
          <w:sz w:val="24"/>
          <w:szCs w:val="24"/>
        </w:rPr>
      </w:pPr>
      <w:proofErr w:type="spellStart"/>
      <w:r w:rsidRPr="00F211B0">
        <w:rPr>
          <w:rFonts w:ascii="Book Antiqua" w:hAnsi="Book Antiqua"/>
          <w:sz w:val="24"/>
          <w:szCs w:val="24"/>
        </w:rPr>
        <w:t>Gampongs</w:t>
      </w:r>
      <w:proofErr w:type="spellEnd"/>
      <w:r w:rsidRPr="00F211B0">
        <w:rPr>
          <w:rFonts w:ascii="Book Antiqua" w:hAnsi="Book Antiqua"/>
          <w:sz w:val="24"/>
          <w:szCs w:val="24"/>
        </w:rPr>
        <w:t xml:space="preserve"> in the </w:t>
      </w:r>
      <w:proofErr w:type="spellStart"/>
      <w:r w:rsidRPr="00F211B0">
        <w:rPr>
          <w:rFonts w:ascii="Book Antiqua" w:hAnsi="Book Antiqua"/>
          <w:sz w:val="24"/>
          <w:szCs w:val="24"/>
        </w:rPr>
        <w:t>Muara</w:t>
      </w:r>
      <w:proofErr w:type="spellEnd"/>
      <w:r w:rsidRPr="00F211B0">
        <w:rPr>
          <w:rFonts w:ascii="Book Antiqua" w:hAnsi="Book Antiqua"/>
          <w:sz w:val="24"/>
          <w:szCs w:val="24"/>
        </w:rPr>
        <w:t xml:space="preserve"> </w:t>
      </w:r>
      <w:proofErr w:type="spellStart"/>
      <w:r w:rsidRPr="00F211B0">
        <w:rPr>
          <w:rFonts w:ascii="Book Antiqua" w:hAnsi="Book Antiqua"/>
          <w:sz w:val="24"/>
          <w:szCs w:val="24"/>
        </w:rPr>
        <w:t>Batu</w:t>
      </w:r>
      <w:proofErr w:type="spellEnd"/>
      <w:r w:rsidRPr="00F211B0">
        <w:rPr>
          <w:rFonts w:ascii="Book Antiqua" w:hAnsi="Book Antiqua"/>
          <w:sz w:val="24"/>
          <w:szCs w:val="24"/>
        </w:rPr>
        <w:t xml:space="preserve"> sub-district have customary courts in each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but if they are related to minor crimes or </w:t>
      </w:r>
      <w:proofErr w:type="spellStart"/>
      <w:r w:rsidRPr="00F211B0">
        <w:rPr>
          <w:rFonts w:ascii="Book Antiqua" w:hAnsi="Book Antiqua"/>
          <w:sz w:val="24"/>
          <w:szCs w:val="24"/>
        </w:rPr>
        <w:t>jinayat</w:t>
      </w:r>
      <w:proofErr w:type="spellEnd"/>
      <w:r w:rsidRPr="00F211B0">
        <w:rPr>
          <w:rFonts w:ascii="Book Antiqua" w:hAnsi="Book Antiqua"/>
          <w:sz w:val="24"/>
          <w:szCs w:val="24"/>
        </w:rPr>
        <w:t xml:space="preserve">, the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apparatus prefers to hand over the case to the authorities, if a peaceful process is not found. Except for cases of immoral </w:t>
      </w:r>
      <w:proofErr w:type="spellStart"/>
      <w:r w:rsidRPr="00F211B0">
        <w:rPr>
          <w:rFonts w:ascii="Book Antiqua" w:hAnsi="Book Antiqua"/>
          <w:sz w:val="24"/>
          <w:szCs w:val="24"/>
        </w:rPr>
        <w:t>khalwat</w:t>
      </w:r>
      <w:proofErr w:type="spellEnd"/>
      <w:r w:rsidRPr="00F211B0">
        <w:rPr>
          <w:rFonts w:ascii="Book Antiqua" w:hAnsi="Book Antiqua"/>
          <w:sz w:val="24"/>
          <w:szCs w:val="24"/>
        </w:rPr>
        <w:t xml:space="preserve"> and adultery committed in the </w:t>
      </w:r>
      <w:proofErr w:type="spellStart"/>
      <w:r w:rsidRPr="00F211B0">
        <w:rPr>
          <w:rFonts w:ascii="Book Antiqua" w:hAnsi="Book Antiqua"/>
          <w:sz w:val="24"/>
          <w:szCs w:val="24"/>
        </w:rPr>
        <w:t>gampong</w:t>
      </w:r>
      <w:proofErr w:type="spellEnd"/>
      <w:r w:rsidRPr="00F211B0">
        <w:rPr>
          <w:rFonts w:ascii="Book Antiqua" w:hAnsi="Book Antiqua"/>
          <w:sz w:val="24"/>
          <w:szCs w:val="24"/>
        </w:rPr>
        <w:t xml:space="preserve">, the perpetrators are forced to marry or handed over to law enforcement to be processed according to </w:t>
      </w:r>
      <w:proofErr w:type="spellStart"/>
      <w:r w:rsidRPr="00F211B0">
        <w:rPr>
          <w:rFonts w:ascii="Book Antiqua" w:hAnsi="Book Antiqua"/>
          <w:sz w:val="24"/>
          <w:szCs w:val="24"/>
        </w:rPr>
        <w:t>jinayat</w:t>
      </w:r>
      <w:proofErr w:type="spellEnd"/>
      <w:r w:rsidRPr="00F211B0">
        <w:rPr>
          <w:rFonts w:ascii="Book Antiqua" w:hAnsi="Book Antiqua"/>
          <w:sz w:val="24"/>
          <w:szCs w:val="24"/>
        </w:rPr>
        <w:t xml:space="preserve"> law in Aceh.</w:t>
      </w:r>
    </w:p>
    <w:p w:rsidR="00AA1A42" w:rsidRPr="00F211B0" w:rsidRDefault="00AA1A42" w:rsidP="00A26219">
      <w:pPr>
        <w:spacing w:after="120" w:line="240" w:lineRule="auto"/>
        <w:jc w:val="both"/>
        <w:rPr>
          <w:rFonts w:ascii="Book Antiqua" w:hAnsi="Book Antiqua" w:cs="Calibri"/>
          <w:bCs/>
          <w:color w:val="333333"/>
          <w:sz w:val="24"/>
          <w:szCs w:val="24"/>
        </w:rPr>
      </w:pPr>
    </w:p>
    <w:p w:rsidR="004B1F20" w:rsidRPr="00EE6288" w:rsidRDefault="004B1F20" w:rsidP="00A26219">
      <w:pPr>
        <w:spacing w:after="120" w:line="240" w:lineRule="auto"/>
        <w:jc w:val="both"/>
        <w:rPr>
          <w:rFonts w:ascii="Book Antiqua" w:eastAsia="Arial Unicode MS" w:hAnsi="Book Antiqua" w:cstheme="majorHAnsi"/>
          <w:b/>
          <w:color w:val="2F5496" w:themeColor="accent1" w:themeShade="BF"/>
          <w:sz w:val="24"/>
          <w:szCs w:val="24"/>
          <w:lang w:val="en-GB"/>
        </w:rPr>
      </w:pPr>
      <w:r w:rsidRPr="00EE6288">
        <w:rPr>
          <w:rFonts w:ascii="Book Antiqua" w:eastAsia="Arial Unicode MS" w:hAnsi="Book Antiqua" w:cstheme="majorHAnsi"/>
          <w:b/>
          <w:color w:val="2F5496" w:themeColor="accent1" w:themeShade="BF"/>
          <w:sz w:val="24"/>
          <w:szCs w:val="24"/>
          <w:lang w:val="en-GB"/>
        </w:rPr>
        <w:t>REFERENCES</w:t>
      </w:r>
    </w:p>
    <w:p w:rsidR="004B1F20" w:rsidRPr="00A26219" w:rsidRDefault="00F246FE" w:rsidP="00A26219">
      <w:pPr>
        <w:pStyle w:val="Heading3"/>
        <w:spacing w:before="0" w:line="240" w:lineRule="auto"/>
        <w:jc w:val="both"/>
        <w:rPr>
          <w:rFonts w:ascii="Book Antiqua" w:hAnsi="Book Antiqua" w:cstheme="majorHAnsi"/>
          <w:i/>
          <w:color w:val="000000" w:themeColor="text1"/>
          <w:lang w:val="en-GB"/>
        </w:rPr>
      </w:pPr>
      <w:r w:rsidRPr="00A26219">
        <w:rPr>
          <w:rFonts w:ascii="Book Antiqua" w:hAnsi="Book Antiqua" w:cstheme="majorHAnsi"/>
          <w:i/>
          <w:color w:val="000000" w:themeColor="text1"/>
          <w:lang w:val="en-GB"/>
        </w:rPr>
        <w:t>Journal Article</w:t>
      </w:r>
    </w:p>
    <w:p w:rsidR="000165E8" w:rsidRPr="00DE3E9D" w:rsidRDefault="000165E8" w:rsidP="00DE3E9D">
      <w:pPr>
        <w:spacing w:after="120" w:line="240" w:lineRule="auto"/>
        <w:ind w:left="547" w:hanging="547"/>
        <w:jc w:val="both"/>
        <w:rPr>
          <w:rFonts w:ascii="Book Antiqua" w:hAnsi="Book Antiqua" w:cstheme="majorHAnsi"/>
          <w:color w:val="000000" w:themeColor="text1"/>
          <w:sz w:val="24"/>
          <w:szCs w:val="24"/>
          <w:lang w:val="en-GB"/>
        </w:rPr>
      </w:pPr>
      <w:proofErr w:type="spellStart"/>
      <w:r w:rsidRPr="00DE3E9D">
        <w:rPr>
          <w:rFonts w:ascii="Book Antiqua" w:hAnsi="Book Antiqua" w:cstheme="majorHAnsi"/>
          <w:color w:val="000000" w:themeColor="text1"/>
          <w:sz w:val="24"/>
          <w:szCs w:val="24"/>
          <w:lang w:val="en-GB"/>
        </w:rPr>
        <w:t>Abiyoso</w:t>
      </w:r>
      <w:proofErr w:type="spellEnd"/>
      <w:r w:rsidRPr="00DE3E9D">
        <w:rPr>
          <w:rFonts w:ascii="Book Antiqua" w:hAnsi="Book Antiqua" w:cstheme="majorHAnsi"/>
          <w:color w:val="000000" w:themeColor="text1"/>
          <w:sz w:val="24"/>
          <w:szCs w:val="24"/>
          <w:lang w:val="en-GB"/>
        </w:rPr>
        <w:t>,</w:t>
      </w:r>
      <w:r>
        <w:rPr>
          <w:rFonts w:ascii="Book Antiqua" w:hAnsi="Book Antiqua" w:cstheme="majorHAnsi"/>
          <w:color w:val="000000" w:themeColor="text1"/>
          <w:sz w:val="24"/>
          <w:szCs w:val="24"/>
          <w:lang w:val="en-GB"/>
        </w:rPr>
        <w:t xml:space="preserve"> Y.,</w:t>
      </w:r>
      <w:r w:rsidRPr="00DE3E9D">
        <w:rPr>
          <w:rFonts w:ascii="Book Antiqua" w:hAnsi="Book Antiqua" w:cstheme="majorHAnsi"/>
          <w:color w:val="000000" w:themeColor="text1"/>
          <w:sz w:val="24"/>
          <w:szCs w:val="24"/>
          <w:lang w:val="en-GB"/>
        </w:rPr>
        <w:t xml:space="preserve"> “</w:t>
      </w:r>
      <w:proofErr w:type="spellStart"/>
      <w:r w:rsidRPr="00DE3E9D">
        <w:rPr>
          <w:rFonts w:ascii="Book Antiqua" w:hAnsi="Book Antiqua" w:cstheme="majorHAnsi"/>
          <w:color w:val="000000" w:themeColor="text1"/>
          <w:sz w:val="24"/>
          <w:szCs w:val="24"/>
          <w:lang w:val="en-GB"/>
        </w:rPr>
        <w:t>Adat</w:t>
      </w:r>
      <w:proofErr w:type="spellEnd"/>
      <w:r w:rsidRPr="00DE3E9D">
        <w:rPr>
          <w:rFonts w:ascii="Book Antiqua" w:hAnsi="Book Antiqua" w:cstheme="majorHAnsi"/>
          <w:color w:val="000000" w:themeColor="text1"/>
          <w:sz w:val="24"/>
          <w:szCs w:val="24"/>
          <w:lang w:val="en-GB"/>
        </w:rPr>
        <w:t xml:space="preserve"> Institutions In Aceh Government: A Constitutional Perspective Constitutional Perspective,</w:t>
      </w:r>
      <w:proofErr w:type="gramStart"/>
      <w:r w:rsidRPr="00DE3E9D">
        <w:rPr>
          <w:rFonts w:ascii="Book Antiqua" w:hAnsi="Book Antiqua" w:cstheme="majorHAnsi"/>
          <w:color w:val="000000" w:themeColor="text1"/>
          <w:sz w:val="24"/>
          <w:szCs w:val="24"/>
          <w:lang w:val="en-GB"/>
        </w:rPr>
        <w:t xml:space="preserve">”  </w:t>
      </w:r>
      <w:r w:rsidRPr="000165E8">
        <w:rPr>
          <w:rFonts w:ascii="Book Antiqua" w:hAnsi="Book Antiqua" w:cstheme="majorHAnsi"/>
          <w:i/>
          <w:color w:val="000000" w:themeColor="text1"/>
          <w:sz w:val="24"/>
          <w:szCs w:val="24"/>
          <w:lang w:val="en-GB"/>
        </w:rPr>
        <w:t>Journal</w:t>
      </w:r>
      <w:proofErr w:type="gramEnd"/>
      <w:r w:rsidRPr="000165E8">
        <w:rPr>
          <w:rFonts w:ascii="Book Antiqua" w:hAnsi="Book Antiqua" w:cstheme="majorHAnsi"/>
          <w:i/>
          <w:color w:val="000000" w:themeColor="text1"/>
          <w:sz w:val="24"/>
          <w:szCs w:val="24"/>
          <w:lang w:val="en-GB"/>
        </w:rPr>
        <w:t xml:space="preserve"> of Islamic Law Studies</w:t>
      </w:r>
      <w:r w:rsidRPr="00DE3E9D">
        <w:rPr>
          <w:rFonts w:ascii="Book Antiqua" w:hAnsi="Book Antiqua" w:cstheme="majorHAnsi"/>
          <w:color w:val="000000" w:themeColor="text1"/>
          <w:sz w:val="24"/>
          <w:szCs w:val="24"/>
          <w:lang w:val="en-GB"/>
        </w:rPr>
        <w:t xml:space="preserve">  4, no. 1 (2020): 1–15.</w:t>
      </w:r>
    </w:p>
    <w:p w:rsidR="000165E8" w:rsidRPr="00DE3E9D" w:rsidRDefault="000165E8" w:rsidP="00DE3E9D">
      <w:pPr>
        <w:spacing w:after="120" w:line="240" w:lineRule="auto"/>
        <w:ind w:left="547" w:hanging="547"/>
        <w:jc w:val="both"/>
        <w:rPr>
          <w:rFonts w:ascii="Book Antiqua" w:hAnsi="Book Antiqua" w:cstheme="majorHAnsi"/>
          <w:color w:val="000000" w:themeColor="text1"/>
          <w:sz w:val="24"/>
          <w:szCs w:val="24"/>
          <w:lang w:val="en-GB"/>
        </w:rPr>
      </w:pPr>
      <w:proofErr w:type="spellStart"/>
      <w:r w:rsidRPr="00DE3E9D">
        <w:rPr>
          <w:rFonts w:ascii="Book Antiqua" w:hAnsi="Book Antiqua" w:cstheme="majorHAnsi"/>
          <w:color w:val="000000" w:themeColor="text1"/>
          <w:sz w:val="24"/>
          <w:szCs w:val="24"/>
          <w:lang w:val="en-GB"/>
        </w:rPr>
        <w:t>Amalia</w:t>
      </w:r>
      <w:proofErr w:type="spellEnd"/>
      <w:r w:rsidRPr="00DE3E9D">
        <w:rPr>
          <w:rFonts w:ascii="Book Antiqua" w:hAnsi="Book Antiqua" w:cstheme="majorHAnsi"/>
          <w:color w:val="000000" w:themeColor="text1"/>
          <w:sz w:val="24"/>
          <w:szCs w:val="24"/>
          <w:lang w:val="en-GB"/>
        </w:rPr>
        <w:t xml:space="preserve">, </w:t>
      </w:r>
      <w:r>
        <w:rPr>
          <w:rFonts w:ascii="Book Antiqua" w:hAnsi="Book Antiqua" w:cstheme="majorHAnsi"/>
          <w:color w:val="000000" w:themeColor="text1"/>
          <w:sz w:val="24"/>
          <w:szCs w:val="24"/>
          <w:lang w:val="en-GB"/>
        </w:rPr>
        <w:t xml:space="preserve">N., </w:t>
      </w:r>
      <w:r w:rsidRPr="00DE3E9D">
        <w:rPr>
          <w:rFonts w:ascii="Book Antiqua" w:hAnsi="Book Antiqua" w:cstheme="majorHAnsi"/>
          <w:color w:val="000000" w:themeColor="text1"/>
          <w:sz w:val="24"/>
          <w:szCs w:val="24"/>
          <w:lang w:val="en-GB"/>
        </w:rPr>
        <w:t xml:space="preserve">“Model </w:t>
      </w:r>
      <w:proofErr w:type="spellStart"/>
      <w:r w:rsidRPr="00DE3E9D">
        <w:rPr>
          <w:rFonts w:ascii="Book Antiqua" w:hAnsi="Book Antiqua" w:cstheme="majorHAnsi"/>
          <w:color w:val="000000" w:themeColor="text1"/>
          <w:sz w:val="24"/>
          <w:szCs w:val="24"/>
          <w:lang w:val="en-GB"/>
        </w:rPr>
        <w:t>Penyelesaian</w:t>
      </w:r>
      <w:proofErr w:type="spellEnd"/>
      <w:r w:rsidRPr="00DE3E9D">
        <w:rPr>
          <w:rFonts w:ascii="Book Antiqua" w:hAnsi="Book Antiqua" w:cstheme="majorHAnsi"/>
          <w:color w:val="000000" w:themeColor="text1"/>
          <w:sz w:val="24"/>
          <w:szCs w:val="24"/>
          <w:lang w:val="en-GB"/>
        </w:rPr>
        <w:t xml:space="preserve"> </w:t>
      </w:r>
      <w:proofErr w:type="spellStart"/>
      <w:r w:rsidRPr="00DE3E9D">
        <w:rPr>
          <w:rFonts w:ascii="Book Antiqua" w:hAnsi="Book Antiqua" w:cstheme="majorHAnsi"/>
          <w:color w:val="000000" w:themeColor="text1"/>
          <w:sz w:val="24"/>
          <w:szCs w:val="24"/>
          <w:lang w:val="en-GB"/>
        </w:rPr>
        <w:t>Sengketa</w:t>
      </w:r>
      <w:proofErr w:type="spellEnd"/>
      <w:r w:rsidRPr="00DE3E9D">
        <w:rPr>
          <w:rFonts w:ascii="Book Antiqua" w:hAnsi="Book Antiqua" w:cstheme="majorHAnsi"/>
          <w:color w:val="000000" w:themeColor="text1"/>
          <w:sz w:val="24"/>
          <w:szCs w:val="24"/>
          <w:lang w:val="en-GB"/>
        </w:rPr>
        <w:t xml:space="preserve"> </w:t>
      </w:r>
      <w:proofErr w:type="spellStart"/>
      <w:r w:rsidRPr="00DE3E9D">
        <w:rPr>
          <w:rFonts w:ascii="Book Antiqua" w:hAnsi="Book Antiqua" w:cstheme="majorHAnsi"/>
          <w:color w:val="000000" w:themeColor="text1"/>
          <w:sz w:val="24"/>
          <w:szCs w:val="24"/>
          <w:lang w:val="en-GB"/>
        </w:rPr>
        <w:t>dan</w:t>
      </w:r>
      <w:proofErr w:type="spellEnd"/>
      <w:r w:rsidRPr="00DE3E9D">
        <w:rPr>
          <w:rFonts w:ascii="Book Antiqua" w:hAnsi="Book Antiqua" w:cstheme="majorHAnsi"/>
          <w:color w:val="000000" w:themeColor="text1"/>
          <w:sz w:val="24"/>
          <w:szCs w:val="24"/>
          <w:lang w:val="en-GB"/>
        </w:rPr>
        <w:t xml:space="preserve"> </w:t>
      </w:r>
      <w:proofErr w:type="spellStart"/>
      <w:r w:rsidRPr="00DE3E9D">
        <w:rPr>
          <w:rFonts w:ascii="Book Antiqua" w:hAnsi="Book Antiqua" w:cstheme="majorHAnsi"/>
          <w:color w:val="000000" w:themeColor="text1"/>
          <w:sz w:val="24"/>
          <w:szCs w:val="24"/>
          <w:lang w:val="en-GB"/>
        </w:rPr>
        <w:t>Peradilan</w:t>
      </w:r>
      <w:proofErr w:type="spellEnd"/>
      <w:r w:rsidRPr="00DE3E9D">
        <w:rPr>
          <w:rFonts w:ascii="Book Antiqua" w:hAnsi="Book Antiqua" w:cstheme="majorHAnsi"/>
          <w:color w:val="000000" w:themeColor="text1"/>
          <w:sz w:val="24"/>
          <w:szCs w:val="24"/>
          <w:lang w:val="en-GB"/>
        </w:rPr>
        <w:t xml:space="preserve"> </w:t>
      </w:r>
      <w:proofErr w:type="spellStart"/>
      <w:r w:rsidRPr="00DE3E9D">
        <w:rPr>
          <w:rFonts w:ascii="Book Antiqua" w:hAnsi="Book Antiqua" w:cstheme="majorHAnsi"/>
          <w:color w:val="000000" w:themeColor="text1"/>
          <w:sz w:val="24"/>
          <w:szCs w:val="24"/>
          <w:lang w:val="en-GB"/>
        </w:rPr>
        <w:t>Adat</w:t>
      </w:r>
      <w:proofErr w:type="spellEnd"/>
      <w:r w:rsidRPr="00DE3E9D">
        <w:rPr>
          <w:rFonts w:ascii="Book Antiqua" w:hAnsi="Book Antiqua" w:cstheme="majorHAnsi"/>
          <w:color w:val="000000" w:themeColor="text1"/>
          <w:sz w:val="24"/>
          <w:szCs w:val="24"/>
          <w:lang w:val="en-GB"/>
        </w:rPr>
        <w:t xml:space="preserve"> di Aceh” </w:t>
      </w:r>
      <w:proofErr w:type="spellStart"/>
      <w:r w:rsidRPr="000165E8">
        <w:rPr>
          <w:rFonts w:ascii="Book Antiqua" w:hAnsi="Book Antiqua" w:cstheme="majorHAnsi"/>
          <w:i/>
          <w:color w:val="000000" w:themeColor="text1"/>
          <w:sz w:val="24"/>
          <w:szCs w:val="24"/>
          <w:lang w:val="en-GB"/>
        </w:rPr>
        <w:t>Jurnal</w:t>
      </w:r>
      <w:proofErr w:type="spellEnd"/>
      <w:r w:rsidRPr="000165E8">
        <w:rPr>
          <w:rFonts w:ascii="Book Antiqua" w:hAnsi="Book Antiqua" w:cstheme="majorHAnsi"/>
          <w:i/>
          <w:color w:val="000000" w:themeColor="text1"/>
          <w:sz w:val="24"/>
          <w:szCs w:val="24"/>
          <w:lang w:val="en-GB"/>
        </w:rPr>
        <w:t xml:space="preserve"> </w:t>
      </w:r>
      <w:proofErr w:type="spellStart"/>
      <w:r w:rsidRPr="000165E8">
        <w:rPr>
          <w:rFonts w:ascii="Book Antiqua" w:hAnsi="Book Antiqua" w:cstheme="majorHAnsi"/>
          <w:i/>
          <w:color w:val="000000" w:themeColor="text1"/>
          <w:sz w:val="24"/>
          <w:szCs w:val="24"/>
          <w:lang w:val="en-GB"/>
        </w:rPr>
        <w:t>Hukum</w:t>
      </w:r>
      <w:proofErr w:type="spellEnd"/>
      <w:r w:rsidRPr="000165E8">
        <w:rPr>
          <w:rFonts w:ascii="Book Antiqua" w:hAnsi="Book Antiqua" w:cstheme="majorHAnsi"/>
          <w:i/>
          <w:color w:val="000000" w:themeColor="text1"/>
          <w:sz w:val="24"/>
          <w:szCs w:val="24"/>
          <w:lang w:val="en-GB"/>
        </w:rPr>
        <w:t xml:space="preserve"> IUS QUIA IUSTUM</w:t>
      </w:r>
      <w:r w:rsidRPr="00DE3E9D">
        <w:rPr>
          <w:rFonts w:ascii="Book Antiqua" w:hAnsi="Book Antiqua" w:cstheme="majorHAnsi"/>
          <w:color w:val="000000" w:themeColor="text1"/>
          <w:sz w:val="24"/>
          <w:szCs w:val="24"/>
          <w:lang w:val="en-GB"/>
        </w:rPr>
        <w:t xml:space="preserve">, 25, no. 1 (2018): 159-179. </w:t>
      </w:r>
      <w:proofErr w:type="spellStart"/>
      <w:proofErr w:type="gramStart"/>
      <w:r w:rsidRPr="00DE3E9D">
        <w:rPr>
          <w:rFonts w:ascii="Book Antiqua" w:hAnsi="Book Antiqua" w:cstheme="majorHAnsi"/>
          <w:color w:val="000000" w:themeColor="text1"/>
          <w:sz w:val="24"/>
          <w:szCs w:val="24"/>
          <w:lang w:val="en-GB"/>
        </w:rPr>
        <w:t>doi</w:t>
      </w:r>
      <w:proofErr w:type="spellEnd"/>
      <w:proofErr w:type="gramEnd"/>
      <w:r w:rsidRPr="00DE3E9D">
        <w:rPr>
          <w:rFonts w:ascii="Book Antiqua" w:hAnsi="Book Antiqua" w:cstheme="majorHAnsi"/>
          <w:color w:val="000000" w:themeColor="text1"/>
          <w:sz w:val="24"/>
          <w:szCs w:val="24"/>
          <w:lang w:val="en-GB"/>
        </w:rPr>
        <w:t>: 10.20885/iustum.vol25.iss1.art8.</w:t>
      </w:r>
    </w:p>
    <w:p w:rsidR="000165E8" w:rsidRPr="00DE3E9D" w:rsidRDefault="000165E8" w:rsidP="00DE3E9D">
      <w:pPr>
        <w:spacing w:after="120" w:line="240" w:lineRule="auto"/>
        <w:ind w:left="547" w:hanging="547"/>
        <w:jc w:val="both"/>
        <w:rPr>
          <w:rFonts w:ascii="Book Antiqua" w:hAnsi="Book Antiqua" w:cstheme="majorHAnsi"/>
          <w:color w:val="000000" w:themeColor="text1"/>
          <w:sz w:val="24"/>
          <w:szCs w:val="24"/>
          <w:lang w:val="en-GB"/>
        </w:rPr>
      </w:pPr>
      <w:proofErr w:type="gramStart"/>
      <w:r w:rsidRPr="00DE3E9D">
        <w:rPr>
          <w:rFonts w:ascii="Book Antiqua" w:hAnsi="Book Antiqua" w:cstheme="majorHAnsi"/>
          <w:color w:val="000000" w:themeColor="text1"/>
          <w:sz w:val="24"/>
          <w:szCs w:val="24"/>
          <w:lang w:val="en-GB"/>
        </w:rPr>
        <w:t>Batubara</w:t>
      </w:r>
      <w:r>
        <w:rPr>
          <w:rFonts w:ascii="Book Antiqua" w:hAnsi="Book Antiqua" w:cstheme="majorHAnsi"/>
          <w:color w:val="000000" w:themeColor="text1"/>
          <w:sz w:val="24"/>
          <w:szCs w:val="24"/>
          <w:lang w:val="en-GB"/>
        </w:rPr>
        <w:t>.</w:t>
      </w:r>
      <w:proofErr w:type="gramEnd"/>
      <w:r>
        <w:rPr>
          <w:rFonts w:ascii="Book Antiqua" w:hAnsi="Book Antiqua" w:cstheme="majorHAnsi"/>
          <w:color w:val="000000" w:themeColor="text1"/>
          <w:sz w:val="24"/>
          <w:szCs w:val="24"/>
          <w:lang w:val="en-GB"/>
        </w:rPr>
        <w:t xml:space="preserve"> C</w:t>
      </w:r>
      <w:r w:rsidRPr="00DE3E9D">
        <w:rPr>
          <w:rFonts w:ascii="Book Antiqua" w:hAnsi="Book Antiqua" w:cstheme="majorHAnsi"/>
          <w:color w:val="000000" w:themeColor="text1"/>
          <w:sz w:val="24"/>
          <w:szCs w:val="24"/>
          <w:lang w:val="en-GB"/>
        </w:rPr>
        <w:t xml:space="preserve">  and Fatimah, “Struggling To Survive In Complex And Modern Era: Study on the </w:t>
      </w:r>
      <w:proofErr w:type="spellStart"/>
      <w:r w:rsidRPr="00DE3E9D">
        <w:rPr>
          <w:rFonts w:ascii="Book Antiqua" w:hAnsi="Book Antiqua" w:cstheme="majorHAnsi"/>
          <w:color w:val="000000" w:themeColor="text1"/>
          <w:sz w:val="24"/>
          <w:szCs w:val="24"/>
          <w:lang w:val="en-GB"/>
        </w:rPr>
        <w:t>Implemention</w:t>
      </w:r>
      <w:proofErr w:type="spellEnd"/>
      <w:r w:rsidRPr="00DE3E9D">
        <w:rPr>
          <w:rFonts w:ascii="Book Antiqua" w:hAnsi="Book Antiqua" w:cstheme="majorHAnsi"/>
          <w:color w:val="000000" w:themeColor="text1"/>
          <w:sz w:val="24"/>
          <w:szCs w:val="24"/>
          <w:lang w:val="en-GB"/>
        </w:rPr>
        <w:t xml:space="preserve"> of Alternative Dispute Resolution in Aceh Customary Courts,” </w:t>
      </w:r>
      <w:r w:rsidRPr="000165E8">
        <w:rPr>
          <w:rFonts w:ascii="Book Antiqua" w:hAnsi="Book Antiqua" w:cstheme="majorHAnsi"/>
          <w:i/>
          <w:color w:val="000000" w:themeColor="text1"/>
          <w:sz w:val="24"/>
          <w:szCs w:val="24"/>
          <w:lang w:val="en-GB"/>
        </w:rPr>
        <w:t xml:space="preserve">Proceeding of The 16 </w:t>
      </w:r>
      <w:proofErr w:type="spellStart"/>
      <w:r w:rsidRPr="000165E8">
        <w:rPr>
          <w:rFonts w:ascii="Book Antiqua" w:hAnsi="Book Antiqua" w:cstheme="majorHAnsi"/>
          <w:i/>
          <w:color w:val="000000" w:themeColor="text1"/>
          <w:sz w:val="24"/>
          <w:szCs w:val="24"/>
          <w:lang w:val="en-GB"/>
        </w:rPr>
        <w:t>th</w:t>
      </w:r>
      <w:proofErr w:type="spellEnd"/>
      <w:r w:rsidRPr="000165E8">
        <w:rPr>
          <w:rFonts w:ascii="Book Antiqua" w:hAnsi="Book Antiqua" w:cstheme="majorHAnsi"/>
          <w:i/>
          <w:color w:val="000000" w:themeColor="text1"/>
          <w:sz w:val="24"/>
          <w:szCs w:val="24"/>
          <w:lang w:val="en-GB"/>
        </w:rPr>
        <w:t xml:space="preserve"> Annual International Conference on Islamic Studies The Contribution of Indonesian Islam To The World Civilization The Dynamics of Islamic Institutions</w:t>
      </w:r>
      <w:r w:rsidRPr="00DE3E9D">
        <w:rPr>
          <w:rFonts w:ascii="Book Antiqua" w:hAnsi="Book Antiqua" w:cstheme="majorHAnsi"/>
          <w:color w:val="000000" w:themeColor="text1"/>
          <w:sz w:val="24"/>
          <w:szCs w:val="24"/>
          <w:lang w:val="en-GB"/>
        </w:rPr>
        <w:t>, (2016), p. 45.</w:t>
      </w:r>
    </w:p>
    <w:p w:rsidR="000165E8" w:rsidRPr="00DE3E9D" w:rsidRDefault="000165E8" w:rsidP="00DE3E9D">
      <w:pPr>
        <w:spacing w:after="120" w:line="240" w:lineRule="auto"/>
        <w:ind w:left="547" w:hanging="547"/>
        <w:jc w:val="both"/>
        <w:rPr>
          <w:rFonts w:ascii="Book Antiqua" w:hAnsi="Book Antiqua" w:cstheme="majorHAnsi"/>
          <w:color w:val="000000" w:themeColor="text1"/>
          <w:sz w:val="24"/>
          <w:szCs w:val="24"/>
          <w:lang w:val="en-GB"/>
        </w:rPr>
      </w:pPr>
      <w:proofErr w:type="spellStart"/>
      <w:r w:rsidRPr="00DE3E9D">
        <w:rPr>
          <w:rFonts w:ascii="Book Antiqua" w:hAnsi="Book Antiqua" w:cstheme="majorHAnsi"/>
          <w:color w:val="000000" w:themeColor="text1"/>
          <w:sz w:val="24"/>
          <w:szCs w:val="24"/>
          <w:lang w:val="en-GB"/>
        </w:rPr>
        <w:t>Bustamam</w:t>
      </w:r>
      <w:proofErr w:type="spellEnd"/>
      <w:r w:rsidRPr="00DE3E9D">
        <w:rPr>
          <w:rFonts w:ascii="Book Antiqua" w:hAnsi="Book Antiqua" w:cstheme="majorHAnsi"/>
          <w:color w:val="000000" w:themeColor="text1"/>
          <w:sz w:val="24"/>
          <w:szCs w:val="24"/>
          <w:lang w:val="en-GB"/>
        </w:rPr>
        <w:t>-Ahmad,</w:t>
      </w:r>
      <w:r>
        <w:rPr>
          <w:rFonts w:ascii="Book Antiqua" w:hAnsi="Book Antiqua" w:cstheme="majorHAnsi"/>
          <w:color w:val="000000" w:themeColor="text1"/>
          <w:sz w:val="24"/>
          <w:szCs w:val="24"/>
          <w:lang w:val="en-GB"/>
        </w:rPr>
        <w:t xml:space="preserve"> K.,</w:t>
      </w:r>
      <w:r w:rsidRPr="00DE3E9D">
        <w:rPr>
          <w:rFonts w:ascii="Book Antiqua" w:hAnsi="Book Antiqua" w:cstheme="majorHAnsi"/>
          <w:color w:val="000000" w:themeColor="text1"/>
          <w:sz w:val="24"/>
          <w:szCs w:val="24"/>
          <w:lang w:val="en-GB"/>
        </w:rPr>
        <w:t xml:space="preserve"> “A study of </w:t>
      </w:r>
      <w:proofErr w:type="spellStart"/>
      <w:r w:rsidRPr="00DE3E9D">
        <w:rPr>
          <w:rFonts w:ascii="Book Antiqua" w:hAnsi="Book Antiqua" w:cstheme="majorHAnsi"/>
          <w:color w:val="000000" w:themeColor="text1"/>
          <w:sz w:val="24"/>
          <w:szCs w:val="24"/>
          <w:lang w:val="en-GB"/>
        </w:rPr>
        <w:t>Panglima</w:t>
      </w:r>
      <w:proofErr w:type="spellEnd"/>
      <w:r w:rsidRPr="00DE3E9D">
        <w:rPr>
          <w:rFonts w:ascii="Book Antiqua" w:hAnsi="Book Antiqua" w:cstheme="majorHAnsi"/>
          <w:color w:val="000000" w:themeColor="text1"/>
          <w:sz w:val="24"/>
          <w:szCs w:val="24"/>
          <w:lang w:val="en-GB"/>
        </w:rPr>
        <w:t xml:space="preserve"> </w:t>
      </w:r>
      <w:proofErr w:type="spellStart"/>
      <w:r w:rsidRPr="00DE3E9D">
        <w:rPr>
          <w:rFonts w:ascii="Book Antiqua" w:hAnsi="Book Antiqua" w:cstheme="majorHAnsi"/>
          <w:color w:val="000000" w:themeColor="text1"/>
          <w:sz w:val="24"/>
          <w:szCs w:val="24"/>
          <w:lang w:val="en-GB"/>
        </w:rPr>
        <w:t>La’Ōt</w:t>
      </w:r>
      <w:proofErr w:type="spellEnd"/>
      <w:r>
        <w:rPr>
          <w:rFonts w:ascii="Book Antiqua" w:hAnsi="Book Antiqua" w:cstheme="majorHAnsi"/>
          <w:color w:val="000000" w:themeColor="text1"/>
          <w:sz w:val="24"/>
          <w:szCs w:val="24"/>
          <w:lang w:val="en-GB"/>
        </w:rPr>
        <w:t>: An ’</w:t>
      </w:r>
      <w:proofErr w:type="spellStart"/>
      <w:r>
        <w:rPr>
          <w:rFonts w:ascii="Book Antiqua" w:hAnsi="Book Antiqua" w:cstheme="majorHAnsi"/>
          <w:color w:val="000000" w:themeColor="text1"/>
          <w:sz w:val="24"/>
          <w:szCs w:val="24"/>
          <w:lang w:val="en-GB"/>
        </w:rPr>
        <w:t>Adat</w:t>
      </w:r>
      <w:proofErr w:type="spellEnd"/>
      <w:r>
        <w:rPr>
          <w:rFonts w:ascii="Book Antiqua" w:hAnsi="Book Antiqua" w:cstheme="majorHAnsi"/>
          <w:color w:val="000000" w:themeColor="text1"/>
          <w:sz w:val="24"/>
          <w:szCs w:val="24"/>
          <w:lang w:val="en-GB"/>
        </w:rPr>
        <w:t xml:space="preserve"> institution in Aceh</w:t>
      </w:r>
      <w:proofErr w:type="gramStart"/>
      <w:r>
        <w:rPr>
          <w:rFonts w:ascii="Book Antiqua" w:hAnsi="Book Antiqua" w:cstheme="majorHAnsi"/>
          <w:color w:val="000000" w:themeColor="text1"/>
          <w:sz w:val="24"/>
          <w:szCs w:val="24"/>
          <w:lang w:val="en-GB"/>
        </w:rPr>
        <w:t>,</w:t>
      </w:r>
      <w:r w:rsidRPr="00DE3E9D">
        <w:rPr>
          <w:rFonts w:ascii="Book Antiqua" w:hAnsi="Book Antiqua" w:cstheme="majorHAnsi"/>
          <w:color w:val="000000" w:themeColor="text1"/>
          <w:sz w:val="24"/>
          <w:szCs w:val="24"/>
          <w:lang w:val="en-GB"/>
        </w:rPr>
        <w:t>“</w:t>
      </w:r>
      <w:proofErr w:type="gramEnd"/>
      <w:r w:rsidRPr="00DE3E9D">
        <w:rPr>
          <w:rFonts w:ascii="Book Antiqua" w:hAnsi="Book Antiqua" w:cstheme="majorHAnsi"/>
          <w:color w:val="000000" w:themeColor="text1"/>
          <w:sz w:val="24"/>
          <w:szCs w:val="24"/>
          <w:lang w:val="en-GB"/>
        </w:rPr>
        <w:t xml:space="preserve"> </w:t>
      </w:r>
      <w:r w:rsidRPr="000165E8">
        <w:rPr>
          <w:rFonts w:ascii="Book Antiqua" w:hAnsi="Book Antiqua" w:cstheme="majorHAnsi"/>
          <w:i/>
          <w:color w:val="000000" w:themeColor="text1"/>
          <w:sz w:val="24"/>
          <w:szCs w:val="24"/>
          <w:lang w:val="en-GB"/>
        </w:rPr>
        <w:t>Al-</w:t>
      </w:r>
      <w:proofErr w:type="spellStart"/>
      <w:r w:rsidRPr="000165E8">
        <w:rPr>
          <w:rFonts w:ascii="Book Antiqua" w:hAnsi="Book Antiqua" w:cstheme="majorHAnsi"/>
          <w:i/>
          <w:color w:val="000000" w:themeColor="text1"/>
          <w:sz w:val="24"/>
          <w:szCs w:val="24"/>
          <w:lang w:val="en-GB"/>
        </w:rPr>
        <w:t>Jami’ah</w:t>
      </w:r>
      <w:proofErr w:type="spellEnd"/>
      <w:r w:rsidRPr="00DE3E9D">
        <w:rPr>
          <w:rFonts w:ascii="Book Antiqua" w:hAnsi="Book Antiqua" w:cstheme="majorHAnsi"/>
          <w:color w:val="000000" w:themeColor="text1"/>
          <w:sz w:val="24"/>
          <w:szCs w:val="24"/>
          <w:lang w:val="en-GB"/>
        </w:rPr>
        <w:t xml:space="preserve"> 55, no. 1 (2017): 155–188. </w:t>
      </w:r>
      <w:proofErr w:type="spellStart"/>
      <w:r w:rsidRPr="00DE3E9D">
        <w:rPr>
          <w:rFonts w:ascii="Book Antiqua" w:hAnsi="Book Antiqua" w:cstheme="majorHAnsi"/>
          <w:color w:val="000000" w:themeColor="text1"/>
          <w:sz w:val="24"/>
          <w:szCs w:val="24"/>
          <w:lang w:val="en-GB"/>
        </w:rPr>
        <w:t>Doi</w:t>
      </w:r>
      <w:proofErr w:type="spellEnd"/>
      <w:r w:rsidRPr="00DE3E9D">
        <w:rPr>
          <w:rFonts w:ascii="Book Antiqua" w:hAnsi="Book Antiqua" w:cstheme="majorHAnsi"/>
          <w:color w:val="000000" w:themeColor="text1"/>
          <w:sz w:val="24"/>
          <w:szCs w:val="24"/>
          <w:lang w:val="en-GB"/>
        </w:rPr>
        <w:t>: 10.14421/ajis.2017.551.155-188.</w:t>
      </w:r>
    </w:p>
    <w:p w:rsidR="000165E8" w:rsidRPr="00DE3E9D" w:rsidRDefault="000165E8" w:rsidP="00DE3E9D">
      <w:pPr>
        <w:spacing w:after="120" w:line="240" w:lineRule="auto"/>
        <w:ind w:left="547" w:hanging="547"/>
        <w:jc w:val="both"/>
        <w:rPr>
          <w:rFonts w:ascii="Book Antiqua" w:hAnsi="Book Antiqua" w:cstheme="majorHAnsi"/>
          <w:color w:val="000000" w:themeColor="text1"/>
          <w:sz w:val="24"/>
          <w:szCs w:val="24"/>
          <w:lang w:val="en-GB"/>
        </w:rPr>
      </w:pPr>
      <w:proofErr w:type="spellStart"/>
      <w:proofErr w:type="gramStart"/>
      <w:r>
        <w:rPr>
          <w:rFonts w:ascii="Book Antiqua" w:hAnsi="Book Antiqua" w:cstheme="majorHAnsi"/>
          <w:color w:val="000000" w:themeColor="text1"/>
          <w:sz w:val="24"/>
          <w:szCs w:val="24"/>
          <w:lang w:val="en-GB"/>
        </w:rPr>
        <w:t>Kusmayanti</w:t>
      </w:r>
      <w:proofErr w:type="spellEnd"/>
      <w:r>
        <w:rPr>
          <w:rFonts w:ascii="Book Antiqua" w:hAnsi="Book Antiqua" w:cstheme="majorHAnsi"/>
          <w:color w:val="000000" w:themeColor="text1"/>
          <w:sz w:val="24"/>
          <w:szCs w:val="24"/>
          <w:lang w:val="en-GB"/>
        </w:rPr>
        <w:t>, H</w:t>
      </w:r>
      <w:r w:rsidRPr="00DE3E9D">
        <w:rPr>
          <w:rFonts w:ascii="Book Antiqua" w:hAnsi="Book Antiqua" w:cstheme="majorHAnsi"/>
          <w:color w:val="000000" w:themeColor="text1"/>
          <w:sz w:val="24"/>
          <w:szCs w:val="24"/>
          <w:lang w:val="en-GB"/>
        </w:rPr>
        <w:t xml:space="preserve"> and </w:t>
      </w:r>
      <w:proofErr w:type="spellStart"/>
      <w:r w:rsidRPr="00DE3E9D">
        <w:rPr>
          <w:rFonts w:ascii="Book Antiqua" w:hAnsi="Book Antiqua" w:cstheme="majorHAnsi"/>
          <w:color w:val="000000" w:themeColor="text1"/>
          <w:sz w:val="24"/>
          <w:szCs w:val="24"/>
          <w:lang w:val="en-GB"/>
        </w:rPr>
        <w:t>Fakhriah</w:t>
      </w:r>
      <w:proofErr w:type="spellEnd"/>
      <w:r>
        <w:rPr>
          <w:rFonts w:ascii="Book Antiqua" w:hAnsi="Book Antiqua" w:cstheme="majorHAnsi"/>
          <w:color w:val="000000" w:themeColor="text1"/>
          <w:sz w:val="24"/>
          <w:szCs w:val="24"/>
          <w:lang w:val="en-GB"/>
        </w:rPr>
        <w:t>.</w:t>
      </w:r>
      <w:proofErr w:type="gramEnd"/>
      <w:r>
        <w:rPr>
          <w:rFonts w:ascii="Book Antiqua" w:hAnsi="Book Antiqua" w:cstheme="majorHAnsi"/>
          <w:color w:val="000000" w:themeColor="text1"/>
          <w:sz w:val="24"/>
          <w:szCs w:val="24"/>
          <w:lang w:val="en-GB"/>
        </w:rPr>
        <w:t xml:space="preserve"> </w:t>
      </w:r>
      <w:r w:rsidRPr="00DE3E9D">
        <w:rPr>
          <w:rFonts w:ascii="Book Antiqua" w:hAnsi="Book Antiqua" w:cstheme="majorHAnsi"/>
          <w:color w:val="000000" w:themeColor="text1"/>
          <w:sz w:val="24"/>
          <w:szCs w:val="24"/>
          <w:lang w:val="en-GB"/>
        </w:rPr>
        <w:t xml:space="preserve">EL., “The practice of dispute resolution in Aceh's Traditional Justice,” </w:t>
      </w:r>
      <w:r w:rsidRPr="000165E8">
        <w:rPr>
          <w:rFonts w:ascii="Book Antiqua" w:hAnsi="Book Antiqua" w:cstheme="majorHAnsi"/>
          <w:i/>
          <w:color w:val="000000" w:themeColor="text1"/>
          <w:sz w:val="24"/>
          <w:szCs w:val="24"/>
          <w:lang w:val="en-GB"/>
        </w:rPr>
        <w:t>International Journal of Innovation, Creativity and Change</w:t>
      </w:r>
      <w:r w:rsidRPr="00DE3E9D">
        <w:rPr>
          <w:rFonts w:ascii="Book Antiqua" w:hAnsi="Book Antiqua" w:cstheme="majorHAnsi"/>
          <w:color w:val="000000" w:themeColor="text1"/>
          <w:sz w:val="24"/>
          <w:szCs w:val="24"/>
          <w:lang w:val="en-GB"/>
        </w:rPr>
        <w:t xml:space="preserve"> 10, no. 3 (2019): 154–168.</w:t>
      </w:r>
    </w:p>
    <w:p w:rsidR="000165E8" w:rsidRPr="00DE3E9D" w:rsidRDefault="000165E8" w:rsidP="00DE3E9D">
      <w:pPr>
        <w:spacing w:after="120" w:line="240" w:lineRule="auto"/>
        <w:ind w:left="547" w:hanging="547"/>
        <w:jc w:val="both"/>
        <w:rPr>
          <w:rFonts w:ascii="Book Antiqua" w:hAnsi="Book Antiqua" w:cstheme="majorHAnsi"/>
          <w:color w:val="000000" w:themeColor="text1"/>
          <w:sz w:val="24"/>
          <w:szCs w:val="24"/>
          <w:lang w:val="en-GB"/>
        </w:rPr>
      </w:pPr>
      <w:proofErr w:type="spellStart"/>
      <w:r w:rsidRPr="00DE3E9D">
        <w:rPr>
          <w:rFonts w:ascii="Book Antiqua" w:hAnsi="Book Antiqua" w:cstheme="majorHAnsi"/>
          <w:color w:val="000000" w:themeColor="text1"/>
          <w:sz w:val="24"/>
          <w:szCs w:val="24"/>
          <w:lang w:val="en-GB"/>
        </w:rPr>
        <w:t>Kusmayanti</w:t>
      </w:r>
      <w:proofErr w:type="spellEnd"/>
      <w:r w:rsidRPr="00DE3E9D">
        <w:rPr>
          <w:rFonts w:ascii="Book Antiqua" w:hAnsi="Book Antiqua" w:cstheme="majorHAnsi"/>
          <w:color w:val="000000" w:themeColor="text1"/>
          <w:sz w:val="24"/>
          <w:szCs w:val="24"/>
          <w:lang w:val="en-GB"/>
        </w:rPr>
        <w:t>,</w:t>
      </w:r>
      <w:r>
        <w:rPr>
          <w:rFonts w:ascii="Book Antiqua" w:hAnsi="Book Antiqua" w:cstheme="majorHAnsi"/>
          <w:color w:val="000000" w:themeColor="text1"/>
          <w:sz w:val="24"/>
          <w:szCs w:val="24"/>
          <w:lang w:val="en-GB"/>
        </w:rPr>
        <w:t xml:space="preserve"> H.,</w:t>
      </w:r>
      <w:r w:rsidRPr="00DE3E9D">
        <w:rPr>
          <w:rFonts w:ascii="Book Antiqua" w:hAnsi="Book Antiqua" w:cstheme="majorHAnsi"/>
          <w:color w:val="000000" w:themeColor="text1"/>
          <w:sz w:val="24"/>
          <w:szCs w:val="24"/>
          <w:lang w:val="en-GB"/>
        </w:rPr>
        <w:t xml:space="preserve"> “Strengthening Aceh's Customary Courts </w:t>
      </w:r>
      <w:proofErr w:type="gramStart"/>
      <w:r w:rsidRPr="00DE3E9D">
        <w:rPr>
          <w:rFonts w:ascii="Book Antiqua" w:hAnsi="Book Antiqua" w:cstheme="majorHAnsi"/>
          <w:color w:val="000000" w:themeColor="text1"/>
          <w:sz w:val="24"/>
          <w:szCs w:val="24"/>
          <w:lang w:val="en-GB"/>
        </w:rPr>
        <w:t>For</w:t>
      </w:r>
      <w:proofErr w:type="gramEnd"/>
      <w:r w:rsidRPr="00DE3E9D">
        <w:rPr>
          <w:rFonts w:ascii="Book Antiqua" w:hAnsi="Book Antiqua" w:cstheme="majorHAnsi"/>
          <w:color w:val="000000" w:themeColor="text1"/>
          <w:sz w:val="24"/>
          <w:szCs w:val="24"/>
          <w:lang w:val="en-GB"/>
        </w:rPr>
        <w:t xml:space="preserve"> Enforcement Of Civil Procedure Law In Indonesia.” </w:t>
      </w:r>
      <w:r w:rsidRPr="000165E8">
        <w:rPr>
          <w:rFonts w:ascii="Book Antiqua" w:hAnsi="Book Antiqua" w:cstheme="majorHAnsi"/>
          <w:i/>
          <w:color w:val="000000" w:themeColor="text1"/>
          <w:sz w:val="24"/>
          <w:szCs w:val="24"/>
          <w:lang w:val="en-GB"/>
        </w:rPr>
        <w:t>Journal of Positive School Psychology</w:t>
      </w:r>
      <w:r w:rsidRPr="00DE3E9D">
        <w:rPr>
          <w:rFonts w:ascii="Book Antiqua" w:hAnsi="Book Antiqua" w:cstheme="majorHAnsi"/>
          <w:color w:val="000000" w:themeColor="text1"/>
          <w:sz w:val="24"/>
          <w:szCs w:val="24"/>
          <w:lang w:val="en-GB"/>
        </w:rPr>
        <w:t>, 6, no. 6 (2022): 3405-3411.</w:t>
      </w:r>
    </w:p>
    <w:p w:rsidR="000165E8" w:rsidRPr="00DE3E9D" w:rsidRDefault="000165E8" w:rsidP="00DE3E9D">
      <w:pPr>
        <w:spacing w:after="120" w:line="240" w:lineRule="auto"/>
        <w:ind w:left="547" w:hanging="547"/>
        <w:jc w:val="both"/>
        <w:rPr>
          <w:rFonts w:ascii="Book Antiqua" w:hAnsi="Book Antiqua" w:cstheme="majorHAnsi"/>
          <w:color w:val="000000" w:themeColor="text1"/>
          <w:sz w:val="24"/>
          <w:szCs w:val="24"/>
          <w:lang w:val="en-GB"/>
        </w:rPr>
      </w:pPr>
      <w:proofErr w:type="spellStart"/>
      <w:proofErr w:type="gramStart"/>
      <w:r w:rsidRPr="00DE3E9D">
        <w:rPr>
          <w:rFonts w:ascii="Book Antiqua" w:hAnsi="Book Antiqua" w:cstheme="majorHAnsi"/>
          <w:color w:val="000000" w:themeColor="text1"/>
          <w:sz w:val="24"/>
          <w:szCs w:val="24"/>
          <w:lang w:val="en-GB"/>
        </w:rPr>
        <w:lastRenderedPageBreak/>
        <w:t>Lesmana</w:t>
      </w:r>
      <w:proofErr w:type="spellEnd"/>
      <w:r>
        <w:rPr>
          <w:rFonts w:ascii="Book Antiqua" w:hAnsi="Book Antiqua" w:cstheme="majorHAnsi"/>
          <w:color w:val="000000" w:themeColor="text1"/>
          <w:sz w:val="24"/>
          <w:szCs w:val="24"/>
          <w:lang w:val="en-GB"/>
        </w:rPr>
        <w:t>, A</w:t>
      </w:r>
      <w:r w:rsidRPr="00DE3E9D">
        <w:rPr>
          <w:rFonts w:ascii="Book Antiqua" w:hAnsi="Book Antiqua" w:cstheme="majorHAnsi"/>
          <w:color w:val="000000" w:themeColor="text1"/>
          <w:sz w:val="24"/>
          <w:szCs w:val="24"/>
          <w:lang w:val="en-GB"/>
        </w:rPr>
        <w:t xml:space="preserve"> and </w:t>
      </w:r>
      <w:proofErr w:type="spellStart"/>
      <w:r w:rsidRPr="00DE3E9D">
        <w:rPr>
          <w:rFonts w:ascii="Book Antiqua" w:hAnsi="Book Antiqua" w:cstheme="majorHAnsi"/>
          <w:color w:val="000000" w:themeColor="text1"/>
          <w:sz w:val="24"/>
          <w:szCs w:val="24"/>
          <w:lang w:val="en-GB"/>
        </w:rPr>
        <w:t>Munawir</w:t>
      </w:r>
      <w:proofErr w:type="spellEnd"/>
      <w:r w:rsidRPr="00DE3E9D">
        <w:rPr>
          <w:rFonts w:ascii="Book Antiqua" w:hAnsi="Book Antiqua" w:cstheme="majorHAnsi"/>
          <w:color w:val="000000" w:themeColor="text1"/>
          <w:sz w:val="24"/>
          <w:szCs w:val="24"/>
          <w:lang w:val="en-GB"/>
        </w:rPr>
        <w:t xml:space="preserve">, “The Effectiveness of the Existence of Village Customary Courts in Utilizing Problem Solving By the </w:t>
      </w:r>
      <w:proofErr w:type="spellStart"/>
      <w:r w:rsidRPr="00DE3E9D">
        <w:rPr>
          <w:rFonts w:ascii="Book Antiqua" w:hAnsi="Book Antiqua" w:cstheme="majorHAnsi"/>
          <w:color w:val="000000" w:themeColor="text1"/>
          <w:sz w:val="24"/>
          <w:szCs w:val="24"/>
          <w:lang w:val="en-GB"/>
        </w:rPr>
        <w:t>Bireuen</w:t>
      </w:r>
      <w:proofErr w:type="spellEnd"/>
      <w:r w:rsidRPr="00DE3E9D">
        <w:rPr>
          <w:rFonts w:ascii="Book Antiqua" w:hAnsi="Book Antiqua" w:cstheme="majorHAnsi"/>
          <w:color w:val="000000" w:themeColor="text1"/>
          <w:sz w:val="24"/>
          <w:szCs w:val="24"/>
          <w:lang w:val="en-GB"/>
        </w:rPr>
        <w:t xml:space="preserve"> Community.”</w:t>
      </w:r>
      <w:proofErr w:type="gramEnd"/>
      <w:r w:rsidRPr="00DE3E9D">
        <w:rPr>
          <w:rFonts w:ascii="Book Antiqua" w:hAnsi="Book Antiqua" w:cstheme="majorHAnsi"/>
          <w:color w:val="000000" w:themeColor="text1"/>
          <w:sz w:val="24"/>
          <w:szCs w:val="24"/>
          <w:lang w:val="en-GB"/>
        </w:rPr>
        <w:t xml:space="preserve"> </w:t>
      </w:r>
      <w:r w:rsidRPr="000165E8">
        <w:rPr>
          <w:rFonts w:ascii="Book Antiqua" w:hAnsi="Book Antiqua" w:cstheme="majorHAnsi"/>
          <w:i/>
          <w:color w:val="000000" w:themeColor="text1"/>
          <w:sz w:val="24"/>
          <w:szCs w:val="24"/>
          <w:lang w:val="en-GB"/>
        </w:rPr>
        <w:t xml:space="preserve">Journal of </w:t>
      </w:r>
      <w:proofErr w:type="spellStart"/>
      <w:r w:rsidRPr="000165E8">
        <w:rPr>
          <w:rFonts w:ascii="Book Antiqua" w:hAnsi="Book Antiqua" w:cstheme="majorHAnsi"/>
          <w:i/>
          <w:color w:val="000000" w:themeColor="text1"/>
          <w:sz w:val="24"/>
          <w:szCs w:val="24"/>
          <w:lang w:val="en-GB"/>
        </w:rPr>
        <w:t>Etika</w:t>
      </w:r>
      <w:proofErr w:type="spellEnd"/>
      <w:r w:rsidRPr="000165E8">
        <w:rPr>
          <w:rFonts w:ascii="Book Antiqua" w:hAnsi="Book Antiqua" w:cstheme="majorHAnsi"/>
          <w:i/>
          <w:color w:val="000000" w:themeColor="text1"/>
          <w:sz w:val="24"/>
          <w:szCs w:val="24"/>
          <w:lang w:val="en-GB"/>
        </w:rPr>
        <w:t xml:space="preserve"> </w:t>
      </w:r>
      <w:proofErr w:type="spellStart"/>
      <w:r w:rsidRPr="000165E8">
        <w:rPr>
          <w:rFonts w:ascii="Book Antiqua" w:hAnsi="Book Antiqua" w:cstheme="majorHAnsi"/>
          <w:i/>
          <w:color w:val="000000" w:themeColor="text1"/>
          <w:sz w:val="24"/>
          <w:szCs w:val="24"/>
          <w:lang w:val="en-GB"/>
        </w:rPr>
        <w:t>Demokrasi</w:t>
      </w:r>
      <w:proofErr w:type="spellEnd"/>
      <w:r w:rsidRPr="00DE3E9D">
        <w:rPr>
          <w:rFonts w:ascii="Book Antiqua" w:hAnsi="Book Antiqua" w:cstheme="majorHAnsi"/>
          <w:color w:val="000000" w:themeColor="text1"/>
          <w:sz w:val="24"/>
          <w:szCs w:val="24"/>
          <w:lang w:val="en-GB"/>
        </w:rPr>
        <w:t xml:space="preserve"> 7, no. 4 (2022): 727-737. </w:t>
      </w:r>
      <w:proofErr w:type="spellStart"/>
      <w:r w:rsidRPr="00DE3E9D">
        <w:rPr>
          <w:rFonts w:ascii="Book Antiqua" w:hAnsi="Book Antiqua" w:cstheme="majorHAnsi"/>
          <w:color w:val="000000" w:themeColor="text1"/>
          <w:sz w:val="24"/>
          <w:szCs w:val="24"/>
          <w:lang w:val="en-GB"/>
        </w:rPr>
        <w:t>Doi</w:t>
      </w:r>
      <w:proofErr w:type="spellEnd"/>
      <w:r w:rsidRPr="00DE3E9D">
        <w:rPr>
          <w:rFonts w:ascii="Book Antiqua" w:hAnsi="Book Antiqua" w:cstheme="majorHAnsi"/>
          <w:color w:val="000000" w:themeColor="text1"/>
          <w:sz w:val="24"/>
          <w:szCs w:val="24"/>
          <w:lang w:val="en-GB"/>
        </w:rPr>
        <w:t>: 10.26618/jed.v%vi%i.8998.</w:t>
      </w:r>
    </w:p>
    <w:p w:rsidR="000165E8" w:rsidRPr="00DE3E9D" w:rsidRDefault="000165E8" w:rsidP="00DE3E9D">
      <w:pPr>
        <w:spacing w:after="120" w:line="240" w:lineRule="auto"/>
        <w:ind w:left="547" w:hanging="547"/>
        <w:jc w:val="both"/>
        <w:rPr>
          <w:rFonts w:ascii="Book Antiqua" w:hAnsi="Book Antiqua" w:cstheme="majorHAnsi"/>
          <w:color w:val="000000" w:themeColor="text1"/>
          <w:sz w:val="24"/>
          <w:szCs w:val="24"/>
          <w:lang w:val="en-GB"/>
        </w:rPr>
      </w:pPr>
      <w:r w:rsidRPr="00DE3E9D">
        <w:rPr>
          <w:rFonts w:ascii="Book Antiqua" w:hAnsi="Book Antiqua" w:cstheme="majorHAnsi"/>
          <w:color w:val="000000" w:themeColor="text1"/>
          <w:sz w:val="24"/>
          <w:szCs w:val="24"/>
          <w:lang w:val="en-GB"/>
        </w:rPr>
        <w:t xml:space="preserve">Mahdi, “Existence </w:t>
      </w:r>
      <w:proofErr w:type="gramStart"/>
      <w:r w:rsidRPr="00DE3E9D">
        <w:rPr>
          <w:rFonts w:ascii="Book Antiqua" w:hAnsi="Book Antiqua" w:cstheme="majorHAnsi"/>
          <w:color w:val="000000" w:themeColor="text1"/>
          <w:sz w:val="24"/>
          <w:szCs w:val="24"/>
          <w:lang w:val="en-GB"/>
        </w:rPr>
        <w:t>Of</w:t>
      </w:r>
      <w:proofErr w:type="gramEnd"/>
      <w:r w:rsidRPr="00DE3E9D">
        <w:rPr>
          <w:rFonts w:ascii="Book Antiqua" w:hAnsi="Book Antiqua" w:cstheme="majorHAnsi"/>
          <w:color w:val="000000" w:themeColor="text1"/>
          <w:sz w:val="24"/>
          <w:szCs w:val="24"/>
          <w:lang w:val="en-GB"/>
        </w:rPr>
        <w:t xml:space="preserve"> Indigenous Justice In Aceh,” </w:t>
      </w:r>
      <w:proofErr w:type="spellStart"/>
      <w:r w:rsidRPr="000165E8">
        <w:rPr>
          <w:rFonts w:ascii="Book Antiqua" w:hAnsi="Book Antiqua" w:cstheme="majorHAnsi"/>
          <w:i/>
          <w:color w:val="000000" w:themeColor="text1"/>
          <w:sz w:val="24"/>
          <w:szCs w:val="24"/>
          <w:lang w:val="en-GB"/>
        </w:rPr>
        <w:t>Hunafa</w:t>
      </w:r>
      <w:proofErr w:type="spellEnd"/>
      <w:r w:rsidRPr="000165E8">
        <w:rPr>
          <w:rFonts w:ascii="Book Antiqua" w:hAnsi="Book Antiqua" w:cstheme="majorHAnsi"/>
          <w:i/>
          <w:color w:val="000000" w:themeColor="text1"/>
          <w:sz w:val="24"/>
          <w:szCs w:val="24"/>
          <w:lang w:val="en-GB"/>
        </w:rPr>
        <w:t xml:space="preserve">: Journal of </w:t>
      </w:r>
      <w:proofErr w:type="spellStart"/>
      <w:r w:rsidRPr="000165E8">
        <w:rPr>
          <w:rFonts w:ascii="Book Antiqua" w:hAnsi="Book Antiqua" w:cstheme="majorHAnsi"/>
          <w:i/>
          <w:color w:val="000000" w:themeColor="text1"/>
          <w:sz w:val="24"/>
          <w:szCs w:val="24"/>
          <w:lang w:val="en-GB"/>
        </w:rPr>
        <w:t>Studia</w:t>
      </w:r>
      <w:proofErr w:type="spellEnd"/>
      <w:r w:rsidRPr="000165E8">
        <w:rPr>
          <w:rFonts w:ascii="Book Antiqua" w:hAnsi="Book Antiqua" w:cstheme="majorHAnsi"/>
          <w:i/>
          <w:color w:val="000000" w:themeColor="text1"/>
          <w:sz w:val="24"/>
          <w:szCs w:val="24"/>
          <w:lang w:val="en-GB"/>
        </w:rPr>
        <w:t xml:space="preserve"> </w:t>
      </w:r>
      <w:proofErr w:type="spellStart"/>
      <w:r w:rsidRPr="000165E8">
        <w:rPr>
          <w:rFonts w:ascii="Book Antiqua" w:hAnsi="Book Antiqua" w:cstheme="majorHAnsi"/>
          <w:i/>
          <w:color w:val="000000" w:themeColor="text1"/>
          <w:sz w:val="24"/>
          <w:szCs w:val="24"/>
          <w:lang w:val="en-GB"/>
        </w:rPr>
        <w:t>Islamika</w:t>
      </w:r>
      <w:proofErr w:type="spellEnd"/>
      <w:r w:rsidRPr="00DE3E9D">
        <w:rPr>
          <w:rFonts w:ascii="Book Antiqua" w:hAnsi="Book Antiqua" w:cstheme="majorHAnsi"/>
          <w:color w:val="000000" w:themeColor="text1"/>
          <w:sz w:val="24"/>
          <w:szCs w:val="24"/>
          <w:lang w:val="en-GB"/>
        </w:rPr>
        <w:t xml:space="preserve"> 8, no. 2 (2015): 189–215.</w:t>
      </w:r>
    </w:p>
    <w:p w:rsidR="000165E8" w:rsidRPr="00DE3E9D" w:rsidRDefault="000165E8" w:rsidP="00DE3E9D">
      <w:pPr>
        <w:spacing w:after="120" w:line="240" w:lineRule="auto"/>
        <w:ind w:left="547" w:hanging="547"/>
        <w:jc w:val="both"/>
        <w:rPr>
          <w:rFonts w:ascii="Book Antiqua" w:hAnsi="Book Antiqua" w:cstheme="majorHAnsi"/>
          <w:color w:val="000000" w:themeColor="text1"/>
          <w:sz w:val="24"/>
          <w:szCs w:val="24"/>
          <w:lang w:val="en-GB"/>
        </w:rPr>
      </w:pPr>
      <w:proofErr w:type="spellStart"/>
      <w:proofErr w:type="gramStart"/>
      <w:r w:rsidRPr="00DE3E9D">
        <w:rPr>
          <w:rFonts w:ascii="Book Antiqua" w:hAnsi="Book Antiqua" w:cstheme="majorHAnsi"/>
          <w:color w:val="000000" w:themeColor="text1"/>
          <w:sz w:val="24"/>
          <w:szCs w:val="24"/>
          <w:lang w:val="en-GB"/>
        </w:rPr>
        <w:t>Manarisp</w:t>
      </w:r>
      <w:proofErr w:type="spellEnd"/>
      <w:r w:rsidRPr="00DE3E9D">
        <w:rPr>
          <w:rFonts w:ascii="Book Antiqua" w:hAnsi="Book Antiqua" w:cstheme="majorHAnsi"/>
          <w:color w:val="000000" w:themeColor="text1"/>
          <w:sz w:val="24"/>
          <w:szCs w:val="24"/>
          <w:lang w:val="en-GB"/>
        </w:rPr>
        <w:t>,</w:t>
      </w:r>
      <w:r>
        <w:rPr>
          <w:rFonts w:ascii="Book Antiqua" w:hAnsi="Book Antiqua" w:cstheme="majorHAnsi"/>
          <w:color w:val="000000" w:themeColor="text1"/>
          <w:sz w:val="24"/>
          <w:szCs w:val="24"/>
          <w:lang w:val="en-GB"/>
        </w:rPr>
        <w:t xml:space="preserve"> M., </w:t>
      </w:r>
      <w:r w:rsidRPr="00DE3E9D">
        <w:rPr>
          <w:rFonts w:ascii="Book Antiqua" w:hAnsi="Book Antiqua" w:cstheme="majorHAnsi"/>
          <w:color w:val="000000" w:themeColor="text1"/>
          <w:sz w:val="24"/>
          <w:szCs w:val="24"/>
          <w:lang w:val="en-GB"/>
        </w:rPr>
        <w:t>“The Existence of Customary Crimes in National Law</w:t>
      </w:r>
      <w:r>
        <w:rPr>
          <w:rFonts w:ascii="Book Antiqua" w:hAnsi="Book Antiqua" w:cstheme="majorHAnsi"/>
          <w:color w:val="000000" w:themeColor="text1"/>
          <w:sz w:val="24"/>
          <w:szCs w:val="24"/>
          <w:lang w:val="en-GB"/>
        </w:rPr>
        <w:t>.</w:t>
      </w:r>
      <w:r w:rsidRPr="00DE3E9D">
        <w:rPr>
          <w:rFonts w:ascii="Book Antiqua" w:hAnsi="Book Antiqua" w:cstheme="majorHAnsi"/>
          <w:color w:val="000000" w:themeColor="text1"/>
          <w:sz w:val="24"/>
          <w:szCs w:val="24"/>
          <w:lang w:val="en-GB"/>
        </w:rPr>
        <w:t>”</w:t>
      </w:r>
      <w:proofErr w:type="gramEnd"/>
      <w:r w:rsidRPr="00DE3E9D">
        <w:rPr>
          <w:rFonts w:ascii="Book Antiqua" w:hAnsi="Book Antiqua" w:cstheme="majorHAnsi"/>
          <w:color w:val="000000" w:themeColor="text1"/>
          <w:sz w:val="24"/>
          <w:szCs w:val="24"/>
          <w:lang w:val="en-GB"/>
        </w:rPr>
        <w:t xml:space="preserve"> </w:t>
      </w:r>
      <w:proofErr w:type="spellStart"/>
      <w:r w:rsidRPr="000165E8">
        <w:rPr>
          <w:rFonts w:ascii="Book Antiqua" w:hAnsi="Book Antiqua" w:cstheme="majorHAnsi"/>
          <w:i/>
          <w:color w:val="000000" w:themeColor="text1"/>
          <w:sz w:val="24"/>
          <w:szCs w:val="24"/>
          <w:lang w:val="en-GB"/>
        </w:rPr>
        <w:t>Lex</w:t>
      </w:r>
      <w:proofErr w:type="spellEnd"/>
      <w:r w:rsidRPr="000165E8">
        <w:rPr>
          <w:rFonts w:ascii="Book Antiqua" w:hAnsi="Book Antiqua" w:cstheme="majorHAnsi"/>
          <w:i/>
          <w:color w:val="000000" w:themeColor="text1"/>
          <w:sz w:val="24"/>
          <w:szCs w:val="24"/>
          <w:lang w:val="en-GB"/>
        </w:rPr>
        <w:t xml:space="preserve"> </w:t>
      </w:r>
      <w:proofErr w:type="spellStart"/>
      <w:r w:rsidRPr="000165E8">
        <w:rPr>
          <w:rFonts w:ascii="Book Antiqua" w:hAnsi="Book Antiqua" w:cstheme="majorHAnsi"/>
          <w:i/>
          <w:color w:val="000000" w:themeColor="text1"/>
          <w:sz w:val="24"/>
          <w:szCs w:val="24"/>
          <w:lang w:val="en-GB"/>
        </w:rPr>
        <w:t>Crimen</w:t>
      </w:r>
      <w:proofErr w:type="spellEnd"/>
      <w:r w:rsidRPr="00DE3E9D">
        <w:rPr>
          <w:rFonts w:ascii="Book Antiqua" w:hAnsi="Book Antiqua" w:cstheme="majorHAnsi"/>
          <w:color w:val="000000" w:themeColor="text1"/>
          <w:sz w:val="24"/>
          <w:szCs w:val="24"/>
          <w:lang w:val="en-GB"/>
        </w:rPr>
        <w:t xml:space="preserve"> 01, no. 4 (2012): 24–40.</w:t>
      </w:r>
    </w:p>
    <w:p w:rsidR="000165E8" w:rsidRPr="00DE3E9D" w:rsidRDefault="000165E8" w:rsidP="00DE3E9D">
      <w:pPr>
        <w:spacing w:after="120" w:line="240" w:lineRule="auto"/>
        <w:ind w:left="547" w:hanging="547"/>
        <w:jc w:val="both"/>
        <w:rPr>
          <w:rFonts w:ascii="Book Antiqua" w:hAnsi="Book Antiqua" w:cstheme="majorHAnsi"/>
          <w:color w:val="000000" w:themeColor="text1"/>
          <w:sz w:val="24"/>
          <w:szCs w:val="24"/>
          <w:lang w:val="en-GB"/>
        </w:rPr>
      </w:pPr>
      <w:proofErr w:type="spellStart"/>
      <w:r w:rsidRPr="00DE3E9D">
        <w:rPr>
          <w:rFonts w:ascii="Book Antiqua" w:hAnsi="Book Antiqua" w:cstheme="majorHAnsi"/>
          <w:color w:val="000000" w:themeColor="text1"/>
          <w:sz w:val="24"/>
          <w:szCs w:val="24"/>
          <w:lang w:val="en-GB"/>
        </w:rPr>
        <w:t>Manfarisyah</w:t>
      </w:r>
      <w:proofErr w:type="spellEnd"/>
      <w:r w:rsidRPr="00DE3E9D">
        <w:rPr>
          <w:rFonts w:ascii="Book Antiqua" w:hAnsi="Book Antiqua" w:cstheme="majorHAnsi"/>
          <w:color w:val="000000" w:themeColor="text1"/>
          <w:sz w:val="24"/>
          <w:szCs w:val="24"/>
          <w:lang w:val="en-GB"/>
        </w:rPr>
        <w:t xml:space="preserve"> and </w:t>
      </w:r>
      <w:proofErr w:type="spellStart"/>
      <w:r w:rsidRPr="00DE3E9D">
        <w:rPr>
          <w:rFonts w:ascii="Book Antiqua" w:hAnsi="Book Antiqua" w:cstheme="majorHAnsi"/>
          <w:color w:val="000000" w:themeColor="text1"/>
          <w:sz w:val="24"/>
          <w:szCs w:val="24"/>
          <w:lang w:val="en-GB"/>
        </w:rPr>
        <w:t>Yulia</w:t>
      </w:r>
      <w:proofErr w:type="spellEnd"/>
      <w:r w:rsidRPr="00DE3E9D">
        <w:rPr>
          <w:rFonts w:ascii="Book Antiqua" w:hAnsi="Book Antiqua" w:cstheme="majorHAnsi"/>
          <w:color w:val="000000" w:themeColor="text1"/>
          <w:sz w:val="24"/>
          <w:szCs w:val="24"/>
          <w:lang w:val="en-GB"/>
        </w:rPr>
        <w:t xml:space="preserve">, “The </w:t>
      </w:r>
      <w:proofErr w:type="spellStart"/>
      <w:r w:rsidRPr="00DE3E9D">
        <w:rPr>
          <w:rFonts w:ascii="Book Antiqua" w:hAnsi="Book Antiqua" w:cstheme="majorHAnsi"/>
          <w:color w:val="000000" w:themeColor="text1"/>
          <w:sz w:val="24"/>
          <w:szCs w:val="24"/>
          <w:lang w:val="en-GB"/>
        </w:rPr>
        <w:t>Participationof</w:t>
      </w:r>
      <w:proofErr w:type="spellEnd"/>
      <w:r w:rsidRPr="00DE3E9D">
        <w:rPr>
          <w:rFonts w:ascii="Book Antiqua" w:hAnsi="Book Antiqua" w:cstheme="majorHAnsi"/>
          <w:color w:val="000000" w:themeColor="text1"/>
          <w:sz w:val="24"/>
          <w:szCs w:val="24"/>
          <w:lang w:val="en-GB"/>
        </w:rPr>
        <w:t xml:space="preserve"> Women in the Village </w:t>
      </w:r>
      <w:proofErr w:type="spellStart"/>
      <w:r w:rsidRPr="00DE3E9D">
        <w:rPr>
          <w:rFonts w:ascii="Book Antiqua" w:hAnsi="Book Antiqua" w:cstheme="majorHAnsi"/>
          <w:color w:val="000000" w:themeColor="text1"/>
          <w:sz w:val="24"/>
          <w:szCs w:val="24"/>
          <w:lang w:val="en-GB"/>
        </w:rPr>
        <w:t>Adat</w:t>
      </w:r>
      <w:proofErr w:type="spellEnd"/>
      <w:r w:rsidRPr="00DE3E9D">
        <w:rPr>
          <w:rFonts w:ascii="Book Antiqua" w:hAnsi="Book Antiqua" w:cstheme="majorHAnsi"/>
          <w:color w:val="000000" w:themeColor="text1"/>
          <w:sz w:val="24"/>
          <w:szCs w:val="24"/>
          <w:lang w:val="en-GB"/>
        </w:rPr>
        <w:t xml:space="preserve"> Justice: </w:t>
      </w:r>
      <w:proofErr w:type="gramStart"/>
      <w:r w:rsidRPr="00DE3E9D">
        <w:rPr>
          <w:rFonts w:ascii="Book Antiqua" w:hAnsi="Book Antiqua" w:cstheme="majorHAnsi"/>
          <w:color w:val="000000" w:themeColor="text1"/>
          <w:sz w:val="24"/>
          <w:szCs w:val="24"/>
          <w:lang w:val="en-GB"/>
        </w:rPr>
        <w:t>the  Regulations</w:t>
      </w:r>
      <w:proofErr w:type="gramEnd"/>
      <w:r w:rsidRPr="00DE3E9D">
        <w:rPr>
          <w:rFonts w:ascii="Book Antiqua" w:hAnsi="Book Antiqua" w:cstheme="majorHAnsi"/>
          <w:color w:val="000000" w:themeColor="text1"/>
          <w:sz w:val="24"/>
          <w:szCs w:val="24"/>
          <w:lang w:val="en-GB"/>
        </w:rPr>
        <w:t xml:space="preserve"> and Its Implementations in North Aceh Regency, “</w:t>
      </w:r>
      <w:r w:rsidRPr="000165E8">
        <w:rPr>
          <w:rFonts w:ascii="Book Antiqua" w:hAnsi="Book Antiqua" w:cstheme="majorHAnsi"/>
          <w:i/>
          <w:color w:val="000000" w:themeColor="text1"/>
          <w:sz w:val="24"/>
          <w:szCs w:val="24"/>
          <w:lang w:val="en-GB"/>
        </w:rPr>
        <w:t>Indian Journal of Public Health Research &amp; Development</w:t>
      </w:r>
      <w:r w:rsidRPr="00DE3E9D">
        <w:rPr>
          <w:rFonts w:ascii="Book Antiqua" w:hAnsi="Book Antiqua" w:cstheme="majorHAnsi"/>
          <w:color w:val="000000" w:themeColor="text1"/>
          <w:sz w:val="24"/>
          <w:szCs w:val="24"/>
          <w:lang w:val="en-GB"/>
        </w:rPr>
        <w:t xml:space="preserve"> 9, no. 12 (2018): 180-185.</w:t>
      </w:r>
    </w:p>
    <w:p w:rsidR="000165E8" w:rsidRPr="00DE3E9D" w:rsidRDefault="000165E8" w:rsidP="00DE3E9D">
      <w:pPr>
        <w:spacing w:after="120" w:line="240" w:lineRule="auto"/>
        <w:ind w:left="547" w:hanging="547"/>
        <w:jc w:val="both"/>
        <w:rPr>
          <w:rFonts w:ascii="Book Antiqua" w:hAnsi="Book Antiqua" w:cstheme="majorHAnsi"/>
          <w:color w:val="000000" w:themeColor="text1"/>
          <w:sz w:val="24"/>
          <w:szCs w:val="24"/>
          <w:lang w:val="en-GB"/>
        </w:rPr>
      </w:pPr>
      <w:r w:rsidRPr="00DE3E9D">
        <w:rPr>
          <w:rFonts w:ascii="Book Antiqua" w:hAnsi="Book Antiqua" w:cstheme="majorHAnsi"/>
          <w:color w:val="000000" w:themeColor="text1"/>
          <w:sz w:val="24"/>
          <w:szCs w:val="24"/>
          <w:lang w:val="en-GB"/>
        </w:rPr>
        <w:t xml:space="preserve">Mansur, </w:t>
      </w:r>
      <w:proofErr w:type="gramStart"/>
      <w:r w:rsidRPr="00DE3E9D">
        <w:rPr>
          <w:rFonts w:ascii="Book Antiqua" w:hAnsi="Book Antiqua" w:cstheme="majorHAnsi"/>
          <w:color w:val="000000" w:themeColor="text1"/>
          <w:sz w:val="24"/>
          <w:szCs w:val="24"/>
          <w:lang w:val="en-GB"/>
        </w:rPr>
        <w:t>TM.</w:t>
      </w:r>
      <w:r>
        <w:rPr>
          <w:rFonts w:ascii="Book Antiqua" w:hAnsi="Book Antiqua" w:cstheme="majorHAnsi"/>
          <w:color w:val="000000" w:themeColor="text1"/>
          <w:sz w:val="24"/>
          <w:szCs w:val="24"/>
          <w:lang w:val="en-GB"/>
        </w:rPr>
        <w:t>,</w:t>
      </w:r>
      <w:proofErr w:type="gramEnd"/>
      <w:r w:rsidRPr="00DE3E9D">
        <w:rPr>
          <w:rFonts w:ascii="Book Antiqua" w:hAnsi="Book Antiqua" w:cstheme="majorHAnsi"/>
          <w:color w:val="000000" w:themeColor="text1"/>
          <w:sz w:val="24"/>
          <w:szCs w:val="24"/>
          <w:lang w:val="en-GB"/>
        </w:rPr>
        <w:t xml:space="preserve"> “A Conceptual Framework of the </w:t>
      </w:r>
      <w:proofErr w:type="spellStart"/>
      <w:r w:rsidRPr="00DE3E9D">
        <w:rPr>
          <w:rFonts w:ascii="Book Antiqua" w:hAnsi="Book Antiqua" w:cstheme="majorHAnsi"/>
          <w:color w:val="000000" w:themeColor="text1"/>
          <w:sz w:val="24"/>
          <w:szCs w:val="24"/>
          <w:lang w:val="en-GB"/>
        </w:rPr>
        <w:t>Adat</w:t>
      </w:r>
      <w:proofErr w:type="spellEnd"/>
      <w:r w:rsidRPr="00DE3E9D">
        <w:rPr>
          <w:rFonts w:ascii="Book Antiqua" w:hAnsi="Book Antiqua" w:cstheme="majorHAnsi"/>
          <w:color w:val="000000" w:themeColor="text1"/>
          <w:sz w:val="24"/>
          <w:szCs w:val="24"/>
          <w:lang w:val="en-GB"/>
        </w:rPr>
        <w:t xml:space="preserve"> Court within the Formal Court: A Case of the</w:t>
      </w:r>
      <w:r>
        <w:rPr>
          <w:rFonts w:ascii="Book Antiqua" w:hAnsi="Book Antiqua" w:cstheme="majorHAnsi"/>
          <w:color w:val="000000" w:themeColor="text1"/>
          <w:sz w:val="24"/>
          <w:szCs w:val="24"/>
          <w:lang w:val="en-GB"/>
        </w:rPr>
        <w:t xml:space="preserve"> </w:t>
      </w:r>
      <w:proofErr w:type="spellStart"/>
      <w:r>
        <w:rPr>
          <w:rFonts w:ascii="Book Antiqua" w:hAnsi="Book Antiqua" w:cstheme="majorHAnsi"/>
          <w:color w:val="000000" w:themeColor="text1"/>
          <w:sz w:val="24"/>
          <w:szCs w:val="24"/>
          <w:lang w:val="en-GB"/>
        </w:rPr>
        <w:t>Adat</w:t>
      </w:r>
      <w:proofErr w:type="spellEnd"/>
      <w:r>
        <w:rPr>
          <w:rFonts w:ascii="Book Antiqua" w:hAnsi="Book Antiqua" w:cstheme="majorHAnsi"/>
          <w:color w:val="000000" w:themeColor="text1"/>
          <w:sz w:val="24"/>
          <w:szCs w:val="24"/>
          <w:lang w:val="en-GB"/>
        </w:rPr>
        <w:t xml:space="preserve"> Aceh Court, in Indonesia.</w:t>
      </w:r>
      <w:r w:rsidRPr="00DE3E9D">
        <w:rPr>
          <w:rFonts w:ascii="Book Antiqua" w:hAnsi="Book Antiqua" w:cstheme="majorHAnsi"/>
          <w:color w:val="000000" w:themeColor="text1"/>
          <w:sz w:val="24"/>
          <w:szCs w:val="24"/>
          <w:lang w:val="en-GB"/>
        </w:rPr>
        <w:t xml:space="preserve">“ </w:t>
      </w:r>
      <w:r w:rsidRPr="000165E8">
        <w:rPr>
          <w:rFonts w:ascii="Book Antiqua" w:hAnsi="Book Antiqua" w:cstheme="majorHAnsi"/>
          <w:i/>
          <w:color w:val="000000" w:themeColor="text1"/>
          <w:sz w:val="24"/>
          <w:szCs w:val="24"/>
          <w:lang w:val="en-GB"/>
        </w:rPr>
        <w:t>SSRN Electronic Journal</w:t>
      </w:r>
      <w:r w:rsidRPr="00DE3E9D">
        <w:rPr>
          <w:rFonts w:ascii="Book Antiqua" w:hAnsi="Book Antiqua" w:cstheme="majorHAnsi"/>
          <w:color w:val="000000" w:themeColor="text1"/>
          <w:sz w:val="24"/>
          <w:szCs w:val="24"/>
          <w:lang w:val="en-GB"/>
        </w:rPr>
        <w:t xml:space="preserve"> 2, no. 1 (2018): 1–10. </w:t>
      </w:r>
      <w:proofErr w:type="spellStart"/>
      <w:r w:rsidRPr="00DE3E9D">
        <w:rPr>
          <w:rFonts w:ascii="Book Antiqua" w:hAnsi="Book Antiqua" w:cstheme="majorHAnsi"/>
          <w:color w:val="000000" w:themeColor="text1"/>
          <w:sz w:val="24"/>
          <w:szCs w:val="24"/>
          <w:lang w:val="en-GB"/>
        </w:rPr>
        <w:t>Doi</w:t>
      </w:r>
      <w:proofErr w:type="spellEnd"/>
      <w:r w:rsidRPr="00DE3E9D">
        <w:rPr>
          <w:rFonts w:ascii="Book Antiqua" w:hAnsi="Book Antiqua" w:cstheme="majorHAnsi"/>
          <w:color w:val="000000" w:themeColor="text1"/>
          <w:sz w:val="24"/>
          <w:szCs w:val="24"/>
          <w:lang w:val="en-GB"/>
        </w:rPr>
        <w:t>: 10.2139/ssrn.3113590.</w:t>
      </w:r>
    </w:p>
    <w:p w:rsidR="000165E8" w:rsidRPr="00DE3E9D" w:rsidRDefault="000165E8" w:rsidP="00DE3E9D">
      <w:pPr>
        <w:spacing w:after="120" w:line="240" w:lineRule="auto"/>
        <w:ind w:left="547" w:hanging="547"/>
        <w:jc w:val="both"/>
        <w:rPr>
          <w:rFonts w:ascii="Book Antiqua" w:hAnsi="Book Antiqua" w:cstheme="majorHAnsi"/>
          <w:color w:val="000000" w:themeColor="text1"/>
          <w:sz w:val="24"/>
          <w:szCs w:val="24"/>
          <w:lang w:val="en-GB"/>
        </w:rPr>
      </w:pPr>
      <w:r w:rsidRPr="00DE3E9D">
        <w:rPr>
          <w:rFonts w:ascii="Book Antiqua" w:hAnsi="Book Antiqua" w:cstheme="majorHAnsi"/>
          <w:color w:val="000000" w:themeColor="text1"/>
          <w:sz w:val="24"/>
          <w:szCs w:val="24"/>
          <w:lang w:val="en-GB"/>
        </w:rPr>
        <w:t>Mansur,</w:t>
      </w:r>
      <w:r>
        <w:rPr>
          <w:rFonts w:ascii="Book Antiqua" w:hAnsi="Book Antiqua" w:cstheme="majorHAnsi"/>
          <w:color w:val="000000" w:themeColor="text1"/>
          <w:sz w:val="24"/>
          <w:szCs w:val="24"/>
          <w:lang w:val="en-GB"/>
        </w:rPr>
        <w:t xml:space="preserve"> </w:t>
      </w:r>
      <w:proofErr w:type="gramStart"/>
      <w:r>
        <w:rPr>
          <w:rFonts w:ascii="Book Antiqua" w:hAnsi="Book Antiqua" w:cstheme="majorHAnsi"/>
          <w:color w:val="000000" w:themeColor="text1"/>
          <w:sz w:val="24"/>
          <w:szCs w:val="24"/>
          <w:lang w:val="en-GB"/>
        </w:rPr>
        <w:t>TM.,</w:t>
      </w:r>
      <w:proofErr w:type="gramEnd"/>
      <w:r w:rsidRPr="00DE3E9D">
        <w:rPr>
          <w:rFonts w:ascii="Book Antiqua" w:hAnsi="Book Antiqua" w:cstheme="majorHAnsi"/>
          <w:color w:val="000000" w:themeColor="text1"/>
          <w:sz w:val="24"/>
          <w:szCs w:val="24"/>
          <w:lang w:val="en-GB"/>
        </w:rPr>
        <w:t xml:space="preserve"> “Juridical Study of Indigenous Courts in Aceh</w:t>
      </w:r>
      <w:r>
        <w:rPr>
          <w:rFonts w:ascii="Book Antiqua" w:hAnsi="Book Antiqua" w:cstheme="majorHAnsi"/>
          <w:color w:val="000000" w:themeColor="text1"/>
          <w:sz w:val="24"/>
          <w:szCs w:val="24"/>
          <w:lang w:val="en-GB"/>
        </w:rPr>
        <w:t>.</w:t>
      </w:r>
      <w:r w:rsidRPr="00DE3E9D">
        <w:rPr>
          <w:rFonts w:ascii="Book Antiqua" w:hAnsi="Book Antiqua" w:cstheme="majorHAnsi"/>
          <w:color w:val="000000" w:themeColor="text1"/>
          <w:sz w:val="24"/>
          <w:szCs w:val="24"/>
          <w:lang w:val="en-GB"/>
        </w:rPr>
        <w:t xml:space="preserve">” </w:t>
      </w:r>
      <w:r w:rsidRPr="000165E8">
        <w:rPr>
          <w:rFonts w:ascii="Book Antiqua" w:hAnsi="Book Antiqua" w:cstheme="majorHAnsi"/>
          <w:i/>
          <w:color w:val="000000" w:themeColor="text1"/>
          <w:sz w:val="24"/>
          <w:szCs w:val="24"/>
          <w:lang w:val="en-GB"/>
        </w:rPr>
        <w:t xml:space="preserve">Journal of Indonesian </w:t>
      </w:r>
      <w:proofErr w:type="spellStart"/>
      <w:r w:rsidRPr="000165E8">
        <w:rPr>
          <w:rFonts w:ascii="Book Antiqua" w:hAnsi="Book Antiqua" w:cstheme="majorHAnsi"/>
          <w:i/>
          <w:color w:val="000000" w:themeColor="text1"/>
          <w:sz w:val="24"/>
          <w:szCs w:val="24"/>
          <w:lang w:val="en-GB"/>
        </w:rPr>
        <w:t>Adat</w:t>
      </w:r>
      <w:proofErr w:type="spellEnd"/>
      <w:r w:rsidRPr="000165E8">
        <w:rPr>
          <w:rFonts w:ascii="Book Antiqua" w:hAnsi="Book Antiqua" w:cstheme="majorHAnsi"/>
          <w:i/>
          <w:color w:val="000000" w:themeColor="text1"/>
          <w:sz w:val="24"/>
          <w:szCs w:val="24"/>
          <w:lang w:val="en-GB"/>
        </w:rPr>
        <w:t xml:space="preserve"> Law (JIAL)</w:t>
      </w:r>
      <w:r w:rsidRPr="00DE3E9D">
        <w:rPr>
          <w:rFonts w:ascii="Book Antiqua" w:hAnsi="Book Antiqua" w:cstheme="majorHAnsi"/>
          <w:color w:val="000000" w:themeColor="text1"/>
          <w:sz w:val="24"/>
          <w:szCs w:val="24"/>
          <w:lang w:val="en-GB"/>
        </w:rPr>
        <w:t xml:space="preserve"> 2, no. 3 (2018b): 23–47. </w:t>
      </w:r>
      <w:proofErr w:type="spellStart"/>
      <w:r w:rsidRPr="00DE3E9D">
        <w:rPr>
          <w:rFonts w:ascii="Book Antiqua" w:hAnsi="Book Antiqua" w:cstheme="majorHAnsi"/>
          <w:color w:val="000000" w:themeColor="text1"/>
          <w:sz w:val="24"/>
          <w:szCs w:val="24"/>
          <w:lang w:val="en-GB"/>
        </w:rPr>
        <w:t>Doi</w:t>
      </w:r>
      <w:proofErr w:type="spellEnd"/>
      <w:r w:rsidRPr="00DE3E9D">
        <w:rPr>
          <w:rFonts w:ascii="Book Antiqua" w:hAnsi="Book Antiqua" w:cstheme="majorHAnsi"/>
          <w:color w:val="000000" w:themeColor="text1"/>
          <w:sz w:val="24"/>
          <w:szCs w:val="24"/>
          <w:lang w:val="en-GB"/>
        </w:rPr>
        <w:t>: 10.46816/jial.v2i3.6.</w:t>
      </w:r>
    </w:p>
    <w:p w:rsidR="000165E8" w:rsidRPr="00DE3E9D" w:rsidRDefault="000165E8" w:rsidP="00DE3E9D">
      <w:pPr>
        <w:spacing w:after="120" w:line="240" w:lineRule="auto"/>
        <w:ind w:left="547" w:hanging="547"/>
        <w:jc w:val="both"/>
        <w:rPr>
          <w:rFonts w:ascii="Book Antiqua" w:hAnsi="Book Antiqua" w:cstheme="majorHAnsi"/>
          <w:color w:val="000000" w:themeColor="text1"/>
          <w:sz w:val="24"/>
          <w:szCs w:val="24"/>
          <w:lang w:val="en-GB"/>
        </w:rPr>
      </w:pPr>
      <w:r w:rsidRPr="00DE3E9D">
        <w:rPr>
          <w:rFonts w:ascii="Book Antiqua" w:hAnsi="Book Antiqua" w:cstheme="majorHAnsi"/>
          <w:color w:val="000000" w:themeColor="text1"/>
          <w:sz w:val="24"/>
          <w:szCs w:val="24"/>
          <w:lang w:val="en-GB"/>
        </w:rPr>
        <w:t xml:space="preserve">Mansur, </w:t>
      </w:r>
      <w:proofErr w:type="gramStart"/>
      <w:r w:rsidRPr="00DE3E9D">
        <w:rPr>
          <w:rFonts w:ascii="Book Antiqua" w:hAnsi="Book Antiqua" w:cstheme="majorHAnsi"/>
          <w:color w:val="000000" w:themeColor="text1"/>
          <w:sz w:val="24"/>
          <w:szCs w:val="24"/>
          <w:lang w:val="en-GB"/>
        </w:rPr>
        <w:t>TM.</w:t>
      </w:r>
      <w:r>
        <w:rPr>
          <w:rFonts w:ascii="Book Antiqua" w:hAnsi="Book Antiqua" w:cstheme="majorHAnsi"/>
          <w:color w:val="000000" w:themeColor="text1"/>
          <w:sz w:val="24"/>
          <w:szCs w:val="24"/>
          <w:lang w:val="en-GB"/>
        </w:rPr>
        <w:t>,</w:t>
      </w:r>
      <w:proofErr w:type="gramEnd"/>
      <w:r w:rsidRPr="00DE3E9D">
        <w:rPr>
          <w:rFonts w:ascii="Book Antiqua" w:hAnsi="Book Antiqua" w:cstheme="majorHAnsi"/>
          <w:color w:val="000000" w:themeColor="text1"/>
          <w:sz w:val="24"/>
          <w:szCs w:val="24"/>
          <w:lang w:val="en-GB"/>
        </w:rPr>
        <w:t xml:space="preserve"> et al., “The effectiveness of the implementation of customary fines in settlement o</w:t>
      </w:r>
      <w:r>
        <w:rPr>
          <w:rFonts w:ascii="Book Antiqua" w:hAnsi="Book Antiqua" w:cstheme="majorHAnsi"/>
          <w:color w:val="000000" w:themeColor="text1"/>
          <w:sz w:val="24"/>
          <w:szCs w:val="24"/>
          <w:lang w:val="en-GB"/>
        </w:rPr>
        <w:t>f seclusion cases in Banda Aceh.</w:t>
      </w:r>
      <w:r w:rsidRPr="00DE3E9D">
        <w:rPr>
          <w:rFonts w:ascii="Book Antiqua" w:hAnsi="Book Antiqua" w:cstheme="majorHAnsi"/>
          <w:color w:val="000000" w:themeColor="text1"/>
          <w:sz w:val="24"/>
          <w:szCs w:val="24"/>
          <w:lang w:val="en-GB"/>
        </w:rPr>
        <w:t xml:space="preserve">” </w:t>
      </w:r>
      <w:proofErr w:type="spellStart"/>
      <w:r w:rsidRPr="000165E8">
        <w:rPr>
          <w:rFonts w:ascii="Book Antiqua" w:hAnsi="Book Antiqua" w:cstheme="majorHAnsi"/>
          <w:i/>
          <w:color w:val="000000" w:themeColor="text1"/>
          <w:sz w:val="24"/>
          <w:szCs w:val="24"/>
          <w:lang w:val="en-GB"/>
        </w:rPr>
        <w:t>Sriwijaya</w:t>
      </w:r>
      <w:proofErr w:type="spellEnd"/>
      <w:r w:rsidRPr="000165E8">
        <w:rPr>
          <w:rFonts w:ascii="Book Antiqua" w:hAnsi="Book Antiqua" w:cstheme="majorHAnsi"/>
          <w:i/>
          <w:color w:val="000000" w:themeColor="text1"/>
          <w:sz w:val="24"/>
          <w:szCs w:val="24"/>
          <w:lang w:val="en-GB"/>
        </w:rPr>
        <w:t xml:space="preserve"> Law Review</w:t>
      </w:r>
      <w:r w:rsidRPr="00DE3E9D">
        <w:rPr>
          <w:rFonts w:ascii="Book Antiqua" w:hAnsi="Book Antiqua" w:cstheme="majorHAnsi"/>
          <w:color w:val="000000" w:themeColor="text1"/>
          <w:sz w:val="24"/>
          <w:szCs w:val="24"/>
          <w:lang w:val="en-GB"/>
        </w:rPr>
        <w:t xml:space="preserve"> 4, no. 1 (2020): 52–61. </w:t>
      </w:r>
      <w:proofErr w:type="spellStart"/>
      <w:r w:rsidRPr="00DE3E9D">
        <w:rPr>
          <w:rFonts w:ascii="Book Antiqua" w:hAnsi="Book Antiqua" w:cstheme="majorHAnsi"/>
          <w:color w:val="000000" w:themeColor="text1"/>
          <w:sz w:val="24"/>
          <w:szCs w:val="24"/>
          <w:lang w:val="en-GB"/>
        </w:rPr>
        <w:t>Doi</w:t>
      </w:r>
      <w:proofErr w:type="spellEnd"/>
      <w:r w:rsidRPr="00DE3E9D">
        <w:rPr>
          <w:rFonts w:ascii="Book Antiqua" w:hAnsi="Book Antiqua" w:cstheme="majorHAnsi"/>
          <w:color w:val="000000" w:themeColor="text1"/>
          <w:sz w:val="24"/>
          <w:szCs w:val="24"/>
          <w:lang w:val="en-GB"/>
        </w:rPr>
        <w:t>: 10.28946/slrev.Vol4.Iss2.221.pp52-61.</w:t>
      </w:r>
    </w:p>
    <w:p w:rsidR="000165E8" w:rsidRPr="00DE3E9D" w:rsidRDefault="000165E8" w:rsidP="00DE3E9D">
      <w:pPr>
        <w:spacing w:after="120" w:line="240" w:lineRule="auto"/>
        <w:ind w:left="547" w:hanging="547"/>
        <w:jc w:val="both"/>
        <w:rPr>
          <w:rFonts w:ascii="Book Antiqua" w:hAnsi="Book Antiqua" w:cstheme="majorHAnsi"/>
          <w:color w:val="000000" w:themeColor="text1"/>
          <w:sz w:val="24"/>
          <w:szCs w:val="24"/>
          <w:lang w:val="en-GB"/>
        </w:rPr>
      </w:pPr>
      <w:proofErr w:type="spellStart"/>
      <w:r w:rsidRPr="00DE3E9D">
        <w:rPr>
          <w:rFonts w:ascii="Book Antiqua" w:hAnsi="Book Antiqua" w:cstheme="majorHAnsi"/>
          <w:color w:val="000000" w:themeColor="text1"/>
          <w:sz w:val="24"/>
          <w:szCs w:val="24"/>
          <w:lang w:val="en-GB"/>
        </w:rPr>
        <w:t>Sanur</w:t>
      </w:r>
      <w:proofErr w:type="spellEnd"/>
      <w:r>
        <w:rPr>
          <w:rFonts w:ascii="Book Antiqua" w:hAnsi="Book Antiqua" w:cstheme="majorHAnsi"/>
          <w:color w:val="000000" w:themeColor="text1"/>
          <w:sz w:val="24"/>
          <w:szCs w:val="24"/>
          <w:lang w:val="en-GB"/>
        </w:rPr>
        <w:t>, D.</w:t>
      </w:r>
      <w:r w:rsidRPr="00DE3E9D">
        <w:rPr>
          <w:rFonts w:ascii="Book Antiqua" w:hAnsi="Book Antiqua" w:cstheme="majorHAnsi"/>
          <w:color w:val="000000" w:themeColor="text1"/>
          <w:sz w:val="24"/>
          <w:szCs w:val="24"/>
          <w:lang w:val="en-GB"/>
        </w:rPr>
        <w:t xml:space="preserve">, “Implementation of Special Autonomy Policies in Aceh Implementation of Special Autonomy Policies in Aceh,” </w:t>
      </w:r>
      <w:proofErr w:type="spellStart"/>
      <w:r w:rsidRPr="000165E8">
        <w:rPr>
          <w:rFonts w:ascii="Book Antiqua" w:hAnsi="Book Antiqua" w:cstheme="majorHAnsi"/>
          <w:i/>
          <w:color w:val="000000" w:themeColor="text1"/>
          <w:sz w:val="24"/>
          <w:szCs w:val="24"/>
          <w:lang w:val="en-GB"/>
        </w:rPr>
        <w:t>Jurnal</w:t>
      </w:r>
      <w:proofErr w:type="spellEnd"/>
      <w:r w:rsidRPr="000165E8">
        <w:rPr>
          <w:rFonts w:ascii="Book Antiqua" w:hAnsi="Book Antiqua" w:cstheme="majorHAnsi"/>
          <w:i/>
          <w:color w:val="000000" w:themeColor="text1"/>
          <w:sz w:val="24"/>
          <w:szCs w:val="24"/>
          <w:lang w:val="en-GB"/>
        </w:rPr>
        <w:t xml:space="preserve"> </w:t>
      </w:r>
      <w:proofErr w:type="spellStart"/>
      <w:r w:rsidRPr="000165E8">
        <w:rPr>
          <w:rFonts w:ascii="Book Antiqua" w:hAnsi="Book Antiqua" w:cstheme="majorHAnsi"/>
          <w:i/>
          <w:color w:val="000000" w:themeColor="text1"/>
          <w:sz w:val="24"/>
          <w:szCs w:val="24"/>
          <w:lang w:val="en-GB"/>
        </w:rPr>
        <w:t>Politica</w:t>
      </w:r>
      <w:proofErr w:type="spellEnd"/>
      <w:r w:rsidRPr="000165E8">
        <w:rPr>
          <w:rFonts w:ascii="Book Antiqua" w:hAnsi="Book Antiqua" w:cstheme="majorHAnsi"/>
          <w:i/>
          <w:color w:val="000000" w:themeColor="text1"/>
          <w:sz w:val="24"/>
          <w:szCs w:val="24"/>
          <w:lang w:val="en-GB"/>
        </w:rPr>
        <w:t xml:space="preserve">: </w:t>
      </w:r>
      <w:proofErr w:type="spellStart"/>
      <w:r w:rsidRPr="000165E8">
        <w:rPr>
          <w:rFonts w:ascii="Book Antiqua" w:hAnsi="Book Antiqua" w:cstheme="majorHAnsi"/>
          <w:i/>
          <w:color w:val="000000" w:themeColor="text1"/>
          <w:sz w:val="24"/>
          <w:szCs w:val="24"/>
          <w:lang w:val="en-GB"/>
        </w:rPr>
        <w:t>Masalah</w:t>
      </w:r>
      <w:proofErr w:type="spellEnd"/>
      <w:r w:rsidRPr="000165E8">
        <w:rPr>
          <w:rFonts w:ascii="Book Antiqua" w:hAnsi="Book Antiqua" w:cstheme="majorHAnsi"/>
          <w:i/>
          <w:color w:val="000000" w:themeColor="text1"/>
          <w:sz w:val="24"/>
          <w:szCs w:val="24"/>
          <w:lang w:val="en-GB"/>
        </w:rPr>
        <w:t xml:space="preserve"> </w:t>
      </w:r>
      <w:proofErr w:type="spellStart"/>
      <w:r w:rsidRPr="000165E8">
        <w:rPr>
          <w:rFonts w:ascii="Book Antiqua" w:hAnsi="Book Antiqua" w:cstheme="majorHAnsi"/>
          <w:i/>
          <w:color w:val="000000" w:themeColor="text1"/>
          <w:sz w:val="24"/>
          <w:szCs w:val="24"/>
          <w:lang w:val="en-GB"/>
        </w:rPr>
        <w:t>Politik</w:t>
      </w:r>
      <w:proofErr w:type="spellEnd"/>
      <w:r w:rsidRPr="000165E8">
        <w:rPr>
          <w:rFonts w:ascii="Book Antiqua" w:hAnsi="Book Antiqua" w:cstheme="majorHAnsi"/>
          <w:i/>
          <w:color w:val="000000" w:themeColor="text1"/>
          <w:sz w:val="24"/>
          <w:szCs w:val="24"/>
          <w:lang w:val="en-GB"/>
        </w:rPr>
        <w:t xml:space="preserve"> </w:t>
      </w:r>
      <w:proofErr w:type="spellStart"/>
      <w:r w:rsidRPr="000165E8">
        <w:rPr>
          <w:rFonts w:ascii="Book Antiqua" w:hAnsi="Book Antiqua" w:cstheme="majorHAnsi"/>
          <w:i/>
          <w:color w:val="000000" w:themeColor="text1"/>
          <w:sz w:val="24"/>
          <w:szCs w:val="24"/>
          <w:lang w:val="en-GB"/>
        </w:rPr>
        <w:t>Dalam</w:t>
      </w:r>
      <w:proofErr w:type="spellEnd"/>
      <w:r w:rsidRPr="000165E8">
        <w:rPr>
          <w:rFonts w:ascii="Book Antiqua" w:hAnsi="Book Antiqua" w:cstheme="majorHAnsi"/>
          <w:i/>
          <w:color w:val="000000" w:themeColor="text1"/>
          <w:sz w:val="24"/>
          <w:szCs w:val="24"/>
          <w:lang w:val="en-GB"/>
        </w:rPr>
        <w:t xml:space="preserve"> </w:t>
      </w:r>
      <w:proofErr w:type="spellStart"/>
      <w:r w:rsidRPr="000165E8">
        <w:rPr>
          <w:rFonts w:ascii="Book Antiqua" w:hAnsi="Book Antiqua" w:cstheme="majorHAnsi"/>
          <w:i/>
          <w:color w:val="000000" w:themeColor="text1"/>
          <w:sz w:val="24"/>
          <w:szCs w:val="24"/>
          <w:lang w:val="en-GB"/>
        </w:rPr>
        <w:t>Negeri</w:t>
      </w:r>
      <w:proofErr w:type="spellEnd"/>
      <w:r w:rsidRPr="000165E8">
        <w:rPr>
          <w:rFonts w:ascii="Book Antiqua" w:hAnsi="Book Antiqua" w:cstheme="majorHAnsi"/>
          <w:i/>
          <w:color w:val="000000" w:themeColor="text1"/>
          <w:sz w:val="24"/>
          <w:szCs w:val="24"/>
          <w:lang w:val="en-GB"/>
        </w:rPr>
        <w:t xml:space="preserve"> </w:t>
      </w:r>
      <w:proofErr w:type="spellStart"/>
      <w:r w:rsidRPr="000165E8">
        <w:rPr>
          <w:rFonts w:ascii="Book Antiqua" w:hAnsi="Book Antiqua" w:cstheme="majorHAnsi"/>
          <w:i/>
          <w:color w:val="000000" w:themeColor="text1"/>
          <w:sz w:val="24"/>
          <w:szCs w:val="24"/>
          <w:lang w:val="en-GB"/>
        </w:rPr>
        <w:t>dan</w:t>
      </w:r>
      <w:proofErr w:type="spellEnd"/>
      <w:r w:rsidRPr="000165E8">
        <w:rPr>
          <w:rFonts w:ascii="Book Antiqua" w:hAnsi="Book Antiqua" w:cstheme="majorHAnsi"/>
          <w:i/>
          <w:color w:val="000000" w:themeColor="text1"/>
          <w:sz w:val="24"/>
          <w:szCs w:val="24"/>
          <w:lang w:val="en-GB"/>
        </w:rPr>
        <w:t xml:space="preserve"> </w:t>
      </w:r>
      <w:proofErr w:type="spellStart"/>
      <w:r w:rsidRPr="000165E8">
        <w:rPr>
          <w:rFonts w:ascii="Book Antiqua" w:hAnsi="Book Antiqua" w:cstheme="majorHAnsi"/>
          <w:i/>
          <w:color w:val="000000" w:themeColor="text1"/>
          <w:sz w:val="24"/>
          <w:szCs w:val="24"/>
          <w:lang w:val="en-GB"/>
        </w:rPr>
        <w:t>Hubungan</w:t>
      </w:r>
      <w:proofErr w:type="spellEnd"/>
      <w:r w:rsidRPr="000165E8">
        <w:rPr>
          <w:rFonts w:ascii="Book Antiqua" w:hAnsi="Book Antiqua" w:cstheme="majorHAnsi"/>
          <w:i/>
          <w:color w:val="000000" w:themeColor="text1"/>
          <w:sz w:val="24"/>
          <w:szCs w:val="24"/>
          <w:lang w:val="en-GB"/>
        </w:rPr>
        <w:t xml:space="preserve"> </w:t>
      </w:r>
      <w:proofErr w:type="spellStart"/>
      <w:r w:rsidRPr="000165E8">
        <w:rPr>
          <w:rFonts w:ascii="Book Antiqua" w:hAnsi="Book Antiqua" w:cstheme="majorHAnsi"/>
          <w:i/>
          <w:color w:val="000000" w:themeColor="text1"/>
          <w:sz w:val="24"/>
          <w:szCs w:val="24"/>
          <w:lang w:val="en-GB"/>
        </w:rPr>
        <w:t>Internasional</w:t>
      </w:r>
      <w:proofErr w:type="spellEnd"/>
      <w:r w:rsidRPr="00DE3E9D">
        <w:rPr>
          <w:rFonts w:ascii="Book Antiqua" w:hAnsi="Book Antiqua" w:cstheme="majorHAnsi"/>
          <w:color w:val="000000" w:themeColor="text1"/>
          <w:sz w:val="24"/>
          <w:szCs w:val="24"/>
          <w:lang w:val="en-GB"/>
        </w:rPr>
        <w:t xml:space="preserve"> 11, no. 1 (2020): 65–83. </w:t>
      </w:r>
      <w:proofErr w:type="spellStart"/>
      <w:proofErr w:type="gramStart"/>
      <w:r w:rsidRPr="00DE3E9D">
        <w:rPr>
          <w:rFonts w:ascii="Book Antiqua" w:hAnsi="Book Antiqua" w:cstheme="majorHAnsi"/>
          <w:color w:val="000000" w:themeColor="text1"/>
          <w:sz w:val="24"/>
          <w:szCs w:val="24"/>
          <w:lang w:val="en-GB"/>
        </w:rPr>
        <w:t>doi</w:t>
      </w:r>
      <w:proofErr w:type="spellEnd"/>
      <w:proofErr w:type="gramEnd"/>
      <w:r w:rsidRPr="00DE3E9D">
        <w:rPr>
          <w:rFonts w:ascii="Book Antiqua" w:hAnsi="Book Antiqua" w:cstheme="majorHAnsi"/>
          <w:color w:val="000000" w:themeColor="text1"/>
          <w:sz w:val="24"/>
          <w:szCs w:val="24"/>
          <w:lang w:val="en-GB"/>
        </w:rPr>
        <w:t>: 10.22212/jp.v11i1.1580.</w:t>
      </w:r>
    </w:p>
    <w:p w:rsidR="000165E8" w:rsidRPr="00DE3E9D" w:rsidRDefault="000165E8" w:rsidP="00DE3E9D">
      <w:pPr>
        <w:spacing w:after="120" w:line="240" w:lineRule="auto"/>
        <w:ind w:left="547" w:hanging="547"/>
        <w:jc w:val="both"/>
        <w:rPr>
          <w:rFonts w:ascii="Book Antiqua" w:hAnsi="Book Antiqua" w:cstheme="majorHAnsi"/>
          <w:color w:val="000000" w:themeColor="text1"/>
          <w:sz w:val="24"/>
          <w:szCs w:val="24"/>
          <w:lang w:val="en-GB"/>
        </w:rPr>
      </w:pPr>
      <w:r w:rsidRPr="00DE3E9D">
        <w:rPr>
          <w:rFonts w:ascii="Book Antiqua" w:hAnsi="Book Antiqua" w:cstheme="majorHAnsi"/>
          <w:color w:val="000000" w:themeColor="text1"/>
          <w:sz w:val="24"/>
          <w:szCs w:val="24"/>
          <w:lang w:val="en-GB"/>
        </w:rPr>
        <w:t>Suzanne E. R</w:t>
      </w:r>
      <w:r>
        <w:rPr>
          <w:rFonts w:ascii="Book Antiqua" w:hAnsi="Book Antiqua" w:cstheme="majorHAnsi"/>
          <w:color w:val="000000" w:themeColor="text1"/>
          <w:sz w:val="24"/>
          <w:szCs w:val="24"/>
          <w:lang w:val="en-GB"/>
        </w:rPr>
        <w:t>.</w:t>
      </w:r>
      <w:r w:rsidRPr="00DE3E9D">
        <w:rPr>
          <w:rFonts w:ascii="Book Antiqua" w:hAnsi="Book Antiqua" w:cstheme="majorHAnsi"/>
          <w:color w:val="000000" w:themeColor="text1"/>
          <w:sz w:val="24"/>
          <w:szCs w:val="24"/>
          <w:lang w:val="en-GB"/>
        </w:rPr>
        <w:t xml:space="preserve">, "Legal Research, Legal Analysis, and Legal Writing: Putting Law School into Practice," </w:t>
      </w:r>
      <w:r w:rsidRPr="000165E8">
        <w:rPr>
          <w:rFonts w:ascii="Book Antiqua" w:hAnsi="Book Antiqua" w:cstheme="majorHAnsi"/>
          <w:i/>
          <w:color w:val="000000" w:themeColor="text1"/>
          <w:sz w:val="24"/>
          <w:szCs w:val="24"/>
          <w:lang w:val="en-GB"/>
        </w:rPr>
        <w:t xml:space="preserve">SSRN </w:t>
      </w:r>
      <w:proofErr w:type="spellStart"/>
      <w:r w:rsidRPr="000165E8">
        <w:rPr>
          <w:rFonts w:ascii="Book Antiqua" w:hAnsi="Book Antiqua" w:cstheme="majorHAnsi"/>
          <w:i/>
          <w:color w:val="000000" w:themeColor="text1"/>
          <w:sz w:val="24"/>
          <w:szCs w:val="24"/>
          <w:lang w:val="en-GB"/>
        </w:rPr>
        <w:t>ELibrary</w:t>
      </w:r>
      <w:proofErr w:type="spellEnd"/>
      <w:r w:rsidRPr="00DE3E9D">
        <w:rPr>
          <w:rFonts w:ascii="Book Antiqua" w:hAnsi="Book Antiqua" w:cstheme="majorHAnsi"/>
          <w:color w:val="000000" w:themeColor="text1"/>
          <w:sz w:val="24"/>
          <w:szCs w:val="24"/>
          <w:lang w:val="en-GB"/>
        </w:rPr>
        <w:t>, 1193, no. 2000 (2019): 1–19.Doi: http://dx.doi.org/10.2139/ssrn.1223682</w:t>
      </w:r>
    </w:p>
    <w:p w:rsidR="000165E8" w:rsidRPr="00A26219" w:rsidRDefault="000165E8" w:rsidP="00DE3E9D">
      <w:pPr>
        <w:spacing w:after="120" w:line="240" w:lineRule="auto"/>
        <w:ind w:left="547" w:hanging="547"/>
        <w:jc w:val="both"/>
        <w:rPr>
          <w:rFonts w:ascii="Book Antiqua" w:hAnsi="Book Antiqua" w:cstheme="majorHAnsi"/>
          <w:color w:val="000000" w:themeColor="text1"/>
          <w:sz w:val="24"/>
          <w:szCs w:val="24"/>
          <w:lang w:val="en-GB"/>
        </w:rPr>
      </w:pPr>
      <w:proofErr w:type="spellStart"/>
      <w:r w:rsidRPr="00DE3E9D">
        <w:rPr>
          <w:rFonts w:ascii="Book Antiqua" w:hAnsi="Book Antiqua" w:cstheme="majorHAnsi"/>
          <w:color w:val="000000" w:themeColor="text1"/>
          <w:sz w:val="24"/>
          <w:szCs w:val="24"/>
          <w:lang w:val="en-GB"/>
        </w:rPr>
        <w:t>Yusrizal</w:t>
      </w:r>
      <w:proofErr w:type="spellEnd"/>
      <w:r w:rsidRPr="00DE3E9D">
        <w:rPr>
          <w:rFonts w:ascii="Book Antiqua" w:hAnsi="Book Antiqua" w:cstheme="majorHAnsi"/>
          <w:color w:val="000000" w:themeColor="text1"/>
          <w:sz w:val="24"/>
          <w:szCs w:val="24"/>
          <w:lang w:val="en-GB"/>
        </w:rPr>
        <w:t xml:space="preserve">, </w:t>
      </w:r>
      <w:proofErr w:type="spellStart"/>
      <w:r w:rsidRPr="00DE3E9D">
        <w:rPr>
          <w:rFonts w:ascii="Book Antiqua" w:hAnsi="Book Antiqua" w:cstheme="majorHAnsi"/>
          <w:color w:val="000000" w:themeColor="text1"/>
          <w:sz w:val="24"/>
          <w:szCs w:val="24"/>
          <w:lang w:val="en-GB"/>
        </w:rPr>
        <w:t>Mukhlis</w:t>
      </w:r>
      <w:proofErr w:type="spellEnd"/>
      <w:r w:rsidRPr="00DE3E9D">
        <w:rPr>
          <w:rFonts w:ascii="Book Antiqua" w:hAnsi="Book Antiqua" w:cstheme="majorHAnsi"/>
          <w:color w:val="000000" w:themeColor="text1"/>
          <w:sz w:val="24"/>
          <w:szCs w:val="24"/>
          <w:lang w:val="en-GB"/>
        </w:rPr>
        <w:t xml:space="preserve"> and </w:t>
      </w:r>
      <w:proofErr w:type="spellStart"/>
      <w:r w:rsidRPr="00DE3E9D">
        <w:rPr>
          <w:rFonts w:ascii="Book Antiqua" w:hAnsi="Book Antiqua" w:cstheme="majorHAnsi"/>
          <w:color w:val="000000" w:themeColor="text1"/>
          <w:sz w:val="24"/>
          <w:szCs w:val="24"/>
          <w:lang w:val="en-GB"/>
        </w:rPr>
        <w:t>Amalia</w:t>
      </w:r>
      <w:proofErr w:type="spellEnd"/>
      <w:r w:rsidRPr="00DE3E9D">
        <w:rPr>
          <w:rFonts w:ascii="Book Antiqua" w:hAnsi="Book Antiqua" w:cstheme="majorHAnsi"/>
          <w:color w:val="000000" w:themeColor="text1"/>
          <w:sz w:val="24"/>
          <w:szCs w:val="24"/>
          <w:lang w:val="en-GB"/>
        </w:rPr>
        <w:t xml:space="preserve">, </w:t>
      </w:r>
      <w:r>
        <w:rPr>
          <w:rFonts w:ascii="Book Antiqua" w:hAnsi="Book Antiqua" w:cstheme="majorHAnsi"/>
          <w:color w:val="000000" w:themeColor="text1"/>
          <w:sz w:val="24"/>
          <w:szCs w:val="24"/>
          <w:lang w:val="en-GB"/>
        </w:rPr>
        <w:t>N.</w:t>
      </w:r>
      <w:proofErr w:type="gramStart"/>
      <w:r>
        <w:rPr>
          <w:rFonts w:ascii="Book Antiqua" w:hAnsi="Book Antiqua" w:cstheme="majorHAnsi"/>
          <w:color w:val="000000" w:themeColor="text1"/>
          <w:sz w:val="24"/>
          <w:szCs w:val="24"/>
          <w:lang w:val="en-GB"/>
        </w:rPr>
        <w:t>,</w:t>
      </w:r>
      <w:r w:rsidRPr="00DE3E9D">
        <w:rPr>
          <w:rFonts w:ascii="Book Antiqua" w:hAnsi="Book Antiqua" w:cstheme="majorHAnsi"/>
          <w:color w:val="000000" w:themeColor="text1"/>
          <w:sz w:val="24"/>
          <w:szCs w:val="24"/>
          <w:lang w:val="en-GB"/>
        </w:rPr>
        <w:t>“</w:t>
      </w:r>
      <w:proofErr w:type="spellStart"/>
      <w:proofErr w:type="gramEnd"/>
      <w:r w:rsidRPr="00DE3E9D">
        <w:rPr>
          <w:rFonts w:ascii="Book Antiqua" w:hAnsi="Book Antiqua" w:cstheme="majorHAnsi"/>
          <w:color w:val="000000" w:themeColor="text1"/>
          <w:sz w:val="24"/>
          <w:szCs w:val="24"/>
          <w:lang w:val="en-GB"/>
        </w:rPr>
        <w:t>Adat</w:t>
      </w:r>
      <w:proofErr w:type="spellEnd"/>
      <w:r w:rsidRPr="00DE3E9D">
        <w:rPr>
          <w:rFonts w:ascii="Book Antiqua" w:hAnsi="Book Antiqua" w:cstheme="majorHAnsi"/>
          <w:color w:val="000000" w:themeColor="text1"/>
          <w:sz w:val="24"/>
          <w:szCs w:val="24"/>
          <w:lang w:val="en-GB"/>
        </w:rPr>
        <w:t xml:space="preserve"> court </w:t>
      </w:r>
      <w:proofErr w:type="spellStart"/>
      <w:r w:rsidRPr="00DE3E9D">
        <w:rPr>
          <w:rFonts w:ascii="Book Antiqua" w:hAnsi="Book Antiqua" w:cstheme="majorHAnsi"/>
          <w:color w:val="000000" w:themeColor="text1"/>
          <w:sz w:val="24"/>
          <w:szCs w:val="24"/>
          <w:lang w:val="en-GB"/>
        </w:rPr>
        <w:t>vs</w:t>
      </w:r>
      <w:proofErr w:type="spellEnd"/>
      <w:r w:rsidRPr="00DE3E9D">
        <w:rPr>
          <w:rFonts w:ascii="Book Antiqua" w:hAnsi="Book Antiqua" w:cstheme="majorHAnsi"/>
          <w:color w:val="000000" w:themeColor="text1"/>
          <w:sz w:val="24"/>
          <w:szCs w:val="24"/>
          <w:lang w:val="en-GB"/>
        </w:rPr>
        <w:t xml:space="preserve"> </w:t>
      </w:r>
      <w:proofErr w:type="spellStart"/>
      <w:r w:rsidRPr="00DE3E9D">
        <w:rPr>
          <w:rFonts w:ascii="Book Antiqua" w:hAnsi="Book Antiqua" w:cstheme="majorHAnsi"/>
          <w:color w:val="000000" w:themeColor="text1"/>
          <w:sz w:val="24"/>
          <w:szCs w:val="24"/>
          <w:lang w:val="en-GB"/>
        </w:rPr>
        <w:t>syar’iyah</w:t>
      </w:r>
      <w:proofErr w:type="spellEnd"/>
      <w:r w:rsidRPr="00DE3E9D">
        <w:rPr>
          <w:rFonts w:ascii="Book Antiqua" w:hAnsi="Book Antiqua" w:cstheme="majorHAnsi"/>
          <w:color w:val="000000" w:themeColor="text1"/>
          <w:sz w:val="24"/>
          <w:szCs w:val="24"/>
          <w:lang w:val="en-GB"/>
        </w:rPr>
        <w:t xml:space="preserve"> court: Study of the legal culture of </w:t>
      </w:r>
      <w:proofErr w:type="spellStart"/>
      <w:r w:rsidRPr="00DE3E9D">
        <w:rPr>
          <w:rFonts w:ascii="Book Antiqua" w:hAnsi="Book Antiqua" w:cstheme="majorHAnsi"/>
          <w:color w:val="000000" w:themeColor="text1"/>
          <w:sz w:val="24"/>
          <w:szCs w:val="24"/>
          <w:lang w:val="en-GB"/>
        </w:rPr>
        <w:t>aceh</w:t>
      </w:r>
      <w:proofErr w:type="spellEnd"/>
      <w:r w:rsidRPr="00DE3E9D">
        <w:rPr>
          <w:rFonts w:ascii="Book Antiqua" w:hAnsi="Book Antiqua" w:cstheme="majorHAnsi"/>
          <w:color w:val="000000" w:themeColor="text1"/>
          <w:sz w:val="24"/>
          <w:szCs w:val="24"/>
          <w:lang w:val="en-GB"/>
        </w:rPr>
        <w:t xml:space="preserve"> communities completing the </w:t>
      </w:r>
      <w:proofErr w:type="spellStart"/>
      <w:r w:rsidRPr="00DE3E9D">
        <w:rPr>
          <w:rFonts w:ascii="Book Antiqua" w:hAnsi="Book Antiqua" w:cstheme="majorHAnsi"/>
          <w:color w:val="000000" w:themeColor="text1"/>
          <w:sz w:val="24"/>
          <w:szCs w:val="24"/>
          <w:lang w:val="en-GB"/>
        </w:rPr>
        <w:t>khalwat</w:t>
      </w:r>
      <w:proofErr w:type="spellEnd"/>
      <w:r w:rsidRPr="00DE3E9D">
        <w:rPr>
          <w:rFonts w:ascii="Book Antiqua" w:hAnsi="Book Antiqua" w:cstheme="majorHAnsi"/>
          <w:color w:val="000000" w:themeColor="text1"/>
          <w:sz w:val="24"/>
          <w:szCs w:val="24"/>
          <w:lang w:val="en-GB"/>
        </w:rPr>
        <w:t xml:space="preserve"> cases</w:t>
      </w:r>
      <w:r>
        <w:rPr>
          <w:rFonts w:ascii="Book Antiqua" w:hAnsi="Book Antiqua" w:cstheme="majorHAnsi"/>
          <w:color w:val="000000" w:themeColor="text1"/>
          <w:sz w:val="24"/>
          <w:szCs w:val="24"/>
          <w:lang w:val="en-GB"/>
        </w:rPr>
        <w:t>.</w:t>
      </w:r>
      <w:r w:rsidRPr="00DE3E9D">
        <w:rPr>
          <w:rFonts w:ascii="Book Antiqua" w:hAnsi="Book Antiqua" w:cstheme="majorHAnsi"/>
          <w:color w:val="000000" w:themeColor="text1"/>
          <w:sz w:val="24"/>
          <w:szCs w:val="24"/>
          <w:lang w:val="en-GB"/>
        </w:rPr>
        <w:t xml:space="preserve">” </w:t>
      </w:r>
      <w:r w:rsidRPr="000165E8">
        <w:rPr>
          <w:rFonts w:ascii="Book Antiqua" w:hAnsi="Book Antiqua" w:cstheme="majorHAnsi"/>
          <w:i/>
          <w:color w:val="000000" w:themeColor="text1"/>
          <w:sz w:val="24"/>
          <w:szCs w:val="24"/>
          <w:lang w:val="en-GB"/>
        </w:rPr>
        <w:t>International Journal of Recent Technology and Engineering</w:t>
      </w:r>
      <w:r w:rsidRPr="00DE3E9D">
        <w:rPr>
          <w:rFonts w:ascii="Book Antiqua" w:hAnsi="Book Antiqua" w:cstheme="majorHAnsi"/>
          <w:color w:val="000000" w:themeColor="text1"/>
          <w:sz w:val="24"/>
          <w:szCs w:val="24"/>
          <w:lang w:val="en-GB"/>
        </w:rPr>
        <w:t xml:space="preserve"> 7, no. 6 (2019): 1367–1370</w:t>
      </w:r>
      <w:r w:rsidRPr="00A26219">
        <w:rPr>
          <w:rFonts w:ascii="Book Antiqua" w:hAnsi="Book Antiqua" w:cstheme="majorHAnsi"/>
          <w:color w:val="000000" w:themeColor="text1"/>
          <w:sz w:val="24"/>
          <w:szCs w:val="24"/>
          <w:lang w:val="en-GB"/>
        </w:rPr>
        <w:t>.</w:t>
      </w:r>
    </w:p>
    <w:p w:rsidR="000165E8" w:rsidRDefault="000165E8" w:rsidP="00A26219">
      <w:pPr>
        <w:spacing w:after="120" w:line="240" w:lineRule="auto"/>
        <w:rPr>
          <w:rFonts w:ascii="Book Antiqua" w:hAnsi="Book Antiqua" w:cstheme="majorHAnsi"/>
          <w:i/>
          <w:color w:val="000000" w:themeColor="text1"/>
          <w:sz w:val="24"/>
          <w:szCs w:val="24"/>
          <w:lang w:val="en-GB"/>
        </w:rPr>
      </w:pPr>
    </w:p>
    <w:p w:rsidR="00A26219" w:rsidRPr="00A26219" w:rsidRDefault="00A26219" w:rsidP="00A26219">
      <w:pPr>
        <w:spacing w:after="120" w:line="240" w:lineRule="auto"/>
        <w:rPr>
          <w:rFonts w:ascii="Book Antiqua" w:hAnsi="Book Antiqua" w:cstheme="majorHAnsi"/>
          <w:i/>
          <w:color w:val="000000" w:themeColor="text1"/>
          <w:sz w:val="24"/>
          <w:szCs w:val="24"/>
          <w:lang w:val="en-GB"/>
        </w:rPr>
      </w:pPr>
      <w:r w:rsidRPr="00A26219">
        <w:rPr>
          <w:rFonts w:ascii="Book Antiqua" w:hAnsi="Book Antiqua" w:cstheme="majorHAnsi"/>
          <w:i/>
          <w:color w:val="000000" w:themeColor="text1"/>
          <w:sz w:val="24"/>
          <w:szCs w:val="24"/>
          <w:lang w:val="en-GB"/>
        </w:rPr>
        <w:t>Book</w:t>
      </w:r>
    </w:p>
    <w:p w:rsidR="00DE3E9D" w:rsidRPr="00DE3E9D" w:rsidRDefault="00DE3E9D" w:rsidP="00DE3E9D">
      <w:pPr>
        <w:pStyle w:val="FootnoteText"/>
        <w:tabs>
          <w:tab w:val="left" w:pos="567"/>
        </w:tabs>
        <w:spacing w:after="120"/>
        <w:ind w:left="567" w:hanging="567"/>
        <w:jc w:val="both"/>
        <w:rPr>
          <w:rFonts w:ascii="Book Antiqua" w:hAnsi="Book Antiqua"/>
          <w:sz w:val="24"/>
          <w:szCs w:val="24"/>
        </w:rPr>
      </w:pPr>
      <w:proofErr w:type="spellStart"/>
      <w:proofErr w:type="gramStart"/>
      <w:r w:rsidRPr="00DE3E9D">
        <w:rPr>
          <w:rFonts w:ascii="Book Antiqua" w:hAnsi="Book Antiqua"/>
          <w:sz w:val="24"/>
          <w:szCs w:val="24"/>
        </w:rPr>
        <w:t>Badan</w:t>
      </w:r>
      <w:proofErr w:type="spellEnd"/>
      <w:r w:rsidRPr="00DE3E9D">
        <w:rPr>
          <w:rFonts w:ascii="Book Antiqua" w:hAnsi="Book Antiqua"/>
          <w:sz w:val="24"/>
          <w:szCs w:val="24"/>
        </w:rPr>
        <w:t xml:space="preserve"> </w:t>
      </w:r>
      <w:proofErr w:type="spellStart"/>
      <w:r w:rsidRPr="00DE3E9D">
        <w:rPr>
          <w:rFonts w:ascii="Book Antiqua" w:hAnsi="Book Antiqua"/>
          <w:sz w:val="24"/>
          <w:szCs w:val="24"/>
        </w:rPr>
        <w:t>Statistik</w:t>
      </w:r>
      <w:proofErr w:type="spellEnd"/>
      <w:r w:rsidRPr="00DE3E9D">
        <w:rPr>
          <w:rFonts w:ascii="Book Antiqua" w:hAnsi="Book Antiqua"/>
          <w:sz w:val="24"/>
          <w:szCs w:val="24"/>
        </w:rPr>
        <w:t xml:space="preserve"> Indonesia</w:t>
      </w:r>
      <w:r w:rsidR="001648BA">
        <w:rPr>
          <w:rFonts w:ascii="Book Antiqua" w:hAnsi="Book Antiqua"/>
          <w:sz w:val="24"/>
          <w:szCs w:val="24"/>
        </w:rPr>
        <w:t>.</w:t>
      </w:r>
      <w:proofErr w:type="gramEnd"/>
      <w:r w:rsidRPr="00DE3E9D">
        <w:rPr>
          <w:rFonts w:ascii="Book Antiqua" w:hAnsi="Book Antiqua"/>
          <w:sz w:val="24"/>
          <w:szCs w:val="24"/>
        </w:rPr>
        <w:t xml:space="preserve"> </w:t>
      </w:r>
      <w:proofErr w:type="gramStart"/>
      <w:r w:rsidRPr="00DE3E9D">
        <w:rPr>
          <w:rFonts w:ascii="Book Antiqua" w:hAnsi="Book Antiqua"/>
          <w:i/>
          <w:sz w:val="24"/>
          <w:szCs w:val="24"/>
        </w:rPr>
        <w:t>Indonesia Statistics 2020</w:t>
      </w:r>
      <w:r w:rsidR="001648BA">
        <w:rPr>
          <w:rFonts w:ascii="Book Antiqua" w:hAnsi="Book Antiqua"/>
          <w:sz w:val="24"/>
          <w:szCs w:val="24"/>
        </w:rPr>
        <w:t>.</w:t>
      </w:r>
      <w:proofErr w:type="gramEnd"/>
      <w:r>
        <w:rPr>
          <w:rFonts w:ascii="Book Antiqua" w:hAnsi="Book Antiqua"/>
          <w:sz w:val="24"/>
          <w:szCs w:val="24"/>
        </w:rPr>
        <w:t xml:space="preserve"> </w:t>
      </w:r>
      <w:r w:rsidRPr="00DE3E9D">
        <w:rPr>
          <w:rFonts w:ascii="Book Antiqua" w:hAnsi="Book Antiqua"/>
          <w:sz w:val="24"/>
          <w:szCs w:val="24"/>
        </w:rPr>
        <w:t>Jakarta: BPS, 2020</w:t>
      </w:r>
      <w:r>
        <w:rPr>
          <w:rFonts w:ascii="Book Antiqua" w:hAnsi="Book Antiqua"/>
          <w:sz w:val="24"/>
          <w:szCs w:val="24"/>
        </w:rPr>
        <w:t>.</w:t>
      </w:r>
    </w:p>
    <w:p w:rsidR="00DE3E9D" w:rsidRPr="00DE3E9D" w:rsidRDefault="001648BA" w:rsidP="004A2BA9">
      <w:pPr>
        <w:spacing w:after="120" w:line="240" w:lineRule="auto"/>
        <w:ind w:left="540" w:hanging="540"/>
        <w:jc w:val="both"/>
        <w:rPr>
          <w:rFonts w:ascii="Book Antiqua" w:hAnsi="Book Antiqua"/>
          <w:sz w:val="24"/>
          <w:szCs w:val="24"/>
        </w:rPr>
      </w:pPr>
      <w:proofErr w:type="spellStart"/>
      <w:r>
        <w:rPr>
          <w:rFonts w:ascii="Book Antiqua" w:hAnsi="Book Antiqua"/>
          <w:sz w:val="24"/>
          <w:szCs w:val="24"/>
        </w:rPr>
        <w:t>Bewa</w:t>
      </w:r>
      <w:proofErr w:type="spellEnd"/>
      <w:r>
        <w:rPr>
          <w:rFonts w:ascii="Book Antiqua" w:hAnsi="Book Antiqua"/>
          <w:sz w:val="24"/>
          <w:szCs w:val="24"/>
        </w:rPr>
        <w:t xml:space="preserve"> </w:t>
      </w:r>
      <w:proofErr w:type="spellStart"/>
      <w:r>
        <w:rPr>
          <w:rFonts w:ascii="Book Antiqua" w:hAnsi="Book Antiqua"/>
          <w:sz w:val="24"/>
          <w:szCs w:val="24"/>
        </w:rPr>
        <w:t>Ragawino</w:t>
      </w:r>
      <w:proofErr w:type="spellEnd"/>
      <w:r>
        <w:rPr>
          <w:rFonts w:ascii="Book Antiqua" w:hAnsi="Book Antiqua"/>
          <w:sz w:val="24"/>
          <w:szCs w:val="24"/>
        </w:rPr>
        <w:t>.</w:t>
      </w:r>
      <w:r w:rsidR="00DE3E9D" w:rsidRPr="00DE3E9D">
        <w:rPr>
          <w:rFonts w:ascii="Book Antiqua" w:hAnsi="Book Antiqua"/>
          <w:sz w:val="24"/>
          <w:szCs w:val="24"/>
        </w:rPr>
        <w:t xml:space="preserve"> </w:t>
      </w:r>
      <w:proofErr w:type="spellStart"/>
      <w:proofErr w:type="gramStart"/>
      <w:r w:rsidR="00DE3E9D" w:rsidRPr="00DE3E9D">
        <w:rPr>
          <w:rFonts w:ascii="Book Antiqua" w:hAnsi="Book Antiqua"/>
          <w:i/>
          <w:sz w:val="24"/>
          <w:szCs w:val="24"/>
        </w:rPr>
        <w:t>Pengantar</w:t>
      </w:r>
      <w:proofErr w:type="spellEnd"/>
      <w:r w:rsidR="00DE3E9D" w:rsidRPr="00DE3E9D">
        <w:rPr>
          <w:rFonts w:ascii="Book Antiqua" w:hAnsi="Book Antiqua"/>
          <w:i/>
          <w:sz w:val="24"/>
          <w:szCs w:val="24"/>
        </w:rPr>
        <w:t xml:space="preserve"> </w:t>
      </w:r>
      <w:proofErr w:type="spellStart"/>
      <w:r w:rsidR="00DE3E9D" w:rsidRPr="00DE3E9D">
        <w:rPr>
          <w:rFonts w:ascii="Book Antiqua" w:hAnsi="Book Antiqua"/>
          <w:i/>
          <w:sz w:val="24"/>
          <w:szCs w:val="24"/>
        </w:rPr>
        <w:t>dan</w:t>
      </w:r>
      <w:proofErr w:type="spellEnd"/>
      <w:r w:rsidR="00DE3E9D" w:rsidRPr="00DE3E9D">
        <w:rPr>
          <w:rFonts w:ascii="Book Antiqua" w:hAnsi="Book Antiqua"/>
          <w:i/>
          <w:sz w:val="24"/>
          <w:szCs w:val="24"/>
        </w:rPr>
        <w:t xml:space="preserve"> </w:t>
      </w:r>
      <w:proofErr w:type="spellStart"/>
      <w:r w:rsidR="00DE3E9D" w:rsidRPr="00DE3E9D">
        <w:rPr>
          <w:rFonts w:ascii="Book Antiqua" w:hAnsi="Book Antiqua"/>
          <w:i/>
          <w:sz w:val="24"/>
          <w:szCs w:val="24"/>
        </w:rPr>
        <w:t>Asas-Asas</w:t>
      </w:r>
      <w:proofErr w:type="spellEnd"/>
      <w:r w:rsidR="00DE3E9D" w:rsidRPr="00DE3E9D">
        <w:rPr>
          <w:rFonts w:ascii="Book Antiqua" w:hAnsi="Book Antiqua"/>
          <w:i/>
          <w:sz w:val="24"/>
          <w:szCs w:val="24"/>
        </w:rPr>
        <w:t xml:space="preserve"> </w:t>
      </w:r>
      <w:proofErr w:type="spellStart"/>
      <w:r w:rsidR="00DE3E9D" w:rsidRPr="00DE3E9D">
        <w:rPr>
          <w:rFonts w:ascii="Book Antiqua" w:hAnsi="Book Antiqua"/>
          <w:i/>
          <w:sz w:val="24"/>
          <w:szCs w:val="24"/>
        </w:rPr>
        <w:t>Hukum</w:t>
      </w:r>
      <w:proofErr w:type="spellEnd"/>
      <w:r w:rsidR="00DE3E9D" w:rsidRPr="00DE3E9D">
        <w:rPr>
          <w:rFonts w:ascii="Book Antiqua" w:hAnsi="Book Antiqua"/>
          <w:i/>
          <w:sz w:val="24"/>
          <w:szCs w:val="24"/>
        </w:rPr>
        <w:t xml:space="preserve"> </w:t>
      </w:r>
      <w:proofErr w:type="spellStart"/>
      <w:r w:rsidR="00DE3E9D" w:rsidRPr="00DE3E9D">
        <w:rPr>
          <w:rFonts w:ascii="Book Antiqua" w:hAnsi="Book Antiqua"/>
          <w:i/>
          <w:sz w:val="24"/>
          <w:szCs w:val="24"/>
        </w:rPr>
        <w:t>Adat</w:t>
      </w:r>
      <w:proofErr w:type="spellEnd"/>
      <w:r w:rsidR="00DE3E9D" w:rsidRPr="00DE3E9D">
        <w:rPr>
          <w:rFonts w:ascii="Book Antiqua" w:hAnsi="Book Antiqua"/>
          <w:i/>
          <w:sz w:val="24"/>
          <w:szCs w:val="24"/>
        </w:rPr>
        <w:t xml:space="preserve"> Indonesia.</w:t>
      </w:r>
      <w:proofErr w:type="gramEnd"/>
      <w:r w:rsidR="00DE3E9D" w:rsidRPr="00DE3E9D">
        <w:rPr>
          <w:rFonts w:ascii="Book Antiqua" w:hAnsi="Book Antiqua"/>
          <w:sz w:val="24"/>
          <w:szCs w:val="24"/>
        </w:rPr>
        <w:t xml:space="preserve"> </w:t>
      </w:r>
      <w:proofErr w:type="spellStart"/>
      <w:r w:rsidR="00DE3E9D" w:rsidRPr="00DE3E9D">
        <w:rPr>
          <w:rFonts w:ascii="Book Antiqua" w:hAnsi="Book Antiqua"/>
          <w:sz w:val="24"/>
          <w:szCs w:val="24"/>
        </w:rPr>
        <w:t>Universitas</w:t>
      </w:r>
      <w:proofErr w:type="spellEnd"/>
      <w:r w:rsidR="00DE3E9D" w:rsidRPr="00DE3E9D">
        <w:rPr>
          <w:rFonts w:ascii="Book Antiqua" w:hAnsi="Book Antiqua"/>
          <w:sz w:val="24"/>
          <w:szCs w:val="24"/>
        </w:rPr>
        <w:t xml:space="preserve"> </w:t>
      </w:r>
      <w:proofErr w:type="spellStart"/>
      <w:r w:rsidR="00DE3E9D" w:rsidRPr="00DE3E9D">
        <w:rPr>
          <w:rFonts w:ascii="Book Antiqua" w:hAnsi="Book Antiqua"/>
          <w:sz w:val="24"/>
          <w:szCs w:val="24"/>
        </w:rPr>
        <w:t>Padjajaran</w:t>
      </w:r>
      <w:proofErr w:type="spellEnd"/>
      <w:r w:rsidR="00DE3E9D" w:rsidRPr="00DE3E9D">
        <w:rPr>
          <w:rFonts w:ascii="Book Antiqua" w:hAnsi="Book Antiqua"/>
          <w:sz w:val="24"/>
          <w:szCs w:val="24"/>
        </w:rPr>
        <w:t>, 2001.</w:t>
      </w:r>
    </w:p>
    <w:p w:rsidR="00DE3E9D" w:rsidRPr="00DE3E9D" w:rsidRDefault="00DE3E9D" w:rsidP="00DE3E9D">
      <w:pPr>
        <w:pStyle w:val="FootnoteText"/>
        <w:tabs>
          <w:tab w:val="left" w:pos="540"/>
          <w:tab w:val="left" w:pos="567"/>
        </w:tabs>
        <w:spacing w:after="120"/>
        <w:ind w:left="567" w:hanging="567"/>
        <w:jc w:val="both"/>
        <w:rPr>
          <w:rFonts w:ascii="Book Antiqua" w:hAnsi="Book Antiqua"/>
          <w:sz w:val="24"/>
          <w:szCs w:val="24"/>
        </w:rPr>
      </w:pPr>
      <w:r w:rsidRPr="00DE3E9D">
        <w:rPr>
          <w:rFonts w:ascii="Book Antiqua" w:hAnsi="Book Antiqua"/>
          <w:sz w:val="24"/>
          <w:szCs w:val="24"/>
        </w:rPr>
        <w:fldChar w:fldCharType="begin" w:fldLock="1"/>
      </w:r>
      <w:r w:rsidRPr="00DE3E9D">
        <w:rPr>
          <w:rFonts w:ascii="Book Antiqua" w:hAnsi="Book Antiqua"/>
          <w:sz w:val="24"/>
          <w:szCs w:val="24"/>
        </w:rPr>
        <w:instrText>ADDIN CSL_CITATION {"citationItems":[{"id":"ITEM-1","itemData":{"author":[{"dropping-particle":"","family":"Diantha","given":"I Made Pasek","non-dropping-particle":"","parse-names":false,"suffix":""}],"id":"ITEM-1","issued":{"date-parts":[["2017"]]},"number-of-pages":"159","publisher":"Prenanda Media Group","publisher-place":"Jakarta","title":"Metodologi Penelitian Hukum Normatif Dalam Justifikasi Teori Hukum","type":"book"},"uris":["http://www.mendeley.com/documents/?uuid=b2086330-bd88-4bbb-b5f6-738d08f33f04"]}],"mendeley":{"formattedCitation":"I Made Pasek Diantha, &lt;i&gt;Metodologi Penelitian Hukum Normatif Dalam Justifikasi Teori Hukum&lt;/i&gt; (Jakarta: Prenanda Media Group, 2017).","plainTextFormattedCitation":"I Made Pasek Diantha, Metodologi Penelitian Hukum Normatif Dalam Justifikasi Teori Hukum (Jakarta: Prenanda Media Group, 2017).","previouslyFormattedCitation":"(Diantha 2017)"},"properties":{"noteIndex":3},"schema":"https://github.com/citation-style-language/schema/raw/master/csl-citation.json"}</w:instrText>
      </w:r>
      <w:r w:rsidRPr="00DE3E9D">
        <w:rPr>
          <w:rFonts w:ascii="Book Antiqua" w:hAnsi="Book Antiqua"/>
          <w:sz w:val="24"/>
          <w:szCs w:val="24"/>
        </w:rPr>
        <w:fldChar w:fldCharType="separate"/>
      </w:r>
      <w:r w:rsidR="001648BA">
        <w:rPr>
          <w:rFonts w:ascii="Book Antiqua" w:hAnsi="Book Antiqua"/>
          <w:noProof/>
          <w:sz w:val="24"/>
          <w:szCs w:val="24"/>
        </w:rPr>
        <w:t>I Made Pasek Diantha.</w:t>
      </w:r>
      <w:r w:rsidRPr="00DE3E9D">
        <w:rPr>
          <w:rFonts w:ascii="Book Antiqua" w:hAnsi="Book Antiqua"/>
          <w:noProof/>
          <w:sz w:val="24"/>
          <w:szCs w:val="24"/>
        </w:rPr>
        <w:t xml:space="preserve"> </w:t>
      </w:r>
      <w:r w:rsidRPr="00DE3E9D">
        <w:rPr>
          <w:rFonts w:ascii="Book Antiqua" w:hAnsi="Book Antiqua"/>
          <w:i/>
          <w:noProof/>
          <w:sz w:val="24"/>
          <w:szCs w:val="24"/>
        </w:rPr>
        <w:t>Metodologi Penelitian Hukum Normatif</w:t>
      </w:r>
      <w:r w:rsidR="001648BA">
        <w:rPr>
          <w:rFonts w:ascii="Book Antiqua" w:hAnsi="Book Antiqua"/>
          <w:i/>
          <w:noProof/>
          <w:sz w:val="24"/>
          <w:szCs w:val="24"/>
        </w:rPr>
        <w:t xml:space="preserve"> Dalam Justifikasi Teori Hukum.</w:t>
      </w:r>
      <w:r w:rsidRPr="00DE3E9D">
        <w:rPr>
          <w:rFonts w:ascii="Book Antiqua" w:hAnsi="Book Antiqua"/>
          <w:noProof/>
          <w:sz w:val="24"/>
          <w:szCs w:val="24"/>
        </w:rPr>
        <w:t xml:space="preserve"> Jakar</w:t>
      </w:r>
      <w:r w:rsidR="001648BA">
        <w:rPr>
          <w:rFonts w:ascii="Book Antiqua" w:hAnsi="Book Antiqua"/>
          <w:noProof/>
          <w:sz w:val="24"/>
          <w:szCs w:val="24"/>
        </w:rPr>
        <w:t>ta: Prenanda Media Group, 2017</w:t>
      </w:r>
      <w:r w:rsidRPr="00DE3E9D">
        <w:rPr>
          <w:rFonts w:ascii="Book Antiqua" w:hAnsi="Book Antiqua"/>
          <w:noProof/>
          <w:sz w:val="24"/>
          <w:szCs w:val="24"/>
        </w:rPr>
        <w:t>.</w:t>
      </w:r>
      <w:r w:rsidRPr="00DE3E9D">
        <w:rPr>
          <w:rFonts w:ascii="Book Antiqua" w:hAnsi="Book Antiqua"/>
          <w:sz w:val="24"/>
          <w:szCs w:val="24"/>
        </w:rPr>
        <w:fldChar w:fldCharType="end"/>
      </w:r>
    </w:p>
    <w:p w:rsidR="00DE3E9D" w:rsidRPr="00DE3E9D" w:rsidRDefault="001648BA" w:rsidP="004A2BA9">
      <w:pPr>
        <w:spacing w:after="120" w:line="240" w:lineRule="auto"/>
        <w:ind w:left="540" w:hanging="540"/>
        <w:jc w:val="both"/>
        <w:rPr>
          <w:rFonts w:ascii="Book Antiqua" w:hAnsi="Book Antiqua"/>
          <w:sz w:val="24"/>
          <w:szCs w:val="24"/>
          <w:lang w:val="en-GB"/>
        </w:rPr>
      </w:pPr>
      <w:proofErr w:type="spellStart"/>
      <w:r>
        <w:rPr>
          <w:rFonts w:ascii="Book Antiqua" w:hAnsi="Book Antiqua"/>
          <w:sz w:val="24"/>
          <w:szCs w:val="24"/>
        </w:rPr>
        <w:t>Soerojo</w:t>
      </w:r>
      <w:proofErr w:type="spellEnd"/>
      <w:r>
        <w:rPr>
          <w:rFonts w:ascii="Book Antiqua" w:hAnsi="Book Antiqua"/>
          <w:sz w:val="24"/>
          <w:szCs w:val="24"/>
        </w:rPr>
        <w:t xml:space="preserve"> </w:t>
      </w:r>
      <w:proofErr w:type="spellStart"/>
      <w:r>
        <w:rPr>
          <w:rFonts w:ascii="Book Antiqua" w:hAnsi="Book Antiqua"/>
          <w:sz w:val="24"/>
          <w:szCs w:val="24"/>
        </w:rPr>
        <w:t>Wignjodipoero</w:t>
      </w:r>
      <w:proofErr w:type="spellEnd"/>
      <w:r>
        <w:rPr>
          <w:rFonts w:ascii="Book Antiqua" w:hAnsi="Book Antiqua"/>
          <w:sz w:val="24"/>
          <w:szCs w:val="24"/>
        </w:rPr>
        <w:t xml:space="preserve">. </w:t>
      </w:r>
      <w:proofErr w:type="spellStart"/>
      <w:proofErr w:type="gramStart"/>
      <w:r w:rsidR="00DE3E9D" w:rsidRPr="00DE3E9D">
        <w:rPr>
          <w:rFonts w:ascii="Book Antiqua" w:hAnsi="Book Antiqua"/>
          <w:i/>
          <w:sz w:val="24"/>
          <w:szCs w:val="24"/>
        </w:rPr>
        <w:t>Pengantar</w:t>
      </w:r>
      <w:proofErr w:type="spellEnd"/>
      <w:r w:rsidR="00DE3E9D" w:rsidRPr="00DE3E9D">
        <w:rPr>
          <w:rFonts w:ascii="Book Antiqua" w:hAnsi="Book Antiqua"/>
          <w:i/>
          <w:sz w:val="24"/>
          <w:szCs w:val="24"/>
        </w:rPr>
        <w:t xml:space="preserve"> </w:t>
      </w:r>
      <w:proofErr w:type="spellStart"/>
      <w:r w:rsidR="00DE3E9D" w:rsidRPr="00DE3E9D">
        <w:rPr>
          <w:rFonts w:ascii="Book Antiqua" w:hAnsi="Book Antiqua"/>
          <w:i/>
          <w:sz w:val="24"/>
          <w:szCs w:val="24"/>
        </w:rPr>
        <w:t>dan</w:t>
      </w:r>
      <w:proofErr w:type="spellEnd"/>
      <w:r w:rsidR="00DE3E9D" w:rsidRPr="00DE3E9D">
        <w:rPr>
          <w:rFonts w:ascii="Book Antiqua" w:hAnsi="Book Antiqua"/>
          <w:i/>
          <w:sz w:val="24"/>
          <w:szCs w:val="24"/>
        </w:rPr>
        <w:t xml:space="preserve"> </w:t>
      </w:r>
      <w:proofErr w:type="spellStart"/>
      <w:r w:rsidR="00DE3E9D" w:rsidRPr="00DE3E9D">
        <w:rPr>
          <w:rFonts w:ascii="Book Antiqua" w:hAnsi="Book Antiqua"/>
          <w:i/>
          <w:sz w:val="24"/>
          <w:szCs w:val="24"/>
        </w:rPr>
        <w:t>Asas-Asas</w:t>
      </w:r>
      <w:proofErr w:type="spellEnd"/>
      <w:r w:rsidR="00DE3E9D" w:rsidRPr="00DE3E9D">
        <w:rPr>
          <w:rFonts w:ascii="Book Antiqua" w:hAnsi="Book Antiqua"/>
          <w:i/>
          <w:sz w:val="24"/>
          <w:szCs w:val="24"/>
        </w:rPr>
        <w:t xml:space="preserve"> </w:t>
      </w:r>
      <w:proofErr w:type="spellStart"/>
      <w:r w:rsidR="00DE3E9D" w:rsidRPr="00DE3E9D">
        <w:rPr>
          <w:rFonts w:ascii="Book Antiqua" w:hAnsi="Book Antiqua"/>
          <w:i/>
          <w:sz w:val="24"/>
          <w:szCs w:val="24"/>
        </w:rPr>
        <w:t>Hukum</w:t>
      </w:r>
      <w:proofErr w:type="spellEnd"/>
      <w:r w:rsidR="00DE3E9D" w:rsidRPr="00DE3E9D">
        <w:rPr>
          <w:rFonts w:ascii="Book Antiqua" w:hAnsi="Book Antiqua"/>
          <w:i/>
          <w:sz w:val="24"/>
          <w:szCs w:val="24"/>
        </w:rPr>
        <w:t xml:space="preserve"> </w:t>
      </w:r>
      <w:proofErr w:type="spellStart"/>
      <w:r w:rsidR="00DE3E9D" w:rsidRPr="00DE3E9D">
        <w:rPr>
          <w:rFonts w:ascii="Book Antiqua" w:hAnsi="Book Antiqua"/>
          <w:i/>
          <w:sz w:val="24"/>
          <w:szCs w:val="24"/>
        </w:rPr>
        <w:t>Adat</w:t>
      </w:r>
      <w:proofErr w:type="spellEnd"/>
      <w:r>
        <w:rPr>
          <w:rFonts w:ascii="Book Antiqua" w:hAnsi="Book Antiqua"/>
          <w:i/>
          <w:sz w:val="24"/>
          <w:szCs w:val="24"/>
        </w:rPr>
        <w:t>.</w:t>
      </w:r>
      <w:proofErr w:type="gramEnd"/>
      <w:r>
        <w:rPr>
          <w:rFonts w:ascii="Book Antiqua" w:hAnsi="Book Antiqua"/>
          <w:i/>
          <w:sz w:val="24"/>
          <w:szCs w:val="24"/>
        </w:rPr>
        <w:t xml:space="preserve"> </w:t>
      </w:r>
      <w:r w:rsidR="00DE3E9D" w:rsidRPr="00DE3E9D">
        <w:rPr>
          <w:rFonts w:ascii="Book Antiqua" w:hAnsi="Book Antiqua"/>
          <w:sz w:val="24"/>
          <w:szCs w:val="24"/>
        </w:rPr>
        <w:t>Bandung: Alumni, 1971</w:t>
      </w:r>
      <w:r w:rsidR="00DE3E9D">
        <w:rPr>
          <w:rFonts w:ascii="Book Antiqua" w:hAnsi="Book Antiqua"/>
          <w:sz w:val="24"/>
          <w:szCs w:val="24"/>
        </w:rPr>
        <w:t>.</w:t>
      </w:r>
    </w:p>
    <w:p w:rsidR="004A2BA9" w:rsidRDefault="004A2BA9" w:rsidP="004A2BA9"/>
    <w:p w:rsidR="004A2BA9" w:rsidRPr="00A26219" w:rsidRDefault="004A2BA9" w:rsidP="00651623">
      <w:pPr>
        <w:spacing w:after="120" w:line="240" w:lineRule="auto"/>
        <w:ind w:left="547" w:hanging="547"/>
        <w:jc w:val="both"/>
        <w:rPr>
          <w:rFonts w:ascii="Book Antiqua" w:hAnsi="Book Antiqua" w:cstheme="majorHAnsi"/>
          <w:color w:val="000000" w:themeColor="text1"/>
          <w:sz w:val="24"/>
          <w:szCs w:val="24"/>
          <w:lang w:val="en-GB"/>
        </w:rPr>
      </w:pPr>
    </w:p>
    <w:p w:rsidR="00F246FE" w:rsidRPr="00F246FE" w:rsidRDefault="00F246FE" w:rsidP="00A26219">
      <w:pPr>
        <w:spacing w:after="120" w:line="240" w:lineRule="auto"/>
        <w:rPr>
          <w:lang w:val="en-GB" w:eastAsia="fi-FI" w:bidi="ar-SA"/>
        </w:rPr>
      </w:pPr>
      <w:r w:rsidRPr="00F246FE">
        <w:rPr>
          <w:rFonts w:ascii="Book Antiqua" w:hAnsi="Book Antiqua" w:cstheme="majorHAnsi"/>
          <w:color w:val="000000" w:themeColor="text1"/>
          <w:sz w:val="24"/>
          <w:szCs w:val="24"/>
          <w:lang w:val="en-GB"/>
        </w:rPr>
        <w:tab/>
      </w:r>
    </w:p>
    <w:bookmarkEnd w:id="0"/>
    <w:bookmarkEnd w:id="1"/>
    <w:p w:rsidR="004B1F20" w:rsidRDefault="004B1F20" w:rsidP="00A26219">
      <w:pPr>
        <w:pStyle w:val="Heading3"/>
        <w:spacing w:before="0" w:line="240" w:lineRule="auto"/>
        <w:jc w:val="both"/>
        <w:rPr>
          <w:rStyle w:val="Heading1Char"/>
          <w:rFonts w:asciiTheme="majorHAnsi" w:hAnsiTheme="majorHAnsi" w:cstheme="majorHAnsi"/>
          <w:b/>
          <w:sz w:val="36"/>
          <w:lang w:val="id-ID"/>
        </w:rPr>
      </w:pPr>
    </w:p>
    <w:sectPr w:rsidR="004B1F20" w:rsidSect="00B4626A">
      <w:footerReference w:type="even" r:id="rId17"/>
      <w:footerReference w:type="default" r:id="rId18"/>
      <w:headerReference w:type="first" r:id="rId19"/>
      <w:pgSz w:w="11906" w:h="16838" w:code="9"/>
      <w:pgMar w:top="925" w:right="1134" w:bottom="1134" w:left="1134"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677152" w15:done="0"/>
  <w15:commentEx w15:paraId="4F732EFB" w15:done="0"/>
  <w15:commentEx w15:paraId="398F12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09B" w:rsidRDefault="0059209B" w:rsidP="00934130">
      <w:pPr>
        <w:spacing w:after="0" w:line="240" w:lineRule="auto"/>
      </w:pPr>
      <w:r>
        <w:separator/>
      </w:r>
    </w:p>
  </w:endnote>
  <w:endnote w:type="continuationSeparator" w:id="0">
    <w:p w:rsidR="0059209B" w:rsidRDefault="0059209B"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rinda">
    <w:panose1 w:val="00000400000000000000"/>
    <w:charset w:val="01"/>
    <w:family w:val="roman"/>
    <w:notTrueType/>
    <w:pitch w:val="variable"/>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2991"/>
      <w:docPartObj>
        <w:docPartGallery w:val="Page Numbers (Bottom of Page)"/>
        <w:docPartUnique/>
      </w:docPartObj>
    </w:sdtPr>
    <w:sdtEndPr>
      <w:rPr>
        <w:color w:val="7F7F7F" w:themeColor="background1" w:themeShade="7F"/>
        <w:spacing w:val="60"/>
      </w:rPr>
    </w:sdtEndPr>
    <w:sdtContent>
      <w:p w:rsidR="00EB20FC" w:rsidRDefault="00EB20FC" w:rsidP="0038264A">
        <w:pPr>
          <w:pStyle w:val="Footer"/>
          <w:pBdr>
            <w:top w:val="single" w:sz="4" w:space="1" w:color="D9D9D9" w:themeColor="background1" w:themeShade="D9"/>
          </w:pBdr>
          <w:rPr>
            <w:b/>
            <w:bCs/>
          </w:rPr>
        </w:pPr>
        <w:r w:rsidRPr="0038264A">
          <w:rPr>
            <w:rFonts w:asciiTheme="majorHAnsi" w:hAnsiTheme="majorHAnsi" w:cstheme="majorHAnsi"/>
            <w:b/>
            <w:noProof/>
            <w:sz w:val="24"/>
            <w:lang w:bidi="ar-SA"/>
          </w:rPr>
          <mc:AlternateContent>
            <mc:Choice Requires="wps">
              <w:drawing>
                <wp:anchor distT="45720" distB="45720" distL="114300" distR="114300" simplePos="0" relativeHeight="251674624" behindDoc="0" locked="0" layoutInCell="1" allowOverlap="1" wp14:anchorId="6E86C837" wp14:editId="43BBD65F">
                  <wp:simplePos x="0" y="0"/>
                  <wp:positionH relativeFrom="column">
                    <wp:posOffset>390525</wp:posOffset>
                  </wp:positionH>
                  <wp:positionV relativeFrom="paragraph">
                    <wp:posOffset>0</wp:posOffset>
                  </wp:positionV>
                  <wp:extent cx="5791200" cy="6381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38175"/>
                          </a:xfrm>
                          <a:prstGeom prst="rect">
                            <a:avLst/>
                          </a:prstGeom>
                          <a:solidFill>
                            <a:schemeClr val="bg1"/>
                          </a:solidFill>
                          <a:ln w="12700">
                            <a:noFill/>
                            <a:miter lim="800000"/>
                            <a:headEnd/>
                            <a:tailEnd/>
                          </a:ln>
                        </wps:spPr>
                        <wps:txbx>
                          <w:txbxContent>
                            <w:p w:rsidR="00F211B0" w:rsidRDefault="00F211B0" w:rsidP="0038264A">
                              <w:pPr>
                                <w:spacing w:after="0" w:line="240" w:lineRule="auto"/>
                                <w:jc w:val="right"/>
                                <w:rPr>
                                  <w:rFonts w:ascii="Book Antiqua" w:hAnsi="Book Antiqua"/>
                                  <w:b/>
                                  <w:i/>
                                  <w:color w:val="000000" w:themeColor="text1"/>
                                  <w:sz w:val="16"/>
                                  <w:szCs w:val="16"/>
                                </w:rPr>
                              </w:pPr>
                              <w:proofErr w:type="spellStart"/>
                              <w:r>
                                <w:rPr>
                                  <w:rFonts w:ascii="Book Antiqua" w:hAnsi="Book Antiqua"/>
                                  <w:b/>
                                  <w:i/>
                                  <w:color w:val="000000" w:themeColor="text1"/>
                                  <w:sz w:val="16"/>
                                  <w:szCs w:val="16"/>
                                </w:rPr>
                                <w:t>Teuku</w:t>
                              </w:r>
                              <w:proofErr w:type="spellEnd"/>
                              <w:r>
                                <w:rPr>
                                  <w:rFonts w:ascii="Book Antiqua" w:hAnsi="Book Antiqua"/>
                                  <w:b/>
                                  <w:i/>
                                  <w:color w:val="000000" w:themeColor="text1"/>
                                  <w:sz w:val="16"/>
                                  <w:szCs w:val="16"/>
                                </w:rPr>
                                <w:t xml:space="preserve"> </w:t>
                              </w:r>
                              <w:proofErr w:type="spellStart"/>
                              <w:r>
                                <w:rPr>
                                  <w:rFonts w:ascii="Book Antiqua" w:hAnsi="Book Antiqua"/>
                                  <w:b/>
                                  <w:i/>
                                  <w:color w:val="000000" w:themeColor="text1"/>
                                  <w:sz w:val="16"/>
                                  <w:szCs w:val="16"/>
                                </w:rPr>
                                <w:t>Yudi</w:t>
                              </w:r>
                              <w:proofErr w:type="spellEnd"/>
                              <w:r>
                                <w:rPr>
                                  <w:rFonts w:ascii="Book Antiqua" w:hAnsi="Book Antiqua"/>
                                  <w:b/>
                                  <w:i/>
                                  <w:color w:val="000000" w:themeColor="text1"/>
                                  <w:sz w:val="16"/>
                                  <w:szCs w:val="16"/>
                                </w:rPr>
                                <w:t xml:space="preserve"> </w:t>
                              </w:r>
                              <w:proofErr w:type="spellStart"/>
                              <w:r>
                                <w:rPr>
                                  <w:rFonts w:ascii="Book Antiqua" w:hAnsi="Book Antiqua"/>
                                  <w:b/>
                                  <w:i/>
                                  <w:color w:val="000000" w:themeColor="text1"/>
                                  <w:sz w:val="16"/>
                                  <w:szCs w:val="16"/>
                                </w:rPr>
                                <w:t>Afrizal</w:t>
                              </w:r>
                              <w:proofErr w:type="gramStart"/>
                              <w:r w:rsidR="008539D5">
                                <w:rPr>
                                  <w:rFonts w:ascii="Book Antiqua" w:hAnsi="Book Antiqua"/>
                                  <w:b/>
                                  <w:i/>
                                  <w:color w:val="000000" w:themeColor="text1"/>
                                  <w:sz w:val="16"/>
                                  <w:szCs w:val="16"/>
                                </w:rPr>
                                <w:t>,</w:t>
                              </w:r>
                              <w:r>
                                <w:rPr>
                                  <w:rFonts w:ascii="Book Antiqua" w:hAnsi="Book Antiqua"/>
                                  <w:b/>
                                  <w:i/>
                                  <w:color w:val="000000" w:themeColor="text1"/>
                                  <w:sz w:val="16"/>
                                  <w:szCs w:val="16"/>
                                </w:rPr>
                                <w:t>T</w:t>
                              </w:r>
                              <w:proofErr w:type="spellEnd"/>
                              <w:proofErr w:type="gramEnd"/>
                              <w:r>
                                <w:rPr>
                                  <w:rFonts w:ascii="Book Antiqua" w:hAnsi="Book Antiqua"/>
                                  <w:b/>
                                  <w:i/>
                                  <w:color w:val="000000" w:themeColor="text1"/>
                                  <w:sz w:val="16"/>
                                  <w:szCs w:val="16"/>
                                </w:rPr>
                                <w:t xml:space="preserve">. </w:t>
                              </w:r>
                              <w:proofErr w:type="spellStart"/>
                              <w:r>
                                <w:rPr>
                                  <w:rFonts w:ascii="Book Antiqua" w:hAnsi="Book Antiqua"/>
                                  <w:b/>
                                  <w:i/>
                                  <w:color w:val="000000" w:themeColor="text1"/>
                                  <w:sz w:val="16"/>
                                  <w:szCs w:val="16"/>
                                </w:rPr>
                                <w:t>Saifullah</w:t>
                              </w:r>
                              <w:proofErr w:type="spellEnd"/>
                              <w:r w:rsidR="00EB20FC" w:rsidRPr="0038264A">
                                <w:rPr>
                                  <w:rFonts w:ascii="Book Antiqua" w:hAnsi="Book Antiqua"/>
                                  <w:b/>
                                  <w:i/>
                                  <w:color w:val="000000" w:themeColor="text1"/>
                                  <w:sz w:val="16"/>
                                  <w:szCs w:val="16"/>
                                </w:rPr>
                                <w:t>, “</w:t>
                              </w:r>
                              <w:r w:rsidRPr="00F211B0">
                                <w:rPr>
                                  <w:rFonts w:ascii="Book Antiqua" w:hAnsi="Book Antiqua"/>
                                  <w:b/>
                                  <w:i/>
                                  <w:color w:val="000000" w:themeColor="text1"/>
                                  <w:sz w:val="16"/>
                                  <w:szCs w:val="16"/>
                                </w:rPr>
                                <w:t>Legal Certainty In Customary Jurisdictions</w:t>
                              </w:r>
                            </w:p>
                            <w:p w:rsidR="00EB20FC" w:rsidRPr="0038264A" w:rsidRDefault="00F211B0" w:rsidP="0038264A">
                              <w:pPr>
                                <w:spacing w:after="0" w:line="240" w:lineRule="auto"/>
                                <w:jc w:val="right"/>
                                <w:rPr>
                                  <w:rFonts w:ascii="Book Antiqua" w:hAnsi="Book Antiqua"/>
                                  <w:b/>
                                  <w:i/>
                                  <w:color w:val="000000" w:themeColor="text1"/>
                                  <w:sz w:val="16"/>
                                  <w:szCs w:val="16"/>
                                </w:rPr>
                              </w:pPr>
                              <w:r w:rsidRPr="00F211B0">
                                <w:rPr>
                                  <w:rFonts w:ascii="Book Antiqua" w:hAnsi="Book Antiqua"/>
                                  <w:b/>
                                  <w:i/>
                                  <w:color w:val="000000" w:themeColor="text1"/>
                                  <w:sz w:val="16"/>
                                  <w:szCs w:val="16"/>
                                </w:rPr>
                                <w:t xml:space="preserve"> (Case Study </w:t>
                              </w:r>
                              <w:proofErr w:type="gramStart"/>
                              <w:r w:rsidRPr="00F211B0">
                                <w:rPr>
                                  <w:rFonts w:ascii="Book Antiqua" w:hAnsi="Book Antiqua"/>
                                  <w:b/>
                                  <w:i/>
                                  <w:color w:val="000000" w:themeColor="text1"/>
                                  <w:sz w:val="16"/>
                                  <w:szCs w:val="16"/>
                                </w:rPr>
                                <w:t>In</w:t>
                              </w:r>
                              <w:proofErr w:type="gramEnd"/>
                              <w:r w:rsidRPr="00F211B0">
                                <w:rPr>
                                  <w:rFonts w:ascii="Book Antiqua" w:hAnsi="Book Antiqua"/>
                                  <w:b/>
                                  <w:i/>
                                  <w:color w:val="000000" w:themeColor="text1"/>
                                  <w:sz w:val="16"/>
                                  <w:szCs w:val="16"/>
                                </w:rPr>
                                <w:t xml:space="preserve"> </w:t>
                              </w:r>
                              <w:proofErr w:type="spellStart"/>
                              <w:r w:rsidRPr="00F211B0">
                                <w:rPr>
                                  <w:rFonts w:ascii="Book Antiqua" w:hAnsi="Book Antiqua"/>
                                  <w:b/>
                                  <w:i/>
                                  <w:color w:val="000000" w:themeColor="text1"/>
                                  <w:sz w:val="16"/>
                                  <w:szCs w:val="16"/>
                                </w:rPr>
                                <w:t>Muara</w:t>
                              </w:r>
                              <w:proofErr w:type="spellEnd"/>
                              <w:r w:rsidRPr="00F211B0">
                                <w:rPr>
                                  <w:rFonts w:ascii="Book Antiqua" w:hAnsi="Book Antiqua"/>
                                  <w:b/>
                                  <w:i/>
                                  <w:color w:val="000000" w:themeColor="text1"/>
                                  <w:sz w:val="16"/>
                                  <w:szCs w:val="16"/>
                                </w:rPr>
                                <w:t xml:space="preserve"> </w:t>
                              </w:r>
                              <w:proofErr w:type="spellStart"/>
                              <w:r w:rsidRPr="00F211B0">
                                <w:rPr>
                                  <w:rFonts w:ascii="Book Antiqua" w:hAnsi="Book Antiqua"/>
                                  <w:b/>
                                  <w:i/>
                                  <w:color w:val="000000" w:themeColor="text1"/>
                                  <w:sz w:val="16"/>
                                  <w:szCs w:val="16"/>
                                </w:rPr>
                                <w:t>Batu</w:t>
                              </w:r>
                              <w:proofErr w:type="spellEnd"/>
                              <w:r w:rsidRPr="00F211B0">
                                <w:rPr>
                                  <w:rFonts w:ascii="Book Antiqua" w:hAnsi="Book Antiqua"/>
                                  <w:b/>
                                  <w:i/>
                                  <w:color w:val="000000" w:themeColor="text1"/>
                                  <w:sz w:val="16"/>
                                  <w:szCs w:val="16"/>
                                </w:rPr>
                                <w:t xml:space="preserve"> District, North Aceh)</w:t>
                              </w:r>
                              <w:r w:rsidR="00EB20FC" w:rsidRPr="0038264A">
                                <w:rPr>
                                  <w:rFonts w:ascii="Book Antiqua" w:hAnsi="Book Antiqua"/>
                                  <w:b/>
                                  <w:i/>
                                  <w:color w:val="000000" w:themeColor="text1"/>
                                  <w:sz w:val="16"/>
                                  <w:szCs w:val="16"/>
                                </w:rPr>
                                <w:t>”</w:t>
                              </w:r>
                            </w:p>
                            <w:p w:rsidR="00EB20FC" w:rsidRPr="00A46894" w:rsidRDefault="00EB20FC" w:rsidP="0038264A">
                              <w:pPr>
                                <w:spacing w:after="0" w:line="240" w:lineRule="auto"/>
                                <w:jc w:val="right"/>
                                <w:rPr>
                                  <w:rFonts w:ascii="Book Antiqua" w:hAnsi="Book Antiqua"/>
                                  <w:b/>
                                  <w:i/>
                                  <w:color w:val="000000" w:themeColor="text1"/>
                                  <w:sz w:val="16"/>
                                  <w:szCs w:val="16"/>
                                </w:rPr>
                              </w:pPr>
                              <w:r w:rsidRPr="0038264A">
                                <w:rPr>
                                  <w:rFonts w:ascii="Book Antiqua" w:hAnsi="Book Antiqua"/>
                                  <w:b/>
                                  <w:i/>
                                  <w:color w:val="000000" w:themeColor="text1"/>
                                  <w:sz w:val="16"/>
                                  <w:szCs w:val="16"/>
                                </w:rPr>
                                <w:t>SASI,</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27</w:t>
                              </w:r>
                              <w:r w:rsidRPr="0038264A">
                                <w:rPr>
                                  <w:rFonts w:ascii="Book Antiqua" w:hAnsi="Book Antiqua"/>
                                  <w:b/>
                                  <w:i/>
                                  <w:color w:val="000000" w:themeColor="text1"/>
                                  <w:sz w:val="16"/>
                                  <w:szCs w:val="16"/>
                                  <w:lang w:val="id-ID"/>
                                </w:rPr>
                                <w:t>(1)</w:t>
                              </w:r>
                              <w:r w:rsidRPr="0038264A">
                                <w:rPr>
                                  <w:rFonts w:ascii="Book Antiqua" w:hAnsi="Book Antiqua"/>
                                  <w:b/>
                                  <w:i/>
                                  <w:color w:val="000000" w:themeColor="text1"/>
                                  <w:sz w:val="16"/>
                                  <w:szCs w:val="16"/>
                                </w:rPr>
                                <w:t xml:space="preserve"> 2022</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1</w:t>
                              </w:r>
                              <w:r w:rsidRPr="0038264A">
                                <w:rPr>
                                  <w:rFonts w:ascii="Book Antiqua" w:hAnsi="Book Antiqua"/>
                                  <w:b/>
                                  <w:i/>
                                  <w:color w:val="000000" w:themeColor="text1"/>
                                  <w:sz w:val="16"/>
                                  <w:szCs w:val="16"/>
                                  <w:lang w:val="id-ID"/>
                                </w:rPr>
                                <w:t>-1</w:t>
                              </w:r>
                              <w:r w:rsidR="00A46894">
                                <w:rPr>
                                  <w:rFonts w:ascii="Book Antiqua" w:hAnsi="Book Antiqua"/>
                                  <w:b/>
                                  <w:i/>
                                  <w:color w:val="000000" w:themeColor="text1"/>
                                  <w:sz w:val="16"/>
                                  <w:szCs w:val="16"/>
                                </w:rPr>
                                <w:t>6</w:t>
                              </w:r>
                            </w:p>
                            <w:p w:rsidR="00EB20FC" w:rsidRPr="009D4306" w:rsidRDefault="00EB20FC" w:rsidP="0038264A">
                              <w:pPr>
                                <w:spacing w:after="0" w:line="240" w:lineRule="auto"/>
                                <w:jc w:val="right"/>
                                <w:rPr>
                                  <w:sz w:val="18"/>
                                  <w:szCs w:val="18"/>
                                </w:rPr>
                              </w:pPr>
                              <w:r w:rsidRPr="0038264A">
                                <w:rPr>
                                  <w:rFonts w:ascii="Book Antiqua" w:hAnsi="Book Antiqua"/>
                                  <w:b/>
                                  <w:i/>
                                  <w:color w:val="000000" w:themeColor="text1"/>
                                  <w:sz w:val="16"/>
                                  <w:szCs w:val="16"/>
                                  <w:lang w:val="id-ID"/>
                                </w:rPr>
                                <w:t>P-ISSN: 1693-0061, E-ISSN: 2614-2961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5pt;margin-top:0;width:456pt;height:5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" fillcolor="white [3212]" stroked="f" strokeweight="1pt">
                  <v:textbox>
                    <w:txbxContent>
                      <w:p w:rsidR="00F211B0" w:rsidRDefault="00F211B0" w:rsidP="0038264A">
                        <w:pPr>
                          <w:spacing w:after="0" w:line="240" w:lineRule="auto"/>
                          <w:jc w:val="right"/>
                          <w:rPr>
                            <w:rFonts w:ascii="Book Antiqua" w:hAnsi="Book Antiqua"/>
                            <w:b/>
                            <w:i/>
                            <w:color w:val="000000" w:themeColor="text1"/>
                            <w:sz w:val="16"/>
                            <w:szCs w:val="16"/>
                          </w:rPr>
                        </w:pPr>
                        <w:proofErr w:type="spellStart"/>
                        <w:r>
                          <w:rPr>
                            <w:rFonts w:ascii="Book Antiqua" w:hAnsi="Book Antiqua"/>
                            <w:b/>
                            <w:i/>
                            <w:color w:val="000000" w:themeColor="text1"/>
                            <w:sz w:val="16"/>
                            <w:szCs w:val="16"/>
                          </w:rPr>
                          <w:t>Teuku</w:t>
                        </w:r>
                        <w:proofErr w:type="spellEnd"/>
                        <w:r>
                          <w:rPr>
                            <w:rFonts w:ascii="Book Antiqua" w:hAnsi="Book Antiqua"/>
                            <w:b/>
                            <w:i/>
                            <w:color w:val="000000" w:themeColor="text1"/>
                            <w:sz w:val="16"/>
                            <w:szCs w:val="16"/>
                          </w:rPr>
                          <w:t xml:space="preserve"> </w:t>
                        </w:r>
                        <w:proofErr w:type="spellStart"/>
                        <w:r>
                          <w:rPr>
                            <w:rFonts w:ascii="Book Antiqua" w:hAnsi="Book Antiqua"/>
                            <w:b/>
                            <w:i/>
                            <w:color w:val="000000" w:themeColor="text1"/>
                            <w:sz w:val="16"/>
                            <w:szCs w:val="16"/>
                          </w:rPr>
                          <w:t>Yudi</w:t>
                        </w:r>
                        <w:proofErr w:type="spellEnd"/>
                        <w:r>
                          <w:rPr>
                            <w:rFonts w:ascii="Book Antiqua" w:hAnsi="Book Antiqua"/>
                            <w:b/>
                            <w:i/>
                            <w:color w:val="000000" w:themeColor="text1"/>
                            <w:sz w:val="16"/>
                            <w:szCs w:val="16"/>
                          </w:rPr>
                          <w:t xml:space="preserve"> </w:t>
                        </w:r>
                        <w:proofErr w:type="spellStart"/>
                        <w:r>
                          <w:rPr>
                            <w:rFonts w:ascii="Book Antiqua" w:hAnsi="Book Antiqua"/>
                            <w:b/>
                            <w:i/>
                            <w:color w:val="000000" w:themeColor="text1"/>
                            <w:sz w:val="16"/>
                            <w:szCs w:val="16"/>
                          </w:rPr>
                          <w:t>Afrizal</w:t>
                        </w:r>
                        <w:proofErr w:type="gramStart"/>
                        <w:r w:rsidR="008539D5">
                          <w:rPr>
                            <w:rFonts w:ascii="Book Antiqua" w:hAnsi="Book Antiqua"/>
                            <w:b/>
                            <w:i/>
                            <w:color w:val="000000" w:themeColor="text1"/>
                            <w:sz w:val="16"/>
                            <w:szCs w:val="16"/>
                          </w:rPr>
                          <w:t>,</w:t>
                        </w:r>
                        <w:r>
                          <w:rPr>
                            <w:rFonts w:ascii="Book Antiqua" w:hAnsi="Book Antiqua"/>
                            <w:b/>
                            <w:i/>
                            <w:color w:val="000000" w:themeColor="text1"/>
                            <w:sz w:val="16"/>
                            <w:szCs w:val="16"/>
                          </w:rPr>
                          <w:t>T</w:t>
                        </w:r>
                        <w:proofErr w:type="spellEnd"/>
                        <w:proofErr w:type="gramEnd"/>
                        <w:r>
                          <w:rPr>
                            <w:rFonts w:ascii="Book Antiqua" w:hAnsi="Book Antiqua"/>
                            <w:b/>
                            <w:i/>
                            <w:color w:val="000000" w:themeColor="text1"/>
                            <w:sz w:val="16"/>
                            <w:szCs w:val="16"/>
                          </w:rPr>
                          <w:t xml:space="preserve">. </w:t>
                        </w:r>
                        <w:proofErr w:type="spellStart"/>
                        <w:r>
                          <w:rPr>
                            <w:rFonts w:ascii="Book Antiqua" w:hAnsi="Book Antiqua"/>
                            <w:b/>
                            <w:i/>
                            <w:color w:val="000000" w:themeColor="text1"/>
                            <w:sz w:val="16"/>
                            <w:szCs w:val="16"/>
                          </w:rPr>
                          <w:t>Saifullah</w:t>
                        </w:r>
                        <w:proofErr w:type="spellEnd"/>
                        <w:r w:rsidR="00EB20FC" w:rsidRPr="0038264A">
                          <w:rPr>
                            <w:rFonts w:ascii="Book Antiqua" w:hAnsi="Book Antiqua"/>
                            <w:b/>
                            <w:i/>
                            <w:color w:val="000000" w:themeColor="text1"/>
                            <w:sz w:val="16"/>
                            <w:szCs w:val="16"/>
                          </w:rPr>
                          <w:t>, “</w:t>
                        </w:r>
                        <w:r w:rsidRPr="00F211B0">
                          <w:rPr>
                            <w:rFonts w:ascii="Book Antiqua" w:hAnsi="Book Antiqua"/>
                            <w:b/>
                            <w:i/>
                            <w:color w:val="000000" w:themeColor="text1"/>
                            <w:sz w:val="16"/>
                            <w:szCs w:val="16"/>
                          </w:rPr>
                          <w:t>Legal Certainty In Customary Jurisdictions</w:t>
                        </w:r>
                      </w:p>
                      <w:p w:rsidR="00EB20FC" w:rsidRPr="0038264A" w:rsidRDefault="00F211B0" w:rsidP="0038264A">
                        <w:pPr>
                          <w:spacing w:after="0" w:line="240" w:lineRule="auto"/>
                          <w:jc w:val="right"/>
                          <w:rPr>
                            <w:rFonts w:ascii="Book Antiqua" w:hAnsi="Book Antiqua"/>
                            <w:b/>
                            <w:i/>
                            <w:color w:val="000000" w:themeColor="text1"/>
                            <w:sz w:val="16"/>
                            <w:szCs w:val="16"/>
                          </w:rPr>
                        </w:pPr>
                        <w:r w:rsidRPr="00F211B0">
                          <w:rPr>
                            <w:rFonts w:ascii="Book Antiqua" w:hAnsi="Book Antiqua"/>
                            <w:b/>
                            <w:i/>
                            <w:color w:val="000000" w:themeColor="text1"/>
                            <w:sz w:val="16"/>
                            <w:szCs w:val="16"/>
                          </w:rPr>
                          <w:t xml:space="preserve"> (Case Study </w:t>
                        </w:r>
                        <w:proofErr w:type="gramStart"/>
                        <w:r w:rsidRPr="00F211B0">
                          <w:rPr>
                            <w:rFonts w:ascii="Book Antiqua" w:hAnsi="Book Antiqua"/>
                            <w:b/>
                            <w:i/>
                            <w:color w:val="000000" w:themeColor="text1"/>
                            <w:sz w:val="16"/>
                            <w:szCs w:val="16"/>
                          </w:rPr>
                          <w:t>In</w:t>
                        </w:r>
                        <w:proofErr w:type="gramEnd"/>
                        <w:r w:rsidRPr="00F211B0">
                          <w:rPr>
                            <w:rFonts w:ascii="Book Antiqua" w:hAnsi="Book Antiqua"/>
                            <w:b/>
                            <w:i/>
                            <w:color w:val="000000" w:themeColor="text1"/>
                            <w:sz w:val="16"/>
                            <w:szCs w:val="16"/>
                          </w:rPr>
                          <w:t xml:space="preserve"> </w:t>
                        </w:r>
                        <w:proofErr w:type="spellStart"/>
                        <w:r w:rsidRPr="00F211B0">
                          <w:rPr>
                            <w:rFonts w:ascii="Book Antiqua" w:hAnsi="Book Antiqua"/>
                            <w:b/>
                            <w:i/>
                            <w:color w:val="000000" w:themeColor="text1"/>
                            <w:sz w:val="16"/>
                            <w:szCs w:val="16"/>
                          </w:rPr>
                          <w:t>Muara</w:t>
                        </w:r>
                        <w:proofErr w:type="spellEnd"/>
                        <w:r w:rsidRPr="00F211B0">
                          <w:rPr>
                            <w:rFonts w:ascii="Book Antiqua" w:hAnsi="Book Antiqua"/>
                            <w:b/>
                            <w:i/>
                            <w:color w:val="000000" w:themeColor="text1"/>
                            <w:sz w:val="16"/>
                            <w:szCs w:val="16"/>
                          </w:rPr>
                          <w:t xml:space="preserve"> </w:t>
                        </w:r>
                        <w:proofErr w:type="spellStart"/>
                        <w:r w:rsidRPr="00F211B0">
                          <w:rPr>
                            <w:rFonts w:ascii="Book Antiqua" w:hAnsi="Book Antiqua"/>
                            <w:b/>
                            <w:i/>
                            <w:color w:val="000000" w:themeColor="text1"/>
                            <w:sz w:val="16"/>
                            <w:szCs w:val="16"/>
                          </w:rPr>
                          <w:t>Batu</w:t>
                        </w:r>
                        <w:proofErr w:type="spellEnd"/>
                        <w:r w:rsidRPr="00F211B0">
                          <w:rPr>
                            <w:rFonts w:ascii="Book Antiqua" w:hAnsi="Book Antiqua"/>
                            <w:b/>
                            <w:i/>
                            <w:color w:val="000000" w:themeColor="text1"/>
                            <w:sz w:val="16"/>
                            <w:szCs w:val="16"/>
                          </w:rPr>
                          <w:t xml:space="preserve"> District, North Aceh)</w:t>
                        </w:r>
                        <w:r w:rsidR="00EB20FC" w:rsidRPr="0038264A">
                          <w:rPr>
                            <w:rFonts w:ascii="Book Antiqua" w:hAnsi="Book Antiqua"/>
                            <w:b/>
                            <w:i/>
                            <w:color w:val="000000" w:themeColor="text1"/>
                            <w:sz w:val="16"/>
                            <w:szCs w:val="16"/>
                          </w:rPr>
                          <w:t>”</w:t>
                        </w:r>
                      </w:p>
                      <w:p w:rsidR="00EB20FC" w:rsidRPr="00A46894" w:rsidRDefault="00EB20FC" w:rsidP="0038264A">
                        <w:pPr>
                          <w:spacing w:after="0" w:line="240" w:lineRule="auto"/>
                          <w:jc w:val="right"/>
                          <w:rPr>
                            <w:rFonts w:ascii="Book Antiqua" w:hAnsi="Book Antiqua"/>
                            <w:b/>
                            <w:i/>
                            <w:color w:val="000000" w:themeColor="text1"/>
                            <w:sz w:val="16"/>
                            <w:szCs w:val="16"/>
                          </w:rPr>
                        </w:pPr>
                        <w:r w:rsidRPr="0038264A">
                          <w:rPr>
                            <w:rFonts w:ascii="Book Antiqua" w:hAnsi="Book Antiqua"/>
                            <w:b/>
                            <w:i/>
                            <w:color w:val="000000" w:themeColor="text1"/>
                            <w:sz w:val="16"/>
                            <w:szCs w:val="16"/>
                          </w:rPr>
                          <w:t>SASI,</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27</w:t>
                        </w:r>
                        <w:r w:rsidRPr="0038264A">
                          <w:rPr>
                            <w:rFonts w:ascii="Book Antiqua" w:hAnsi="Book Antiqua"/>
                            <w:b/>
                            <w:i/>
                            <w:color w:val="000000" w:themeColor="text1"/>
                            <w:sz w:val="16"/>
                            <w:szCs w:val="16"/>
                            <w:lang w:val="id-ID"/>
                          </w:rPr>
                          <w:t>(1)</w:t>
                        </w:r>
                        <w:r w:rsidRPr="0038264A">
                          <w:rPr>
                            <w:rFonts w:ascii="Book Antiqua" w:hAnsi="Book Antiqua"/>
                            <w:b/>
                            <w:i/>
                            <w:color w:val="000000" w:themeColor="text1"/>
                            <w:sz w:val="16"/>
                            <w:szCs w:val="16"/>
                          </w:rPr>
                          <w:t xml:space="preserve"> 2022</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1</w:t>
                        </w:r>
                        <w:r w:rsidRPr="0038264A">
                          <w:rPr>
                            <w:rFonts w:ascii="Book Antiqua" w:hAnsi="Book Antiqua"/>
                            <w:b/>
                            <w:i/>
                            <w:color w:val="000000" w:themeColor="text1"/>
                            <w:sz w:val="16"/>
                            <w:szCs w:val="16"/>
                            <w:lang w:val="id-ID"/>
                          </w:rPr>
                          <w:t>-1</w:t>
                        </w:r>
                        <w:r w:rsidR="00A46894">
                          <w:rPr>
                            <w:rFonts w:ascii="Book Antiqua" w:hAnsi="Book Antiqua"/>
                            <w:b/>
                            <w:i/>
                            <w:color w:val="000000" w:themeColor="text1"/>
                            <w:sz w:val="16"/>
                            <w:szCs w:val="16"/>
                          </w:rPr>
                          <w:t>6</w:t>
                        </w:r>
                      </w:p>
                      <w:p w:rsidR="00EB20FC" w:rsidRPr="009D4306" w:rsidRDefault="00EB20FC" w:rsidP="0038264A">
                        <w:pPr>
                          <w:spacing w:after="0" w:line="240" w:lineRule="auto"/>
                          <w:jc w:val="right"/>
                          <w:rPr>
                            <w:sz w:val="18"/>
                            <w:szCs w:val="18"/>
                          </w:rPr>
                        </w:pPr>
                        <w:r w:rsidRPr="0038264A">
                          <w:rPr>
                            <w:rFonts w:ascii="Book Antiqua" w:hAnsi="Book Antiqua"/>
                            <w:b/>
                            <w:i/>
                            <w:color w:val="000000" w:themeColor="text1"/>
                            <w:sz w:val="16"/>
                            <w:szCs w:val="16"/>
                            <w:lang w:val="id-ID"/>
                          </w:rPr>
                          <w:t>P-ISSN: 1693-0061, E-ISSN: 2614-2961</w:t>
                        </w:r>
                      </w:p>
                    </w:txbxContent>
                  </v:textbox>
                </v:shape>
              </w:pict>
            </mc:Fallback>
          </mc:AlternateContent>
        </w:r>
        <w:r w:rsidRPr="0038264A">
          <w:rPr>
            <w:rFonts w:ascii="Book Antiqua" w:hAnsi="Book Antiqua"/>
            <w:b/>
            <w:color w:val="1F3864" w:themeColor="accent1" w:themeShade="80"/>
            <w:sz w:val="28"/>
          </w:rPr>
          <w:fldChar w:fldCharType="begin"/>
        </w:r>
        <w:r w:rsidRPr="0038264A">
          <w:rPr>
            <w:rFonts w:ascii="Book Antiqua" w:hAnsi="Book Antiqua"/>
            <w:b/>
            <w:color w:val="1F3864" w:themeColor="accent1" w:themeShade="80"/>
            <w:sz w:val="28"/>
          </w:rPr>
          <w:instrText xml:space="preserve"> PAGE   \* MERGEFORMAT </w:instrText>
        </w:r>
        <w:r w:rsidRPr="0038264A">
          <w:rPr>
            <w:rFonts w:ascii="Book Antiqua" w:hAnsi="Book Antiqua"/>
            <w:b/>
            <w:color w:val="1F3864" w:themeColor="accent1" w:themeShade="80"/>
            <w:sz w:val="28"/>
          </w:rPr>
          <w:fldChar w:fldCharType="separate"/>
        </w:r>
        <w:r w:rsidR="00D85B71" w:rsidRPr="00D85B71">
          <w:rPr>
            <w:rFonts w:ascii="Book Antiqua" w:hAnsi="Book Antiqua"/>
            <w:b/>
            <w:bCs/>
            <w:noProof/>
            <w:color w:val="1F3864" w:themeColor="accent1" w:themeShade="80"/>
            <w:sz w:val="28"/>
          </w:rPr>
          <w:t>10</w:t>
        </w:r>
        <w:r w:rsidRPr="0038264A">
          <w:rPr>
            <w:rFonts w:ascii="Book Antiqua" w:hAnsi="Book Antiqua"/>
            <w:b/>
            <w:bCs/>
            <w:noProof/>
            <w:color w:val="1F3864" w:themeColor="accent1" w:themeShade="80"/>
            <w:sz w:val="28"/>
          </w:rPr>
          <w:fldChar w:fldCharType="end"/>
        </w:r>
        <w:r w:rsidRPr="0038264A">
          <w:rPr>
            <w:b/>
            <w:bCs/>
            <w:color w:val="1F3864" w:themeColor="accent1" w:themeShade="80"/>
            <w:sz w:val="24"/>
          </w:rPr>
          <w:t xml:space="preserve"> </w:t>
        </w:r>
        <w:r>
          <w:rPr>
            <w:b/>
            <w:bCs/>
          </w:rPr>
          <w:t xml:space="preserve">|    </w:t>
        </w:r>
      </w:p>
    </w:sdtContent>
  </w:sdt>
  <w:p w:rsidR="00EB20FC" w:rsidRPr="00185CD9" w:rsidRDefault="00EB20FC">
    <w:pPr>
      <w:pStyle w:val="Foo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75198"/>
      <w:docPartObj>
        <w:docPartGallery w:val="Page Numbers (Bottom of Page)"/>
        <w:docPartUnique/>
      </w:docPartObj>
    </w:sdtPr>
    <w:sdtEndPr>
      <w:rPr>
        <w:color w:val="7F7F7F" w:themeColor="background1" w:themeShade="7F"/>
        <w:spacing w:val="60"/>
      </w:rPr>
    </w:sdtEndPr>
    <w:sdtContent>
      <w:p w:rsidR="00EB20FC" w:rsidRDefault="00EB20FC" w:rsidP="0038264A">
        <w:pPr>
          <w:pStyle w:val="Footer"/>
          <w:pBdr>
            <w:top w:val="single" w:sz="4" w:space="1" w:color="D9D9D9" w:themeColor="background1" w:themeShade="D9"/>
          </w:pBdr>
          <w:rPr>
            <w:b/>
            <w:bCs/>
          </w:rPr>
        </w:pPr>
        <w:r w:rsidRPr="0038264A">
          <w:rPr>
            <w:rFonts w:asciiTheme="majorHAnsi" w:hAnsiTheme="majorHAnsi" w:cstheme="majorHAnsi"/>
            <w:b/>
            <w:noProof/>
            <w:sz w:val="24"/>
            <w:lang w:bidi="ar-SA"/>
          </w:rPr>
          <mc:AlternateContent>
            <mc:Choice Requires="wps">
              <w:drawing>
                <wp:anchor distT="45720" distB="45720" distL="114300" distR="114300" simplePos="0" relativeHeight="251676672" behindDoc="0" locked="0" layoutInCell="1" allowOverlap="1" wp14:anchorId="181BE609" wp14:editId="0154B3DA">
                  <wp:simplePos x="0" y="0"/>
                  <wp:positionH relativeFrom="column">
                    <wp:posOffset>466725</wp:posOffset>
                  </wp:positionH>
                  <wp:positionV relativeFrom="paragraph">
                    <wp:posOffset>-6985</wp:posOffset>
                  </wp:positionV>
                  <wp:extent cx="5791200" cy="638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38175"/>
                          </a:xfrm>
                          <a:prstGeom prst="rect">
                            <a:avLst/>
                          </a:prstGeom>
                          <a:solidFill>
                            <a:schemeClr val="bg1"/>
                          </a:solidFill>
                          <a:ln w="12700">
                            <a:noFill/>
                            <a:miter lim="800000"/>
                            <a:headEnd/>
                            <a:tailEnd/>
                          </a:ln>
                        </wps:spPr>
                        <wps:txbx>
                          <w:txbxContent>
                            <w:p w:rsidR="00F211B0" w:rsidRPr="00F211B0" w:rsidRDefault="00F211B0" w:rsidP="00F211B0">
                              <w:pPr>
                                <w:spacing w:after="0" w:line="240" w:lineRule="auto"/>
                                <w:jc w:val="right"/>
                                <w:rPr>
                                  <w:rFonts w:ascii="Book Antiqua" w:hAnsi="Book Antiqua"/>
                                  <w:b/>
                                  <w:i/>
                                  <w:color w:val="000000" w:themeColor="text1"/>
                                  <w:sz w:val="16"/>
                                  <w:szCs w:val="18"/>
                                </w:rPr>
                              </w:pPr>
                              <w:proofErr w:type="spellStart"/>
                              <w:r w:rsidRPr="00F211B0">
                                <w:rPr>
                                  <w:rFonts w:ascii="Book Antiqua" w:hAnsi="Book Antiqua"/>
                                  <w:b/>
                                  <w:i/>
                                  <w:color w:val="000000" w:themeColor="text1"/>
                                  <w:sz w:val="16"/>
                                  <w:szCs w:val="18"/>
                                </w:rPr>
                                <w:t>Teuku</w:t>
                              </w:r>
                              <w:proofErr w:type="spellEnd"/>
                              <w:r w:rsidRPr="00F211B0">
                                <w:rPr>
                                  <w:rFonts w:ascii="Book Antiqua" w:hAnsi="Book Antiqua"/>
                                  <w:b/>
                                  <w:i/>
                                  <w:color w:val="000000" w:themeColor="text1"/>
                                  <w:sz w:val="16"/>
                                  <w:szCs w:val="18"/>
                                </w:rPr>
                                <w:t xml:space="preserve"> </w:t>
                              </w:r>
                              <w:proofErr w:type="spellStart"/>
                              <w:r w:rsidRPr="00F211B0">
                                <w:rPr>
                                  <w:rFonts w:ascii="Book Antiqua" w:hAnsi="Book Antiqua"/>
                                  <w:b/>
                                  <w:i/>
                                  <w:color w:val="000000" w:themeColor="text1"/>
                                  <w:sz w:val="16"/>
                                  <w:szCs w:val="18"/>
                                </w:rPr>
                                <w:t>Yudi</w:t>
                              </w:r>
                              <w:proofErr w:type="spellEnd"/>
                              <w:r w:rsidRPr="00F211B0">
                                <w:rPr>
                                  <w:rFonts w:ascii="Book Antiqua" w:hAnsi="Book Antiqua"/>
                                  <w:b/>
                                  <w:i/>
                                  <w:color w:val="000000" w:themeColor="text1"/>
                                  <w:sz w:val="16"/>
                                  <w:szCs w:val="18"/>
                                </w:rPr>
                                <w:t xml:space="preserve"> </w:t>
                              </w:r>
                              <w:proofErr w:type="spellStart"/>
                              <w:r w:rsidRPr="00F211B0">
                                <w:rPr>
                                  <w:rFonts w:ascii="Book Antiqua" w:hAnsi="Book Antiqua"/>
                                  <w:b/>
                                  <w:i/>
                                  <w:color w:val="000000" w:themeColor="text1"/>
                                  <w:sz w:val="16"/>
                                  <w:szCs w:val="18"/>
                                </w:rPr>
                                <w:t>Afrizal</w:t>
                              </w:r>
                              <w:proofErr w:type="gramStart"/>
                              <w:r w:rsidRPr="00F211B0">
                                <w:rPr>
                                  <w:rFonts w:ascii="Book Antiqua" w:hAnsi="Book Antiqua"/>
                                  <w:b/>
                                  <w:i/>
                                  <w:color w:val="000000" w:themeColor="text1"/>
                                  <w:sz w:val="16"/>
                                  <w:szCs w:val="18"/>
                                </w:rPr>
                                <w:t>,T</w:t>
                              </w:r>
                              <w:proofErr w:type="spellEnd"/>
                              <w:proofErr w:type="gramEnd"/>
                              <w:r w:rsidRPr="00F211B0">
                                <w:rPr>
                                  <w:rFonts w:ascii="Book Antiqua" w:hAnsi="Book Antiqua"/>
                                  <w:b/>
                                  <w:i/>
                                  <w:color w:val="000000" w:themeColor="text1"/>
                                  <w:sz w:val="16"/>
                                  <w:szCs w:val="18"/>
                                </w:rPr>
                                <w:t xml:space="preserve">. </w:t>
                              </w:r>
                              <w:proofErr w:type="spellStart"/>
                              <w:r w:rsidRPr="00F211B0">
                                <w:rPr>
                                  <w:rFonts w:ascii="Book Antiqua" w:hAnsi="Book Antiqua"/>
                                  <w:b/>
                                  <w:i/>
                                  <w:color w:val="000000" w:themeColor="text1"/>
                                  <w:sz w:val="16"/>
                                  <w:szCs w:val="18"/>
                                </w:rPr>
                                <w:t>Saifullah</w:t>
                              </w:r>
                              <w:proofErr w:type="spellEnd"/>
                              <w:r w:rsidRPr="00F211B0">
                                <w:rPr>
                                  <w:rFonts w:ascii="Book Antiqua" w:hAnsi="Book Antiqua"/>
                                  <w:b/>
                                  <w:i/>
                                  <w:color w:val="000000" w:themeColor="text1"/>
                                  <w:sz w:val="16"/>
                                  <w:szCs w:val="18"/>
                                </w:rPr>
                                <w:t>, “Legal Certainty In Customary Jurisdictions</w:t>
                              </w:r>
                            </w:p>
                            <w:p w:rsidR="00EB20FC" w:rsidRPr="0038264A" w:rsidRDefault="00F211B0" w:rsidP="00F211B0">
                              <w:pPr>
                                <w:spacing w:after="0" w:line="240" w:lineRule="auto"/>
                                <w:jc w:val="right"/>
                                <w:rPr>
                                  <w:rFonts w:ascii="Book Antiqua" w:hAnsi="Book Antiqua"/>
                                  <w:b/>
                                  <w:i/>
                                  <w:color w:val="000000" w:themeColor="text1"/>
                                  <w:sz w:val="16"/>
                                  <w:szCs w:val="18"/>
                                </w:rPr>
                              </w:pPr>
                              <w:r w:rsidRPr="00F211B0">
                                <w:rPr>
                                  <w:rFonts w:ascii="Book Antiqua" w:hAnsi="Book Antiqua"/>
                                  <w:b/>
                                  <w:i/>
                                  <w:color w:val="000000" w:themeColor="text1"/>
                                  <w:sz w:val="16"/>
                                  <w:szCs w:val="18"/>
                                </w:rPr>
                                <w:t xml:space="preserve"> (Case Study </w:t>
                              </w:r>
                              <w:proofErr w:type="gramStart"/>
                              <w:r w:rsidRPr="00F211B0">
                                <w:rPr>
                                  <w:rFonts w:ascii="Book Antiqua" w:hAnsi="Book Antiqua"/>
                                  <w:b/>
                                  <w:i/>
                                  <w:color w:val="000000" w:themeColor="text1"/>
                                  <w:sz w:val="16"/>
                                  <w:szCs w:val="18"/>
                                </w:rPr>
                                <w:t>In</w:t>
                              </w:r>
                              <w:proofErr w:type="gramEnd"/>
                              <w:r w:rsidRPr="00F211B0">
                                <w:rPr>
                                  <w:rFonts w:ascii="Book Antiqua" w:hAnsi="Book Antiqua"/>
                                  <w:b/>
                                  <w:i/>
                                  <w:color w:val="000000" w:themeColor="text1"/>
                                  <w:sz w:val="16"/>
                                  <w:szCs w:val="18"/>
                                </w:rPr>
                                <w:t xml:space="preserve"> </w:t>
                              </w:r>
                              <w:proofErr w:type="spellStart"/>
                              <w:r w:rsidRPr="00F211B0">
                                <w:rPr>
                                  <w:rFonts w:ascii="Book Antiqua" w:hAnsi="Book Antiqua"/>
                                  <w:b/>
                                  <w:i/>
                                  <w:color w:val="000000" w:themeColor="text1"/>
                                  <w:sz w:val="16"/>
                                  <w:szCs w:val="18"/>
                                </w:rPr>
                                <w:t>Muara</w:t>
                              </w:r>
                              <w:proofErr w:type="spellEnd"/>
                              <w:r w:rsidRPr="00F211B0">
                                <w:rPr>
                                  <w:rFonts w:ascii="Book Antiqua" w:hAnsi="Book Antiqua"/>
                                  <w:b/>
                                  <w:i/>
                                  <w:color w:val="000000" w:themeColor="text1"/>
                                  <w:sz w:val="16"/>
                                  <w:szCs w:val="18"/>
                                </w:rPr>
                                <w:t xml:space="preserve"> </w:t>
                              </w:r>
                              <w:proofErr w:type="spellStart"/>
                              <w:r w:rsidRPr="00F211B0">
                                <w:rPr>
                                  <w:rFonts w:ascii="Book Antiqua" w:hAnsi="Book Antiqua"/>
                                  <w:b/>
                                  <w:i/>
                                  <w:color w:val="000000" w:themeColor="text1"/>
                                  <w:sz w:val="16"/>
                                  <w:szCs w:val="18"/>
                                </w:rPr>
                                <w:t>Batu</w:t>
                              </w:r>
                              <w:proofErr w:type="spellEnd"/>
                              <w:r w:rsidRPr="00F211B0">
                                <w:rPr>
                                  <w:rFonts w:ascii="Book Antiqua" w:hAnsi="Book Antiqua"/>
                                  <w:b/>
                                  <w:i/>
                                  <w:color w:val="000000" w:themeColor="text1"/>
                                  <w:sz w:val="16"/>
                                  <w:szCs w:val="18"/>
                                </w:rPr>
                                <w:t xml:space="preserve"> District, North Aceh)</w:t>
                              </w:r>
                              <w:r w:rsidR="00EB20FC" w:rsidRPr="0038264A">
                                <w:rPr>
                                  <w:rFonts w:ascii="Book Antiqua" w:hAnsi="Book Antiqua"/>
                                  <w:b/>
                                  <w:i/>
                                  <w:color w:val="000000" w:themeColor="text1"/>
                                  <w:sz w:val="16"/>
                                  <w:szCs w:val="18"/>
                                </w:rPr>
                                <w:t>”</w:t>
                              </w:r>
                            </w:p>
                            <w:p w:rsidR="00EB20FC" w:rsidRPr="0038264A" w:rsidRDefault="00EB20FC" w:rsidP="0038264A">
                              <w:pPr>
                                <w:spacing w:after="0" w:line="240" w:lineRule="auto"/>
                                <w:jc w:val="right"/>
                                <w:rPr>
                                  <w:rFonts w:ascii="Book Antiqua" w:hAnsi="Book Antiqua"/>
                                  <w:b/>
                                  <w:i/>
                                  <w:color w:val="000000" w:themeColor="text1"/>
                                  <w:sz w:val="16"/>
                                  <w:szCs w:val="18"/>
                                  <w:lang w:val="id-ID"/>
                                </w:rPr>
                              </w:pPr>
                              <w:r w:rsidRPr="0038264A">
                                <w:rPr>
                                  <w:rFonts w:ascii="Book Antiqua" w:hAnsi="Book Antiqua"/>
                                  <w:b/>
                                  <w:i/>
                                  <w:color w:val="000000" w:themeColor="text1"/>
                                  <w:sz w:val="16"/>
                                  <w:szCs w:val="18"/>
                                </w:rPr>
                                <w:t>SASI,</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27</w:t>
                              </w:r>
                              <w:r w:rsidRPr="0038264A">
                                <w:rPr>
                                  <w:rFonts w:ascii="Book Antiqua" w:hAnsi="Book Antiqua"/>
                                  <w:b/>
                                  <w:i/>
                                  <w:color w:val="000000" w:themeColor="text1"/>
                                  <w:sz w:val="16"/>
                                  <w:szCs w:val="18"/>
                                  <w:lang w:val="id-ID"/>
                                </w:rPr>
                                <w:t>(1)</w:t>
                              </w:r>
                              <w:r w:rsidRPr="0038264A">
                                <w:rPr>
                                  <w:rFonts w:ascii="Book Antiqua" w:hAnsi="Book Antiqua"/>
                                  <w:b/>
                                  <w:i/>
                                  <w:color w:val="000000" w:themeColor="text1"/>
                                  <w:sz w:val="16"/>
                                  <w:szCs w:val="18"/>
                                </w:rPr>
                                <w:t xml:space="preserve"> 2022</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1</w:t>
                              </w:r>
                              <w:r w:rsidRPr="0038264A">
                                <w:rPr>
                                  <w:rFonts w:ascii="Book Antiqua" w:hAnsi="Book Antiqua"/>
                                  <w:b/>
                                  <w:i/>
                                  <w:color w:val="000000" w:themeColor="text1"/>
                                  <w:sz w:val="16"/>
                                  <w:szCs w:val="18"/>
                                  <w:lang w:val="id-ID"/>
                                </w:rPr>
                                <w:t>-15</w:t>
                              </w:r>
                            </w:p>
                            <w:p w:rsidR="00EB20FC" w:rsidRPr="009D4306" w:rsidRDefault="00EB20FC" w:rsidP="0038264A">
                              <w:pPr>
                                <w:spacing w:after="0" w:line="240" w:lineRule="auto"/>
                                <w:jc w:val="right"/>
                                <w:rPr>
                                  <w:sz w:val="18"/>
                                  <w:szCs w:val="18"/>
                                </w:rPr>
                              </w:pPr>
                              <w:r w:rsidRPr="0038264A">
                                <w:rPr>
                                  <w:rFonts w:ascii="Book Antiqua" w:hAnsi="Book Antiqua"/>
                                  <w:b/>
                                  <w:i/>
                                  <w:color w:val="000000" w:themeColor="text1"/>
                                  <w:sz w:val="16"/>
                                  <w:szCs w:val="18"/>
                                  <w:lang w:val="id-ID"/>
                                </w:rPr>
                                <w:t>P-ISSN: 1693-0061, E-ISSN: 2614-2961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6.75pt;margin-top:-.55pt;width:456pt;height:50.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" fillcolor="white [3212]" stroked="f" strokeweight="1pt">
                  <v:textbox>
                    <w:txbxContent>
                      <w:p w:rsidR="00F211B0" w:rsidRPr="00F211B0" w:rsidRDefault="00F211B0" w:rsidP="00F211B0">
                        <w:pPr>
                          <w:spacing w:after="0" w:line="240" w:lineRule="auto"/>
                          <w:jc w:val="right"/>
                          <w:rPr>
                            <w:rFonts w:ascii="Book Antiqua" w:hAnsi="Book Antiqua"/>
                            <w:b/>
                            <w:i/>
                            <w:color w:val="000000" w:themeColor="text1"/>
                            <w:sz w:val="16"/>
                            <w:szCs w:val="18"/>
                          </w:rPr>
                        </w:pPr>
                        <w:proofErr w:type="spellStart"/>
                        <w:r w:rsidRPr="00F211B0">
                          <w:rPr>
                            <w:rFonts w:ascii="Book Antiqua" w:hAnsi="Book Antiqua"/>
                            <w:b/>
                            <w:i/>
                            <w:color w:val="000000" w:themeColor="text1"/>
                            <w:sz w:val="16"/>
                            <w:szCs w:val="18"/>
                          </w:rPr>
                          <w:t>Teuku</w:t>
                        </w:r>
                        <w:proofErr w:type="spellEnd"/>
                        <w:r w:rsidRPr="00F211B0">
                          <w:rPr>
                            <w:rFonts w:ascii="Book Antiqua" w:hAnsi="Book Antiqua"/>
                            <w:b/>
                            <w:i/>
                            <w:color w:val="000000" w:themeColor="text1"/>
                            <w:sz w:val="16"/>
                            <w:szCs w:val="18"/>
                          </w:rPr>
                          <w:t xml:space="preserve"> </w:t>
                        </w:r>
                        <w:proofErr w:type="spellStart"/>
                        <w:r w:rsidRPr="00F211B0">
                          <w:rPr>
                            <w:rFonts w:ascii="Book Antiqua" w:hAnsi="Book Antiqua"/>
                            <w:b/>
                            <w:i/>
                            <w:color w:val="000000" w:themeColor="text1"/>
                            <w:sz w:val="16"/>
                            <w:szCs w:val="18"/>
                          </w:rPr>
                          <w:t>Yudi</w:t>
                        </w:r>
                        <w:proofErr w:type="spellEnd"/>
                        <w:r w:rsidRPr="00F211B0">
                          <w:rPr>
                            <w:rFonts w:ascii="Book Antiqua" w:hAnsi="Book Antiqua"/>
                            <w:b/>
                            <w:i/>
                            <w:color w:val="000000" w:themeColor="text1"/>
                            <w:sz w:val="16"/>
                            <w:szCs w:val="18"/>
                          </w:rPr>
                          <w:t xml:space="preserve"> </w:t>
                        </w:r>
                        <w:proofErr w:type="spellStart"/>
                        <w:r w:rsidRPr="00F211B0">
                          <w:rPr>
                            <w:rFonts w:ascii="Book Antiqua" w:hAnsi="Book Antiqua"/>
                            <w:b/>
                            <w:i/>
                            <w:color w:val="000000" w:themeColor="text1"/>
                            <w:sz w:val="16"/>
                            <w:szCs w:val="18"/>
                          </w:rPr>
                          <w:t>Afrizal</w:t>
                        </w:r>
                        <w:proofErr w:type="gramStart"/>
                        <w:r w:rsidRPr="00F211B0">
                          <w:rPr>
                            <w:rFonts w:ascii="Book Antiqua" w:hAnsi="Book Antiqua"/>
                            <w:b/>
                            <w:i/>
                            <w:color w:val="000000" w:themeColor="text1"/>
                            <w:sz w:val="16"/>
                            <w:szCs w:val="18"/>
                          </w:rPr>
                          <w:t>,T</w:t>
                        </w:r>
                        <w:proofErr w:type="spellEnd"/>
                        <w:proofErr w:type="gramEnd"/>
                        <w:r w:rsidRPr="00F211B0">
                          <w:rPr>
                            <w:rFonts w:ascii="Book Antiqua" w:hAnsi="Book Antiqua"/>
                            <w:b/>
                            <w:i/>
                            <w:color w:val="000000" w:themeColor="text1"/>
                            <w:sz w:val="16"/>
                            <w:szCs w:val="18"/>
                          </w:rPr>
                          <w:t xml:space="preserve">. </w:t>
                        </w:r>
                        <w:proofErr w:type="spellStart"/>
                        <w:r w:rsidRPr="00F211B0">
                          <w:rPr>
                            <w:rFonts w:ascii="Book Antiqua" w:hAnsi="Book Antiqua"/>
                            <w:b/>
                            <w:i/>
                            <w:color w:val="000000" w:themeColor="text1"/>
                            <w:sz w:val="16"/>
                            <w:szCs w:val="18"/>
                          </w:rPr>
                          <w:t>Saifullah</w:t>
                        </w:r>
                        <w:proofErr w:type="spellEnd"/>
                        <w:r w:rsidRPr="00F211B0">
                          <w:rPr>
                            <w:rFonts w:ascii="Book Antiqua" w:hAnsi="Book Antiqua"/>
                            <w:b/>
                            <w:i/>
                            <w:color w:val="000000" w:themeColor="text1"/>
                            <w:sz w:val="16"/>
                            <w:szCs w:val="18"/>
                          </w:rPr>
                          <w:t>, “Legal Certainty In Customary Jurisdictions</w:t>
                        </w:r>
                      </w:p>
                      <w:p w:rsidR="00EB20FC" w:rsidRPr="0038264A" w:rsidRDefault="00F211B0" w:rsidP="00F211B0">
                        <w:pPr>
                          <w:spacing w:after="0" w:line="240" w:lineRule="auto"/>
                          <w:jc w:val="right"/>
                          <w:rPr>
                            <w:rFonts w:ascii="Book Antiqua" w:hAnsi="Book Antiqua"/>
                            <w:b/>
                            <w:i/>
                            <w:color w:val="000000" w:themeColor="text1"/>
                            <w:sz w:val="16"/>
                            <w:szCs w:val="18"/>
                          </w:rPr>
                        </w:pPr>
                        <w:r w:rsidRPr="00F211B0">
                          <w:rPr>
                            <w:rFonts w:ascii="Book Antiqua" w:hAnsi="Book Antiqua"/>
                            <w:b/>
                            <w:i/>
                            <w:color w:val="000000" w:themeColor="text1"/>
                            <w:sz w:val="16"/>
                            <w:szCs w:val="18"/>
                          </w:rPr>
                          <w:t xml:space="preserve"> (Case Study </w:t>
                        </w:r>
                        <w:proofErr w:type="gramStart"/>
                        <w:r w:rsidRPr="00F211B0">
                          <w:rPr>
                            <w:rFonts w:ascii="Book Antiqua" w:hAnsi="Book Antiqua"/>
                            <w:b/>
                            <w:i/>
                            <w:color w:val="000000" w:themeColor="text1"/>
                            <w:sz w:val="16"/>
                            <w:szCs w:val="18"/>
                          </w:rPr>
                          <w:t>In</w:t>
                        </w:r>
                        <w:proofErr w:type="gramEnd"/>
                        <w:r w:rsidRPr="00F211B0">
                          <w:rPr>
                            <w:rFonts w:ascii="Book Antiqua" w:hAnsi="Book Antiqua"/>
                            <w:b/>
                            <w:i/>
                            <w:color w:val="000000" w:themeColor="text1"/>
                            <w:sz w:val="16"/>
                            <w:szCs w:val="18"/>
                          </w:rPr>
                          <w:t xml:space="preserve"> </w:t>
                        </w:r>
                        <w:proofErr w:type="spellStart"/>
                        <w:r w:rsidRPr="00F211B0">
                          <w:rPr>
                            <w:rFonts w:ascii="Book Antiqua" w:hAnsi="Book Antiqua"/>
                            <w:b/>
                            <w:i/>
                            <w:color w:val="000000" w:themeColor="text1"/>
                            <w:sz w:val="16"/>
                            <w:szCs w:val="18"/>
                          </w:rPr>
                          <w:t>Muara</w:t>
                        </w:r>
                        <w:proofErr w:type="spellEnd"/>
                        <w:r w:rsidRPr="00F211B0">
                          <w:rPr>
                            <w:rFonts w:ascii="Book Antiqua" w:hAnsi="Book Antiqua"/>
                            <w:b/>
                            <w:i/>
                            <w:color w:val="000000" w:themeColor="text1"/>
                            <w:sz w:val="16"/>
                            <w:szCs w:val="18"/>
                          </w:rPr>
                          <w:t xml:space="preserve"> </w:t>
                        </w:r>
                        <w:proofErr w:type="spellStart"/>
                        <w:r w:rsidRPr="00F211B0">
                          <w:rPr>
                            <w:rFonts w:ascii="Book Antiqua" w:hAnsi="Book Antiqua"/>
                            <w:b/>
                            <w:i/>
                            <w:color w:val="000000" w:themeColor="text1"/>
                            <w:sz w:val="16"/>
                            <w:szCs w:val="18"/>
                          </w:rPr>
                          <w:t>Batu</w:t>
                        </w:r>
                        <w:proofErr w:type="spellEnd"/>
                        <w:r w:rsidRPr="00F211B0">
                          <w:rPr>
                            <w:rFonts w:ascii="Book Antiqua" w:hAnsi="Book Antiqua"/>
                            <w:b/>
                            <w:i/>
                            <w:color w:val="000000" w:themeColor="text1"/>
                            <w:sz w:val="16"/>
                            <w:szCs w:val="18"/>
                          </w:rPr>
                          <w:t xml:space="preserve"> District, North Aceh)</w:t>
                        </w:r>
                        <w:r w:rsidR="00EB20FC" w:rsidRPr="0038264A">
                          <w:rPr>
                            <w:rFonts w:ascii="Book Antiqua" w:hAnsi="Book Antiqua"/>
                            <w:b/>
                            <w:i/>
                            <w:color w:val="000000" w:themeColor="text1"/>
                            <w:sz w:val="16"/>
                            <w:szCs w:val="18"/>
                          </w:rPr>
                          <w:t>”</w:t>
                        </w:r>
                      </w:p>
                      <w:p w:rsidR="00EB20FC" w:rsidRPr="0038264A" w:rsidRDefault="00EB20FC" w:rsidP="0038264A">
                        <w:pPr>
                          <w:spacing w:after="0" w:line="240" w:lineRule="auto"/>
                          <w:jc w:val="right"/>
                          <w:rPr>
                            <w:rFonts w:ascii="Book Antiqua" w:hAnsi="Book Antiqua"/>
                            <w:b/>
                            <w:i/>
                            <w:color w:val="000000" w:themeColor="text1"/>
                            <w:sz w:val="16"/>
                            <w:szCs w:val="18"/>
                            <w:lang w:val="id-ID"/>
                          </w:rPr>
                        </w:pPr>
                        <w:r w:rsidRPr="0038264A">
                          <w:rPr>
                            <w:rFonts w:ascii="Book Antiqua" w:hAnsi="Book Antiqua"/>
                            <w:b/>
                            <w:i/>
                            <w:color w:val="000000" w:themeColor="text1"/>
                            <w:sz w:val="16"/>
                            <w:szCs w:val="18"/>
                          </w:rPr>
                          <w:t>SASI,</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27</w:t>
                        </w:r>
                        <w:r w:rsidRPr="0038264A">
                          <w:rPr>
                            <w:rFonts w:ascii="Book Antiqua" w:hAnsi="Book Antiqua"/>
                            <w:b/>
                            <w:i/>
                            <w:color w:val="000000" w:themeColor="text1"/>
                            <w:sz w:val="16"/>
                            <w:szCs w:val="18"/>
                            <w:lang w:val="id-ID"/>
                          </w:rPr>
                          <w:t>(1)</w:t>
                        </w:r>
                        <w:r w:rsidRPr="0038264A">
                          <w:rPr>
                            <w:rFonts w:ascii="Book Antiqua" w:hAnsi="Book Antiqua"/>
                            <w:b/>
                            <w:i/>
                            <w:color w:val="000000" w:themeColor="text1"/>
                            <w:sz w:val="16"/>
                            <w:szCs w:val="18"/>
                          </w:rPr>
                          <w:t xml:space="preserve"> 2022</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1</w:t>
                        </w:r>
                        <w:r w:rsidRPr="0038264A">
                          <w:rPr>
                            <w:rFonts w:ascii="Book Antiqua" w:hAnsi="Book Antiqua"/>
                            <w:b/>
                            <w:i/>
                            <w:color w:val="000000" w:themeColor="text1"/>
                            <w:sz w:val="16"/>
                            <w:szCs w:val="18"/>
                            <w:lang w:val="id-ID"/>
                          </w:rPr>
                          <w:t>-15</w:t>
                        </w:r>
                      </w:p>
                      <w:p w:rsidR="00EB20FC" w:rsidRPr="009D4306" w:rsidRDefault="00EB20FC" w:rsidP="0038264A">
                        <w:pPr>
                          <w:spacing w:after="0" w:line="240" w:lineRule="auto"/>
                          <w:jc w:val="right"/>
                          <w:rPr>
                            <w:sz w:val="18"/>
                            <w:szCs w:val="18"/>
                          </w:rPr>
                        </w:pPr>
                        <w:r w:rsidRPr="0038264A">
                          <w:rPr>
                            <w:rFonts w:ascii="Book Antiqua" w:hAnsi="Book Antiqua"/>
                            <w:b/>
                            <w:i/>
                            <w:color w:val="000000" w:themeColor="text1"/>
                            <w:sz w:val="16"/>
                            <w:szCs w:val="18"/>
                            <w:lang w:val="id-ID"/>
                          </w:rPr>
                          <w:t>P-ISSN: 1693-0061, E-ISSN: 2614-2961</w:t>
                        </w:r>
                      </w:p>
                    </w:txbxContent>
                  </v:textbox>
                </v:shape>
              </w:pict>
            </mc:Fallback>
          </mc:AlternateContent>
        </w:r>
        <w:r w:rsidRPr="0038264A">
          <w:rPr>
            <w:rFonts w:ascii="Book Antiqua" w:hAnsi="Book Antiqua"/>
            <w:b/>
            <w:color w:val="2F5496" w:themeColor="accent1" w:themeShade="BF"/>
            <w:sz w:val="28"/>
          </w:rPr>
          <w:fldChar w:fldCharType="begin"/>
        </w:r>
        <w:r w:rsidRPr="0038264A">
          <w:rPr>
            <w:rFonts w:ascii="Book Antiqua" w:hAnsi="Book Antiqua"/>
            <w:b/>
            <w:color w:val="2F5496" w:themeColor="accent1" w:themeShade="BF"/>
            <w:sz w:val="28"/>
          </w:rPr>
          <w:instrText xml:space="preserve"> PAGE   \* MERGEFORMAT </w:instrText>
        </w:r>
        <w:r w:rsidRPr="0038264A">
          <w:rPr>
            <w:rFonts w:ascii="Book Antiqua" w:hAnsi="Book Antiqua"/>
            <w:b/>
            <w:color w:val="2F5496" w:themeColor="accent1" w:themeShade="BF"/>
            <w:sz w:val="28"/>
          </w:rPr>
          <w:fldChar w:fldCharType="separate"/>
        </w:r>
        <w:r w:rsidR="00D85B71" w:rsidRPr="00D85B71">
          <w:rPr>
            <w:rFonts w:ascii="Book Antiqua" w:hAnsi="Book Antiqua"/>
            <w:b/>
            <w:bCs/>
            <w:noProof/>
            <w:color w:val="2F5496" w:themeColor="accent1" w:themeShade="BF"/>
            <w:sz w:val="28"/>
          </w:rPr>
          <w:t>11</w:t>
        </w:r>
        <w:r w:rsidRPr="0038264A">
          <w:rPr>
            <w:rFonts w:ascii="Book Antiqua" w:hAnsi="Book Antiqua"/>
            <w:b/>
            <w:bCs/>
            <w:noProof/>
            <w:color w:val="2F5496" w:themeColor="accent1" w:themeShade="BF"/>
            <w:sz w:val="28"/>
          </w:rPr>
          <w:fldChar w:fldCharType="end"/>
        </w:r>
        <w:r w:rsidRPr="0038264A">
          <w:rPr>
            <w:b/>
            <w:bCs/>
            <w:sz w:val="24"/>
          </w:rPr>
          <w:t xml:space="preserve"> </w:t>
        </w:r>
        <w:r>
          <w:rPr>
            <w:b/>
            <w:bCs/>
          </w:rPr>
          <w:t xml:space="preserve">|     </w:t>
        </w:r>
      </w:p>
    </w:sdtContent>
  </w:sdt>
  <w:p w:rsidR="00EB20FC" w:rsidRPr="00185CD9" w:rsidRDefault="00EB20FC">
    <w:pPr>
      <w:pStyle w:val="Footer"/>
      <w:rPr>
        <w:rFonts w:asciiTheme="majorHAnsi" w:hAnsiTheme="majorHAnsi" w:cstheme="majorHAnsi"/>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09B" w:rsidRDefault="0059209B" w:rsidP="00934130">
      <w:pPr>
        <w:spacing w:after="0" w:line="240" w:lineRule="auto"/>
      </w:pPr>
      <w:r>
        <w:separator/>
      </w:r>
    </w:p>
  </w:footnote>
  <w:footnote w:type="continuationSeparator" w:id="0">
    <w:p w:rsidR="0059209B" w:rsidRDefault="0059209B" w:rsidP="00934130">
      <w:pPr>
        <w:spacing w:after="0" w:line="240" w:lineRule="auto"/>
      </w:pPr>
      <w:r>
        <w:continuationSeparator/>
      </w:r>
    </w:p>
  </w:footnote>
  <w:footnote w:id="1">
    <w:p w:rsidR="006662DB" w:rsidRPr="00C21629" w:rsidRDefault="00C21629" w:rsidP="00C21629">
      <w:pPr>
        <w:pStyle w:val="FootnoteText"/>
        <w:tabs>
          <w:tab w:val="left" w:pos="567"/>
        </w:tabs>
        <w:jc w:val="both"/>
        <w:rPr>
          <w:rFonts w:ascii="Book Antiqua" w:hAnsi="Book Antiqua"/>
        </w:rPr>
      </w:pPr>
      <w:r>
        <w:rPr>
          <w:rFonts w:ascii="Book Antiqua" w:hAnsi="Book Antiqua"/>
        </w:rPr>
        <w:tab/>
      </w:r>
      <w:r w:rsidR="006662DB" w:rsidRPr="00C21629">
        <w:rPr>
          <w:rStyle w:val="FootnoteReference"/>
          <w:rFonts w:ascii="Book Antiqua" w:hAnsi="Book Antiqua"/>
        </w:rPr>
        <w:footnoteRef/>
      </w:r>
      <w:r w:rsidR="006662DB" w:rsidRPr="00C21629">
        <w:rPr>
          <w:rFonts w:ascii="Book Antiqua" w:hAnsi="Book Antiqua"/>
        </w:rPr>
        <w:t xml:space="preserve"> </w:t>
      </w:r>
      <w:r w:rsidR="004636A3" w:rsidRPr="00C21629">
        <w:rPr>
          <w:rFonts w:ascii="Book Antiqua" w:hAnsi="Book Antiqua"/>
        </w:rPr>
        <w:t xml:space="preserve">Debora </w:t>
      </w:r>
      <w:proofErr w:type="spellStart"/>
      <w:r w:rsidR="004636A3" w:rsidRPr="00C21629">
        <w:rPr>
          <w:rFonts w:ascii="Book Antiqua" w:hAnsi="Book Antiqua"/>
        </w:rPr>
        <w:t>Sanur</w:t>
      </w:r>
      <w:proofErr w:type="spellEnd"/>
      <w:r w:rsidR="004636A3" w:rsidRPr="00C21629">
        <w:rPr>
          <w:rFonts w:ascii="Book Antiqua" w:hAnsi="Book Antiqua"/>
        </w:rPr>
        <w:t>, “</w:t>
      </w:r>
      <w:r w:rsidR="006662DB" w:rsidRPr="00C21629">
        <w:rPr>
          <w:rFonts w:ascii="Book Antiqua" w:hAnsi="Book Antiqua"/>
        </w:rPr>
        <w:t>Implementation of Special Autonomy Policies in Aceh Implementation of Special Autonomy Policies in</w:t>
      </w:r>
      <w:r w:rsidR="004636A3" w:rsidRPr="00C21629">
        <w:rPr>
          <w:rFonts w:ascii="Book Antiqua" w:hAnsi="Book Antiqua"/>
        </w:rPr>
        <w:t xml:space="preserve"> Aceh,” </w:t>
      </w:r>
      <w:proofErr w:type="spellStart"/>
      <w:r w:rsidR="004636A3" w:rsidRPr="00C21629">
        <w:rPr>
          <w:rFonts w:ascii="Book Antiqua" w:hAnsi="Book Antiqua"/>
          <w:i/>
        </w:rPr>
        <w:t>Jurnal</w:t>
      </w:r>
      <w:proofErr w:type="spellEnd"/>
      <w:r w:rsidR="004636A3" w:rsidRPr="00C21629">
        <w:rPr>
          <w:rFonts w:ascii="Book Antiqua" w:hAnsi="Book Antiqua"/>
          <w:i/>
        </w:rPr>
        <w:t xml:space="preserve"> </w:t>
      </w:r>
      <w:proofErr w:type="spellStart"/>
      <w:r w:rsidR="004636A3" w:rsidRPr="00C21629">
        <w:rPr>
          <w:rFonts w:ascii="Book Antiqua" w:hAnsi="Book Antiqua"/>
          <w:i/>
        </w:rPr>
        <w:t>Politica</w:t>
      </w:r>
      <w:proofErr w:type="spellEnd"/>
      <w:r w:rsidR="004636A3" w:rsidRPr="00C21629">
        <w:rPr>
          <w:rFonts w:ascii="Book Antiqua" w:hAnsi="Book Antiqua"/>
        </w:rPr>
        <w:t xml:space="preserve">: </w:t>
      </w:r>
      <w:proofErr w:type="spellStart"/>
      <w:r w:rsidR="004636A3" w:rsidRPr="00C21629">
        <w:rPr>
          <w:rFonts w:ascii="Book Antiqua" w:hAnsi="Book Antiqua"/>
          <w:i/>
        </w:rPr>
        <w:t>Masalah</w:t>
      </w:r>
      <w:proofErr w:type="spellEnd"/>
      <w:r w:rsidR="004636A3" w:rsidRPr="00C21629">
        <w:rPr>
          <w:rFonts w:ascii="Book Antiqua" w:hAnsi="Book Antiqua"/>
          <w:i/>
        </w:rPr>
        <w:t xml:space="preserve"> </w:t>
      </w:r>
      <w:proofErr w:type="spellStart"/>
      <w:r w:rsidR="004636A3" w:rsidRPr="00C21629">
        <w:rPr>
          <w:rFonts w:ascii="Book Antiqua" w:hAnsi="Book Antiqua"/>
          <w:i/>
        </w:rPr>
        <w:t>Politik</w:t>
      </w:r>
      <w:proofErr w:type="spellEnd"/>
      <w:r w:rsidR="004636A3" w:rsidRPr="00C21629">
        <w:rPr>
          <w:rFonts w:ascii="Book Antiqua" w:hAnsi="Book Antiqua"/>
          <w:i/>
        </w:rPr>
        <w:t xml:space="preserve"> </w:t>
      </w:r>
      <w:proofErr w:type="spellStart"/>
      <w:r w:rsidR="004636A3" w:rsidRPr="00C21629">
        <w:rPr>
          <w:rFonts w:ascii="Book Antiqua" w:hAnsi="Book Antiqua"/>
          <w:i/>
        </w:rPr>
        <w:t>Dalam</w:t>
      </w:r>
      <w:proofErr w:type="spellEnd"/>
      <w:r w:rsidR="004636A3" w:rsidRPr="00C21629">
        <w:rPr>
          <w:rFonts w:ascii="Book Antiqua" w:hAnsi="Book Antiqua"/>
          <w:i/>
        </w:rPr>
        <w:t xml:space="preserve"> </w:t>
      </w:r>
      <w:proofErr w:type="spellStart"/>
      <w:r w:rsidR="004636A3" w:rsidRPr="00C21629">
        <w:rPr>
          <w:rFonts w:ascii="Book Antiqua" w:hAnsi="Book Antiqua"/>
          <w:i/>
        </w:rPr>
        <w:t>Negeri</w:t>
      </w:r>
      <w:proofErr w:type="spellEnd"/>
      <w:r w:rsidR="004636A3" w:rsidRPr="00C21629">
        <w:rPr>
          <w:rFonts w:ascii="Book Antiqua" w:hAnsi="Book Antiqua"/>
          <w:i/>
        </w:rPr>
        <w:t xml:space="preserve"> </w:t>
      </w:r>
      <w:proofErr w:type="spellStart"/>
      <w:r w:rsidR="004636A3" w:rsidRPr="00C21629">
        <w:rPr>
          <w:rFonts w:ascii="Book Antiqua" w:hAnsi="Book Antiqua"/>
          <w:i/>
        </w:rPr>
        <w:t>dan</w:t>
      </w:r>
      <w:proofErr w:type="spellEnd"/>
      <w:r w:rsidR="004636A3" w:rsidRPr="00C21629">
        <w:rPr>
          <w:rFonts w:ascii="Book Antiqua" w:hAnsi="Book Antiqua"/>
          <w:i/>
        </w:rPr>
        <w:t xml:space="preserve"> </w:t>
      </w:r>
      <w:proofErr w:type="spellStart"/>
      <w:r w:rsidR="004636A3" w:rsidRPr="00C21629">
        <w:rPr>
          <w:rFonts w:ascii="Book Antiqua" w:hAnsi="Book Antiqua"/>
          <w:i/>
        </w:rPr>
        <w:t>Hubungan</w:t>
      </w:r>
      <w:proofErr w:type="spellEnd"/>
      <w:r w:rsidR="004636A3" w:rsidRPr="00C21629">
        <w:rPr>
          <w:rFonts w:ascii="Book Antiqua" w:hAnsi="Book Antiqua"/>
          <w:i/>
        </w:rPr>
        <w:t xml:space="preserve"> </w:t>
      </w:r>
      <w:proofErr w:type="spellStart"/>
      <w:r w:rsidR="004636A3" w:rsidRPr="00C21629">
        <w:rPr>
          <w:rFonts w:ascii="Book Antiqua" w:hAnsi="Book Antiqua"/>
          <w:i/>
        </w:rPr>
        <w:t>Internasional</w:t>
      </w:r>
      <w:proofErr w:type="spellEnd"/>
      <w:r w:rsidR="006662DB" w:rsidRPr="00C21629">
        <w:rPr>
          <w:rFonts w:ascii="Book Antiqua" w:hAnsi="Book Antiqua"/>
        </w:rPr>
        <w:t xml:space="preserve"> 11</w:t>
      </w:r>
      <w:r w:rsidR="004636A3" w:rsidRPr="00C21629">
        <w:rPr>
          <w:rFonts w:ascii="Book Antiqua" w:hAnsi="Book Antiqua"/>
        </w:rPr>
        <w:t xml:space="preserve">, no. </w:t>
      </w:r>
      <w:r w:rsidR="006662DB" w:rsidRPr="00C21629">
        <w:rPr>
          <w:rFonts w:ascii="Book Antiqua" w:hAnsi="Book Antiqua"/>
        </w:rPr>
        <w:t>1</w:t>
      </w:r>
      <w:r w:rsidR="004636A3" w:rsidRPr="00C21629">
        <w:rPr>
          <w:rFonts w:ascii="Book Antiqua" w:hAnsi="Book Antiqua"/>
        </w:rPr>
        <w:t xml:space="preserve"> (2020):</w:t>
      </w:r>
      <w:r w:rsidR="006662DB" w:rsidRPr="00C21629">
        <w:rPr>
          <w:rFonts w:ascii="Book Antiqua" w:hAnsi="Book Antiqua"/>
        </w:rPr>
        <w:t xml:space="preserve"> 65–83. </w:t>
      </w:r>
      <w:proofErr w:type="spellStart"/>
      <w:proofErr w:type="gramStart"/>
      <w:r w:rsidR="006662DB" w:rsidRPr="00C21629">
        <w:rPr>
          <w:rFonts w:ascii="Book Antiqua" w:hAnsi="Book Antiqua"/>
        </w:rPr>
        <w:t>doi</w:t>
      </w:r>
      <w:proofErr w:type="spellEnd"/>
      <w:proofErr w:type="gramEnd"/>
      <w:r w:rsidR="006662DB" w:rsidRPr="00C21629">
        <w:rPr>
          <w:rFonts w:ascii="Book Antiqua" w:hAnsi="Book Antiqua"/>
        </w:rPr>
        <w:t>: 10.22212/jp.v11i1.1580.</w:t>
      </w:r>
    </w:p>
  </w:footnote>
  <w:footnote w:id="2">
    <w:p w:rsidR="005F6116" w:rsidRPr="00C21629" w:rsidRDefault="00C21629" w:rsidP="00C21629">
      <w:pPr>
        <w:pStyle w:val="FootnoteText"/>
        <w:tabs>
          <w:tab w:val="left" w:pos="567"/>
        </w:tabs>
        <w:jc w:val="both"/>
        <w:rPr>
          <w:rFonts w:ascii="Book Antiqua" w:hAnsi="Book Antiqua"/>
        </w:rPr>
      </w:pPr>
      <w:r>
        <w:rPr>
          <w:rFonts w:ascii="Book Antiqua" w:hAnsi="Book Antiqua"/>
        </w:rPr>
        <w:tab/>
      </w:r>
      <w:r w:rsidR="005F6116" w:rsidRPr="00C21629">
        <w:rPr>
          <w:rStyle w:val="FootnoteReference"/>
          <w:rFonts w:ascii="Book Antiqua" w:hAnsi="Book Antiqua"/>
        </w:rPr>
        <w:footnoteRef/>
      </w:r>
      <w:r w:rsidR="005F6116" w:rsidRPr="00C21629">
        <w:rPr>
          <w:rFonts w:ascii="Book Antiqua" w:hAnsi="Book Antiqua"/>
        </w:rPr>
        <w:t xml:space="preserve"> </w:t>
      </w:r>
      <w:proofErr w:type="spellStart"/>
      <w:r w:rsidR="005F6116" w:rsidRPr="00C21629">
        <w:rPr>
          <w:rFonts w:ascii="Book Antiqua" w:hAnsi="Book Antiqua"/>
        </w:rPr>
        <w:t>Hazar</w:t>
      </w:r>
      <w:proofErr w:type="spellEnd"/>
      <w:r w:rsidR="005F6116" w:rsidRPr="00C21629">
        <w:rPr>
          <w:rFonts w:ascii="Book Antiqua" w:hAnsi="Book Antiqua"/>
        </w:rPr>
        <w:t xml:space="preserve"> </w:t>
      </w:r>
      <w:proofErr w:type="spellStart"/>
      <w:r w:rsidR="005F6116" w:rsidRPr="00C21629">
        <w:rPr>
          <w:rFonts w:ascii="Book Antiqua" w:hAnsi="Book Antiqua"/>
        </w:rPr>
        <w:t>Kusmayanti</w:t>
      </w:r>
      <w:proofErr w:type="spellEnd"/>
      <w:r w:rsidR="005F6116" w:rsidRPr="00C21629">
        <w:rPr>
          <w:rFonts w:ascii="Book Antiqua" w:hAnsi="Book Antiqua"/>
        </w:rPr>
        <w:t xml:space="preserve">, “Strengthening Aceh's Customary Courts </w:t>
      </w:r>
      <w:proofErr w:type="gramStart"/>
      <w:r w:rsidR="005F6116" w:rsidRPr="00C21629">
        <w:rPr>
          <w:rFonts w:ascii="Book Antiqua" w:hAnsi="Book Antiqua"/>
        </w:rPr>
        <w:t>For</w:t>
      </w:r>
      <w:proofErr w:type="gramEnd"/>
      <w:r w:rsidR="005F6116" w:rsidRPr="00C21629">
        <w:rPr>
          <w:rFonts w:ascii="Book Antiqua" w:hAnsi="Book Antiqua"/>
        </w:rPr>
        <w:t xml:space="preserve"> Enforcement Of Civil Procedure Law In Indonesia.” </w:t>
      </w:r>
      <w:r w:rsidR="005F6116" w:rsidRPr="00C21629">
        <w:rPr>
          <w:rFonts w:ascii="Book Antiqua" w:hAnsi="Book Antiqua"/>
          <w:i/>
        </w:rPr>
        <w:t>Journal of Positive School Psychology</w:t>
      </w:r>
      <w:r w:rsidR="005F6116" w:rsidRPr="00C21629">
        <w:rPr>
          <w:rFonts w:ascii="Book Antiqua" w:hAnsi="Book Antiqua"/>
        </w:rPr>
        <w:t>, 6, no. 6 (2022): 3405-3411.</w:t>
      </w:r>
    </w:p>
  </w:footnote>
  <w:footnote w:id="3">
    <w:p w:rsidR="006662DB" w:rsidRPr="00C21629" w:rsidRDefault="00C21629" w:rsidP="00C21629">
      <w:pPr>
        <w:pStyle w:val="FootnoteText"/>
        <w:tabs>
          <w:tab w:val="left" w:pos="567"/>
        </w:tabs>
        <w:jc w:val="both"/>
        <w:rPr>
          <w:rFonts w:ascii="Book Antiqua" w:hAnsi="Book Antiqua"/>
        </w:rPr>
      </w:pPr>
      <w:r>
        <w:rPr>
          <w:rFonts w:ascii="Book Antiqua" w:hAnsi="Book Antiqua"/>
        </w:rPr>
        <w:tab/>
      </w:r>
      <w:r w:rsidR="006662DB" w:rsidRPr="00C21629">
        <w:rPr>
          <w:rStyle w:val="FootnoteReference"/>
          <w:rFonts w:ascii="Book Antiqua" w:hAnsi="Book Antiqua"/>
        </w:rPr>
        <w:footnoteRef/>
      </w:r>
      <w:r w:rsidR="006662DB" w:rsidRPr="00C21629">
        <w:rPr>
          <w:rFonts w:ascii="Book Antiqua" w:hAnsi="Book Antiqua"/>
        </w:rPr>
        <w:t xml:space="preserve"> </w:t>
      </w:r>
      <w:proofErr w:type="spellStart"/>
      <w:r w:rsidR="006662DB" w:rsidRPr="00C21629">
        <w:rPr>
          <w:rFonts w:ascii="Book Antiqua" w:hAnsi="Book Antiqua"/>
        </w:rPr>
        <w:t>Yusrizal</w:t>
      </w:r>
      <w:proofErr w:type="spellEnd"/>
      <w:r w:rsidR="006662DB" w:rsidRPr="00C21629">
        <w:rPr>
          <w:rFonts w:ascii="Book Antiqua" w:hAnsi="Book Antiqua"/>
        </w:rPr>
        <w:t xml:space="preserve">, </w:t>
      </w:r>
      <w:proofErr w:type="spellStart"/>
      <w:r w:rsidR="006662DB" w:rsidRPr="00C21629">
        <w:rPr>
          <w:rFonts w:ascii="Book Antiqua" w:hAnsi="Book Antiqua"/>
        </w:rPr>
        <w:t>Mukhlis</w:t>
      </w:r>
      <w:proofErr w:type="spellEnd"/>
      <w:r w:rsidR="006662DB" w:rsidRPr="00C21629">
        <w:rPr>
          <w:rFonts w:ascii="Book Antiqua" w:hAnsi="Book Antiqua"/>
        </w:rPr>
        <w:t xml:space="preserve"> and </w:t>
      </w:r>
      <w:r w:rsidR="00026EAB" w:rsidRPr="00C21629">
        <w:rPr>
          <w:rFonts w:ascii="Book Antiqua" w:hAnsi="Book Antiqua"/>
        </w:rPr>
        <w:t xml:space="preserve">N. </w:t>
      </w:r>
      <w:proofErr w:type="spellStart"/>
      <w:r w:rsidR="006662DB" w:rsidRPr="00C21629">
        <w:rPr>
          <w:rFonts w:ascii="Book Antiqua" w:hAnsi="Book Antiqua"/>
        </w:rPr>
        <w:t>Amalia</w:t>
      </w:r>
      <w:proofErr w:type="spellEnd"/>
      <w:r w:rsidR="006662DB" w:rsidRPr="00C21629">
        <w:rPr>
          <w:rFonts w:ascii="Book Antiqua" w:hAnsi="Book Antiqua"/>
        </w:rPr>
        <w:t>,</w:t>
      </w:r>
      <w:r w:rsidR="00026EAB" w:rsidRPr="00C21629">
        <w:rPr>
          <w:rFonts w:ascii="Book Antiqua" w:hAnsi="Book Antiqua"/>
        </w:rPr>
        <w:t xml:space="preserve"> “</w:t>
      </w:r>
      <w:proofErr w:type="spellStart"/>
      <w:r w:rsidR="006662DB" w:rsidRPr="00C21629">
        <w:rPr>
          <w:rFonts w:ascii="Book Antiqua" w:hAnsi="Book Antiqua"/>
        </w:rPr>
        <w:t>Adat</w:t>
      </w:r>
      <w:proofErr w:type="spellEnd"/>
      <w:r w:rsidR="006662DB" w:rsidRPr="00C21629">
        <w:rPr>
          <w:rFonts w:ascii="Book Antiqua" w:hAnsi="Book Antiqua"/>
        </w:rPr>
        <w:t xml:space="preserve"> court </w:t>
      </w:r>
      <w:proofErr w:type="spellStart"/>
      <w:r w:rsidR="006662DB" w:rsidRPr="00C21629">
        <w:rPr>
          <w:rFonts w:ascii="Book Antiqua" w:hAnsi="Book Antiqua"/>
        </w:rPr>
        <w:t>vs</w:t>
      </w:r>
      <w:proofErr w:type="spellEnd"/>
      <w:r w:rsidR="006662DB" w:rsidRPr="00C21629">
        <w:rPr>
          <w:rFonts w:ascii="Book Antiqua" w:hAnsi="Book Antiqua"/>
        </w:rPr>
        <w:t xml:space="preserve"> </w:t>
      </w:r>
      <w:proofErr w:type="spellStart"/>
      <w:r w:rsidR="006662DB" w:rsidRPr="00C21629">
        <w:rPr>
          <w:rFonts w:ascii="Book Antiqua" w:hAnsi="Book Antiqua"/>
        </w:rPr>
        <w:t>syar’iyah</w:t>
      </w:r>
      <w:proofErr w:type="spellEnd"/>
      <w:r w:rsidR="006662DB" w:rsidRPr="00C21629">
        <w:rPr>
          <w:rFonts w:ascii="Book Antiqua" w:hAnsi="Book Antiqua"/>
        </w:rPr>
        <w:t xml:space="preserve"> court: Study of the legal culture of </w:t>
      </w:r>
      <w:proofErr w:type="spellStart"/>
      <w:r w:rsidR="006662DB" w:rsidRPr="00C21629">
        <w:rPr>
          <w:rFonts w:ascii="Book Antiqua" w:hAnsi="Book Antiqua"/>
        </w:rPr>
        <w:t>aceh</w:t>
      </w:r>
      <w:proofErr w:type="spellEnd"/>
      <w:r w:rsidR="006662DB" w:rsidRPr="00C21629">
        <w:rPr>
          <w:rFonts w:ascii="Book Antiqua" w:hAnsi="Book Antiqua"/>
        </w:rPr>
        <w:t xml:space="preserve"> communiti</w:t>
      </w:r>
      <w:r w:rsidR="00026EAB" w:rsidRPr="00C21629">
        <w:rPr>
          <w:rFonts w:ascii="Book Antiqua" w:hAnsi="Book Antiqua"/>
        </w:rPr>
        <w:t xml:space="preserve">es completing the </w:t>
      </w:r>
      <w:proofErr w:type="spellStart"/>
      <w:r w:rsidR="00026EAB" w:rsidRPr="00C21629">
        <w:rPr>
          <w:rFonts w:ascii="Book Antiqua" w:hAnsi="Book Antiqua"/>
        </w:rPr>
        <w:t>khalwat</w:t>
      </w:r>
      <w:proofErr w:type="spellEnd"/>
      <w:r w:rsidR="00026EAB" w:rsidRPr="00C21629">
        <w:rPr>
          <w:rFonts w:ascii="Book Antiqua" w:hAnsi="Book Antiqua"/>
        </w:rPr>
        <w:t xml:space="preserve"> cases,” </w:t>
      </w:r>
      <w:r w:rsidR="006662DB" w:rsidRPr="00C21629">
        <w:rPr>
          <w:rFonts w:ascii="Book Antiqua" w:hAnsi="Book Antiqua"/>
          <w:i/>
        </w:rPr>
        <w:t>International Journal of Recent Technology and Engineering</w:t>
      </w:r>
      <w:r w:rsidR="006662DB" w:rsidRPr="00C21629">
        <w:rPr>
          <w:rFonts w:ascii="Book Antiqua" w:hAnsi="Book Antiqua"/>
        </w:rPr>
        <w:t xml:space="preserve"> 7</w:t>
      </w:r>
      <w:r w:rsidR="00026EAB" w:rsidRPr="00C21629">
        <w:rPr>
          <w:rFonts w:ascii="Book Antiqua" w:hAnsi="Book Antiqua"/>
        </w:rPr>
        <w:t xml:space="preserve">, no. </w:t>
      </w:r>
      <w:r w:rsidR="006662DB" w:rsidRPr="00C21629">
        <w:rPr>
          <w:rFonts w:ascii="Book Antiqua" w:hAnsi="Book Antiqua"/>
        </w:rPr>
        <w:t>6</w:t>
      </w:r>
      <w:r w:rsidR="00026EAB" w:rsidRPr="00C21629">
        <w:rPr>
          <w:rFonts w:ascii="Book Antiqua" w:hAnsi="Book Antiqua"/>
        </w:rPr>
        <w:t xml:space="preserve"> (2019):</w:t>
      </w:r>
      <w:r w:rsidR="006662DB" w:rsidRPr="00C21629">
        <w:rPr>
          <w:rFonts w:ascii="Book Antiqua" w:hAnsi="Book Antiqua"/>
        </w:rPr>
        <w:t xml:space="preserve"> 1367–1370</w:t>
      </w:r>
    </w:p>
  </w:footnote>
  <w:footnote w:id="4">
    <w:p w:rsidR="00C21629" w:rsidRPr="00C21629" w:rsidRDefault="00C21629" w:rsidP="00C21629">
      <w:pPr>
        <w:pStyle w:val="FootnoteText"/>
        <w:tabs>
          <w:tab w:val="left" w:pos="540"/>
          <w:tab w:val="left" w:pos="567"/>
        </w:tabs>
        <w:ind w:firstLine="540"/>
        <w:jc w:val="both"/>
        <w:rPr>
          <w:rFonts w:ascii="Book Antiqua" w:hAnsi="Book Antiqua"/>
        </w:rPr>
      </w:pPr>
      <w:r w:rsidRPr="00C21629">
        <w:rPr>
          <w:rStyle w:val="FootnoteReference"/>
          <w:rFonts w:ascii="Book Antiqua" w:hAnsi="Book Antiqua"/>
        </w:rPr>
        <w:footnoteRef/>
      </w:r>
      <w:r w:rsidRPr="00C21629">
        <w:rPr>
          <w:rFonts w:ascii="Book Antiqua" w:hAnsi="Book Antiqua"/>
        </w:rPr>
        <w:t xml:space="preserve"> </w:t>
      </w:r>
      <w:r w:rsidRPr="00C21629">
        <w:rPr>
          <w:rFonts w:ascii="Book Antiqua" w:hAnsi="Book Antiqua"/>
        </w:rPr>
        <w:fldChar w:fldCharType="begin" w:fldLock="1"/>
      </w:r>
      <w:r w:rsidRPr="00C21629">
        <w:rPr>
          <w:rFonts w:ascii="Book Antiqua" w:hAnsi="Book Antiqua"/>
        </w:rPr>
        <w:instrText>ADDIN CSL_CITATION {"citationItems":[{"id":"ITEM-1","itemData":{"author":[{"dropping-particle":"","family":"Rowe","given":"Suzanne E.","non-dropping-particle":"","parse-names":false,"suffix":""}],"container-title":"SSRN eLibrary","id":"ITEM-1","issue":"2000","issued":{"date-parts":[["2009"]]},"page":"1-19","title":"Legal Research, Legal Analysis, and Legal Writing: Putting Law School into Practice","type":"article-journal","volume":"1193"},"uris":["http://www.mendeley.com/documents/?uuid=f5c8c10a-f4db-4697-a18e-7674e86f051c"]}],"mendeley":{"formattedCitation":"Suzanne E. Rowe, “Legal Research, Legal Analysis, and Legal Writing: Putting Law School into Practice,” &lt;i&gt;SSRN ELibrary&lt;/i&gt; 1193, no. 2000 (2009): 1–19.","manualFormatting":"Suzanne E. Rowe, \"Legal Research, Legal Analysis, and Legal Writing: Putting Law School into Practice,\" SSRN ELibrary, 1193, no. 2000 (2019): 1–19.","plainTextFormattedCitation":"Suzanne E. Rowe, “Legal Research, Legal Analysis, and Legal Writing: Putting Law School into Practice,” SSRN ELibrary 1193, no. 2000 (2009): 1–19.","previouslyFormattedCitation":"Suzanne E. Rowe, “Legal Research, Legal Analysis, and Legal Writing: Putting Law School into Practice,” &lt;i&gt;SSRN ELibrary&lt;/i&gt; 1193, no. 2000 (2009): 1–19."},"properties":{"noteIndex":5},"schema":"https://github.com/citation-style-language/schema/raw/master/csl-citation.json"}</w:instrText>
      </w:r>
      <w:r w:rsidRPr="00C21629">
        <w:rPr>
          <w:rFonts w:ascii="Book Antiqua" w:hAnsi="Book Antiqua"/>
        </w:rPr>
        <w:fldChar w:fldCharType="separate"/>
      </w:r>
      <w:r w:rsidRPr="00C21629">
        <w:rPr>
          <w:rFonts w:ascii="Book Antiqua" w:hAnsi="Book Antiqua"/>
          <w:noProof/>
        </w:rPr>
        <w:t xml:space="preserve">Suzanne E. Rowe, "Legal Research, Legal Analysis, and Legal Writing: Putting Law School into Practice," </w:t>
      </w:r>
      <w:r w:rsidRPr="00C21629">
        <w:rPr>
          <w:rFonts w:ascii="Book Antiqua" w:hAnsi="Book Antiqua"/>
          <w:i/>
          <w:noProof/>
        </w:rPr>
        <w:t>SSRN ELibrary</w:t>
      </w:r>
      <w:r w:rsidRPr="00C21629">
        <w:rPr>
          <w:rFonts w:ascii="Book Antiqua" w:hAnsi="Book Antiqua"/>
          <w:noProof/>
        </w:rPr>
        <w:t>, 1193, no. 2000 (2019): 1–19.</w:t>
      </w:r>
      <w:r w:rsidRPr="00C21629">
        <w:rPr>
          <w:rFonts w:ascii="Book Antiqua" w:hAnsi="Book Antiqua"/>
        </w:rPr>
        <w:fldChar w:fldCharType="end"/>
      </w:r>
      <w:proofErr w:type="spellStart"/>
      <w:r>
        <w:rPr>
          <w:rFonts w:ascii="Book Antiqua" w:hAnsi="Book Antiqua"/>
        </w:rPr>
        <w:t>Doi</w:t>
      </w:r>
      <w:proofErr w:type="spellEnd"/>
      <w:r>
        <w:rPr>
          <w:rFonts w:ascii="Book Antiqua" w:hAnsi="Book Antiqua"/>
        </w:rPr>
        <w:t>:</w:t>
      </w:r>
      <w:r w:rsidRPr="00C21629">
        <w:rPr>
          <w:rFonts w:ascii="Book Antiqua" w:hAnsi="Book Antiqua"/>
          <w:shd w:val="clear" w:color="auto" w:fill="FFFFFF"/>
        </w:rPr>
        <w:t> </w:t>
      </w:r>
      <w:hyperlink r:id="rId1" w:tgtFrame="_blank" w:history="1">
        <w:r w:rsidRPr="00C21629">
          <w:rPr>
            <w:rStyle w:val="Hyperlink"/>
            <w:rFonts w:ascii="Book Antiqua" w:hAnsi="Book Antiqua"/>
            <w:color w:val="auto"/>
            <w:u w:val="none"/>
            <w:shd w:val="clear" w:color="auto" w:fill="FFFFFF"/>
          </w:rPr>
          <w:t>http://dx.doi.org/10.2139/ssrn.1223682</w:t>
        </w:r>
      </w:hyperlink>
    </w:p>
  </w:footnote>
  <w:footnote w:id="5">
    <w:p w:rsidR="001868DE" w:rsidRPr="00C21629" w:rsidRDefault="001868DE" w:rsidP="00C21629">
      <w:pPr>
        <w:pStyle w:val="FootnoteText"/>
        <w:tabs>
          <w:tab w:val="left" w:pos="540"/>
          <w:tab w:val="left" w:pos="567"/>
        </w:tabs>
        <w:jc w:val="both"/>
        <w:rPr>
          <w:rFonts w:ascii="Book Antiqua" w:hAnsi="Book Antiqua"/>
        </w:rPr>
      </w:pPr>
      <w:r w:rsidRPr="00C21629">
        <w:rPr>
          <w:rFonts w:ascii="Book Antiqua" w:hAnsi="Book Antiqua"/>
        </w:rPr>
        <w:tab/>
      </w:r>
      <w:r w:rsidRPr="00C21629">
        <w:rPr>
          <w:rStyle w:val="FootnoteReference"/>
          <w:rFonts w:ascii="Book Antiqua" w:hAnsi="Book Antiqua"/>
        </w:rPr>
        <w:footnoteRef/>
      </w:r>
      <w:r w:rsidRPr="00C21629">
        <w:rPr>
          <w:rFonts w:ascii="Book Antiqua" w:hAnsi="Book Antiqua"/>
        </w:rPr>
        <w:t xml:space="preserve"> </w:t>
      </w:r>
      <w:r w:rsidRPr="00C21629">
        <w:rPr>
          <w:rFonts w:ascii="Book Antiqua" w:hAnsi="Book Antiqua"/>
        </w:rPr>
        <w:fldChar w:fldCharType="begin" w:fldLock="1"/>
      </w:r>
      <w:r w:rsidRPr="00C21629">
        <w:rPr>
          <w:rFonts w:ascii="Book Antiqua" w:hAnsi="Book Antiqua"/>
        </w:rPr>
        <w:instrText>ADDIN CSL_CITATION {"citationItems":[{"id":"ITEM-1","itemData":{"author":[{"dropping-particle":"","family":"Diantha","given":"I Made Pasek","non-dropping-particle":"","parse-names":false,"suffix":""}],"id":"ITEM-1","issued":{"date-parts":[["2017"]]},"number-of-pages":"159","publisher":"Prenanda Media Group","publisher-place":"Jakarta","title":"Metodologi Penelitian Hukum Normatif Dalam Justifikasi Teori Hukum","type":"book"},"uris":["http://www.mendeley.com/documents/?uuid=b2086330-bd88-4bbb-b5f6-738d08f33f04"]}],"mendeley":{"formattedCitation":"I Made Pasek Diantha, &lt;i&gt;Metodologi Penelitian Hukum Normatif Dalam Justifikasi Teori Hukum&lt;/i&gt; (Jakarta: Prenanda Media Group, 2017).","plainTextFormattedCitation":"I Made Pasek Diantha, Metodologi Penelitian Hukum Normatif Dalam Justifikasi Teori Hukum (Jakarta: Prenanda Media Group, 2017).","previouslyFormattedCitation":"(Diantha 2017)"},"properties":{"noteIndex":3},"schema":"https://github.com/citation-style-language/schema/raw/master/csl-citation.json"}</w:instrText>
      </w:r>
      <w:r w:rsidRPr="00C21629">
        <w:rPr>
          <w:rFonts w:ascii="Book Antiqua" w:hAnsi="Book Antiqua"/>
        </w:rPr>
        <w:fldChar w:fldCharType="separate"/>
      </w:r>
      <w:r w:rsidRPr="00C21629">
        <w:rPr>
          <w:rFonts w:ascii="Book Antiqua" w:hAnsi="Book Antiqua"/>
          <w:noProof/>
        </w:rPr>
        <w:t xml:space="preserve">I Made Pasek Diantha, </w:t>
      </w:r>
      <w:r w:rsidRPr="00C21629">
        <w:rPr>
          <w:rFonts w:ascii="Book Antiqua" w:hAnsi="Book Antiqua"/>
          <w:i/>
          <w:noProof/>
        </w:rPr>
        <w:t>"Metodologi Penelitian Hukum Normatif Dalam Justifikasi Teori Hukum,"</w:t>
      </w:r>
      <w:r w:rsidRPr="00C21629">
        <w:rPr>
          <w:rFonts w:ascii="Book Antiqua" w:hAnsi="Book Antiqua"/>
          <w:noProof/>
        </w:rPr>
        <w:t xml:space="preserve"> (Jakarta: Prenanda Media Group, 2017), p. 41.</w:t>
      </w:r>
      <w:r w:rsidRPr="00C21629">
        <w:rPr>
          <w:rFonts w:ascii="Book Antiqua" w:hAnsi="Book Antiqua"/>
        </w:rPr>
        <w:fldChar w:fldCharType="end"/>
      </w:r>
    </w:p>
  </w:footnote>
  <w:footnote w:id="6">
    <w:p w:rsidR="002B2792" w:rsidRDefault="002B2792" w:rsidP="002B2792">
      <w:pPr>
        <w:pStyle w:val="FootnoteText"/>
        <w:tabs>
          <w:tab w:val="left" w:pos="567"/>
        </w:tabs>
        <w:jc w:val="both"/>
      </w:pPr>
      <w:r>
        <w:tab/>
      </w:r>
      <w:r>
        <w:rPr>
          <w:rStyle w:val="FootnoteReference"/>
        </w:rPr>
        <w:footnoteRef/>
      </w:r>
      <w:r>
        <w:t xml:space="preserve"> </w:t>
      </w:r>
      <w:proofErr w:type="spellStart"/>
      <w:r w:rsidRPr="002B2792">
        <w:t>Bewa</w:t>
      </w:r>
      <w:proofErr w:type="spellEnd"/>
      <w:r w:rsidRPr="002B2792">
        <w:t xml:space="preserve"> </w:t>
      </w:r>
      <w:proofErr w:type="spellStart"/>
      <w:r w:rsidRPr="002B2792">
        <w:t>Ragawino</w:t>
      </w:r>
      <w:proofErr w:type="spellEnd"/>
      <w:r w:rsidRPr="002B2792">
        <w:t>, “</w:t>
      </w:r>
      <w:proofErr w:type="spellStart"/>
      <w:r w:rsidRPr="002B2792">
        <w:rPr>
          <w:i/>
        </w:rPr>
        <w:t>Pengantar</w:t>
      </w:r>
      <w:proofErr w:type="spellEnd"/>
      <w:r w:rsidRPr="002B2792">
        <w:rPr>
          <w:i/>
        </w:rPr>
        <w:t xml:space="preserve"> </w:t>
      </w:r>
      <w:proofErr w:type="spellStart"/>
      <w:r w:rsidRPr="002B2792">
        <w:rPr>
          <w:i/>
        </w:rPr>
        <w:t>dan</w:t>
      </w:r>
      <w:proofErr w:type="spellEnd"/>
      <w:r w:rsidRPr="002B2792">
        <w:rPr>
          <w:i/>
        </w:rPr>
        <w:t xml:space="preserve"> </w:t>
      </w:r>
      <w:proofErr w:type="spellStart"/>
      <w:r w:rsidRPr="002B2792">
        <w:rPr>
          <w:i/>
        </w:rPr>
        <w:t>Asas-Asas</w:t>
      </w:r>
      <w:proofErr w:type="spellEnd"/>
      <w:r w:rsidRPr="002B2792">
        <w:rPr>
          <w:i/>
        </w:rPr>
        <w:t xml:space="preserve"> </w:t>
      </w:r>
      <w:proofErr w:type="spellStart"/>
      <w:r w:rsidRPr="002B2792">
        <w:rPr>
          <w:i/>
        </w:rPr>
        <w:t>Hukum</w:t>
      </w:r>
      <w:proofErr w:type="spellEnd"/>
      <w:r w:rsidRPr="002B2792">
        <w:rPr>
          <w:i/>
        </w:rPr>
        <w:t xml:space="preserve"> </w:t>
      </w:r>
      <w:proofErr w:type="spellStart"/>
      <w:r w:rsidRPr="002B2792">
        <w:rPr>
          <w:i/>
        </w:rPr>
        <w:t>Adat</w:t>
      </w:r>
      <w:proofErr w:type="spellEnd"/>
      <w:r w:rsidRPr="002B2792">
        <w:rPr>
          <w:i/>
        </w:rPr>
        <w:t xml:space="preserve"> Indonesia</w:t>
      </w:r>
      <w:r w:rsidRPr="002B2792">
        <w:t>.” (</w:t>
      </w:r>
      <w:r>
        <w:t xml:space="preserve">Bandung: </w:t>
      </w:r>
      <w:proofErr w:type="spellStart"/>
      <w:r w:rsidRPr="002B2792">
        <w:t>Universitas</w:t>
      </w:r>
      <w:proofErr w:type="spellEnd"/>
      <w:r w:rsidRPr="002B2792">
        <w:t xml:space="preserve"> </w:t>
      </w:r>
      <w:proofErr w:type="spellStart"/>
      <w:r w:rsidRPr="002B2792">
        <w:t>Padjajaran</w:t>
      </w:r>
      <w:proofErr w:type="spellEnd"/>
      <w:r w:rsidRPr="002B2792">
        <w:t>, 2001)</w:t>
      </w:r>
      <w:r>
        <w:t>, p</w:t>
      </w:r>
      <w:r w:rsidRPr="002B2792">
        <w:t>.</w:t>
      </w:r>
      <w:r>
        <w:t xml:space="preserve"> 45.</w:t>
      </w:r>
    </w:p>
  </w:footnote>
  <w:footnote w:id="7">
    <w:p w:rsidR="006662DB" w:rsidRPr="00C21629" w:rsidRDefault="00C21629" w:rsidP="00C21629">
      <w:pPr>
        <w:pStyle w:val="FootnoteText"/>
        <w:tabs>
          <w:tab w:val="left" w:pos="567"/>
        </w:tabs>
        <w:jc w:val="both"/>
        <w:rPr>
          <w:rFonts w:ascii="Book Antiqua" w:hAnsi="Book Antiqua"/>
        </w:rPr>
      </w:pPr>
      <w:r>
        <w:rPr>
          <w:rFonts w:ascii="Book Antiqua" w:hAnsi="Book Antiqua"/>
        </w:rPr>
        <w:tab/>
      </w:r>
      <w:r w:rsidR="006662DB" w:rsidRPr="00C21629">
        <w:rPr>
          <w:rStyle w:val="FootnoteReference"/>
          <w:rFonts w:ascii="Book Antiqua" w:hAnsi="Book Antiqua"/>
        </w:rPr>
        <w:footnoteRef/>
      </w:r>
      <w:r w:rsidR="006662DB" w:rsidRPr="00C21629">
        <w:rPr>
          <w:rFonts w:ascii="Book Antiqua" w:hAnsi="Book Antiqua"/>
        </w:rPr>
        <w:t xml:space="preserve"> </w:t>
      </w:r>
      <w:r w:rsidR="00026EAB" w:rsidRPr="00C21629">
        <w:rPr>
          <w:rFonts w:ascii="Book Antiqua" w:hAnsi="Book Antiqua"/>
        </w:rPr>
        <w:t xml:space="preserve">N. </w:t>
      </w:r>
      <w:proofErr w:type="spellStart"/>
      <w:r w:rsidR="006662DB" w:rsidRPr="00C21629">
        <w:rPr>
          <w:rFonts w:ascii="Book Antiqua" w:hAnsi="Book Antiqua"/>
        </w:rPr>
        <w:t>Amalia</w:t>
      </w:r>
      <w:proofErr w:type="spellEnd"/>
      <w:r w:rsidR="006662DB" w:rsidRPr="00C21629">
        <w:rPr>
          <w:rFonts w:ascii="Book Antiqua" w:hAnsi="Book Antiqua"/>
        </w:rPr>
        <w:t xml:space="preserve">, </w:t>
      </w:r>
      <w:r w:rsidR="00026EAB" w:rsidRPr="00C21629">
        <w:rPr>
          <w:rFonts w:ascii="Book Antiqua" w:hAnsi="Book Antiqua"/>
        </w:rPr>
        <w:t>“</w:t>
      </w:r>
      <w:r w:rsidR="006662DB" w:rsidRPr="00C21629">
        <w:rPr>
          <w:rFonts w:ascii="Book Antiqua" w:hAnsi="Book Antiqua"/>
        </w:rPr>
        <w:t xml:space="preserve">Model </w:t>
      </w:r>
      <w:proofErr w:type="spellStart"/>
      <w:r w:rsidR="006662DB" w:rsidRPr="00C21629">
        <w:rPr>
          <w:rFonts w:ascii="Book Antiqua" w:hAnsi="Book Antiqua"/>
        </w:rPr>
        <w:t>Penyelesaian</w:t>
      </w:r>
      <w:proofErr w:type="spellEnd"/>
      <w:r w:rsidR="006662DB" w:rsidRPr="00C21629">
        <w:rPr>
          <w:rFonts w:ascii="Book Antiqua" w:hAnsi="Book Antiqua"/>
        </w:rPr>
        <w:t xml:space="preserve"> </w:t>
      </w:r>
      <w:proofErr w:type="spellStart"/>
      <w:r w:rsidR="006662DB" w:rsidRPr="00C21629">
        <w:rPr>
          <w:rFonts w:ascii="Book Antiqua" w:hAnsi="Book Antiqua"/>
        </w:rPr>
        <w:t>Seng</w:t>
      </w:r>
      <w:r w:rsidR="00026EAB" w:rsidRPr="00C21629">
        <w:rPr>
          <w:rFonts w:ascii="Book Antiqua" w:hAnsi="Book Antiqua"/>
        </w:rPr>
        <w:t>keta</w:t>
      </w:r>
      <w:proofErr w:type="spellEnd"/>
      <w:r w:rsidR="00026EAB" w:rsidRPr="00C21629">
        <w:rPr>
          <w:rFonts w:ascii="Book Antiqua" w:hAnsi="Book Antiqua"/>
        </w:rPr>
        <w:t xml:space="preserve"> </w:t>
      </w:r>
      <w:proofErr w:type="spellStart"/>
      <w:r w:rsidR="00026EAB" w:rsidRPr="00C21629">
        <w:rPr>
          <w:rFonts w:ascii="Book Antiqua" w:hAnsi="Book Antiqua"/>
        </w:rPr>
        <w:t>dan</w:t>
      </w:r>
      <w:proofErr w:type="spellEnd"/>
      <w:r w:rsidR="00026EAB" w:rsidRPr="00C21629">
        <w:rPr>
          <w:rFonts w:ascii="Book Antiqua" w:hAnsi="Book Antiqua"/>
        </w:rPr>
        <w:t xml:space="preserve"> </w:t>
      </w:r>
      <w:proofErr w:type="spellStart"/>
      <w:r w:rsidR="00026EAB" w:rsidRPr="00C21629">
        <w:rPr>
          <w:rFonts w:ascii="Book Antiqua" w:hAnsi="Book Antiqua"/>
        </w:rPr>
        <w:t>Peradilan</w:t>
      </w:r>
      <w:proofErr w:type="spellEnd"/>
      <w:r w:rsidR="00026EAB" w:rsidRPr="00C21629">
        <w:rPr>
          <w:rFonts w:ascii="Book Antiqua" w:hAnsi="Book Antiqua"/>
        </w:rPr>
        <w:t xml:space="preserve"> </w:t>
      </w:r>
      <w:proofErr w:type="spellStart"/>
      <w:r w:rsidR="00026EAB" w:rsidRPr="00C21629">
        <w:rPr>
          <w:rFonts w:ascii="Book Antiqua" w:hAnsi="Book Antiqua"/>
        </w:rPr>
        <w:t>Adat</w:t>
      </w:r>
      <w:proofErr w:type="spellEnd"/>
      <w:r w:rsidR="00026EAB" w:rsidRPr="00C21629">
        <w:rPr>
          <w:rFonts w:ascii="Book Antiqua" w:hAnsi="Book Antiqua"/>
        </w:rPr>
        <w:t xml:space="preserve"> di Aceh” </w:t>
      </w:r>
      <w:proofErr w:type="spellStart"/>
      <w:r w:rsidR="00026EAB" w:rsidRPr="00C21629">
        <w:rPr>
          <w:rFonts w:ascii="Book Antiqua" w:hAnsi="Book Antiqua"/>
          <w:i/>
          <w:iCs/>
          <w:spacing w:val="2"/>
          <w:shd w:val="clear" w:color="auto" w:fill="FFFFFF"/>
        </w:rPr>
        <w:t>Jurnal</w:t>
      </w:r>
      <w:proofErr w:type="spellEnd"/>
      <w:r w:rsidR="00026EAB" w:rsidRPr="00C21629">
        <w:rPr>
          <w:rFonts w:ascii="Book Antiqua" w:hAnsi="Book Antiqua"/>
          <w:i/>
          <w:iCs/>
          <w:spacing w:val="2"/>
          <w:shd w:val="clear" w:color="auto" w:fill="FFFFFF"/>
        </w:rPr>
        <w:t xml:space="preserve"> </w:t>
      </w:r>
      <w:proofErr w:type="spellStart"/>
      <w:r w:rsidR="00026EAB" w:rsidRPr="00C21629">
        <w:rPr>
          <w:rFonts w:ascii="Book Antiqua" w:hAnsi="Book Antiqua"/>
          <w:i/>
          <w:iCs/>
          <w:spacing w:val="2"/>
          <w:shd w:val="clear" w:color="auto" w:fill="FFFFFF"/>
        </w:rPr>
        <w:t>Hukum</w:t>
      </w:r>
      <w:proofErr w:type="spellEnd"/>
      <w:r w:rsidR="00026EAB" w:rsidRPr="00C21629">
        <w:rPr>
          <w:rFonts w:ascii="Book Antiqua" w:hAnsi="Book Antiqua"/>
          <w:i/>
          <w:iCs/>
          <w:spacing w:val="2"/>
          <w:shd w:val="clear" w:color="auto" w:fill="FFFFFF"/>
        </w:rPr>
        <w:t xml:space="preserve"> IUS QUIA IUSTUM</w:t>
      </w:r>
      <w:r w:rsidR="00026EAB" w:rsidRPr="00C21629">
        <w:rPr>
          <w:rFonts w:ascii="Book Antiqua" w:hAnsi="Book Antiqua"/>
          <w:spacing w:val="2"/>
          <w:shd w:val="clear" w:color="auto" w:fill="FFFFFF"/>
        </w:rPr>
        <w:t>, </w:t>
      </w:r>
      <w:r w:rsidR="00026EAB" w:rsidRPr="00C21629">
        <w:rPr>
          <w:rFonts w:ascii="Book Antiqua" w:hAnsi="Book Antiqua"/>
          <w:i/>
          <w:iCs/>
          <w:spacing w:val="2"/>
          <w:shd w:val="clear" w:color="auto" w:fill="FFFFFF"/>
        </w:rPr>
        <w:t xml:space="preserve">25, no. </w:t>
      </w:r>
      <w:r w:rsidR="00026EAB" w:rsidRPr="00C21629">
        <w:rPr>
          <w:rFonts w:ascii="Book Antiqua" w:hAnsi="Book Antiqua"/>
          <w:spacing w:val="2"/>
          <w:shd w:val="clear" w:color="auto" w:fill="FFFFFF"/>
        </w:rPr>
        <w:t>1 (2018): 159-179.</w:t>
      </w:r>
      <w:r w:rsidR="006662DB" w:rsidRPr="00C21629">
        <w:rPr>
          <w:rFonts w:ascii="Book Antiqua" w:hAnsi="Book Antiqua"/>
        </w:rPr>
        <w:t xml:space="preserve"> </w:t>
      </w:r>
      <w:proofErr w:type="spellStart"/>
      <w:proofErr w:type="gramStart"/>
      <w:r w:rsidR="006662DB" w:rsidRPr="00C21629">
        <w:rPr>
          <w:rFonts w:ascii="Book Antiqua" w:hAnsi="Book Antiqua"/>
        </w:rPr>
        <w:t>doi</w:t>
      </w:r>
      <w:proofErr w:type="spellEnd"/>
      <w:proofErr w:type="gramEnd"/>
      <w:r w:rsidR="006662DB" w:rsidRPr="00C21629">
        <w:rPr>
          <w:rFonts w:ascii="Book Antiqua" w:hAnsi="Book Antiqua"/>
        </w:rPr>
        <w:t>: 10.20885/iustum.vol25.iss1.art8.</w:t>
      </w:r>
    </w:p>
  </w:footnote>
  <w:footnote w:id="8">
    <w:p w:rsidR="006662DB" w:rsidRPr="00C21629" w:rsidRDefault="00C21629" w:rsidP="00C21629">
      <w:pPr>
        <w:pStyle w:val="FootnoteText"/>
        <w:tabs>
          <w:tab w:val="left" w:pos="567"/>
        </w:tabs>
        <w:jc w:val="both"/>
        <w:rPr>
          <w:rFonts w:ascii="Book Antiqua" w:hAnsi="Book Antiqua"/>
        </w:rPr>
      </w:pPr>
      <w:r>
        <w:rPr>
          <w:rFonts w:ascii="Book Antiqua" w:hAnsi="Book Antiqua"/>
        </w:rPr>
        <w:tab/>
      </w:r>
      <w:r w:rsidR="006662DB" w:rsidRPr="00C21629">
        <w:rPr>
          <w:rStyle w:val="FootnoteReference"/>
          <w:rFonts w:ascii="Book Antiqua" w:hAnsi="Book Antiqua"/>
        </w:rPr>
        <w:footnoteRef/>
      </w:r>
      <w:r w:rsidR="006662DB" w:rsidRPr="00C21629">
        <w:rPr>
          <w:rFonts w:ascii="Book Antiqua" w:hAnsi="Book Antiqua"/>
        </w:rPr>
        <w:t xml:space="preserve"> </w:t>
      </w:r>
      <w:r w:rsidR="00026EAB" w:rsidRPr="00C21629">
        <w:rPr>
          <w:rFonts w:ascii="Book Antiqua" w:hAnsi="Book Antiqua"/>
        </w:rPr>
        <w:t xml:space="preserve">Mahdi, “Existence </w:t>
      </w:r>
      <w:proofErr w:type="gramStart"/>
      <w:r w:rsidR="00026EAB" w:rsidRPr="00C21629">
        <w:rPr>
          <w:rFonts w:ascii="Book Antiqua" w:hAnsi="Book Antiqua"/>
        </w:rPr>
        <w:t>Of</w:t>
      </w:r>
      <w:proofErr w:type="gramEnd"/>
      <w:r w:rsidR="00026EAB" w:rsidRPr="00C21629">
        <w:rPr>
          <w:rFonts w:ascii="Book Antiqua" w:hAnsi="Book Antiqua"/>
        </w:rPr>
        <w:t xml:space="preserve"> Indigenous Justice In Aceh,”</w:t>
      </w:r>
      <w:r w:rsidR="006662DB" w:rsidRPr="00C21629">
        <w:rPr>
          <w:rFonts w:ascii="Book Antiqua" w:hAnsi="Book Antiqua"/>
        </w:rPr>
        <w:t xml:space="preserve"> </w:t>
      </w:r>
      <w:proofErr w:type="spellStart"/>
      <w:r w:rsidR="006662DB" w:rsidRPr="00C21629">
        <w:rPr>
          <w:rFonts w:ascii="Book Antiqua" w:hAnsi="Book Antiqua"/>
          <w:i/>
        </w:rPr>
        <w:t>Hunafa</w:t>
      </w:r>
      <w:proofErr w:type="spellEnd"/>
      <w:r w:rsidR="006662DB" w:rsidRPr="00C21629">
        <w:rPr>
          <w:rFonts w:ascii="Book Antiqua" w:hAnsi="Book Antiqua"/>
          <w:i/>
        </w:rPr>
        <w:t xml:space="preserve">: Journal of </w:t>
      </w:r>
      <w:proofErr w:type="spellStart"/>
      <w:r w:rsidR="006662DB" w:rsidRPr="00C21629">
        <w:rPr>
          <w:rFonts w:ascii="Book Antiqua" w:hAnsi="Book Antiqua"/>
          <w:i/>
        </w:rPr>
        <w:t>Studia</w:t>
      </w:r>
      <w:proofErr w:type="spellEnd"/>
      <w:r w:rsidR="006662DB" w:rsidRPr="00C21629">
        <w:rPr>
          <w:rFonts w:ascii="Book Antiqua" w:hAnsi="Book Antiqua"/>
          <w:i/>
        </w:rPr>
        <w:t xml:space="preserve"> </w:t>
      </w:r>
      <w:proofErr w:type="spellStart"/>
      <w:r w:rsidR="006662DB" w:rsidRPr="00C21629">
        <w:rPr>
          <w:rFonts w:ascii="Book Antiqua" w:hAnsi="Book Antiqua"/>
          <w:i/>
        </w:rPr>
        <w:t>Islamika</w:t>
      </w:r>
      <w:proofErr w:type="spellEnd"/>
      <w:r w:rsidR="006662DB" w:rsidRPr="00C21629">
        <w:rPr>
          <w:rFonts w:ascii="Book Antiqua" w:hAnsi="Book Antiqua"/>
        </w:rPr>
        <w:t xml:space="preserve"> 8</w:t>
      </w:r>
      <w:r w:rsidR="00026EAB" w:rsidRPr="00C21629">
        <w:rPr>
          <w:rFonts w:ascii="Book Antiqua" w:hAnsi="Book Antiqua"/>
        </w:rPr>
        <w:t xml:space="preserve">, no. </w:t>
      </w:r>
      <w:r w:rsidR="006662DB" w:rsidRPr="00C21629">
        <w:rPr>
          <w:rFonts w:ascii="Book Antiqua" w:hAnsi="Book Antiqua"/>
        </w:rPr>
        <w:t>2</w:t>
      </w:r>
      <w:r w:rsidR="00026EAB" w:rsidRPr="00C21629">
        <w:rPr>
          <w:rFonts w:ascii="Book Antiqua" w:hAnsi="Book Antiqua"/>
        </w:rPr>
        <w:t xml:space="preserve"> (2015):</w:t>
      </w:r>
      <w:r w:rsidR="006662DB" w:rsidRPr="00C21629">
        <w:rPr>
          <w:rFonts w:ascii="Book Antiqua" w:hAnsi="Book Antiqua"/>
        </w:rPr>
        <w:t xml:space="preserve"> 189–215.</w:t>
      </w:r>
    </w:p>
  </w:footnote>
  <w:footnote w:id="9">
    <w:p w:rsidR="005F6116" w:rsidRPr="00C21629" w:rsidRDefault="00C21629" w:rsidP="00C21629">
      <w:pPr>
        <w:pStyle w:val="FootnoteText"/>
        <w:tabs>
          <w:tab w:val="left" w:pos="567"/>
        </w:tabs>
        <w:jc w:val="both"/>
        <w:rPr>
          <w:rFonts w:ascii="Book Antiqua" w:hAnsi="Book Antiqua"/>
        </w:rPr>
      </w:pPr>
      <w:r>
        <w:rPr>
          <w:rFonts w:ascii="Book Antiqua" w:hAnsi="Book Antiqua"/>
        </w:rPr>
        <w:tab/>
      </w:r>
      <w:r w:rsidR="005F6116" w:rsidRPr="00C21629">
        <w:rPr>
          <w:rStyle w:val="FootnoteReference"/>
          <w:rFonts w:ascii="Book Antiqua" w:hAnsi="Book Antiqua"/>
        </w:rPr>
        <w:footnoteRef/>
      </w:r>
      <w:r w:rsidR="005F6116" w:rsidRPr="00C21629">
        <w:rPr>
          <w:rFonts w:ascii="Book Antiqua" w:hAnsi="Book Antiqua"/>
        </w:rPr>
        <w:t xml:space="preserve"> </w:t>
      </w:r>
      <w:proofErr w:type="spellStart"/>
      <w:r w:rsidR="005F6116" w:rsidRPr="00C21629">
        <w:rPr>
          <w:rFonts w:ascii="Book Antiqua" w:hAnsi="Book Antiqua"/>
        </w:rPr>
        <w:t>Manfarisyah</w:t>
      </w:r>
      <w:proofErr w:type="spellEnd"/>
      <w:r w:rsidR="005F6116" w:rsidRPr="00C21629">
        <w:rPr>
          <w:rFonts w:ascii="Book Antiqua" w:hAnsi="Book Antiqua"/>
        </w:rPr>
        <w:t xml:space="preserve"> and </w:t>
      </w:r>
      <w:proofErr w:type="spellStart"/>
      <w:r w:rsidR="005F6116" w:rsidRPr="00C21629">
        <w:rPr>
          <w:rFonts w:ascii="Book Antiqua" w:hAnsi="Book Antiqua"/>
        </w:rPr>
        <w:t>Yulia</w:t>
      </w:r>
      <w:proofErr w:type="spellEnd"/>
      <w:r w:rsidR="005F6116" w:rsidRPr="00C21629">
        <w:rPr>
          <w:rFonts w:ascii="Book Antiqua" w:hAnsi="Book Antiqua"/>
        </w:rPr>
        <w:t xml:space="preserve">, “The </w:t>
      </w:r>
      <w:proofErr w:type="spellStart"/>
      <w:r w:rsidR="005F6116" w:rsidRPr="00C21629">
        <w:rPr>
          <w:rFonts w:ascii="Book Antiqua" w:hAnsi="Book Antiqua"/>
        </w:rPr>
        <w:t>Participationof</w:t>
      </w:r>
      <w:proofErr w:type="spellEnd"/>
      <w:r w:rsidR="005F6116" w:rsidRPr="00C21629">
        <w:rPr>
          <w:rFonts w:ascii="Book Antiqua" w:hAnsi="Book Antiqua"/>
        </w:rPr>
        <w:t xml:space="preserve"> Women in</w:t>
      </w:r>
      <w:r>
        <w:rPr>
          <w:rFonts w:ascii="Book Antiqua" w:hAnsi="Book Antiqua"/>
        </w:rPr>
        <w:t xml:space="preserve"> the Village </w:t>
      </w:r>
      <w:proofErr w:type="spellStart"/>
      <w:r>
        <w:rPr>
          <w:rFonts w:ascii="Book Antiqua" w:hAnsi="Book Antiqua"/>
        </w:rPr>
        <w:t>Adat</w:t>
      </w:r>
      <w:proofErr w:type="spellEnd"/>
      <w:r>
        <w:rPr>
          <w:rFonts w:ascii="Book Antiqua" w:hAnsi="Book Antiqua"/>
        </w:rPr>
        <w:t xml:space="preserve"> Justice: </w:t>
      </w:r>
      <w:proofErr w:type="gramStart"/>
      <w:r>
        <w:rPr>
          <w:rFonts w:ascii="Book Antiqua" w:hAnsi="Book Antiqua"/>
        </w:rPr>
        <w:t xml:space="preserve">the  </w:t>
      </w:r>
      <w:r w:rsidR="005F6116" w:rsidRPr="00C21629">
        <w:rPr>
          <w:rFonts w:ascii="Book Antiqua" w:hAnsi="Book Antiqua"/>
        </w:rPr>
        <w:t>Regulations</w:t>
      </w:r>
      <w:proofErr w:type="gramEnd"/>
      <w:r w:rsidR="005F6116" w:rsidRPr="00C21629">
        <w:rPr>
          <w:rFonts w:ascii="Book Antiqua" w:hAnsi="Book Antiqua"/>
        </w:rPr>
        <w:t xml:space="preserve"> and Its Implementations in North Aceh Regency, “</w:t>
      </w:r>
      <w:r w:rsidR="005F6116" w:rsidRPr="00C21629">
        <w:rPr>
          <w:rFonts w:ascii="Book Antiqua" w:hAnsi="Book Antiqua"/>
          <w:i/>
        </w:rPr>
        <w:t>Indian Journal of Public Health Research &amp; Development</w:t>
      </w:r>
      <w:r w:rsidR="008B35C9" w:rsidRPr="00C21629">
        <w:rPr>
          <w:rFonts w:ascii="Book Antiqua" w:hAnsi="Book Antiqua"/>
          <w:i/>
        </w:rPr>
        <w:t xml:space="preserve"> </w:t>
      </w:r>
      <w:r w:rsidR="008B35C9" w:rsidRPr="00C21629">
        <w:rPr>
          <w:rFonts w:ascii="Book Antiqua" w:hAnsi="Book Antiqua"/>
        </w:rPr>
        <w:t>9, no. 12 (2018): 180-185.</w:t>
      </w:r>
    </w:p>
  </w:footnote>
  <w:footnote w:id="10">
    <w:p w:rsidR="006662DB" w:rsidRPr="00C21629" w:rsidRDefault="00C21629" w:rsidP="00C21629">
      <w:pPr>
        <w:pStyle w:val="FootnoteText"/>
        <w:tabs>
          <w:tab w:val="left" w:pos="567"/>
        </w:tabs>
        <w:jc w:val="both"/>
        <w:rPr>
          <w:rFonts w:ascii="Book Antiqua" w:hAnsi="Book Antiqua"/>
        </w:rPr>
      </w:pPr>
      <w:r>
        <w:rPr>
          <w:rFonts w:ascii="Book Antiqua" w:hAnsi="Book Antiqua"/>
        </w:rPr>
        <w:tab/>
      </w:r>
      <w:r w:rsidR="006662DB" w:rsidRPr="00C21629">
        <w:rPr>
          <w:rStyle w:val="FootnoteReference"/>
          <w:rFonts w:ascii="Book Antiqua" w:hAnsi="Book Antiqua"/>
        </w:rPr>
        <w:footnoteRef/>
      </w:r>
      <w:r w:rsidR="006662DB" w:rsidRPr="00C21629">
        <w:rPr>
          <w:rFonts w:ascii="Book Antiqua" w:hAnsi="Book Antiqua"/>
        </w:rPr>
        <w:t xml:space="preserve"> </w:t>
      </w:r>
      <w:r w:rsidR="00026EAB" w:rsidRPr="00C21629">
        <w:rPr>
          <w:rFonts w:ascii="Book Antiqua" w:hAnsi="Book Antiqua"/>
        </w:rPr>
        <w:t xml:space="preserve">H. </w:t>
      </w:r>
      <w:proofErr w:type="spellStart"/>
      <w:proofErr w:type="gramStart"/>
      <w:r w:rsidR="00026EAB" w:rsidRPr="00C21629">
        <w:rPr>
          <w:rFonts w:ascii="Book Antiqua" w:hAnsi="Book Antiqua"/>
        </w:rPr>
        <w:t>Kusmayanti</w:t>
      </w:r>
      <w:proofErr w:type="spellEnd"/>
      <w:r w:rsidR="00026EAB" w:rsidRPr="00C21629">
        <w:rPr>
          <w:rFonts w:ascii="Book Antiqua" w:hAnsi="Book Antiqua"/>
        </w:rPr>
        <w:t xml:space="preserve"> </w:t>
      </w:r>
      <w:r w:rsidR="006662DB" w:rsidRPr="00C21629">
        <w:rPr>
          <w:rFonts w:ascii="Book Antiqua" w:hAnsi="Book Antiqua"/>
        </w:rPr>
        <w:t xml:space="preserve"> and</w:t>
      </w:r>
      <w:proofErr w:type="gramEnd"/>
      <w:r w:rsidR="006662DB" w:rsidRPr="00C21629">
        <w:rPr>
          <w:rFonts w:ascii="Book Antiqua" w:hAnsi="Book Antiqua"/>
        </w:rPr>
        <w:t xml:space="preserve"> </w:t>
      </w:r>
      <w:r w:rsidR="00026EAB" w:rsidRPr="00C21629">
        <w:rPr>
          <w:rFonts w:ascii="Book Antiqua" w:hAnsi="Book Antiqua"/>
        </w:rPr>
        <w:t xml:space="preserve">EL. </w:t>
      </w:r>
      <w:proofErr w:type="spellStart"/>
      <w:r w:rsidR="006662DB" w:rsidRPr="00C21629">
        <w:rPr>
          <w:rFonts w:ascii="Book Antiqua" w:hAnsi="Book Antiqua"/>
        </w:rPr>
        <w:t>Fakhriah</w:t>
      </w:r>
      <w:proofErr w:type="spellEnd"/>
      <w:r w:rsidR="00026EAB" w:rsidRPr="00C21629">
        <w:rPr>
          <w:rFonts w:ascii="Book Antiqua" w:hAnsi="Book Antiqua"/>
        </w:rPr>
        <w:t>, “</w:t>
      </w:r>
      <w:r w:rsidR="006662DB" w:rsidRPr="00C21629">
        <w:rPr>
          <w:rFonts w:ascii="Book Antiqua" w:hAnsi="Book Antiqua"/>
        </w:rPr>
        <w:t>The practice of dispute resolutio</w:t>
      </w:r>
      <w:r w:rsidR="00026EAB" w:rsidRPr="00C21629">
        <w:rPr>
          <w:rFonts w:ascii="Book Antiqua" w:hAnsi="Book Antiqua"/>
        </w:rPr>
        <w:t xml:space="preserve">n in Aceh's Traditional Justice,” </w:t>
      </w:r>
      <w:r w:rsidR="006662DB" w:rsidRPr="00C21629">
        <w:rPr>
          <w:rFonts w:ascii="Book Antiqua" w:hAnsi="Book Antiqua"/>
          <w:i/>
        </w:rPr>
        <w:t>International Journal of Innovation, Creativity and Change</w:t>
      </w:r>
      <w:r w:rsidR="006662DB" w:rsidRPr="00C21629">
        <w:rPr>
          <w:rFonts w:ascii="Book Antiqua" w:hAnsi="Book Antiqua"/>
        </w:rPr>
        <w:t xml:space="preserve">  10</w:t>
      </w:r>
      <w:r w:rsidR="00026EAB" w:rsidRPr="00C21629">
        <w:rPr>
          <w:rFonts w:ascii="Book Antiqua" w:hAnsi="Book Antiqua"/>
        </w:rPr>
        <w:t xml:space="preserve">, no. </w:t>
      </w:r>
      <w:r w:rsidR="006662DB" w:rsidRPr="00C21629">
        <w:rPr>
          <w:rFonts w:ascii="Book Antiqua" w:hAnsi="Book Antiqua"/>
        </w:rPr>
        <w:t>3</w:t>
      </w:r>
      <w:r w:rsidR="00026EAB" w:rsidRPr="00C21629">
        <w:rPr>
          <w:rFonts w:ascii="Book Antiqua" w:hAnsi="Book Antiqua"/>
        </w:rPr>
        <w:t xml:space="preserve"> (2019):</w:t>
      </w:r>
      <w:r w:rsidR="006662DB" w:rsidRPr="00C21629">
        <w:rPr>
          <w:rFonts w:ascii="Book Antiqua" w:hAnsi="Book Antiqua"/>
        </w:rPr>
        <w:t xml:space="preserve"> 154–168</w:t>
      </w:r>
      <w:r w:rsidR="00026EAB" w:rsidRPr="00C21629">
        <w:rPr>
          <w:rFonts w:ascii="Book Antiqua" w:hAnsi="Book Antiqua"/>
        </w:rPr>
        <w:t>.</w:t>
      </w:r>
    </w:p>
  </w:footnote>
  <w:footnote w:id="11">
    <w:p w:rsidR="005F6116" w:rsidRPr="00C21629" w:rsidRDefault="00C21629" w:rsidP="00C21629">
      <w:pPr>
        <w:pStyle w:val="FootnoteText"/>
        <w:tabs>
          <w:tab w:val="left" w:pos="567"/>
        </w:tabs>
        <w:jc w:val="both"/>
        <w:rPr>
          <w:rFonts w:ascii="Book Antiqua" w:hAnsi="Book Antiqua"/>
          <w:i/>
        </w:rPr>
      </w:pPr>
      <w:r>
        <w:rPr>
          <w:rFonts w:ascii="Book Antiqua" w:hAnsi="Book Antiqua"/>
        </w:rPr>
        <w:tab/>
      </w:r>
      <w:r w:rsidR="005F6116" w:rsidRPr="00C21629">
        <w:rPr>
          <w:rStyle w:val="FootnoteReference"/>
          <w:rFonts w:ascii="Book Antiqua" w:hAnsi="Book Antiqua"/>
        </w:rPr>
        <w:footnoteRef/>
      </w:r>
      <w:r w:rsidR="005F6116" w:rsidRPr="00C21629">
        <w:rPr>
          <w:rFonts w:ascii="Book Antiqua" w:hAnsi="Book Antiqua"/>
        </w:rPr>
        <w:t xml:space="preserve"> </w:t>
      </w:r>
      <w:proofErr w:type="spellStart"/>
      <w:r w:rsidR="005F6116" w:rsidRPr="00C21629">
        <w:rPr>
          <w:rFonts w:ascii="Book Antiqua" w:hAnsi="Book Antiqua"/>
        </w:rPr>
        <w:t>Andi</w:t>
      </w:r>
      <w:proofErr w:type="spellEnd"/>
      <w:r w:rsidR="005F6116" w:rsidRPr="00C21629">
        <w:rPr>
          <w:rFonts w:ascii="Book Antiqua" w:hAnsi="Book Antiqua"/>
        </w:rPr>
        <w:t xml:space="preserve"> </w:t>
      </w:r>
      <w:proofErr w:type="spellStart"/>
      <w:r w:rsidR="005F6116" w:rsidRPr="00C21629">
        <w:rPr>
          <w:rFonts w:ascii="Book Antiqua" w:hAnsi="Book Antiqua"/>
        </w:rPr>
        <w:t>Lesmana</w:t>
      </w:r>
      <w:proofErr w:type="spellEnd"/>
      <w:r w:rsidR="005F6116" w:rsidRPr="00C21629">
        <w:rPr>
          <w:rFonts w:ascii="Book Antiqua" w:hAnsi="Book Antiqua"/>
        </w:rPr>
        <w:t xml:space="preserve"> and </w:t>
      </w:r>
      <w:proofErr w:type="spellStart"/>
      <w:r w:rsidR="005F6116" w:rsidRPr="00C21629">
        <w:rPr>
          <w:rFonts w:ascii="Book Antiqua" w:hAnsi="Book Antiqua"/>
        </w:rPr>
        <w:t>Munawir</w:t>
      </w:r>
      <w:proofErr w:type="spellEnd"/>
      <w:r w:rsidR="005F6116" w:rsidRPr="00C21629">
        <w:rPr>
          <w:rFonts w:ascii="Book Antiqua" w:hAnsi="Book Antiqua"/>
        </w:rPr>
        <w:t xml:space="preserve">, “The Effectiveness of the Existence of Village Customary Courts in Utilizing Problem Solving By the </w:t>
      </w:r>
      <w:proofErr w:type="spellStart"/>
      <w:r w:rsidR="005F6116" w:rsidRPr="00C21629">
        <w:rPr>
          <w:rFonts w:ascii="Book Antiqua" w:hAnsi="Book Antiqua"/>
        </w:rPr>
        <w:t>Bireuen</w:t>
      </w:r>
      <w:proofErr w:type="spellEnd"/>
      <w:r w:rsidR="005F6116" w:rsidRPr="00C21629">
        <w:rPr>
          <w:rFonts w:ascii="Book Antiqua" w:hAnsi="Book Antiqua"/>
        </w:rPr>
        <w:t xml:space="preserve"> Community.” </w:t>
      </w:r>
      <w:r w:rsidR="005F6116" w:rsidRPr="00C21629">
        <w:rPr>
          <w:rFonts w:ascii="Book Antiqua" w:hAnsi="Book Antiqua"/>
          <w:i/>
        </w:rPr>
        <w:t xml:space="preserve">Journal of </w:t>
      </w:r>
      <w:proofErr w:type="spellStart"/>
      <w:r w:rsidR="005F6116" w:rsidRPr="00C21629">
        <w:rPr>
          <w:rFonts w:ascii="Book Antiqua" w:hAnsi="Book Antiqua"/>
          <w:i/>
        </w:rPr>
        <w:t>Etika</w:t>
      </w:r>
      <w:proofErr w:type="spellEnd"/>
      <w:r w:rsidR="005F6116" w:rsidRPr="00C21629">
        <w:rPr>
          <w:rFonts w:ascii="Book Antiqua" w:hAnsi="Book Antiqua"/>
          <w:i/>
        </w:rPr>
        <w:t xml:space="preserve"> </w:t>
      </w:r>
      <w:proofErr w:type="spellStart"/>
      <w:r w:rsidR="005F6116" w:rsidRPr="00C21629">
        <w:rPr>
          <w:rFonts w:ascii="Book Antiqua" w:hAnsi="Book Antiqua"/>
          <w:i/>
        </w:rPr>
        <w:t>Demokrasi</w:t>
      </w:r>
      <w:proofErr w:type="spellEnd"/>
      <w:r w:rsidR="005F6116" w:rsidRPr="00C21629">
        <w:rPr>
          <w:rFonts w:ascii="Book Antiqua" w:hAnsi="Book Antiqua"/>
          <w:i/>
        </w:rPr>
        <w:t xml:space="preserve"> </w:t>
      </w:r>
      <w:r w:rsidR="005F6116" w:rsidRPr="00C21629">
        <w:rPr>
          <w:rFonts w:ascii="Book Antiqua" w:hAnsi="Book Antiqua"/>
        </w:rPr>
        <w:t xml:space="preserve">7, no. 4 (2022): 727-737. </w:t>
      </w:r>
      <w:proofErr w:type="spellStart"/>
      <w:r w:rsidR="005F6116" w:rsidRPr="00C21629">
        <w:rPr>
          <w:rFonts w:ascii="Book Antiqua" w:hAnsi="Book Antiqua"/>
        </w:rPr>
        <w:t>D</w:t>
      </w:r>
      <w:r w:rsidR="00026EAB" w:rsidRPr="00C21629">
        <w:rPr>
          <w:rFonts w:ascii="Book Antiqua" w:hAnsi="Book Antiqua"/>
        </w:rPr>
        <w:t>oi</w:t>
      </w:r>
      <w:proofErr w:type="spellEnd"/>
      <w:r w:rsidR="005F6116" w:rsidRPr="00C21629">
        <w:rPr>
          <w:rFonts w:ascii="Book Antiqua" w:hAnsi="Book Antiqua"/>
        </w:rPr>
        <w:t>: 10.26618/jed.v%vi%i.8998.</w:t>
      </w:r>
    </w:p>
  </w:footnote>
  <w:footnote w:id="12">
    <w:p w:rsidR="006662DB" w:rsidRPr="00C21629" w:rsidRDefault="00C21629" w:rsidP="00C21629">
      <w:pPr>
        <w:pStyle w:val="FootnoteText"/>
        <w:tabs>
          <w:tab w:val="left" w:pos="567"/>
        </w:tabs>
        <w:jc w:val="both"/>
        <w:rPr>
          <w:rFonts w:ascii="Book Antiqua" w:hAnsi="Book Antiqua"/>
        </w:rPr>
      </w:pPr>
      <w:r>
        <w:rPr>
          <w:rFonts w:ascii="Book Antiqua" w:hAnsi="Book Antiqua"/>
        </w:rPr>
        <w:tab/>
      </w:r>
      <w:r w:rsidR="006662DB" w:rsidRPr="00C21629">
        <w:rPr>
          <w:rStyle w:val="FootnoteReference"/>
          <w:rFonts w:ascii="Book Antiqua" w:hAnsi="Book Antiqua"/>
        </w:rPr>
        <w:footnoteRef/>
      </w:r>
      <w:r w:rsidR="006662DB" w:rsidRPr="00C21629">
        <w:rPr>
          <w:rFonts w:ascii="Book Antiqua" w:hAnsi="Book Antiqua"/>
        </w:rPr>
        <w:t xml:space="preserve"> </w:t>
      </w:r>
      <w:r w:rsidR="00026EAB" w:rsidRPr="00C21629">
        <w:rPr>
          <w:rFonts w:ascii="Book Antiqua" w:hAnsi="Book Antiqua"/>
        </w:rPr>
        <w:t xml:space="preserve">K. </w:t>
      </w:r>
      <w:proofErr w:type="spellStart"/>
      <w:r w:rsidR="00026EAB" w:rsidRPr="00C21629">
        <w:rPr>
          <w:rFonts w:ascii="Book Antiqua" w:hAnsi="Book Antiqua"/>
        </w:rPr>
        <w:t>Bustamam</w:t>
      </w:r>
      <w:proofErr w:type="spellEnd"/>
      <w:r w:rsidR="00026EAB" w:rsidRPr="00C21629">
        <w:rPr>
          <w:rFonts w:ascii="Book Antiqua" w:hAnsi="Book Antiqua"/>
        </w:rPr>
        <w:t>-Ahmad, “</w:t>
      </w:r>
      <w:r w:rsidR="006662DB" w:rsidRPr="00C21629">
        <w:rPr>
          <w:rFonts w:ascii="Book Antiqua" w:hAnsi="Book Antiqua"/>
        </w:rPr>
        <w:t xml:space="preserve">A study of </w:t>
      </w:r>
      <w:proofErr w:type="spellStart"/>
      <w:r w:rsidR="006662DB" w:rsidRPr="00C21629">
        <w:rPr>
          <w:rFonts w:ascii="Book Antiqua" w:hAnsi="Book Antiqua"/>
        </w:rPr>
        <w:t>Panglima</w:t>
      </w:r>
      <w:proofErr w:type="spellEnd"/>
      <w:r w:rsidR="006662DB" w:rsidRPr="00C21629">
        <w:rPr>
          <w:rFonts w:ascii="Book Antiqua" w:hAnsi="Book Antiqua"/>
        </w:rPr>
        <w:t xml:space="preserve"> </w:t>
      </w:r>
      <w:proofErr w:type="spellStart"/>
      <w:r w:rsidR="006662DB" w:rsidRPr="00C21629">
        <w:rPr>
          <w:rFonts w:ascii="Book Antiqua" w:hAnsi="Book Antiqua"/>
        </w:rPr>
        <w:t>La’Ōt</w:t>
      </w:r>
      <w:proofErr w:type="spellEnd"/>
      <w:r w:rsidR="00026EAB" w:rsidRPr="00C21629">
        <w:rPr>
          <w:rFonts w:ascii="Book Antiqua" w:hAnsi="Book Antiqua"/>
        </w:rPr>
        <w:t>: An ’</w:t>
      </w:r>
      <w:proofErr w:type="spellStart"/>
      <w:r w:rsidR="00026EAB" w:rsidRPr="00C21629">
        <w:rPr>
          <w:rFonts w:ascii="Book Antiqua" w:hAnsi="Book Antiqua"/>
        </w:rPr>
        <w:t>Adat</w:t>
      </w:r>
      <w:proofErr w:type="spellEnd"/>
      <w:r w:rsidR="00026EAB" w:rsidRPr="00C21629">
        <w:rPr>
          <w:rFonts w:ascii="Book Antiqua" w:hAnsi="Book Antiqua"/>
        </w:rPr>
        <w:t xml:space="preserve"> institution in Aceh, </w:t>
      </w:r>
      <w:proofErr w:type="gramStart"/>
      <w:r w:rsidR="00026EAB" w:rsidRPr="00C21629">
        <w:rPr>
          <w:rFonts w:ascii="Book Antiqua" w:hAnsi="Book Antiqua"/>
        </w:rPr>
        <w:t>“</w:t>
      </w:r>
      <w:r w:rsidR="006662DB" w:rsidRPr="00C21629">
        <w:rPr>
          <w:rFonts w:ascii="Book Antiqua" w:hAnsi="Book Antiqua"/>
        </w:rPr>
        <w:t xml:space="preserve"> </w:t>
      </w:r>
      <w:r w:rsidR="006662DB" w:rsidRPr="00C21629">
        <w:rPr>
          <w:rFonts w:ascii="Book Antiqua" w:hAnsi="Book Antiqua"/>
          <w:i/>
        </w:rPr>
        <w:t>Al</w:t>
      </w:r>
      <w:proofErr w:type="gramEnd"/>
      <w:r w:rsidR="006662DB" w:rsidRPr="00C21629">
        <w:rPr>
          <w:rFonts w:ascii="Book Antiqua" w:hAnsi="Book Antiqua"/>
          <w:i/>
        </w:rPr>
        <w:t>-</w:t>
      </w:r>
      <w:proofErr w:type="spellStart"/>
      <w:r w:rsidR="006662DB" w:rsidRPr="00C21629">
        <w:rPr>
          <w:rFonts w:ascii="Book Antiqua" w:hAnsi="Book Antiqua"/>
          <w:i/>
        </w:rPr>
        <w:t>Jami’ah</w:t>
      </w:r>
      <w:proofErr w:type="spellEnd"/>
      <w:r w:rsidR="006662DB" w:rsidRPr="00C21629">
        <w:rPr>
          <w:rFonts w:ascii="Book Antiqua" w:hAnsi="Book Antiqua"/>
        </w:rPr>
        <w:t xml:space="preserve"> 55</w:t>
      </w:r>
      <w:r w:rsidR="00026EAB" w:rsidRPr="00C21629">
        <w:rPr>
          <w:rFonts w:ascii="Book Antiqua" w:hAnsi="Book Antiqua"/>
        </w:rPr>
        <w:t xml:space="preserve">, no. </w:t>
      </w:r>
      <w:r w:rsidR="006662DB" w:rsidRPr="00C21629">
        <w:rPr>
          <w:rFonts w:ascii="Book Antiqua" w:hAnsi="Book Antiqua"/>
        </w:rPr>
        <w:t>1</w:t>
      </w:r>
      <w:r w:rsidR="00026EAB" w:rsidRPr="00C21629">
        <w:rPr>
          <w:rFonts w:ascii="Book Antiqua" w:hAnsi="Book Antiqua"/>
        </w:rPr>
        <w:t xml:space="preserve"> (2017): 155–188. </w:t>
      </w:r>
      <w:proofErr w:type="spellStart"/>
      <w:r w:rsidR="00026EAB" w:rsidRPr="00C21629">
        <w:rPr>
          <w:rFonts w:ascii="Book Antiqua" w:hAnsi="Book Antiqua"/>
        </w:rPr>
        <w:t>D</w:t>
      </w:r>
      <w:r w:rsidR="006662DB" w:rsidRPr="00C21629">
        <w:rPr>
          <w:rFonts w:ascii="Book Antiqua" w:hAnsi="Book Antiqua"/>
        </w:rPr>
        <w:t>oi</w:t>
      </w:r>
      <w:proofErr w:type="spellEnd"/>
      <w:r w:rsidR="006662DB" w:rsidRPr="00C21629">
        <w:rPr>
          <w:rFonts w:ascii="Book Antiqua" w:hAnsi="Book Antiqua"/>
        </w:rPr>
        <w:t>: 10.14421/ajis.2017.551.155-188.</w:t>
      </w:r>
    </w:p>
  </w:footnote>
  <w:footnote w:id="13">
    <w:p w:rsidR="006662DB" w:rsidRPr="00C21629" w:rsidRDefault="00C21629" w:rsidP="00C21629">
      <w:pPr>
        <w:pStyle w:val="FootnoteText"/>
        <w:tabs>
          <w:tab w:val="left" w:pos="567"/>
        </w:tabs>
        <w:jc w:val="both"/>
        <w:rPr>
          <w:rFonts w:ascii="Book Antiqua" w:hAnsi="Book Antiqua"/>
        </w:rPr>
      </w:pPr>
      <w:r>
        <w:rPr>
          <w:rFonts w:ascii="Book Antiqua" w:hAnsi="Book Antiqua"/>
        </w:rPr>
        <w:tab/>
      </w:r>
      <w:r w:rsidR="006662DB" w:rsidRPr="00C21629">
        <w:rPr>
          <w:rStyle w:val="FootnoteReference"/>
          <w:rFonts w:ascii="Book Antiqua" w:hAnsi="Book Antiqua"/>
        </w:rPr>
        <w:footnoteRef/>
      </w:r>
      <w:r w:rsidR="006662DB" w:rsidRPr="00C21629">
        <w:rPr>
          <w:rFonts w:ascii="Book Antiqua" w:hAnsi="Book Antiqua"/>
        </w:rPr>
        <w:t xml:space="preserve"> </w:t>
      </w:r>
      <w:proofErr w:type="gramStart"/>
      <w:r w:rsidR="00026EAB" w:rsidRPr="00C21629">
        <w:rPr>
          <w:rFonts w:ascii="Book Antiqua" w:hAnsi="Book Antiqua"/>
        </w:rPr>
        <w:t>TM.</w:t>
      </w:r>
      <w:proofErr w:type="gramEnd"/>
      <w:r w:rsidR="00026EAB" w:rsidRPr="00C21629">
        <w:rPr>
          <w:rFonts w:ascii="Book Antiqua" w:hAnsi="Book Antiqua"/>
        </w:rPr>
        <w:t xml:space="preserve"> </w:t>
      </w:r>
      <w:r w:rsidR="006662DB" w:rsidRPr="00C21629">
        <w:rPr>
          <w:rFonts w:ascii="Book Antiqua" w:hAnsi="Book Antiqua"/>
        </w:rPr>
        <w:t xml:space="preserve">Mansur, </w:t>
      </w:r>
      <w:r w:rsidR="00026EAB" w:rsidRPr="00C21629">
        <w:rPr>
          <w:rFonts w:ascii="Book Antiqua" w:hAnsi="Book Antiqua"/>
        </w:rPr>
        <w:t>“</w:t>
      </w:r>
      <w:r w:rsidR="006662DB" w:rsidRPr="00C21629">
        <w:rPr>
          <w:rFonts w:ascii="Book Antiqua" w:hAnsi="Book Antiqua"/>
        </w:rPr>
        <w:t xml:space="preserve">A Conceptual Framework of the </w:t>
      </w:r>
      <w:proofErr w:type="spellStart"/>
      <w:r w:rsidR="006662DB" w:rsidRPr="00C21629">
        <w:rPr>
          <w:rFonts w:ascii="Book Antiqua" w:hAnsi="Book Antiqua"/>
        </w:rPr>
        <w:t>Adat</w:t>
      </w:r>
      <w:proofErr w:type="spellEnd"/>
      <w:r w:rsidR="006662DB" w:rsidRPr="00C21629">
        <w:rPr>
          <w:rFonts w:ascii="Book Antiqua" w:hAnsi="Book Antiqua"/>
        </w:rPr>
        <w:t xml:space="preserve"> Court within the Formal Court: A Case of the</w:t>
      </w:r>
      <w:r w:rsidR="00026EAB" w:rsidRPr="00C21629">
        <w:rPr>
          <w:rFonts w:ascii="Book Antiqua" w:hAnsi="Book Antiqua"/>
        </w:rPr>
        <w:t xml:space="preserve"> </w:t>
      </w:r>
      <w:proofErr w:type="spellStart"/>
      <w:r w:rsidR="00026EAB" w:rsidRPr="00C21629">
        <w:rPr>
          <w:rFonts w:ascii="Book Antiqua" w:hAnsi="Book Antiqua"/>
        </w:rPr>
        <w:t>Adat</w:t>
      </w:r>
      <w:proofErr w:type="spellEnd"/>
      <w:r w:rsidR="00026EAB" w:rsidRPr="00C21629">
        <w:rPr>
          <w:rFonts w:ascii="Book Antiqua" w:hAnsi="Book Antiqua"/>
        </w:rPr>
        <w:t xml:space="preserve"> Aceh Court, in Indonesia, </w:t>
      </w:r>
      <w:proofErr w:type="gramStart"/>
      <w:r w:rsidR="00026EAB" w:rsidRPr="00C21629">
        <w:rPr>
          <w:rFonts w:ascii="Book Antiqua" w:hAnsi="Book Antiqua"/>
        </w:rPr>
        <w:t>“</w:t>
      </w:r>
      <w:r w:rsidR="006662DB" w:rsidRPr="00C21629">
        <w:rPr>
          <w:rFonts w:ascii="Book Antiqua" w:hAnsi="Book Antiqua"/>
        </w:rPr>
        <w:t xml:space="preserve"> </w:t>
      </w:r>
      <w:r w:rsidR="006662DB" w:rsidRPr="00C21629">
        <w:rPr>
          <w:rFonts w:ascii="Book Antiqua" w:hAnsi="Book Antiqua"/>
          <w:i/>
        </w:rPr>
        <w:t>SSRN</w:t>
      </w:r>
      <w:proofErr w:type="gramEnd"/>
      <w:r w:rsidR="006662DB" w:rsidRPr="00C21629">
        <w:rPr>
          <w:rFonts w:ascii="Book Antiqua" w:hAnsi="Book Antiqua"/>
          <w:i/>
        </w:rPr>
        <w:t xml:space="preserve"> Electronic Journal</w:t>
      </w:r>
      <w:r w:rsidR="00026EAB" w:rsidRPr="00C21629">
        <w:rPr>
          <w:rFonts w:ascii="Book Antiqua" w:hAnsi="Book Antiqua"/>
          <w:i/>
        </w:rPr>
        <w:t xml:space="preserve"> </w:t>
      </w:r>
      <w:r w:rsidR="00026EAB" w:rsidRPr="00C21629">
        <w:rPr>
          <w:rFonts w:ascii="Book Antiqua" w:hAnsi="Book Antiqua"/>
        </w:rPr>
        <w:t>2, no. 1 (2018):</w:t>
      </w:r>
      <w:r w:rsidR="006662DB" w:rsidRPr="00C21629">
        <w:rPr>
          <w:rFonts w:ascii="Book Antiqua" w:hAnsi="Book Antiqua"/>
        </w:rPr>
        <w:t xml:space="preserve"> 1–10. </w:t>
      </w:r>
      <w:proofErr w:type="spellStart"/>
      <w:r w:rsidR="00026EAB" w:rsidRPr="00C21629">
        <w:rPr>
          <w:rFonts w:ascii="Book Antiqua" w:hAnsi="Book Antiqua"/>
        </w:rPr>
        <w:t>D</w:t>
      </w:r>
      <w:r w:rsidR="006662DB" w:rsidRPr="00C21629">
        <w:rPr>
          <w:rFonts w:ascii="Book Antiqua" w:hAnsi="Book Antiqua"/>
        </w:rPr>
        <w:t>oi</w:t>
      </w:r>
      <w:proofErr w:type="spellEnd"/>
      <w:r w:rsidR="006662DB" w:rsidRPr="00C21629">
        <w:rPr>
          <w:rFonts w:ascii="Book Antiqua" w:hAnsi="Book Antiqua"/>
        </w:rPr>
        <w:t>: 10.2139/ssrn.3113590.</w:t>
      </w:r>
    </w:p>
  </w:footnote>
  <w:footnote w:id="14">
    <w:p w:rsidR="005F6116" w:rsidRPr="00C21629" w:rsidRDefault="00C21629" w:rsidP="00C21629">
      <w:pPr>
        <w:pStyle w:val="FootnoteText"/>
        <w:tabs>
          <w:tab w:val="left" w:pos="567"/>
        </w:tabs>
        <w:jc w:val="both"/>
        <w:rPr>
          <w:rFonts w:ascii="Book Antiqua" w:hAnsi="Book Antiqua"/>
        </w:rPr>
      </w:pPr>
      <w:r>
        <w:rPr>
          <w:rFonts w:ascii="Book Antiqua" w:hAnsi="Book Antiqua"/>
        </w:rPr>
        <w:tab/>
      </w:r>
      <w:r w:rsidR="005F6116" w:rsidRPr="00C21629">
        <w:rPr>
          <w:rStyle w:val="FootnoteReference"/>
          <w:rFonts w:ascii="Book Antiqua" w:hAnsi="Book Antiqua"/>
        </w:rPr>
        <w:footnoteRef/>
      </w:r>
      <w:r w:rsidR="005F6116" w:rsidRPr="00C21629">
        <w:rPr>
          <w:rFonts w:ascii="Book Antiqua" w:hAnsi="Book Antiqua"/>
        </w:rPr>
        <w:t xml:space="preserve"> </w:t>
      </w:r>
      <w:r w:rsidR="00026EAB" w:rsidRPr="00C21629">
        <w:rPr>
          <w:rFonts w:ascii="Book Antiqua" w:hAnsi="Book Antiqua"/>
        </w:rPr>
        <w:t xml:space="preserve">Y. </w:t>
      </w:r>
      <w:proofErr w:type="spellStart"/>
      <w:r w:rsidR="005F6116" w:rsidRPr="00C21629">
        <w:rPr>
          <w:rFonts w:ascii="Book Antiqua" w:hAnsi="Book Antiqua"/>
        </w:rPr>
        <w:t>Abiyoso</w:t>
      </w:r>
      <w:proofErr w:type="spellEnd"/>
      <w:r w:rsidR="005F6116" w:rsidRPr="00C21629">
        <w:rPr>
          <w:rFonts w:ascii="Book Antiqua" w:hAnsi="Book Antiqua"/>
        </w:rPr>
        <w:t xml:space="preserve">, </w:t>
      </w:r>
      <w:r w:rsidR="00026EAB" w:rsidRPr="00C21629">
        <w:rPr>
          <w:rFonts w:ascii="Book Antiqua" w:hAnsi="Book Antiqua"/>
        </w:rPr>
        <w:t>“</w:t>
      </w:r>
      <w:proofErr w:type="spellStart"/>
      <w:r w:rsidR="005F6116" w:rsidRPr="00C21629">
        <w:rPr>
          <w:rFonts w:ascii="Book Antiqua" w:hAnsi="Book Antiqua"/>
        </w:rPr>
        <w:t>Adat</w:t>
      </w:r>
      <w:proofErr w:type="spellEnd"/>
      <w:r w:rsidR="005F6116" w:rsidRPr="00C21629">
        <w:rPr>
          <w:rFonts w:ascii="Book Antiqua" w:hAnsi="Book Antiqua"/>
        </w:rPr>
        <w:t xml:space="preserve"> Institutions In Aceh Government: A Constitutional Perspec</w:t>
      </w:r>
      <w:r w:rsidR="00026EAB" w:rsidRPr="00C21629">
        <w:rPr>
          <w:rFonts w:ascii="Book Antiqua" w:hAnsi="Book Antiqua"/>
        </w:rPr>
        <w:t>tive Constitutional Perspective,</w:t>
      </w:r>
      <w:proofErr w:type="gramStart"/>
      <w:r w:rsidR="00026EAB" w:rsidRPr="00C21629">
        <w:rPr>
          <w:rFonts w:ascii="Book Antiqua" w:hAnsi="Book Antiqua"/>
        </w:rPr>
        <w:t xml:space="preserve">” </w:t>
      </w:r>
      <w:r w:rsidR="005F6116" w:rsidRPr="00C21629">
        <w:rPr>
          <w:rFonts w:ascii="Book Antiqua" w:hAnsi="Book Antiqua"/>
          <w:i/>
        </w:rPr>
        <w:t xml:space="preserve"> Journal</w:t>
      </w:r>
      <w:proofErr w:type="gramEnd"/>
      <w:r w:rsidR="005F6116" w:rsidRPr="00C21629">
        <w:rPr>
          <w:rFonts w:ascii="Book Antiqua" w:hAnsi="Book Antiqua"/>
          <w:i/>
        </w:rPr>
        <w:t xml:space="preserve"> of Islamic Law Studies</w:t>
      </w:r>
      <w:r w:rsidR="00026EAB" w:rsidRPr="00C21629">
        <w:rPr>
          <w:rFonts w:ascii="Book Antiqua" w:hAnsi="Book Antiqua"/>
        </w:rPr>
        <w:t xml:space="preserve"> </w:t>
      </w:r>
      <w:r w:rsidR="005F6116" w:rsidRPr="00C21629">
        <w:rPr>
          <w:rFonts w:ascii="Book Antiqua" w:hAnsi="Book Antiqua"/>
        </w:rPr>
        <w:t xml:space="preserve"> 4</w:t>
      </w:r>
      <w:r w:rsidR="00026EAB" w:rsidRPr="00C21629">
        <w:rPr>
          <w:rFonts w:ascii="Book Antiqua" w:hAnsi="Book Antiqua"/>
        </w:rPr>
        <w:t>, no. 1 (2020):</w:t>
      </w:r>
      <w:r w:rsidR="005F6116" w:rsidRPr="00C21629">
        <w:rPr>
          <w:rFonts w:ascii="Book Antiqua" w:hAnsi="Book Antiqua"/>
        </w:rPr>
        <w:t xml:space="preserve"> 1–15.</w:t>
      </w:r>
    </w:p>
  </w:footnote>
  <w:footnote w:id="15">
    <w:p w:rsidR="006662DB" w:rsidRPr="00C21629" w:rsidRDefault="00C21629" w:rsidP="00C21629">
      <w:pPr>
        <w:pStyle w:val="FootnoteText"/>
        <w:tabs>
          <w:tab w:val="left" w:pos="567"/>
        </w:tabs>
        <w:jc w:val="both"/>
        <w:rPr>
          <w:rFonts w:ascii="Book Antiqua" w:hAnsi="Book Antiqua"/>
        </w:rPr>
      </w:pPr>
      <w:r>
        <w:rPr>
          <w:rFonts w:ascii="Book Antiqua" w:hAnsi="Book Antiqua"/>
        </w:rPr>
        <w:tab/>
      </w:r>
      <w:r w:rsidR="006662DB" w:rsidRPr="00C21629">
        <w:rPr>
          <w:rStyle w:val="FootnoteReference"/>
          <w:rFonts w:ascii="Book Antiqua" w:hAnsi="Book Antiqua"/>
        </w:rPr>
        <w:footnoteRef/>
      </w:r>
      <w:r w:rsidR="006662DB" w:rsidRPr="00C21629">
        <w:rPr>
          <w:rFonts w:ascii="Book Antiqua" w:hAnsi="Book Antiqua"/>
        </w:rPr>
        <w:t xml:space="preserve"> </w:t>
      </w:r>
      <w:proofErr w:type="gramStart"/>
      <w:r w:rsidR="00026EAB" w:rsidRPr="00C21629">
        <w:rPr>
          <w:rFonts w:ascii="Book Antiqua" w:hAnsi="Book Antiqua"/>
        </w:rPr>
        <w:t>TM.</w:t>
      </w:r>
      <w:proofErr w:type="gramEnd"/>
      <w:r w:rsidR="00026EAB" w:rsidRPr="00C21629">
        <w:rPr>
          <w:rFonts w:ascii="Book Antiqua" w:hAnsi="Book Antiqua"/>
        </w:rPr>
        <w:t xml:space="preserve"> </w:t>
      </w:r>
      <w:r w:rsidR="006662DB" w:rsidRPr="00C21629">
        <w:rPr>
          <w:rFonts w:ascii="Book Antiqua" w:hAnsi="Book Antiqua"/>
        </w:rPr>
        <w:t>Mansur, et al.</w:t>
      </w:r>
      <w:r w:rsidR="00026EAB" w:rsidRPr="00C21629">
        <w:rPr>
          <w:rFonts w:ascii="Book Antiqua" w:hAnsi="Book Antiqua"/>
        </w:rPr>
        <w:t>, “</w:t>
      </w:r>
      <w:r w:rsidR="006662DB" w:rsidRPr="00C21629">
        <w:rPr>
          <w:rFonts w:ascii="Book Antiqua" w:hAnsi="Book Antiqua"/>
        </w:rPr>
        <w:t>The effectiveness of the implementation of customary fines in settlement o</w:t>
      </w:r>
      <w:r w:rsidRPr="00C21629">
        <w:rPr>
          <w:rFonts w:ascii="Book Antiqua" w:hAnsi="Book Antiqua"/>
        </w:rPr>
        <w:t>f seclusion cases in Banda Aceh,”</w:t>
      </w:r>
      <w:r w:rsidR="006662DB" w:rsidRPr="00C21629">
        <w:rPr>
          <w:rFonts w:ascii="Book Antiqua" w:hAnsi="Book Antiqua"/>
        </w:rPr>
        <w:t xml:space="preserve"> </w:t>
      </w:r>
      <w:proofErr w:type="spellStart"/>
      <w:r w:rsidR="006662DB" w:rsidRPr="00C21629">
        <w:rPr>
          <w:rFonts w:ascii="Book Antiqua" w:hAnsi="Book Antiqua"/>
          <w:i/>
        </w:rPr>
        <w:t>Sriwijaya</w:t>
      </w:r>
      <w:proofErr w:type="spellEnd"/>
      <w:r w:rsidR="006662DB" w:rsidRPr="00C21629">
        <w:rPr>
          <w:rFonts w:ascii="Book Antiqua" w:hAnsi="Book Antiqua"/>
          <w:i/>
        </w:rPr>
        <w:t xml:space="preserve"> Law Review</w:t>
      </w:r>
      <w:r w:rsidR="006662DB" w:rsidRPr="00C21629">
        <w:rPr>
          <w:rFonts w:ascii="Book Antiqua" w:hAnsi="Book Antiqua"/>
        </w:rPr>
        <w:t xml:space="preserve"> 4</w:t>
      </w:r>
      <w:r w:rsidRPr="00C21629">
        <w:rPr>
          <w:rFonts w:ascii="Book Antiqua" w:hAnsi="Book Antiqua"/>
        </w:rPr>
        <w:t xml:space="preserve">, no. </w:t>
      </w:r>
      <w:r w:rsidR="006662DB" w:rsidRPr="00C21629">
        <w:rPr>
          <w:rFonts w:ascii="Book Antiqua" w:hAnsi="Book Antiqua"/>
        </w:rPr>
        <w:t>1</w:t>
      </w:r>
      <w:r w:rsidRPr="00C21629">
        <w:rPr>
          <w:rFonts w:ascii="Book Antiqua" w:hAnsi="Book Antiqua"/>
        </w:rPr>
        <w:t xml:space="preserve"> (2020):</w:t>
      </w:r>
      <w:r w:rsidR="006662DB" w:rsidRPr="00C21629">
        <w:rPr>
          <w:rFonts w:ascii="Book Antiqua" w:hAnsi="Book Antiqua"/>
        </w:rPr>
        <w:t xml:space="preserve"> 52–61. </w:t>
      </w:r>
      <w:proofErr w:type="spellStart"/>
      <w:r w:rsidRPr="00C21629">
        <w:rPr>
          <w:rFonts w:ascii="Book Antiqua" w:hAnsi="Book Antiqua"/>
        </w:rPr>
        <w:t>D</w:t>
      </w:r>
      <w:r w:rsidR="006662DB" w:rsidRPr="00C21629">
        <w:rPr>
          <w:rFonts w:ascii="Book Antiqua" w:hAnsi="Book Antiqua"/>
        </w:rPr>
        <w:t>oi</w:t>
      </w:r>
      <w:proofErr w:type="spellEnd"/>
      <w:r w:rsidR="006662DB" w:rsidRPr="00C21629">
        <w:rPr>
          <w:rFonts w:ascii="Book Antiqua" w:hAnsi="Book Antiqua"/>
        </w:rPr>
        <w:t>: 10.28946/slrev.Vol4.Iss2.221.pp52-61.</w:t>
      </w:r>
    </w:p>
  </w:footnote>
  <w:footnote w:id="16">
    <w:p w:rsidR="006662DB" w:rsidRPr="00C21629" w:rsidRDefault="00C21629" w:rsidP="00C21629">
      <w:pPr>
        <w:pStyle w:val="FootnoteText"/>
        <w:tabs>
          <w:tab w:val="left" w:pos="567"/>
        </w:tabs>
        <w:jc w:val="both"/>
        <w:rPr>
          <w:rFonts w:ascii="Book Antiqua" w:hAnsi="Book Antiqua"/>
        </w:rPr>
      </w:pPr>
      <w:r>
        <w:rPr>
          <w:rFonts w:ascii="Book Antiqua" w:hAnsi="Book Antiqua"/>
        </w:rPr>
        <w:tab/>
      </w:r>
      <w:r w:rsidR="006662DB" w:rsidRPr="00C21629">
        <w:rPr>
          <w:rStyle w:val="FootnoteReference"/>
          <w:rFonts w:ascii="Book Antiqua" w:hAnsi="Book Antiqua"/>
        </w:rPr>
        <w:footnoteRef/>
      </w:r>
      <w:r w:rsidR="006662DB" w:rsidRPr="00C21629">
        <w:rPr>
          <w:rFonts w:ascii="Book Antiqua" w:hAnsi="Book Antiqua"/>
        </w:rPr>
        <w:t xml:space="preserve"> </w:t>
      </w:r>
      <w:proofErr w:type="gramStart"/>
      <w:r w:rsidRPr="00C21629">
        <w:rPr>
          <w:rFonts w:ascii="Book Antiqua" w:hAnsi="Book Antiqua"/>
        </w:rPr>
        <w:t>TM.</w:t>
      </w:r>
      <w:proofErr w:type="gramEnd"/>
      <w:r w:rsidRPr="00C21629">
        <w:rPr>
          <w:rFonts w:ascii="Book Antiqua" w:hAnsi="Book Antiqua"/>
        </w:rPr>
        <w:t xml:space="preserve"> </w:t>
      </w:r>
      <w:r w:rsidR="006662DB" w:rsidRPr="00C21629">
        <w:rPr>
          <w:rFonts w:ascii="Book Antiqua" w:hAnsi="Book Antiqua"/>
        </w:rPr>
        <w:t xml:space="preserve">Mansur, </w:t>
      </w:r>
      <w:r w:rsidRPr="00C21629">
        <w:rPr>
          <w:rFonts w:ascii="Book Antiqua" w:hAnsi="Book Antiqua"/>
        </w:rPr>
        <w:t>“</w:t>
      </w:r>
      <w:r w:rsidR="006662DB" w:rsidRPr="00C21629">
        <w:rPr>
          <w:rFonts w:ascii="Book Antiqua" w:hAnsi="Book Antiqua"/>
        </w:rPr>
        <w:t>Juridical Stu</w:t>
      </w:r>
      <w:r w:rsidRPr="00C21629">
        <w:rPr>
          <w:rFonts w:ascii="Book Antiqua" w:hAnsi="Book Antiqua"/>
        </w:rPr>
        <w:t>dy of Indigenous Courts in Aceh”</w:t>
      </w:r>
      <w:r w:rsidR="006662DB" w:rsidRPr="00C21629">
        <w:rPr>
          <w:rFonts w:ascii="Book Antiqua" w:hAnsi="Book Antiqua"/>
        </w:rPr>
        <w:t xml:space="preserve"> </w:t>
      </w:r>
      <w:r w:rsidR="006662DB" w:rsidRPr="00C21629">
        <w:rPr>
          <w:rFonts w:ascii="Book Antiqua" w:hAnsi="Book Antiqua"/>
          <w:i/>
        </w:rPr>
        <w:t xml:space="preserve">Journal of Indonesian </w:t>
      </w:r>
      <w:proofErr w:type="spellStart"/>
      <w:r w:rsidR="006662DB" w:rsidRPr="00C21629">
        <w:rPr>
          <w:rFonts w:ascii="Book Antiqua" w:hAnsi="Book Antiqua"/>
          <w:i/>
        </w:rPr>
        <w:t>Adat</w:t>
      </w:r>
      <w:proofErr w:type="spellEnd"/>
      <w:r w:rsidR="006662DB" w:rsidRPr="00C21629">
        <w:rPr>
          <w:rFonts w:ascii="Book Antiqua" w:hAnsi="Book Antiqua"/>
          <w:i/>
        </w:rPr>
        <w:t xml:space="preserve"> Law (JIAL)</w:t>
      </w:r>
      <w:r w:rsidR="006662DB" w:rsidRPr="00C21629">
        <w:rPr>
          <w:rFonts w:ascii="Book Antiqua" w:hAnsi="Book Antiqua"/>
        </w:rPr>
        <w:t xml:space="preserve"> 2</w:t>
      </w:r>
      <w:r w:rsidRPr="00C21629">
        <w:rPr>
          <w:rFonts w:ascii="Book Antiqua" w:hAnsi="Book Antiqua"/>
        </w:rPr>
        <w:t>, no. 3 (2018b):</w:t>
      </w:r>
      <w:r w:rsidR="006662DB" w:rsidRPr="00C21629">
        <w:rPr>
          <w:rFonts w:ascii="Book Antiqua" w:hAnsi="Book Antiqua"/>
        </w:rPr>
        <w:t xml:space="preserve"> 23–47. </w:t>
      </w:r>
      <w:proofErr w:type="spellStart"/>
      <w:r w:rsidRPr="00C21629">
        <w:rPr>
          <w:rFonts w:ascii="Book Antiqua" w:hAnsi="Book Antiqua"/>
        </w:rPr>
        <w:t>D</w:t>
      </w:r>
      <w:r w:rsidR="006662DB" w:rsidRPr="00C21629">
        <w:rPr>
          <w:rFonts w:ascii="Book Antiqua" w:hAnsi="Book Antiqua"/>
        </w:rPr>
        <w:t>oi</w:t>
      </w:r>
      <w:proofErr w:type="spellEnd"/>
      <w:r w:rsidR="006662DB" w:rsidRPr="00C21629">
        <w:rPr>
          <w:rFonts w:ascii="Book Antiqua" w:hAnsi="Book Antiqua"/>
        </w:rPr>
        <w:t>: 10.46816/jial.v2i3.6.</w:t>
      </w:r>
    </w:p>
  </w:footnote>
  <w:footnote w:id="17">
    <w:p w:rsidR="006662DB" w:rsidRPr="00C21629" w:rsidRDefault="00C21629" w:rsidP="00C21629">
      <w:pPr>
        <w:pStyle w:val="FootnoteText"/>
        <w:tabs>
          <w:tab w:val="left" w:pos="567"/>
        </w:tabs>
        <w:jc w:val="both"/>
        <w:rPr>
          <w:rFonts w:ascii="Book Antiqua" w:hAnsi="Book Antiqua"/>
        </w:rPr>
      </w:pPr>
      <w:r>
        <w:rPr>
          <w:rFonts w:ascii="Book Antiqua" w:hAnsi="Book Antiqua"/>
        </w:rPr>
        <w:tab/>
      </w:r>
      <w:r w:rsidR="006662DB" w:rsidRPr="00C21629">
        <w:rPr>
          <w:rStyle w:val="FootnoteReference"/>
          <w:rFonts w:ascii="Book Antiqua" w:hAnsi="Book Antiqua"/>
        </w:rPr>
        <w:footnoteRef/>
      </w:r>
      <w:proofErr w:type="spellStart"/>
      <w:r w:rsidRPr="00C21629">
        <w:rPr>
          <w:rFonts w:ascii="Book Antiqua" w:hAnsi="Book Antiqua"/>
        </w:rPr>
        <w:t>Badan</w:t>
      </w:r>
      <w:proofErr w:type="spellEnd"/>
      <w:r w:rsidRPr="00C21629">
        <w:rPr>
          <w:rFonts w:ascii="Book Antiqua" w:hAnsi="Book Antiqua"/>
        </w:rPr>
        <w:t xml:space="preserve"> </w:t>
      </w:r>
      <w:proofErr w:type="spellStart"/>
      <w:r w:rsidRPr="00C21629">
        <w:rPr>
          <w:rFonts w:ascii="Book Antiqua" w:hAnsi="Book Antiqua"/>
        </w:rPr>
        <w:t>Statistik</w:t>
      </w:r>
      <w:proofErr w:type="spellEnd"/>
      <w:r w:rsidRPr="00C21629">
        <w:rPr>
          <w:rFonts w:ascii="Book Antiqua" w:hAnsi="Book Antiqua"/>
        </w:rPr>
        <w:t xml:space="preserve"> Indonesia, “</w:t>
      </w:r>
      <w:r w:rsidR="006662DB" w:rsidRPr="00C21629">
        <w:rPr>
          <w:rFonts w:ascii="Book Antiqua" w:hAnsi="Book Antiqua"/>
          <w:i/>
        </w:rPr>
        <w:t>Indonesia Statistics 2020</w:t>
      </w:r>
      <w:r w:rsidRPr="00C21629">
        <w:rPr>
          <w:rFonts w:ascii="Book Antiqua" w:hAnsi="Book Antiqua"/>
        </w:rPr>
        <w:t>,</w:t>
      </w:r>
      <w:proofErr w:type="gramStart"/>
      <w:r w:rsidRPr="00C21629">
        <w:rPr>
          <w:rFonts w:ascii="Book Antiqua" w:hAnsi="Book Antiqua"/>
        </w:rPr>
        <w:t>”  (</w:t>
      </w:r>
      <w:proofErr w:type="gramEnd"/>
      <w:r w:rsidRPr="00C21629">
        <w:rPr>
          <w:rFonts w:ascii="Book Antiqua" w:hAnsi="Book Antiqua"/>
        </w:rPr>
        <w:t xml:space="preserve">Jakarta: BPS, </w:t>
      </w:r>
      <w:r w:rsidR="006662DB" w:rsidRPr="00C21629">
        <w:rPr>
          <w:rFonts w:ascii="Book Antiqua" w:hAnsi="Book Antiqua"/>
        </w:rPr>
        <w:t>2020)</w:t>
      </w:r>
      <w:r w:rsidRPr="00C21629">
        <w:rPr>
          <w:rFonts w:ascii="Book Antiqua" w:hAnsi="Book Antiqua"/>
        </w:rPr>
        <w:t>, p. 41.</w:t>
      </w:r>
    </w:p>
  </w:footnote>
  <w:footnote w:id="18">
    <w:p w:rsidR="006662DB" w:rsidRPr="00C21629" w:rsidRDefault="00C21629" w:rsidP="00C21629">
      <w:pPr>
        <w:pStyle w:val="FootnoteText"/>
        <w:tabs>
          <w:tab w:val="left" w:pos="567"/>
        </w:tabs>
        <w:jc w:val="both"/>
        <w:rPr>
          <w:rFonts w:ascii="Book Antiqua" w:hAnsi="Book Antiqua"/>
        </w:rPr>
      </w:pPr>
      <w:r>
        <w:rPr>
          <w:rFonts w:ascii="Book Antiqua" w:hAnsi="Book Antiqua"/>
        </w:rPr>
        <w:tab/>
      </w:r>
      <w:r w:rsidR="006662DB" w:rsidRPr="00C21629">
        <w:rPr>
          <w:rStyle w:val="FootnoteReference"/>
          <w:rFonts w:ascii="Book Antiqua" w:hAnsi="Book Antiqua"/>
        </w:rPr>
        <w:footnoteRef/>
      </w:r>
      <w:r w:rsidR="006662DB" w:rsidRPr="00C21629">
        <w:rPr>
          <w:rFonts w:ascii="Book Antiqua" w:hAnsi="Book Antiqua"/>
        </w:rPr>
        <w:t xml:space="preserve"> </w:t>
      </w:r>
      <w:r w:rsidRPr="00C21629">
        <w:rPr>
          <w:rFonts w:ascii="Book Antiqua" w:hAnsi="Book Antiqua"/>
        </w:rPr>
        <w:t xml:space="preserve">M. </w:t>
      </w:r>
      <w:proofErr w:type="spellStart"/>
      <w:r w:rsidRPr="00C21629">
        <w:rPr>
          <w:rFonts w:ascii="Book Antiqua" w:hAnsi="Book Antiqua"/>
        </w:rPr>
        <w:t>Manarisp</w:t>
      </w:r>
      <w:proofErr w:type="spellEnd"/>
      <w:r w:rsidRPr="00C21629">
        <w:rPr>
          <w:rFonts w:ascii="Book Antiqua" w:hAnsi="Book Antiqua"/>
        </w:rPr>
        <w:t>, “</w:t>
      </w:r>
      <w:r w:rsidR="006662DB" w:rsidRPr="00C21629">
        <w:rPr>
          <w:rFonts w:ascii="Book Antiqua" w:hAnsi="Book Antiqua"/>
        </w:rPr>
        <w:t>The Existence of C</w:t>
      </w:r>
      <w:r w:rsidRPr="00C21629">
        <w:rPr>
          <w:rFonts w:ascii="Book Antiqua" w:hAnsi="Book Antiqua"/>
        </w:rPr>
        <w:t>ustomary Crimes in National Law”</w:t>
      </w:r>
      <w:r w:rsidR="006662DB" w:rsidRPr="00C21629">
        <w:rPr>
          <w:rFonts w:ascii="Book Antiqua" w:hAnsi="Book Antiqua"/>
        </w:rPr>
        <w:t xml:space="preserve"> </w:t>
      </w:r>
      <w:proofErr w:type="spellStart"/>
      <w:r w:rsidR="006662DB" w:rsidRPr="00C21629">
        <w:rPr>
          <w:rFonts w:ascii="Book Antiqua" w:hAnsi="Book Antiqua"/>
          <w:i/>
        </w:rPr>
        <w:t>Lex</w:t>
      </w:r>
      <w:proofErr w:type="spellEnd"/>
      <w:r w:rsidR="006662DB" w:rsidRPr="00C21629">
        <w:rPr>
          <w:rFonts w:ascii="Book Antiqua" w:hAnsi="Book Antiqua"/>
          <w:i/>
        </w:rPr>
        <w:t xml:space="preserve"> </w:t>
      </w:r>
      <w:proofErr w:type="spellStart"/>
      <w:r w:rsidR="006662DB" w:rsidRPr="00C21629">
        <w:rPr>
          <w:rFonts w:ascii="Book Antiqua" w:hAnsi="Book Antiqua"/>
          <w:i/>
        </w:rPr>
        <w:t>Crimen</w:t>
      </w:r>
      <w:proofErr w:type="spellEnd"/>
      <w:r w:rsidR="006662DB" w:rsidRPr="00C21629">
        <w:rPr>
          <w:rFonts w:ascii="Book Antiqua" w:hAnsi="Book Antiqua"/>
        </w:rPr>
        <w:t xml:space="preserve"> 01</w:t>
      </w:r>
      <w:r w:rsidRPr="00C21629">
        <w:rPr>
          <w:rFonts w:ascii="Book Antiqua" w:hAnsi="Book Antiqua"/>
        </w:rPr>
        <w:t xml:space="preserve">, no. </w:t>
      </w:r>
      <w:r w:rsidR="006662DB" w:rsidRPr="00C21629">
        <w:rPr>
          <w:rFonts w:ascii="Book Antiqua" w:hAnsi="Book Antiqua"/>
        </w:rPr>
        <w:t>4</w:t>
      </w:r>
      <w:r w:rsidRPr="00C21629">
        <w:rPr>
          <w:rFonts w:ascii="Book Antiqua" w:hAnsi="Book Antiqua"/>
        </w:rPr>
        <w:t xml:space="preserve"> (2012</w:t>
      </w:r>
      <w:r w:rsidR="006662DB" w:rsidRPr="00C21629">
        <w:rPr>
          <w:rFonts w:ascii="Book Antiqua" w:hAnsi="Book Antiqua"/>
        </w:rPr>
        <w:t>)</w:t>
      </w:r>
      <w:r w:rsidRPr="00C21629">
        <w:rPr>
          <w:rFonts w:ascii="Book Antiqua" w:hAnsi="Book Antiqua"/>
        </w:rPr>
        <w:t>:</w:t>
      </w:r>
      <w:r w:rsidR="006662DB" w:rsidRPr="00C21629">
        <w:rPr>
          <w:rFonts w:ascii="Book Antiqua" w:hAnsi="Book Antiqua"/>
        </w:rPr>
        <w:t xml:space="preserve"> 24–40.</w:t>
      </w:r>
    </w:p>
  </w:footnote>
  <w:footnote w:id="19">
    <w:p w:rsidR="006662DB" w:rsidRPr="00C21629" w:rsidRDefault="00C21629" w:rsidP="00C21629">
      <w:pPr>
        <w:pStyle w:val="FootnoteText"/>
        <w:tabs>
          <w:tab w:val="left" w:pos="567"/>
        </w:tabs>
        <w:jc w:val="both"/>
        <w:rPr>
          <w:rFonts w:ascii="Book Antiqua" w:hAnsi="Book Antiqua"/>
        </w:rPr>
      </w:pPr>
      <w:r>
        <w:rPr>
          <w:rFonts w:ascii="Book Antiqua" w:hAnsi="Book Antiqua"/>
        </w:rPr>
        <w:tab/>
      </w:r>
      <w:r w:rsidR="006662DB" w:rsidRPr="00C21629">
        <w:rPr>
          <w:rStyle w:val="FootnoteReference"/>
          <w:rFonts w:ascii="Book Antiqua" w:hAnsi="Book Antiqua"/>
        </w:rPr>
        <w:footnoteRef/>
      </w:r>
      <w:r w:rsidR="006662DB" w:rsidRPr="00C21629">
        <w:rPr>
          <w:rFonts w:ascii="Book Antiqua" w:hAnsi="Book Antiqua"/>
        </w:rPr>
        <w:t xml:space="preserve"> </w:t>
      </w:r>
      <w:r w:rsidRPr="00C21629">
        <w:rPr>
          <w:rFonts w:ascii="Book Antiqua" w:hAnsi="Book Antiqua"/>
        </w:rPr>
        <w:t>C. Batubara  and Fatimah, “</w:t>
      </w:r>
      <w:r w:rsidR="006662DB" w:rsidRPr="00C21629">
        <w:rPr>
          <w:rFonts w:ascii="Book Antiqua" w:hAnsi="Book Antiqua"/>
        </w:rPr>
        <w:t xml:space="preserve">Struggling To Survive In Complex And Modern Era: Study on the </w:t>
      </w:r>
      <w:proofErr w:type="spellStart"/>
      <w:r w:rsidR="006662DB" w:rsidRPr="00C21629">
        <w:rPr>
          <w:rFonts w:ascii="Book Antiqua" w:hAnsi="Book Antiqua"/>
        </w:rPr>
        <w:t>Implemention</w:t>
      </w:r>
      <w:proofErr w:type="spellEnd"/>
      <w:r w:rsidR="006662DB" w:rsidRPr="00C21629">
        <w:rPr>
          <w:rFonts w:ascii="Book Antiqua" w:hAnsi="Book Antiqua"/>
        </w:rPr>
        <w:t xml:space="preserve"> of Alternative Dispute Reso</w:t>
      </w:r>
      <w:r w:rsidRPr="00C21629">
        <w:rPr>
          <w:rFonts w:ascii="Book Antiqua" w:hAnsi="Book Antiqua"/>
        </w:rPr>
        <w:t>lution in Aceh Customary Courts</w:t>
      </w:r>
      <w:r w:rsidR="006662DB" w:rsidRPr="00C21629">
        <w:rPr>
          <w:rFonts w:ascii="Book Antiqua" w:hAnsi="Book Antiqua"/>
        </w:rPr>
        <w:t>,</w:t>
      </w:r>
      <w:r w:rsidRPr="00C21629">
        <w:rPr>
          <w:rFonts w:ascii="Book Antiqua" w:hAnsi="Book Antiqua"/>
        </w:rPr>
        <w:t>”</w:t>
      </w:r>
      <w:r w:rsidR="006662DB" w:rsidRPr="00C21629">
        <w:rPr>
          <w:rFonts w:ascii="Book Antiqua" w:hAnsi="Book Antiqua"/>
        </w:rPr>
        <w:t xml:space="preserve"> </w:t>
      </w:r>
      <w:r w:rsidR="006662DB" w:rsidRPr="00C21629">
        <w:rPr>
          <w:rFonts w:ascii="Book Antiqua" w:hAnsi="Book Antiqua"/>
          <w:i/>
        </w:rPr>
        <w:t xml:space="preserve">Proceeding of The 16 </w:t>
      </w:r>
      <w:proofErr w:type="spellStart"/>
      <w:r w:rsidR="006662DB" w:rsidRPr="00C21629">
        <w:rPr>
          <w:rFonts w:ascii="Book Antiqua" w:hAnsi="Book Antiqua"/>
          <w:i/>
        </w:rPr>
        <w:t>th</w:t>
      </w:r>
      <w:proofErr w:type="spellEnd"/>
      <w:r w:rsidR="006662DB" w:rsidRPr="00C21629">
        <w:rPr>
          <w:rFonts w:ascii="Book Antiqua" w:hAnsi="Book Antiqua"/>
          <w:i/>
        </w:rPr>
        <w:t xml:space="preserve"> Annual International Conference on Islamic Studies The Contribution of Indonesian Islam To The World Civilization The Dynamics of Islamic Institutions</w:t>
      </w:r>
      <w:r w:rsidRPr="00C21629">
        <w:rPr>
          <w:rFonts w:ascii="Book Antiqua" w:hAnsi="Book Antiqua"/>
        </w:rPr>
        <w:t>, (2016), p.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_Hlk490921290"/>
  <w:bookmarkStart w:id="4" w:name="_Hlk490921291"/>
  <w:bookmarkStart w:id="5" w:name="_Hlk490921292"/>
  <w:p w:rsidR="00EB20FC" w:rsidRPr="000D479C" w:rsidRDefault="00EB20FC" w:rsidP="000D479C">
    <w:pPr>
      <w:pStyle w:val="Header"/>
      <w:jc w:val="right"/>
      <w:rPr>
        <w:rFonts w:ascii="Century Gothic" w:hAnsi="Century Gothic" w:cs="Devanagari MT"/>
        <w:color w:val="B00000"/>
        <w:sz w:val="76"/>
      </w:rPr>
    </w:pPr>
    <w:r w:rsidRPr="00384A23">
      <w:rPr>
        <w:rFonts w:ascii="Century Gothic" w:hAnsi="Century Gothic" w:cs="Devanagari MT"/>
        <w:b/>
        <w:noProof/>
        <w:sz w:val="40"/>
        <w:szCs w:val="60"/>
        <w:lang w:bidi="ar-SA"/>
      </w:rPr>
      <mc:AlternateContent>
        <mc:Choice Requires="wps">
          <w:drawing>
            <wp:anchor distT="0" distB="0" distL="114300" distR="114300" simplePos="0" relativeHeight="251666432" behindDoc="0" locked="0" layoutInCell="1" allowOverlap="1" wp14:anchorId="298457BC" wp14:editId="5526A136">
              <wp:simplePos x="0" y="0"/>
              <wp:positionH relativeFrom="column">
                <wp:posOffset>-396240</wp:posOffset>
              </wp:positionH>
              <wp:positionV relativeFrom="paragraph">
                <wp:posOffset>-47625</wp:posOffset>
              </wp:positionV>
              <wp:extent cx="3581400" cy="281940"/>
              <wp:effectExtent l="0" t="0" r="0" b="3810"/>
              <wp:wrapNone/>
              <wp:docPr id="16" name="Rectangle 16"/>
              <wp:cNvGraphicFramePr/>
              <a:graphic xmlns:a="http://schemas.openxmlformats.org/drawingml/2006/main">
                <a:graphicData uri="http://schemas.microsoft.com/office/word/2010/wordprocessingShape">
                  <wps:wsp>
                    <wps:cNvSpPr/>
                    <wps:spPr>
                      <a:xfrm>
                        <a:off x="0" y="0"/>
                        <a:ext cx="35814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20FC" w:rsidRPr="0026676C" w:rsidRDefault="00EB20FC"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 xml:space="preserve">National Accredited in </w:t>
                          </w:r>
                          <w:proofErr w:type="spellStart"/>
                          <w:r>
                            <w:rPr>
                              <w:rFonts w:ascii="Book Antiqua" w:hAnsi="Book Antiqua" w:cs="Helvetica"/>
                              <w:color w:val="000000"/>
                              <w:sz w:val="16"/>
                              <w:shd w:val="clear" w:color="auto" w:fill="FFFFFF"/>
                            </w:rPr>
                            <w:t>Sinta</w:t>
                          </w:r>
                          <w:proofErr w:type="spellEnd"/>
                          <w:r>
                            <w:rPr>
                              <w:rFonts w:ascii="Book Antiqua" w:hAnsi="Book Antiqua" w:cs="Helvetica"/>
                              <w:color w:val="000000"/>
                              <w:sz w:val="16"/>
                              <w:shd w:val="clear" w:color="auto" w:fill="FFFFFF"/>
                            </w:rPr>
                            <w:t xml:space="preserve">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8" style="position:absolute;left:0;text-align:left;margin-left:-31.2pt;margin-top:-3.75pt;width:28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" filled="f" stroked="f" strokeweight="1pt">
              <v:textbox>
                <w:txbxContent>
                  <w:p w:rsidR="00EB20FC" w:rsidRPr="0026676C" w:rsidRDefault="00EB20FC"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 xml:space="preserve">National Accredited in </w:t>
                    </w:r>
                    <w:proofErr w:type="spellStart"/>
                    <w:r>
                      <w:rPr>
                        <w:rFonts w:ascii="Book Antiqua" w:hAnsi="Book Antiqua" w:cs="Helvetica"/>
                        <w:color w:val="000000"/>
                        <w:sz w:val="16"/>
                        <w:shd w:val="clear" w:color="auto" w:fill="FFFFFF"/>
                      </w:rPr>
                      <w:t>Sinta</w:t>
                    </w:r>
                    <w:proofErr w:type="spellEnd"/>
                    <w:r>
                      <w:rPr>
                        <w:rFonts w:ascii="Book Antiqua" w:hAnsi="Book Antiqua" w:cs="Helvetica"/>
                        <w:color w:val="000000"/>
                        <w:sz w:val="16"/>
                        <w:shd w:val="clear" w:color="auto" w:fill="FFFFFF"/>
                      </w:rPr>
                      <w:t xml:space="preserve">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v:textbox>
            </v:rect>
          </w:pict>
        </mc:Fallback>
      </mc:AlternateContent>
    </w:r>
    <w:r w:rsidRPr="00384A23">
      <w:rPr>
        <w:noProof/>
        <w:sz w:val="28"/>
        <w:lang w:bidi="ar-SA"/>
      </w:rPr>
      <w:drawing>
        <wp:anchor distT="0" distB="0" distL="114300" distR="114300" simplePos="0" relativeHeight="251668480" behindDoc="0" locked="0" layoutInCell="1" allowOverlap="1" wp14:anchorId="460378C2" wp14:editId="0E3C8E6F">
          <wp:simplePos x="0" y="0"/>
          <wp:positionH relativeFrom="column">
            <wp:posOffset>-43815</wp:posOffset>
          </wp:positionH>
          <wp:positionV relativeFrom="paragraph">
            <wp:posOffset>-276225</wp:posOffset>
          </wp:positionV>
          <wp:extent cx="877570" cy="308610"/>
          <wp:effectExtent l="0" t="0" r="0" b="0"/>
          <wp:wrapNone/>
          <wp:docPr id="5" name="Picture 5" descr="E:\FileKu\JURNAL FH UNPATTI\Sin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FH UNPATTI\Sint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A23">
      <w:rPr>
        <w:rFonts w:ascii="Century Gothic" w:hAnsi="Century Gothic" w:cs="Devanagari MT"/>
        <w:b/>
        <w:noProof/>
        <w:sz w:val="40"/>
        <w:szCs w:val="60"/>
        <w:lang w:bidi="ar-SA"/>
      </w:rPr>
      <mc:AlternateContent>
        <mc:Choice Requires="wps">
          <w:drawing>
            <wp:anchor distT="0" distB="0" distL="114300" distR="114300" simplePos="0" relativeHeight="251665408" behindDoc="1" locked="0" layoutInCell="1" allowOverlap="1" wp14:anchorId="4430F7A4" wp14:editId="259914B7">
              <wp:simplePos x="0" y="0"/>
              <wp:positionH relativeFrom="column">
                <wp:posOffset>-1396365</wp:posOffset>
              </wp:positionH>
              <wp:positionV relativeFrom="paragraph">
                <wp:posOffset>152400</wp:posOffset>
              </wp:positionV>
              <wp:extent cx="8267700"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4765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F9315F" id="Rectangle 5" o:spid="_x0000_s1026" style="position:absolute;margin-left:-109.95pt;margin-top:12pt;width:651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" fillcolor="#d8d8d8 [2732]" stroked="f">
              <v:path arrowok="t"/>
            </v:rect>
          </w:pict>
        </mc:Fallback>
      </mc:AlternateContent>
    </w:r>
    <w:r w:rsidRPr="00384A23">
      <w:rPr>
        <w:rFonts w:ascii="Algerian" w:hAnsi="Algerian"/>
        <w:b/>
        <w:color w:val="2F5496" w:themeColor="accent1" w:themeShade="BF"/>
        <w:sz w:val="56"/>
        <w:szCs w:val="80"/>
      </w:rPr>
      <w:t>SASI</w:t>
    </w:r>
    <w:r w:rsidRPr="000D479C">
      <w:rPr>
        <w:rFonts w:ascii="Century Gothic" w:hAnsi="Century Gothic" w:cs="Devanagari MT"/>
        <w:sz w:val="48"/>
        <w:szCs w:val="60"/>
      </w:rPr>
      <w:t xml:space="preserve"> </w:t>
    </w:r>
  </w:p>
  <w:p w:rsidR="00EB20FC" w:rsidRPr="00EB46BA" w:rsidRDefault="00EB20FC" w:rsidP="00AF20D0">
    <w:pPr>
      <w:pStyle w:val="Header"/>
      <w:tabs>
        <w:tab w:val="clear" w:pos="9360"/>
      </w:tabs>
      <w:jc w:val="right"/>
      <w:rPr>
        <w:rFonts w:ascii="Book Antiqua" w:hAnsi="Book Antiqua" w:cstheme="majorHAnsi"/>
        <w:color w:val="000000" w:themeColor="text1"/>
        <w:sz w:val="20"/>
        <w:szCs w:val="20"/>
      </w:rPr>
    </w:pPr>
    <w:r w:rsidRPr="00EB46BA">
      <w:rPr>
        <w:rFonts w:ascii="Book Antiqua" w:hAnsi="Book Antiqua" w:cstheme="majorHAnsi"/>
        <w:color w:val="000000" w:themeColor="text1"/>
        <w:sz w:val="20"/>
        <w:szCs w:val="20"/>
      </w:rPr>
      <w:t>Volume … Issue …, XXXX</w:t>
    </w:r>
  </w:p>
  <w:p w:rsidR="00EB20FC" w:rsidRPr="00D571BD" w:rsidRDefault="00410547" w:rsidP="00AF20D0">
    <w:pPr>
      <w:pStyle w:val="Header"/>
      <w:tabs>
        <w:tab w:val="clear" w:pos="9360"/>
      </w:tabs>
      <w:jc w:val="right"/>
      <w:rPr>
        <w:rFonts w:asciiTheme="majorHAnsi" w:hAnsiTheme="majorHAnsi" w:cstheme="majorHAnsi"/>
        <w:color w:val="000000" w:themeColor="text1"/>
        <w:sz w:val="20"/>
        <w:szCs w:val="20"/>
      </w:rPr>
    </w:pPr>
    <w:r>
      <w:rPr>
        <w:noProof/>
        <w:lang w:bidi="ar-SA"/>
      </w:rPr>
      <w:drawing>
        <wp:anchor distT="0" distB="0" distL="114300" distR="114300" simplePos="0" relativeHeight="251672576" behindDoc="0" locked="0" layoutInCell="1" allowOverlap="1" wp14:anchorId="7CBC648D" wp14:editId="626A7EA4">
          <wp:simplePos x="0" y="0"/>
          <wp:positionH relativeFrom="column">
            <wp:posOffset>4451985</wp:posOffset>
          </wp:positionH>
          <wp:positionV relativeFrom="paragraph">
            <wp:posOffset>144145</wp:posOffset>
          </wp:positionV>
          <wp:extent cx="180975" cy="180975"/>
          <wp:effectExtent l="0" t="0" r="9525" b="9525"/>
          <wp:wrapNone/>
          <wp:docPr id="3" name="Picture 3"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EB20FC" w:rsidRPr="00EB46BA">
      <w:rPr>
        <w:rFonts w:ascii="Book Antiqua" w:hAnsi="Book Antiqua" w:cstheme="majorHAnsi"/>
        <w:color w:val="000000" w:themeColor="text1"/>
        <w:sz w:val="20"/>
        <w:szCs w:val="20"/>
      </w:rPr>
      <w:t>P-ISSN: 1693-0061, E-ISSN: 2614-2961</w:t>
    </w:r>
  </w:p>
  <w:p w:rsidR="00EB20FC" w:rsidRDefault="00EB20FC" w:rsidP="00AF20D0">
    <w:pPr>
      <w:spacing w:after="20"/>
      <w:jc w:val="right"/>
      <w:rPr>
        <w:rStyle w:val="Hyperlink"/>
        <w:rFonts w:ascii="Book Antiqua" w:hAnsi="Book Antiqua"/>
        <w:color w:val="2F5496" w:themeColor="accent1" w:themeShade="BF"/>
        <w:sz w:val="18"/>
        <w:u w:val="none"/>
      </w:rPr>
    </w:pPr>
    <w:r w:rsidRPr="00EB46BA">
      <w:rPr>
        <w:rFonts w:ascii="Book Antiqua" w:hAnsi="Book Antiqua" w:cstheme="majorHAnsi"/>
        <w:color w:val="2F5496" w:themeColor="accent1" w:themeShade="BF"/>
        <w:sz w:val="18"/>
        <w:szCs w:val="12"/>
      </w:rPr>
      <w:t xml:space="preserve">: </w:t>
    </w:r>
    <w:hyperlink r:id="rId3" w:history="1">
      <w:r w:rsidRPr="00EB46BA">
        <w:rPr>
          <w:rStyle w:val="Hyperlink"/>
          <w:rFonts w:ascii="Book Antiqua" w:hAnsi="Book Antiqua" w:cstheme="majorHAnsi"/>
          <w:color w:val="2F5496" w:themeColor="accent1" w:themeShade="BF"/>
          <w:sz w:val="18"/>
          <w:szCs w:val="12"/>
          <w:u w:val="none"/>
        </w:rPr>
        <w:t>10.47268/</w:t>
      </w:r>
      <w:proofErr w:type="spellStart"/>
      <w:r w:rsidRPr="00EB46BA">
        <w:rPr>
          <w:rStyle w:val="Hyperlink"/>
          <w:rFonts w:ascii="Book Antiqua" w:hAnsi="Book Antiqua" w:cstheme="majorHAnsi"/>
          <w:color w:val="2F5496" w:themeColor="accent1" w:themeShade="BF"/>
          <w:sz w:val="18"/>
          <w:szCs w:val="12"/>
          <w:u w:val="none"/>
        </w:rPr>
        <w:t>sasi.</w:t>
      </w:r>
    </w:hyperlink>
    <w:r w:rsidRPr="00EB46BA">
      <w:rPr>
        <w:rStyle w:val="Hyperlink"/>
        <w:rFonts w:ascii="Book Antiqua" w:hAnsi="Book Antiqua" w:cstheme="majorHAnsi"/>
        <w:color w:val="2F5496" w:themeColor="accent1" w:themeShade="BF"/>
        <w:sz w:val="18"/>
        <w:szCs w:val="12"/>
        <w:u w:val="none"/>
      </w:rPr>
      <w:t>vXXXX.</w:t>
    </w:r>
    <w:r>
      <w:rPr>
        <w:rStyle w:val="Hyperlink"/>
        <w:rFonts w:ascii="Book Antiqua" w:hAnsi="Book Antiqua" w:cstheme="majorHAnsi"/>
        <w:color w:val="2F5496" w:themeColor="accent1" w:themeShade="BF"/>
        <w:sz w:val="18"/>
        <w:szCs w:val="12"/>
        <w:u w:val="none"/>
      </w:rPr>
      <w:t>XXXX</w:t>
    </w:r>
    <w:proofErr w:type="spellEnd"/>
    <w:r w:rsidRPr="00EB46BA">
      <w:rPr>
        <w:rFonts w:ascii="Book Antiqua" w:hAnsi="Book Antiqua" w:cstheme="majorHAnsi"/>
        <w:color w:val="2F5496" w:themeColor="accent1" w:themeShade="BF"/>
        <w:sz w:val="18"/>
        <w:szCs w:val="12"/>
      </w:rPr>
      <w:t xml:space="preserve"> </w:t>
    </w:r>
    <w:r w:rsidRPr="008953F1">
      <w:rPr>
        <w:noProof/>
        <w:color w:val="000000" w:themeColor="text1"/>
        <w:lang w:bidi="ar-SA"/>
      </w:rPr>
      <w:drawing>
        <wp:anchor distT="0" distB="0" distL="114300" distR="114300" simplePos="0" relativeHeight="251670528" behindDoc="0" locked="0" layoutInCell="1" allowOverlap="1" wp14:anchorId="2A893884" wp14:editId="6D49D8BF">
          <wp:simplePos x="0" y="0"/>
          <wp:positionH relativeFrom="column">
            <wp:posOffset>5686425</wp:posOffset>
          </wp:positionH>
          <wp:positionV relativeFrom="paragraph">
            <wp:posOffset>159385</wp:posOffset>
          </wp:positionV>
          <wp:extent cx="424180" cy="211455"/>
          <wp:effectExtent l="0" t="0" r="0" b="0"/>
          <wp:wrapNone/>
          <wp:docPr id="6" name="Picture 6"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20FC" w:rsidRPr="00B4626A" w:rsidRDefault="0059209B" w:rsidP="00B4626A">
    <w:pPr>
      <w:spacing w:after="20"/>
      <w:ind w:right="707"/>
      <w:jc w:val="right"/>
      <w:rPr>
        <w:rFonts w:ascii="Book Antiqua" w:hAnsi="Book Antiqua"/>
        <w:color w:val="2F5496" w:themeColor="accent1" w:themeShade="BF"/>
        <w:sz w:val="18"/>
      </w:rPr>
    </w:pPr>
    <w:hyperlink r:id="rId5" w:history="1">
      <w:proofErr w:type="spellStart"/>
      <w:r w:rsidR="00EB20FC" w:rsidRPr="004B1F20">
        <w:rPr>
          <w:rStyle w:val="Hyperlink"/>
          <w:rFonts w:ascii="Book Antiqua" w:hAnsi="Book Antiqua"/>
          <w:color w:val="2F5496" w:themeColor="accent1" w:themeShade="BF"/>
          <w:sz w:val="18"/>
          <w:u w:val="none"/>
        </w:rPr>
        <w:t>Lisensi</w:t>
      </w:r>
      <w:proofErr w:type="spellEnd"/>
      <w:r w:rsidR="00EB20FC" w:rsidRPr="004B1F20">
        <w:rPr>
          <w:rStyle w:val="Hyperlink"/>
          <w:rFonts w:ascii="Book Antiqua" w:hAnsi="Book Antiqua"/>
          <w:color w:val="2F5496" w:themeColor="accent1" w:themeShade="BF"/>
          <w:sz w:val="18"/>
          <w:u w:val="none"/>
        </w:rPr>
        <w:t xml:space="preserve"> Creative Commons </w:t>
      </w:r>
      <w:proofErr w:type="spellStart"/>
      <w:r w:rsidR="00EB20FC" w:rsidRPr="004B1F20">
        <w:rPr>
          <w:rStyle w:val="Hyperlink"/>
          <w:rFonts w:ascii="Book Antiqua" w:hAnsi="Book Antiqua"/>
          <w:color w:val="2F5496" w:themeColor="accent1" w:themeShade="BF"/>
          <w:sz w:val="18"/>
          <w:u w:val="none"/>
        </w:rPr>
        <w:t>Atribusi-NonCommercial</w:t>
      </w:r>
      <w:proofErr w:type="spellEnd"/>
      <w:r w:rsidR="00EB20FC" w:rsidRPr="004B1F20">
        <w:rPr>
          <w:rStyle w:val="Hyperlink"/>
          <w:rFonts w:ascii="Book Antiqua" w:hAnsi="Book Antiqua"/>
          <w:color w:val="2F5496" w:themeColor="accent1" w:themeShade="BF"/>
          <w:sz w:val="18"/>
          <w:u w:val="none"/>
        </w:rPr>
        <w:t xml:space="preserve"> 4.0 </w:t>
      </w:r>
      <w:proofErr w:type="spellStart"/>
      <w:r w:rsidR="00EB20FC" w:rsidRPr="004B1F20">
        <w:rPr>
          <w:rStyle w:val="Hyperlink"/>
          <w:rFonts w:ascii="Book Antiqua" w:hAnsi="Book Antiqua"/>
          <w:color w:val="2F5496" w:themeColor="accent1" w:themeShade="BF"/>
          <w:sz w:val="18"/>
          <w:u w:val="none"/>
        </w:rPr>
        <w:t>Internasional</w:t>
      </w:r>
      <w:proofErr w:type="spellEnd"/>
    </w:hyperlink>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25pt;height:14.25pt;visibility:visible;mso-wrap-style:square" o:bullet="t">
        <v:imagedata r:id="rId1" o:title="1200px-DOI_logo"/>
      </v:shape>
    </w:pict>
  </w:numPicBullet>
  <w:abstractNum w:abstractNumId="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5D3148"/>
    <w:multiLevelType w:val="hybridMultilevel"/>
    <w:tmpl w:val="8780E1C0"/>
    <w:lvl w:ilvl="0" w:tplc="04210011">
      <w:start w:val="1"/>
      <w:numFmt w:val="decimal"/>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8">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9">
    <w:nsid w:val="0909498D"/>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10">
    <w:nsid w:val="0D3C5C8D"/>
    <w:multiLevelType w:val="hybridMultilevel"/>
    <w:tmpl w:val="C02AA13C"/>
    <w:lvl w:ilvl="0" w:tplc="5E9C11BE">
      <w:start w:val="1"/>
      <w:numFmt w:val="lowerLetter"/>
      <w:lvlText w:val="%1."/>
      <w:lvlJc w:val="left"/>
      <w:pPr>
        <w:ind w:left="720" w:hanging="360"/>
      </w:pPr>
      <w:rPr>
        <w:rFonts w:ascii="Georgia" w:eastAsia="Times New Roman" w:hAnsi="Georg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E4032E"/>
    <w:multiLevelType w:val="hybridMultilevel"/>
    <w:tmpl w:val="5810AF3C"/>
    <w:lvl w:ilvl="0" w:tplc="AB5C9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8826A8"/>
    <w:multiLevelType w:val="hybridMultilevel"/>
    <w:tmpl w:val="74C2966C"/>
    <w:lvl w:ilvl="0" w:tplc="0409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209A72A3"/>
    <w:multiLevelType w:val="hybridMultilevel"/>
    <w:tmpl w:val="64F68D3E"/>
    <w:lvl w:ilvl="0" w:tplc="5E9C11BE">
      <w:start w:val="1"/>
      <w:numFmt w:val="lowerLetter"/>
      <w:lvlText w:val="%1."/>
      <w:lvlJc w:val="left"/>
      <w:pPr>
        <w:ind w:left="720" w:hanging="360"/>
      </w:pPr>
      <w:rPr>
        <w:rFonts w:ascii="Georgia" w:eastAsia="Times New Roman" w:hAnsi="Georg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D71EC3"/>
    <w:multiLevelType w:val="hybridMultilevel"/>
    <w:tmpl w:val="FE8AA7DC"/>
    <w:lvl w:ilvl="0" w:tplc="71B0F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05732C"/>
    <w:multiLevelType w:val="hybridMultilevel"/>
    <w:tmpl w:val="56BA82AC"/>
    <w:lvl w:ilvl="0" w:tplc="3620EF3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25403EB6"/>
    <w:multiLevelType w:val="hybridMultilevel"/>
    <w:tmpl w:val="8E084A2A"/>
    <w:lvl w:ilvl="0" w:tplc="A330D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EB3A9B"/>
    <w:multiLevelType w:val="hybridMultilevel"/>
    <w:tmpl w:val="090C7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BD3716B"/>
    <w:multiLevelType w:val="hybridMultilevel"/>
    <w:tmpl w:val="A29CBF6A"/>
    <w:lvl w:ilvl="0" w:tplc="FB48828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2BD82A0B"/>
    <w:multiLevelType w:val="hybridMultilevel"/>
    <w:tmpl w:val="F6D87C62"/>
    <w:lvl w:ilvl="0" w:tplc="5E9C11BE">
      <w:start w:val="1"/>
      <w:numFmt w:val="lowerLetter"/>
      <w:lvlText w:val="%1."/>
      <w:lvlJc w:val="left"/>
      <w:pPr>
        <w:ind w:left="720" w:hanging="360"/>
      </w:pPr>
      <w:rPr>
        <w:rFonts w:ascii="Georgia" w:eastAsia="Times New Roman" w:hAnsi="Georgia" w:cs="Times New Roman" w:hint="default"/>
      </w:rPr>
    </w:lvl>
    <w:lvl w:ilvl="1" w:tplc="195EA75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2">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FD25AC6"/>
    <w:multiLevelType w:val="hybridMultilevel"/>
    <w:tmpl w:val="441C411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66A3E9C"/>
    <w:multiLevelType w:val="hybridMultilevel"/>
    <w:tmpl w:val="2FC4C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B07EC4"/>
    <w:multiLevelType w:val="hybridMultilevel"/>
    <w:tmpl w:val="E6303F40"/>
    <w:lvl w:ilvl="0" w:tplc="A9FEF2E6">
      <w:start w:val="1"/>
      <w:numFmt w:val="decimal"/>
      <w:lvlText w:val="%1."/>
      <w:lvlJc w:val="left"/>
      <w:pPr>
        <w:ind w:left="720" w:hanging="360"/>
      </w:pPr>
      <w:rPr>
        <w:rFonts w:hint="default"/>
      </w:rPr>
    </w:lvl>
    <w:lvl w:ilvl="1" w:tplc="550C174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863FFE"/>
    <w:multiLevelType w:val="hybridMultilevel"/>
    <w:tmpl w:val="C8EC8C74"/>
    <w:lvl w:ilvl="0" w:tplc="138C2BF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CC159EB"/>
    <w:multiLevelType w:val="hybridMultilevel"/>
    <w:tmpl w:val="C324E3FE"/>
    <w:lvl w:ilvl="0" w:tplc="0409000F">
      <w:start w:val="1"/>
      <w:numFmt w:val="decimal"/>
      <w:lvlText w:val="%1."/>
      <w:lvlJc w:val="left"/>
      <w:pPr>
        <w:ind w:left="720" w:hanging="360"/>
      </w:pPr>
      <w:rPr>
        <w:rFonts w:hint="default"/>
      </w:rPr>
    </w:lvl>
    <w:lvl w:ilvl="1" w:tplc="38349FF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31">
    <w:nsid w:val="51185A72"/>
    <w:multiLevelType w:val="hybridMultilevel"/>
    <w:tmpl w:val="38520D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86570A9"/>
    <w:multiLevelType w:val="hybridMultilevel"/>
    <w:tmpl w:val="B16C298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34">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E7C02B0"/>
    <w:multiLevelType w:val="hybridMultilevel"/>
    <w:tmpl w:val="86E80FFC"/>
    <w:lvl w:ilvl="0" w:tplc="04090019">
      <w:start w:val="1"/>
      <w:numFmt w:val="lowerLetter"/>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6">
    <w:nsid w:val="5F697CA5"/>
    <w:multiLevelType w:val="hybridMultilevel"/>
    <w:tmpl w:val="A55AED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69231F"/>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40">
    <w:nsid w:val="63F44D71"/>
    <w:multiLevelType w:val="hybridMultilevel"/>
    <w:tmpl w:val="0A3C0364"/>
    <w:lvl w:ilvl="0" w:tplc="5E9C11BE">
      <w:start w:val="1"/>
      <w:numFmt w:val="lowerLetter"/>
      <w:lvlText w:val="%1."/>
      <w:lvlJc w:val="left"/>
      <w:pPr>
        <w:ind w:left="720" w:hanging="360"/>
      </w:pPr>
      <w:rPr>
        <w:rFonts w:ascii="Georgia" w:eastAsia="Times New Roman" w:hAnsi="Georg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004C59"/>
    <w:multiLevelType w:val="hybridMultilevel"/>
    <w:tmpl w:val="54B07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AA3626"/>
    <w:multiLevelType w:val="hybridMultilevel"/>
    <w:tmpl w:val="0C2E87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5F62318"/>
    <w:multiLevelType w:val="hybridMultilevel"/>
    <w:tmpl w:val="18B890E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8B05BBC"/>
    <w:multiLevelType w:val="hybridMultilevel"/>
    <w:tmpl w:val="19AEB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8"/>
  </w:num>
  <w:num w:numId="4">
    <w:abstractNumId w:val="21"/>
  </w:num>
  <w:num w:numId="5">
    <w:abstractNumId w:val="33"/>
  </w:num>
  <w:num w:numId="6">
    <w:abstractNumId w:val="0"/>
  </w:num>
  <w:num w:numId="7">
    <w:abstractNumId w:val="4"/>
  </w:num>
  <w:num w:numId="8">
    <w:abstractNumId w:val="3"/>
  </w:num>
  <w:num w:numId="9">
    <w:abstractNumId w:val="2"/>
  </w:num>
  <w:num w:numId="10">
    <w:abstractNumId w:val="1"/>
  </w:num>
  <w:num w:numId="11">
    <w:abstractNumId w:val="6"/>
  </w:num>
  <w:num w:numId="12">
    <w:abstractNumId w:val="22"/>
  </w:num>
  <w:num w:numId="13">
    <w:abstractNumId w:val="37"/>
  </w:num>
  <w:num w:numId="14">
    <w:abstractNumId w:val="34"/>
  </w:num>
  <w:num w:numId="15">
    <w:abstractNumId w:val="18"/>
  </w:num>
  <w:num w:numId="16">
    <w:abstractNumId w:val="27"/>
  </w:num>
  <w:num w:numId="17">
    <w:abstractNumId w:val="5"/>
  </w:num>
  <w:num w:numId="18">
    <w:abstractNumId w:val="9"/>
  </w:num>
  <w:num w:numId="19">
    <w:abstractNumId w:val="38"/>
  </w:num>
  <w:num w:numId="20">
    <w:abstractNumId w:val="10"/>
  </w:num>
  <w:num w:numId="21">
    <w:abstractNumId w:val="11"/>
  </w:num>
  <w:num w:numId="22">
    <w:abstractNumId w:val="39"/>
  </w:num>
  <w:num w:numId="23">
    <w:abstractNumId w:val="25"/>
  </w:num>
  <w:num w:numId="24">
    <w:abstractNumId w:val="40"/>
  </w:num>
  <w:num w:numId="25">
    <w:abstractNumId w:val="14"/>
  </w:num>
  <w:num w:numId="26">
    <w:abstractNumId w:val="13"/>
  </w:num>
  <w:num w:numId="27">
    <w:abstractNumId w:val="20"/>
  </w:num>
  <w:num w:numId="28">
    <w:abstractNumId w:val="16"/>
  </w:num>
  <w:num w:numId="29">
    <w:abstractNumId w:val="36"/>
  </w:num>
  <w:num w:numId="30">
    <w:abstractNumId w:val="17"/>
  </w:num>
  <w:num w:numId="31">
    <w:abstractNumId w:val="29"/>
  </w:num>
  <w:num w:numId="32">
    <w:abstractNumId w:val="44"/>
  </w:num>
  <w:num w:numId="33">
    <w:abstractNumId w:val="24"/>
  </w:num>
  <w:num w:numId="34">
    <w:abstractNumId w:val="31"/>
  </w:num>
  <w:num w:numId="35">
    <w:abstractNumId w:val="41"/>
  </w:num>
  <w:num w:numId="36">
    <w:abstractNumId w:val="42"/>
  </w:num>
  <w:num w:numId="37">
    <w:abstractNumId w:val="32"/>
  </w:num>
  <w:num w:numId="38">
    <w:abstractNumId w:val="7"/>
  </w:num>
  <w:num w:numId="39">
    <w:abstractNumId w:val="43"/>
  </w:num>
  <w:num w:numId="40">
    <w:abstractNumId w:val="35"/>
  </w:num>
  <w:num w:numId="41">
    <w:abstractNumId w:val="12"/>
  </w:num>
  <w:num w:numId="42">
    <w:abstractNumId w:val="23"/>
  </w:num>
  <w:num w:numId="43">
    <w:abstractNumId w:val="26"/>
  </w:num>
  <w:num w:numId="44">
    <w:abstractNumId w:val="15"/>
  </w:num>
  <w:num w:numId="45">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9d63fae51859c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3"/>
    <w:rsid w:val="00003122"/>
    <w:rsid w:val="00003C43"/>
    <w:rsid w:val="00005A2E"/>
    <w:rsid w:val="0001120B"/>
    <w:rsid w:val="00014A2C"/>
    <w:rsid w:val="000165E8"/>
    <w:rsid w:val="00023880"/>
    <w:rsid w:val="00023DA6"/>
    <w:rsid w:val="000240C0"/>
    <w:rsid w:val="00026EAB"/>
    <w:rsid w:val="0004404A"/>
    <w:rsid w:val="00046A90"/>
    <w:rsid w:val="00046AF5"/>
    <w:rsid w:val="00050546"/>
    <w:rsid w:val="0005128B"/>
    <w:rsid w:val="00052E06"/>
    <w:rsid w:val="000554A5"/>
    <w:rsid w:val="0006198D"/>
    <w:rsid w:val="00063C82"/>
    <w:rsid w:val="000715EA"/>
    <w:rsid w:val="000775E8"/>
    <w:rsid w:val="000822BD"/>
    <w:rsid w:val="00087494"/>
    <w:rsid w:val="00095A76"/>
    <w:rsid w:val="0009788A"/>
    <w:rsid w:val="000A05AE"/>
    <w:rsid w:val="000A091C"/>
    <w:rsid w:val="000A5878"/>
    <w:rsid w:val="000B09AB"/>
    <w:rsid w:val="000B14BF"/>
    <w:rsid w:val="000B1CE8"/>
    <w:rsid w:val="000B3752"/>
    <w:rsid w:val="000B5F04"/>
    <w:rsid w:val="000C5F58"/>
    <w:rsid w:val="000C62F7"/>
    <w:rsid w:val="000D29BA"/>
    <w:rsid w:val="000D41BE"/>
    <w:rsid w:val="000D479C"/>
    <w:rsid w:val="000D6448"/>
    <w:rsid w:val="000E018D"/>
    <w:rsid w:val="000E0243"/>
    <w:rsid w:val="000E6D81"/>
    <w:rsid w:val="000F3B4F"/>
    <w:rsid w:val="000F4488"/>
    <w:rsid w:val="000F7008"/>
    <w:rsid w:val="0010788E"/>
    <w:rsid w:val="001161B0"/>
    <w:rsid w:val="00116CDD"/>
    <w:rsid w:val="00123CDB"/>
    <w:rsid w:val="001242D9"/>
    <w:rsid w:val="001246F5"/>
    <w:rsid w:val="00124D8C"/>
    <w:rsid w:val="00132B16"/>
    <w:rsid w:val="00134104"/>
    <w:rsid w:val="00136A1D"/>
    <w:rsid w:val="00141AEB"/>
    <w:rsid w:val="00141B61"/>
    <w:rsid w:val="0014772F"/>
    <w:rsid w:val="001520B9"/>
    <w:rsid w:val="001539AC"/>
    <w:rsid w:val="001648BA"/>
    <w:rsid w:val="00167CC3"/>
    <w:rsid w:val="001720AE"/>
    <w:rsid w:val="00177044"/>
    <w:rsid w:val="00184949"/>
    <w:rsid w:val="00185CD9"/>
    <w:rsid w:val="001868DE"/>
    <w:rsid w:val="001A42EB"/>
    <w:rsid w:val="001A55CA"/>
    <w:rsid w:val="001A6FE1"/>
    <w:rsid w:val="001B027D"/>
    <w:rsid w:val="001B4FFE"/>
    <w:rsid w:val="001B7BE7"/>
    <w:rsid w:val="001C13EC"/>
    <w:rsid w:val="001D204F"/>
    <w:rsid w:val="001E0B40"/>
    <w:rsid w:val="001F0853"/>
    <w:rsid w:val="001F2BA3"/>
    <w:rsid w:val="001F5362"/>
    <w:rsid w:val="001F73E9"/>
    <w:rsid w:val="00200DA7"/>
    <w:rsid w:val="00201A60"/>
    <w:rsid w:val="00203F76"/>
    <w:rsid w:val="00204D8C"/>
    <w:rsid w:val="0020773C"/>
    <w:rsid w:val="002119FE"/>
    <w:rsid w:val="00213935"/>
    <w:rsid w:val="00215AA9"/>
    <w:rsid w:val="00222ABB"/>
    <w:rsid w:val="0022358B"/>
    <w:rsid w:val="00223602"/>
    <w:rsid w:val="0023165A"/>
    <w:rsid w:val="00244694"/>
    <w:rsid w:val="00247B6A"/>
    <w:rsid w:val="0025070C"/>
    <w:rsid w:val="00251F9C"/>
    <w:rsid w:val="00256527"/>
    <w:rsid w:val="0025739B"/>
    <w:rsid w:val="0026676C"/>
    <w:rsid w:val="0028406F"/>
    <w:rsid w:val="00284DA6"/>
    <w:rsid w:val="002903F0"/>
    <w:rsid w:val="00292DF3"/>
    <w:rsid w:val="002942E9"/>
    <w:rsid w:val="0029509B"/>
    <w:rsid w:val="00297E00"/>
    <w:rsid w:val="002B0C1A"/>
    <w:rsid w:val="002B2792"/>
    <w:rsid w:val="002B6553"/>
    <w:rsid w:val="002C01AB"/>
    <w:rsid w:val="002C02F0"/>
    <w:rsid w:val="002C65DB"/>
    <w:rsid w:val="002D252C"/>
    <w:rsid w:val="002E336A"/>
    <w:rsid w:val="002E4144"/>
    <w:rsid w:val="002F15D6"/>
    <w:rsid w:val="002F2A28"/>
    <w:rsid w:val="002F4EAC"/>
    <w:rsid w:val="002F7873"/>
    <w:rsid w:val="003028A1"/>
    <w:rsid w:val="00302AAA"/>
    <w:rsid w:val="00303BA8"/>
    <w:rsid w:val="003045E4"/>
    <w:rsid w:val="00307758"/>
    <w:rsid w:val="00311B81"/>
    <w:rsid w:val="0031227B"/>
    <w:rsid w:val="00322CC7"/>
    <w:rsid w:val="00323A6E"/>
    <w:rsid w:val="0032739E"/>
    <w:rsid w:val="003317B7"/>
    <w:rsid w:val="00332D4B"/>
    <w:rsid w:val="00334F9D"/>
    <w:rsid w:val="00337CB5"/>
    <w:rsid w:val="00342C78"/>
    <w:rsid w:val="00351324"/>
    <w:rsid w:val="0035446F"/>
    <w:rsid w:val="0035562C"/>
    <w:rsid w:val="00363A61"/>
    <w:rsid w:val="0036504F"/>
    <w:rsid w:val="0036715B"/>
    <w:rsid w:val="00374F43"/>
    <w:rsid w:val="00375FE4"/>
    <w:rsid w:val="00381694"/>
    <w:rsid w:val="00381D74"/>
    <w:rsid w:val="0038264A"/>
    <w:rsid w:val="003844F8"/>
    <w:rsid w:val="00384A23"/>
    <w:rsid w:val="00385250"/>
    <w:rsid w:val="00385623"/>
    <w:rsid w:val="00385B3D"/>
    <w:rsid w:val="00394924"/>
    <w:rsid w:val="003962B0"/>
    <w:rsid w:val="003A0113"/>
    <w:rsid w:val="003A0FB5"/>
    <w:rsid w:val="003B6B36"/>
    <w:rsid w:val="003B7F17"/>
    <w:rsid w:val="003C34DF"/>
    <w:rsid w:val="003C6CE2"/>
    <w:rsid w:val="003D3F19"/>
    <w:rsid w:val="003D70E2"/>
    <w:rsid w:val="003E0162"/>
    <w:rsid w:val="003E1887"/>
    <w:rsid w:val="003E5D47"/>
    <w:rsid w:val="003E62C7"/>
    <w:rsid w:val="003F14C1"/>
    <w:rsid w:val="003F35CB"/>
    <w:rsid w:val="003F3EE6"/>
    <w:rsid w:val="0040054B"/>
    <w:rsid w:val="00401531"/>
    <w:rsid w:val="004021A6"/>
    <w:rsid w:val="00405315"/>
    <w:rsid w:val="00405FC2"/>
    <w:rsid w:val="00410547"/>
    <w:rsid w:val="00410C32"/>
    <w:rsid w:val="00411302"/>
    <w:rsid w:val="0041449D"/>
    <w:rsid w:val="00414A05"/>
    <w:rsid w:val="00420F09"/>
    <w:rsid w:val="004218C6"/>
    <w:rsid w:val="00424F59"/>
    <w:rsid w:val="0042782F"/>
    <w:rsid w:val="004344BE"/>
    <w:rsid w:val="004369F4"/>
    <w:rsid w:val="00440F28"/>
    <w:rsid w:val="00446AFC"/>
    <w:rsid w:val="00450DBC"/>
    <w:rsid w:val="0045607A"/>
    <w:rsid w:val="0046034D"/>
    <w:rsid w:val="00461F3D"/>
    <w:rsid w:val="004636A3"/>
    <w:rsid w:val="00465420"/>
    <w:rsid w:val="00465841"/>
    <w:rsid w:val="00473181"/>
    <w:rsid w:val="0047374A"/>
    <w:rsid w:val="0047619A"/>
    <w:rsid w:val="0048351B"/>
    <w:rsid w:val="00484C66"/>
    <w:rsid w:val="00487496"/>
    <w:rsid w:val="004902FB"/>
    <w:rsid w:val="00493688"/>
    <w:rsid w:val="004A2BA9"/>
    <w:rsid w:val="004A66B4"/>
    <w:rsid w:val="004B0527"/>
    <w:rsid w:val="004B0D01"/>
    <w:rsid w:val="004B1F20"/>
    <w:rsid w:val="004C1DE7"/>
    <w:rsid w:val="004C26B9"/>
    <w:rsid w:val="004D3400"/>
    <w:rsid w:val="004D6FAE"/>
    <w:rsid w:val="004E16E6"/>
    <w:rsid w:val="00501798"/>
    <w:rsid w:val="0050336D"/>
    <w:rsid w:val="00503FAE"/>
    <w:rsid w:val="005105AC"/>
    <w:rsid w:val="00517D8C"/>
    <w:rsid w:val="00521EA6"/>
    <w:rsid w:val="005242C5"/>
    <w:rsid w:val="00526541"/>
    <w:rsid w:val="005270E6"/>
    <w:rsid w:val="0053356F"/>
    <w:rsid w:val="005425A6"/>
    <w:rsid w:val="00544531"/>
    <w:rsid w:val="005458E3"/>
    <w:rsid w:val="00566C4D"/>
    <w:rsid w:val="00570E3D"/>
    <w:rsid w:val="005767DA"/>
    <w:rsid w:val="0058474D"/>
    <w:rsid w:val="00585EE9"/>
    <w:rsid w:val="005878E8"/>
    <w:rsid w:val="00591AE2"/>
    <w:rsid w:val="0059209B"/>
    <w:rsid w:val="00594198"/>
    <w:rsid w:val="00597B07"/>
    <w:rsid w:val="005A08C9"/>
    <w:rsid w:val="005A2C13"/>
    <w:rsid w:val="005A6549"/>
    <w:rsid w:val="005B7C97"/>
    <w:rsid w:val="005C5C9C"/>
    <w:rsid w:val="005D030D"/>
    <w:rsid w:val="005D205A"/>
    <w:rsid w:val="005D316F"/>
    <w:rsid w:val="005D4797"/>
    <w:rsid w:val="005D6A36"/>
    <w:rsid w:val="005E4573"/>
    <w:rsid w:val="005E53BC"/>
    <w:rsid w:val="005F2A78"/>
    <w:rsid w:val="005F439C"/>
    <w:rsid w:val="005F5543"/>
    <w:rsid w:val="005F6116"/>
    <w:rsid w:val="00601209"/>
    <w:rsid w:val="0060246F"/>
    <w:rsid w:val="00606089"/>
    <w:rsid w:val="00613923"/>
    <w:rsid w:val="00613B80"/>
    <w:rsid w:val="00620ABC"/>
    <w:rsid w:val="00622843"/>
    <w:rsid w:val="00622AEE"/>
    <w:rsid w:val="00624D16"/>
    <w:rsid w:val="0063023C"/>
    <w:rsid w:val="00630AD4"/>
    <w:rsid w:val="00643BF3"/>
    <w:rsid w:val="0064461B"/>
    <w:rsid w:val="00645A53"/>
    <w:rsid w:val="00651623"/>
    <w:rsid w:val="006520AB"/>
    <w:rsid w:val="00654158"/>
    <w:rsid w:val="006629B3"/>
    <w:rsid w:val="00663DC7"/>
    <w:rsid w:val="006662DB"/>
    <w:rsid w:val="00667E24"/>
    <w:rsid w:val="00680AA0"/>
    <w:rsid w:val="00685074"/>
    <w:rsid w:val="00693A54"/>
    <w:rsid w:val="006940A8"/>
    <w:rsid w:val="00694633"/>
    <w:rsid w:val="006A5313"/>
    <w:rsid w:val="006A7CFB"/>
    <w:rsid w:val="006B11D6"/>
    <w:rsid w:val="006B7DF4"/>
    <w:rsid w:val="006C41A2"/>
    <w:rsid w:val="006C4CB2"/>
    <w:rsid w:val="006C56C8"/>
    <w:rsid w:val="006D0D57"/>
    <w:rsid w:val="006D2787"/>
    <w:rsid w:val="006D5BE7"/>
    <w:rsid w:val="006E0F53"/>
    <w:rsid w:val="006E4CA1"/>
    <w:rsid w:val="006E6514"/>
    <w:rsid w:val="006E718A"/>
    <w:rsid w:val="006F24E2"/>
    <w:rsid w:val="00702E17"/>
    <w:rsid w:val="00705CA5"/>
    <w:rsid w:val="00713165"/>
    <w:rsid w:val="0071604D"/>
    <w:rsid w:val="00717018"/>
    <w:rsid w:val="00717391"/>
    <w:rsid w:val="00723814"/>
    <w:rsid w:val="00730927"/>
    <w:rsid w:val="007326F3"/>
    <w:rsid w:val="00740136"/>
    <w:rsid w:val="007404FD"/>
    <w:rsid w:val="00742781"/>
    <w:rsid w:val="0074790D"/>
    <w:rsid w:val="00752701"/>
    <w:rsid w:val="0075523B"/>
    <w:rsid w:val="00764503"/>
    <w:rsid w:val="00770909"/>
    <w:rsid w:val="007811FE"/>
    <w:rsid w:val="00783571"/>
    <w:rsid w:val="007855DD"/>
    <w:rsid w:val="007872A9"/>
    <w:rsid w:val="00787978"/>
    <w:rsid w:val="00787E5C"/>
    <w:rsid w:val="0079118D"/>
    <w:rsid w:val="007916B7"/>
    <w:rsid w:val="00792095"/>
    <w:rsid w:val="007922F9"/>
    <w:rsid w:val="00793043"/>
    <w:rsid w:val="00796396"/>
    <w:rsid w:val="007A1886"/>
    <w:rsid w:val="007A5CA5"/>
    <w:rsid w:val="007B0722"/>
    <w:rsid w:val="007B2B10"/>
    <w:rsid w:val="007B38C2"/>
    <w:rsid w:val="007B6169"/>
    <w:rsid w:val="007C216D"/>
    <w:rsid w:val="007C24AB"/>
    <w:rsid w:val="007C3937"/>
    <w:rsid w:val="007C6644"/>
    <w:rsid w:val="007C70F8"/>
    <w:rsid w:val="007D045A"/>
    <w:rsid w:val="007D17F8"/>
    <w:rsid w:val="007D23AE"/>
    <w:rsid w:val="007D5770"/>
    <w:rsid w:val="007E163D"/>
    <w:rsid w:val="007E78AA"/>
    <w:rsid w:val="007F1550"/>
    <w:rsid w:val="007F5BFF"/>
    <w:rsid w:val="008134DE"/>
    <w:rsid w:val="00820DAF"/>
    <w:rsid w:val="008231E2"/>
    <w:rsid w:val="008315D7"/>
    <w:rsid w:val="00832D3F"/>
    <w:rsid w:val="00840805"/>
    <w:rsid w:val="0084140D"/>
    <w:rsid w:val="00846CB2"/>
    <w:rsid w:val="008539D5"/>
    <w:rsid w:val="00853D94"/>
    <w:rsid w:val="0085433C"/>
    <w:rsid w:val="0085517E"/>
    <w:rsid w:val="0085741A"/>
    <w:rsid w:val="00857FD7"/>
    <w:rsid w:val="00862B71"/>
    <w:rsid w:val="00864789"/>
    <w:rsid w:val="00867951"/>
    <w:rsid w:val="00873B54"/>
    <w:rsid w:val="00881666"/>
    <w:rsid w:val="00882B6C"/>
    <w:rsid w:val="00884C1F"/>
    <w:rsid w:val="00886166"/>
    <w:rsid w:val="008936AE"/>
    <w:rsid w:val="00893C20"/>
    <w:rsid w:val="0089533E"/>
    <w:rsid w:val="008A0E02"/>
    <w:rsid w:val="008A35A3"/>
    <w:rsid w:val="008B35C9"/>
    <w:rsid w:val="008B5150"/>
    <w:rsid w:val="008B55B8"/>
    <w:rsid w:val="008B6079"/>
    <w:rsid w:val="008C42E8"/>
    <w:rsid w:val="008D2F11"/>
    <w:rsid w:val="008D798C"/>
    <w:rsid w:val="008E6270"/>
    <w:rsid w:val="008E7385"/>
    <w:rsid w:val="008E7C43"/>
    <w:rsid w:val="008F1860"/>
    <w:rsid w:val="008F2DE5"/>
    <w:rsid w:val="008F6AD8"/>
    <w:rsid w:val="009001C8"/>
    <w:rsid w:val="00900C57"/>
    <w:rsid w:val="00910821"/>
    <w:rsid w:val="00911ABD"/>
    <w:rsid w:val="00913544"/>
    <w:rsid w:val="00916825"/>
    <w:rsid w:val="009211A0"/>
    <w:rsid w:val="00923DF9"/>
    <w:rsid w:val="00925D4D"/>
    <w:rsid w:val="00927804"/>
    <w:rsid w:val="00932498"/>
    <w:rsid w:val="0093286C"/>
    <w:rsid w:val="00934130"/>
    <w:rsid w:val="00934385"/>
    <w:rsid w:val="00935655"/>
    <w:rsid w:val="00946D79"/>
    <w:rsid w:val="009538EB"/>
    <w:rsid w:val="00954C5B"/>
    <w:rsid w:val="00954CC1"/>
    <w:rsid w:val="00956651"/>
    <w:rsid w:val="009649F5"/>
    <w:rsid w:val="00965143"/>
    <w:rsid w:val="00971E13"/>
    <w:rsid w:val="00972AB1"/>
    <w:rsid w:val="00972E25"/>
    <w:rsid w:val="00983212"/>
    <w:rsid w:val="009840F8"/>
    <w:rsid w:val="009900A2"/>
    <w:rsid w:val="00991217"/>
    <w:rsid w:val="00994A9F"/>
    <w:rsid w:val="00996760"/>
    <w:rsid w:val="009A0D77"/>
    <w:rsid w:val="009A2E58"/>
    <w:rsid w:val="009B07E0"/>
    <w:rsid w:val="009B0E19"/>
    <w:rsid w:val="009B586D"/>
    <w:rsid w:val="009C00D6"/>
    <w:rsid w:val="009C756F"/>
    <w:rsid w:val="009D187D"/>
    <w:rsid w:val="009D5489"/>
    <w:rsid w:val="009E1086"/>
    <w:rsid w:val="009E6FFA"/>
    <w:rsid w:val="009F25DA"/>
    <w:rsid w:val="009F4E05"/>
    <w:rsid w:val="00A00C6D"/>
    <w:rsid w:val="00A018D9"/>
    <w:rsid w:val="00A07F33"/>
    <w:rsid w:val="00A12DDC"/>
    <w:rsid w:val="00A15029"/>
    <w:rsid w:val="00A26219"/>
    <w:rsid w:val="00A30694"/>
    <w:rsid w:val="00A341DC"/>
    <w:rsid w:val="00A34FD4"/>
    <w:rsid w:val="00A350E6"/>
    <w:rsid w:val="00A355A1"/>
    <w:rsid w:val="00A4291B"/>
    <w:rsid w:val="00A46894"/>
    <w:rsid w:val="00A54ADA"/>
    <w:rsid w:val="00A57BBC"/>
    <w:rsid w:val="00A601F0"/>
    <w:rsid w:val="00A64982"/>
    <w:rsid w:val="00A81BFA"/>
    <w:rsid w:val="00A833F3"/>
    <w:rsid w:val="00A84BDE"/>
    <w:rsid w:val="00A85FBA"/>
    <w:rsid w:val="00A93A6E"/>
    <w:rsid w:val="00A94285"/>
    <w:rsid w:val="00A947DF"/>
    <w:rsid w:val="00AA17B4"/>
    <w:rsid w:val="00AA1A42"/>
    <w:rsid w:val="00AA71C4"/>
    <w:rsid w:val="00AA7C96"/>
    <w:rsid w:val="00AB395C"/>
    <w:rsid w:val="00AB3E19"/>
    <w:rsid w:val="00AB6E89"/>
    <w:rsid w:val="00AC017F"/>
    <w:rsid w:val="00AC6E2E"/>
    <w:rsid w:val="00AE0369"/>
    <w:rsid w:val="00AE0A5E"/>
    <w:rsid w:val="00AE44B2"/>
    <w:rsid w:val="00AF1307"/>
    <w:rsid w:val="00AF20D0"/>
    <w:rsid w:val="00AF2E6D"/>
    <w:rsid w:val="00AF45B3"/>
    <w:rsid w:val="00AF4C7B"/>
    <w:rsid w:val="00B00767"/>
    <w:rsid w:val="00B01B42"/>
    <w:rsid w:val="00B021A7"/>
    <w:rsid w:val="00B03490"/>
    <w:rsid w:val="00B15D99"/>
    <w:rsid w:val="00B17821"/>
    <w:rsid w:val="00B20AE2"/>
    <w:rsid w:val="00B211FB"/>
    <w:rsid w:val="00B27A6A"/>
    <w:rsid w:val="00B310CC"/>
    <w:rsid w:val="00B31F1B"/>
    <w:rsid w:val="00B322EB"/>
    <w:rsid w:val="00B33F01"/>
    <w:rsid w:val="00B34D30"/>
    <w:rsid w:val="00B41D4F"/>
    <w:rsid w:val="00B4626A"/>
    <w:rsid w:val="00B468F5"/>
    <w:rsid w:val="00B51127"/>
    <w:rsid w:val="00B544EB"/>
    <w:rsid w:val="00B54585"/>
    <w:rsid w:val="00B55168"/>
    <w:rsid w:val="00B561E6"/>
    <w:rsid w:val="00B63600"/>
    <w:rsid w:val="00B66E85"/>
    <w:rsid w:val="00B70955"/>
    <w:rsid w:val="00B72BBC"/>
    <w:rsid w:val="00B73B77"/>
    <w:rsid w:val="00B7604B"/>
    <w:rsid w:val="00B76F87"/>
    <w:rsid w:val="00B81674"/>
    <w:rsid w:val="00B85F52"/>
    <w:rsid w:val="00B940BC"/>
    <w:rsid w:val="00B96F32"/>
    <w:rsid w:val="00BA3C07"/>
    <w:rsid w:val="00BA66CC"/>
    <w:rsid w:val="00BA7FA9"/>
    <w:rsid w:val="00BC1226"/>
    <w:rsid w:val="00BC3AF0"/>
    <w:rsid w:val="00BC46E1"/>
    <w:rsid w:val="00BE7BF1"/>
    <w:rsid w:val="00BF366D"/>
    <w:rsid w:val="00BF4739"/>
    <w:rsid w:val="00C048F8"/>
    <w:rsid w:val="00C0529B"/>
    <w:rsid w:val="00C05EEA"/>
    <w:rsid w:val="00C0667C"/>
    <w:rsid w:val="00C1367B"/>
    <w:rsid w:val="00C21629"/>
    <w:rsid w:val="00C223DA"/>
    <w:rsid w:val="00C30873"/>
    <w:rsid w:val="00C34485"/>
    <w:rsid w:val="00C37A21"/>
    <w:rsid w:val="00C37AC1"/>
    <w:rsid w:val="00C43AB2"/>
    <w:rsid w:val="00C50E91"/>
    <w:rsid w:val="00C6023D"/>
    <w:rsid w:val="00C626DB"/>
    <w:rsid w:val="00C63A86"/>
    <w:rsid w:val="00C71B1D"/>
    <w:rsid w:val="00C72977"/>
    <w:rsid w:val="00C76AB6"/>
    <w:rsid w:val="00C85CDA"/>
    <w:rsid w:val="00C879E7"/>
    <w:rsid w:val="00C90F41"/>
    <w:rsid w:val="00C91685"/>
    <w:rsid w:val="00C92ADD"/>
    <w:rsid w:val="00C96BD0"/>
    <w:rsid w:val="00CA3468"/>
    <w:rsid w:val="00CA47C1"/>
    <w:rsid w:val="00CA5B07"/>
    <w:rsid w:val="00CA64E6"/>
    <w:rsid w:val="00CA6F9F"/>
    <w:rsid w:val="00CB19BE"/>
    <w:rsid w:val="00CB3F24"/>
    <w:rsid w:val="00CC0F38"/>
    <w:rsid w:val="00CC2C92"/>
    <w:rsid w:val="00CE1163"/>
    <w:rsid w:val="00CE3571"/>
    <w:rsid w:val="00CF1AB1"/>
    <w:rsid w:val="00D021FB"/>
    <w:rsid w:val="00D067DD"/>
    <w:rsid w:val="00D26AC0"/>
    <w:rsid w:val="00D34927"/>
    <w:rsid w:val="00D35BE1"/>
    <w:rsid w:val="00D35CCA"/>
    <w:rsid w:val="00D35EA2"/>
    <w:rsid w:val="00D372C4"/>
    <w:rsid w:val="00D41AF6"/>
    <w:rsid w:val="00D42E92"/>
    <w:rsid w:val="00D44E17"/>
    <w:rsid w:val="00D50F76"/>
    <w:rsid w:val="00D5381E"/>
    <w:rsid w:val="00D571BD"/>
    <w:rsid w:val="00D7217F"/>
    <w:rsid w:val="00D77BBE"/>
    <w:rsid w:val="00D815C4"/>
    <w:rsid w:val="00D85B71"/>
    <w:rsid w:val="00D87DA2"/>
    <w:rsid w:val="00D950D2"/>
    <w:rsid w:val="00D96084"/>
    <w:rsid w:val="00D962C2"/>
    <w:rsid w:val="00D97188"/>
    <w:rsid w:val="00D976FC"/>
    <w:rsid w:val="00DA4B6A"/>
    <w:rsid w:val="00DB2A2F"/>
    <w:rsid w:val="00DC293C"/>
    <w:rsid w:val="00DC2EA0"/>
    <w:rsid w:val="00DC61EA"/>
    <w:rsid w:val="00DE233D"/>
    <w:rsid w:val="00DE3CDB"/>
    <w:rsid w:val="00DE3E9D"/>
    <w:rsid w:val="00DF0E65"/>
    <w:rsid w:val="00DF126A"/>
    <w:rsid w:val="00DF7785"/>
    <w:rsid w:val="00E05A73"/>
    <w:rsid w:val="00E067BD"/>
    <w:rsid w:val="00E07E37"/>
    <w:rsid w:val="00E17D65"/>
    <w:rsid w:val="00E2583E"/>
    <w:rsid w:val="00E34A60"/>
    <w:rsid w:val="00E34FAC"/>
    <w:rsid w:val="00E37C5D"/>
    <w:rsid w:val="00E42395"/>
    <w:rsid w:val="00E54694"/>
    <w:rsid w:val="00E54E28"/>
    <w:rsid w:val="00E55074"/>
    <w:rsid w:val="00E56FA1"/>
    <w:rsid w:val="00E71049"/>
    <w:rsid w:val="00E754EB"/>
    <w:rsid w:val="00E76685"/>
    <w:rsid w:val="00E77F00"/>
    <w:rsid w:val="00E822E0"/>
    <w:rsid w:val="00E9032F"/>
    <w:rsid w:val="00E956D6"/>
    <w:rsid w:val="00EA63B5"/>
    <w:rsid w:val="00EA684F"/>
    <w:rsid w:val="00EA7773"/>
    <w:rsid w:val="00EB0E10"/>
    <w:rsid w:val="00EB14D6"/>
    <w:rsid w:val="00EB20FC"/>
    <w:rsid w:val="00EB46BA"/>
    <w:rsid w:val="00EB6864"/>
    <w:rsid w:val="00EC610A"/>
    <w:rsid w:val="00ED00F7"/>
    <w:rsid w:val="00ED3A3F"/>
    <w:rsid w:val="00ED5C56"/>
    <w:rsid w:val="00ED74BD"/>
    <w:rsid w:val="00ED753A"/>
    <w:rsid w:val="00EE0A92"/>
    <w:rsid w:val="00EE3327"/>
    <w:rsid w:val="00EF0E1A"/>
    <w:rsid w:val="00EF26FE"/>
    <w:rsid w:val="00EF297A"/>
    <w:rsid w:val="00EF357F"/>
    <w:rsid w:val="00EF6CAC"/>
    <w:rsid w:val="00F005E2"/>
    <w:rsid w:val="00F02D26"/>
    <w:rsid w:val="00F03107"/>
    <w:rsid w:val="00F049D3"/>
    <w:rsid w:val="00F061E1"/>
    <w:rsid w:val="00F14211"/>
    <w:rsid w:val="00F14EDE"/>
    <w:rsid w:val="00F211B0"/>
    <w:rsid w:val="00F246FE"/>
    <w:rsid w:val="00F25CC6"/>
    <w:rsid w:val="00F33FDB"/>
    <w:rsid w:val="00F34468"/>
    <w:rsid w:val="00F35C49"/>
    <w:rsid w:val="00F47F06"/>
    <w:rsid w:val="00F505F5"/>
    <w:rsid w:val="00F5480D"/>
    <w:rsid w:val="00F553F0"/>
    <w:rsid w:val="00F5692C"/>
    <w:rsid w:val="00F70D71"/>
    <w:rsid w:val="00F7535E"/>
    <w:rsid w:val="00F75E5E"/>
    <w:rsid w:val="00F774C4"/>
    <w:rsid w:val="00F808B8"/>
    <w:rsid w:val="00F84226"/>
    <w:rsid w:val="00F91B9D"/>
    <w:rsid w:val="00FA0B62"/>
    <w:rsid w:val="00FA1981"/>
    <w:rsid w:val="00FA77AA"/>
    <w:rsid w:val="00FB3E87"/>
    <w:rsid w:val="00FB5B30"/>
    <w:rsid w:val="00FB6AF9"/>
    <w:rsid w:val="00FC3C56"/>
    <w:rsid w:val="00FC5DCE"/>
    <w:rsid w:val="00FC68CF"/>
    <w:rsid w:val="00FC7368"/>
    <w:rsid w:val="00FC7AE1"/>
    <w:rsid w:val="00FD0140"/>
    <w:rsid w:val="00FD0BC6"/>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0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qFormat/>
    <w:rsid w:val="00934130"/>
    <w:rPr>
      <w:rFonts w:ascii="Times New Roman" w:eastAsia="SimSun" w:hAnsi="Times New Roman" w:cs="Times New Roman"/>
      <w:sz w:val="20"/>
      <w:szCs w:val="20"/>
      <w:lang w:eastAsia="zh-CN" w:bidi="ar-SA"/>
    </w:rPr>
  </w:style>
  <w:style w:type="character" w:styleId="FootnoteReference">
    <w:name w:val="footnote reference"/>
    <w:aliases w:val="fr"/>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
    <w:name w:val="Mention"/>
    <w:uiPriority w:val="99"/>
    <w:semiHidden/>
    <w:unhideWhenUsed/>
    <w:rsid w:val="0035562C"/>
    <w:rPr>
      <w:color w:val="2B579A"/>
      <w:shd w:val="clear" w:color="auto" w:fill="E6E6E6"/>
    </w:rPr>
  </w:style>
  <w:style w:type="character" w:customStyle="1"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3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given-names">
    <w:name w:val="given-names"/>
    <w:basedOn w:val="DefaultParagraphFont"/>
    <w:rsid w:val="004E16E6"/>
  </w:style>
  <w:style w:type="character" w:customStyle="1" w:styleId="surname">
    <w:name w:val="surname"/>
    <w:basedOn w:val="DefaultParagraphFont"/>
    <w:rsid w:val="004E16E6"/>
  </w:style>
  <w:style w:type="character" w:customStyle="1" w:styleId="intentjournaltitle">
    <w:name w:val="intent_journal_title"/>
    <w:basedOn w:val="DefaultParagraphFont"/>
    <w:rsid w:val="004E16E6"/>
  </w:style>
  <w:style w:type="paragraph" w:styleId="BodyText">
    <w:name w:val="Body Text"/>
    <w:basedOn w:val="Normal"/>
    <w:link w:val="BodyTextChar"/>
    <w:uiPriority w:val="99"/>
    <w:unhideWhenUsed/>
    <w:rsid w:val="001868DE"/>
    <w:pPr>
      <w:spacing w:after="120"/>
    </w:pPr>
  </w:style>
  <w:style w:type="character" w:customStyle="1" w:styleId="BodyTextChar">
    <w:name w:val="Body Text Char"/>
    <w:basedOn w:val="DefaultParagraphFont"/>
    <w:link w:val="BodyText"/>
    <w:uiPriority w:val="99"/>
    <w:rsid w:val="001868DE"/>
    <w:rPr>
      <w:sz w:val="22"/>
      <w:szCs w:val="28"/>
      <w:lang w:val="en-US" w:bidi="b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qFormat/>
    <w:rsid w:val="00934130"/>
    <w:rPr>
      <w:rFonts w:ascii="Times New Roman" w:eastAsia="SimSun" w:hAnsi="Times New Roman" w:cs="Times New Roman"/>
      <w:sz w:val="20"/>
      <w:szCs w:val="20"/>
      <w:lang w:eastAsia="zh-CN" w:bidi="ar-SA"/>
    </w:rPr>
  </w:style>
  <w:style w:type="character" w:styleId="FootnoteReference">
    <w:name w:val="footnote reference"/>
    <w:aliases w:val="fr"/>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
    <w:name w:val="Mention"/>
    <w:uiPriority w:val="99"/>
    <w:semiHidden/>
    <w:unhideWhenUsed/>
    <w:rsid w:val="0035562C"/>
    <w:rPr>
      <w:color w:val="2B579A"/>
      <w:shd w:val="clear" w:color="auto" w:fill="E6E6E6"/>
    </w:rPr>
  </w:style>
  <w:style w:type="character" w:customStyle="1"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3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given-names">
    <w:name w:val="given-names"/>
    <w:basedOn w:val="DefaultParagraphFont"/>
    <w:rsid w:val="004E16E6"/>
  </w:style>
  <w:style w:type="character" w:customStyle="1" w:styleId="surname">
    <w:name w:val="surname"/>
    <w:basedOn w:val="DefaultParagraphFont"/>
    <w:rsid w:val="004E16E6"/>
  </w:style>
  <w:style w:type="character" w:customStyle="1" w:styleId="intentjournaltitle">
    <w:name w:val="intent_journal_title"/>
    <w:basedOn w:val="DefaultParagraphFont"/>
    <w:rsid w:val="004E16E6"/>
  </w:style>
  <w:style w:type="paragraph" w:styleId="BodyText">
    <w:name w:val="Body Text"/>
    <w:basedOn w:val="Normal"/>
    <w:link w:val="BodyTextChar"/>
    <w:uiPriority w:val="99"/>
    <w:unhideWhenUsed/>
    <w:rsid w:val="001868DE"/>
    <w:pPr>
      <w:spacing w:after="120"/>
    </w:pPr>
  </w:style>
  <w:style w:type="character" w:customStyle="1" w:styleId="BodyTextChar">
    <w:name w:val="Body Text Char"/>
    <w:basedOn w:val="DefaultParagraphFont"/>
    <w:link w:val="BodyText"/>
    <w:uiPriority w:val="99"/>
    <w:rsid w:val="001868DE"/>
    <w:rPr>
      <w:sz w:val="22"/>
      <w:szCs w:val="28"/>
      <w:lang w:val="en-US"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406">
      <w:bodyDiv w:val="1"/>
      <w:marLeft w:val="0"/>
      <w:marRight w:val="0"/>
      <w:marTop w:val="0"/>
      <w:marBottom w:val="0"/>
      <w:divBdr>
        <w:top w:val="none" w:sz="0" w:space="0" w:color="auto"/>
        <w:left w:val="none" w:sz="0" w:space="0" w:color="auto"/>
        <w:bottom w:val="none" w:sz="0" w:space="0" w:color="auto"/>
        <w:right w:val="none" w:sz="0" w:space="0" w:color="auto"/>
      </w:divBdr>
    </w:div>
    <w:div w:id="99876991">
      <w:bodyDiv w:val="1"/>
      <w:marLeft w:val="0"/>
      <w:marRight w:val="0"/>
      <w:marTop w:val="0"/>
      <w:marBottom w:val="0"/>
      <w:divBdr>
        <w:top w:val="none" w:sz="0" w:space="0" w:color="auto"/>
        <w:left w:val="none" w:sz="0" w:space="0" w:color="auto"/>
        <w:bottom w:val="none" w:sz="0" w:space="0" w:color="auto"/>
        <w:right w:val="none" w:sz="0" w:space="0" w:color="auto"/>
      </w:divBdr>
    </w:div>
    <w:div w:id="198587820">
      <w:bodyDiv w:val="1"/>
      <w:marLeft w:val="0"/>
      <w:marRight w:val="0"/>
      <w:marTop w:val="0"/>
      <w:marBottom w:val="0"/>
      <w:divBdr>
        <w:top w:val="none" w:sz="0" w:space="0" w:color="auto"/>
        <w:left w:val="none" w:sz="0" w:space="0" w:color="auto"/>
        <w:bottom w:val="none" w:sz="0" w:space="0" w:color="auto"/>
        <w:right w:val="none" w:sz="0" w:space="0" w:color="auto"/>
      </w:divBdr>
      <w:divsChild>
        <w:div w:id="1102381250">
          <w:marLeft w:val="0"/>
          <w:marRight w:val="0"/>
          <w:marTop w:val="0"/>
          <w:marBottom w:val="0"/>
          <w:divBdr>
            <w:top w:val="none" w:sz="0" w:space="0" w:color="auto"/>
            <w:left w:val="none" w:sz="0" w:space="0" w:color="auto"/>
            <w:bottom w:val="none" w:sz="0" w:space="0" w:color="auto"/>
            <w:right w:val="none" w:sz="0" w:space="0" w:color="auto"/>
          </w:divBdr>
        </w:div>
        <w:div w:id="376046325">
          <w:marLeft w:val="0"/>
          <w:marRight w:val="0"/>
          <w:marTop w:val="0"/>
          <w:marBottom w:val="0"/>
          <w:divBdr>
            <w:top w:val="none" w:sz="0" w:space="0" w:color="auto"/>
            <w:left w:val="none" w:sz="0" w:space="0" w:color="auto"/>
            <w:bottom w:val="none" w:sz="0" w:space="0" w:color="auto"/>
            <w:right w:val="none" w:sz="0" w:space="0" w:color="auto"/>
          </w:divBdr>
        </w:div>
      </w:divsChild>
    </w:div>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300424">
      <w:bodyDiv w:val="1"/>
      <w:marLeft w:val="0"/>
      <w:marRight w:val="0"/>
      <w:marTop w:val="0"/>
      <w:marBottom w:val="0"/>
      <w:divBdr>
        <w:top w:val="none" w:sz="0" w:space="0" w:color="auto"/>
        <w:left w:val="none" w:sz="0" w:space="0" w:color="auto"/>
        <w:bottom w:val="none" w:sz="0" w:space="0" w:color="auto"/>
        <w:right w:val="none" w:sz="0" w:space="0" w:color="auto"/>
      </w:divBdr>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20270">
      <w:bodyDiv w:val="1"/>
      <w:marLeft w:val="0"/>
      <w:marRight w:val="0"/>
      <w:marTop w:val="0"/>
      <w:marBottom w:val="0"/>
      <w:divBdr>
        <w:top w:val="none" w:sz="0" w:space="0" w:color="auto"/>
        <w:left w:val="none" w:sz="0" w:space="0" w:color="auto"/>
        <w:bottom w:val="none" w:sz="0" w:space="0" w:color="auto"/>
        <w:right w:val="none" w:sz="0" w:space="0" w:color="auto"/>
      </w:divBdr>
      <w:divsChild>
        <w:div w:id="557130442">
          <w:marLeft w:val="0"/>
          <w:marRight w:val="0"/>
          <w:marTop w:val="0"/>
          <w:marBottom w:val="0"/>
          <w:divBdr>
            <w:top w:val="none" w:sz="0" w:space="0" w:color="auto"/>
            <w:left w:val="none" w:sz="0" w:space="0" w:color="auto"/>
            <w:bottom w:val="none" w:sz="0" w:space="0" w:color="auto"/>
            <w:right w:val="none" w:sz="0" w:space="0" w:color="auto"/>
          </w:divBdr>
        </w:div>
        <w:div w:id="826752009">
          <w:marLeft w:val="0"/>
          <w:marRight w:val="0"/>
          <w:marTop w:val="0"/>
          <w:marBottom w:val="0"/>
          <w:divBdr>
            <w:top w:val="none" w:sz="0" w:space="0" w:color="auto"/>
            <w:left w:val="none" w:sz="0" w:space="0" w:color="auto"/>
            <w:bottom w:val="none" w:sz="0" w:space="0" w:color="auto"/>
            <w:right w:val="none" w:sz="0" w:space="0" w:color="auto"/>
          </w:divBdr>
        </w:div>
        <w:div w:id="1032606314">
          <w:marLeft w:val="0"/>
          <w:marRight w:val="0"/>
          <w:marTop w:val="0"/>
          <w:marBottom w:val="0"/>
          <w:divBdr>
            <w:top w:val="none" w:sz="0" w:space="0" w:color="auto"/>
            <w:left w:val="none" w:sz="0" w:space="0" w:color="auto"/>
            <w:bottom w:val="none" w:sz="0" w:space="0" w:color="auto"/>
            <w:right w:val="none" w:sz="0" w:space="0" w:color="auto"/>
          </w:divBdr>
        </w:div>
        <w:div w:id="1002321872">
          <w:marLeft w:val="0"/>
          <w:marRight w:val="0"/>
          <w:marTop w:val="0"/>
          <w:marBottom w:val="0"/>
          <w:divBdr>
            <w:top w:val="none" w:sz="0" w:space="0" w:color="auto"/>
            <w:left w:val="none" w:sz="0" w:space="0" w:color="auto"/>
            <w:bottom w:val="none" w:sz="0" w:space="0" w:color="auto"/>
            <w:right w:val="none" w:sz="0" w:space="0" w:color="auto"/>
          </w:divBdr>
        </w:div>
      </w:divsChild>
    </w:div>
    <w:div w:id="886144116">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191917454">
      <w:bodyDiv w:val="1"/>
      <w:marLeft w:val="0"/>
      <w:marRight w:val="0"/>
      <w:marTop w:val="0"/>
      <w:marBottom w:val="0"/>
      <w:divBdr>
        <w:top w:val="none" w:sz="0" w:space="0" w:color="auto"/>
        <w:left w:val="none" w:sz="0" w:space="0" w:color="auto"/>
        <w:bottom w:val="none" w:sz="0" w:space="0" w:color="auto"/>
        <w:right w:val="none" w:sz="0" w:space="0" w:color="auto"/>
      </w:divBdr>
      <w:divsChild>
        <w:div w:id="141582107">
          <w:marLeft w:val="0"/>
          <w:marRight w:val="0"/>
          <w:marTop w:val="0"/>
          <w:marBottom w:val="0"/>
          <w:divBdr>
            <w:top w:val="none" w:sz="0" w:space="0" w:color="auto"/>
            <w:left w:val="none" w:sz="0" w:space="0" w:color="auto"/>
            <w:bottom w:val="none" w:sz="0" w:space="0" w:color="auto"/>
            <w:right w:val="none" w:sz="0" w:space="0" w:color="auto"/>
          </w:divBdr>
        </w:div>
        <w:div w:id="712971304">
          <w:marLeft w:val="0"/>
          <w:marRight w:val="0"/>
          <w:marTop w:val="0"/>
          <w:marBottom w:val="0"/>
          <w:divBdr>
            <w:top w:val="none" w:sz="0" w:space="0" w:color="auto"/>
            <w:left w:val="none" w:sz="0" w:space="0" w:color="auto"/>
            <w:bottom w:val="none" w:sz="0" w:space="0" w:color="auto"/>
            <w:right w:val="none" w:sz="0" w:space="0" w:color="auto"/>
          </w:divBdr>
        </w:div>
      </w:divsChild>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927673">
      <w:bodyDiv w:val="1"/>
      <w:marLeft w:val="0"/>
      <w:marRight w:val="0"/>
      <w:marTop w:val="0"/>
      <w:marBottom w:val="0"/>
      <w:divBdr>
        <w:top w:val="none" w:sz="0" w:space="0" w:color="auto"/>
        <w:left w:val="none" w:sz="0" w:space="0" w:color="auto"/>
        <w:bottom w:val="none" w:sz="0" w:space="0" w:color="auto"/>
        <w:right w:val="none" w:sz="0" w:space="0" w:color="auto"/>
      </w:divBdr>
      <w:divsChild>
        <w:div w:id="1840197462">
          <w:marLeft w:val="0"/>
          <w:marRight w:val="0"/>
          <w:marTop w:val="0"/>
          <w:marBottom w:val="0"/>
          <w:divBdr>
            <w:top w:val="none" w:sz="0" w:space="0" w:color="auto"/>
            <w:left w:val="none" w:sz="0" w:space="0" w:color="auto"/>
            <w:bottom w:val="none" w:sz="0" w:space="0" w:color="auto"/>
            <w:right w:val="none" w:sz="0" w:space="0" w:color="auto"/>
          </w:divBdr>
        </w:div>
        <w:div w:id="470100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sa=t&amp;rct=j&amp;q=&amp;esrc=s&amp;source=web&amp;cd=1&amp;ved=2ahUKEwjAlPDR2_zjAhUcT48KHZ9IAosQFjAAegQIAhAC&amp;url=http%3A%2F%2Fwww.jkma-aceh.org%2Fperaturan%2Findex.php%3Faction%3Ddownloadfile%26filename%3DSKB%2BGub%2BAceh%252C%2BPolda%2Bdan%2BMAA%2B%2BNo%2B189-677%2BThn%2B2011%2Bttg%2BPenyelenggaraan%2BPeradilan%2BAdat%2Bdi%2BAceh.pdf%26directory%3DPERATURAN%2BBERSAMA%26PHPSESSID%3Dkei6l88i6e78urlunj7kvaa5j2&amp;usg=AOvVaw34rrI2oDhIsfWV9b0QRiFJ"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ogle.com/url?sa=t&amp;rct=j&amp;q=&amp;esrc=s&amp;source=web&amp;cd=1&amp;ved=2ahUKEwjAlPDR2_zjAhUcT48KHZ9IAosQFjAAegQIAhAC&amp;url=http%3A%2F%2Fwww.jkma-aceh.org%2Fperaturan%2Findex.php%3Faction%3Ddownloadfile%26filename%3DSKB%2BGub%2BAceh%252C%2BPolda%2Bdan%2BMAA%2B%2BNo%2B189-677%2BThn%2B2011%2Bttg%2BPenyelenggaraan%2BPeradilan%2BAdat%2Bdi%2BAceh.pdf%26directory%3DPERATURAN%2BBERSAMA%26PHPSESSID%3Dkei6l88i6e78urlunj7kvaa5j2&amp;usg=AOvVaw34rrI2oDhIsfWV9b0QRiF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google.com/url?sa=t&amp;rct=j&amp;q=&amp;esrc=s&amp;source=web&amp;cd=1&amp;ved=2ahUKEwjAlPDR2_zjAhUcT48KHZ9IAosQFjAAegQIAhAC&amp;url=http%3A%2F%2Fwww.jkma-aceh.org%2Fperaturan%2Findex.php%3Faction%3Ddownloadfile%26filename%3DSKB%2BGub%2BAceh%252C%2BPolda%2Bdan%2BMAA%2B%2BNo%2B189-677%2BThn%2B2011%2Bttg%2BPenyelenggaraan%2BPeradilan%2BAdat%2Bdi%2BAceh.pdf%26directory%3DPERATURAN%2BBERSAMA%26PHPSESSID%3Dkei6l88i6e78urlunj7kvaa5j2&amp;usg=AOvVaw34rrI2oDhIsfWV9b0QRiFJ" TargetMode="External"/><Relationship Id="rId28"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rossmark.crossref.org/dialog/?doi=10.47268/sasi.v26i3.247&amp;domain=pdf" TargetMode="External"/><Relationship Id="rId14" Type="http://schemas.openxmlformats.org/officeDocument/2006/relationships/hyperlink" Target="https://www.google.com/url?sa=t&amp;rct=j&amp;q=&amp;esrc=s&amp;source=web&amp;cd=1&amp;ved=2ahUKEwjAlPDR2_zjAhUcT48KHZ9IAosQFjAAegQIAhAC&amp;url=http%3A%2F%2Fwww.jkma-aceh.org%2Fperaturan%2Findex.php%3Faction%3Ddownloadfile%26filename%3DSKB%2BGub%2BAceh%252C%2BPolda%2Bdan%2BMAA%2B%2BNo%2B189-677%2BThn%2B2011%2Bttg%2BPenyelenggaraan%2BPeradilan%2BAdat%2Bdi%2BAceh.pdf%26directory%3DPERATURAN%2BBERSAMA%26PHPSESSID%3Dkei6l88i6e78urlunj7kvaa5j2&amp;usg=AOvVaw34rrI2oDhIsfWV9b0QRiFJ"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dx.doi.org/10.2139/ssrn.1223682"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6.png"/><Relationship Id="rId1" Type="http://schemas.openxmlformats.org/officeDocument/2006/relationships/image" Target="media/image5.jpeg"/><Relationship Id="rId5" Type="http://schemas.openxmlformats.org/officeDocument/2006/relationships/hyperlink" Target="http://creativecommons.org/licenses/by-nc/4.0/" TargetMode="External"/><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EBEED382-700E-4C37-8397-AB102327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238</TotalTime>
  <Pages>11</Pages>
  <Words>5166</Words>
  <Characters>29451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34548</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ACER</cp:lastModifiedBy>
  <cp:revision>17</cp:revision>
  <cp:lastPrinted>2022-02-09T13:22:00Z</cp:lastPrinted>
  <dcterms:created xsi:type="dcterms:W3CDTF">2022-06-04T02:59:00Z</dcterms:created>
  <dcterms:modified xsi:type="dcterms:W3CDTF">2022-12-08T08:10:00Z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f6713fc7-c890-3437-ad50-96a8466b5a4a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http://www.zotero.org/styles/modern-humanities-research-association</vt:lpwstr>
  </property>
</Properties>
</file>