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167C17">
      <w:pPr>
        <w:pStyle w:val="Heading3"/>
        <w:spacing w:before="0" w:after="0" w:line="240" w:lineRule="auto"/>
        <w:jc w:val="center"/>
        <w:rPr>
          <w:rStyle w:val="Heading1Char"/>
          <w:rFonts w:asciiTheme="majorHAnsi" w:hAnsiTheme="majorHAnsi" w:cstheme="majorHAnsi"/>
          <w:b/>
          <w:sz w:val="36"/>
          <w:lang w:val="id-ID"/>
        </w:rPr>
      </w:pPr>
      <w:bookmarkStart w:id="0" w:name="_Toc292564709"/>
      <w:bookmarkStart w:id="1" w:name="_Toc1"/>
    </w:p>
    <w:p w:rsidR="00AF20D0" w:rsidRPr="007C6A81" w:rsidRDefault="007C6A81" w:rsidP="004B1F20">
      <w:pPr>
        <w:pStyle w:val="ListParagraph"/>
        <w:spacing w:after="0" w:line="240" w:lineRule="auto"/>
        <w:ind w:left="0"/>
        <w:contextualSpacing w:val="0"/>
        <w:rPr>
          <w:rFonts w:ascii="Book Antiqua" w:hAnsi="Book Antiqua" w:cs="Calibri"/>
          <w:b/>
          <w:iCs/>
          <w:color w:val="000000" w:themeColor="text1"/>
          <w:sz w:val="32"/>
          <w:szCs w:val="32"/>
        </w:rPr>
      </w:pPr>
      <w:r w:rsidRPr="007C6A81">
        <w:rPr>
          <w:rFonts w:ascii="Book Antiqua" w:hAnsi="Book Antiqua"/>
          <w:b/>
          <w:sz w:val="32"/>
          <w:szCs w:val="32"/>
        </w:rPr>
        <w:t>Establishment Of The Law On The Seizure Of Assets Resulting From Money Laundering Based On Fair Law Enforcement In Indonesia</w:t>
      </w:r>
    </w:p>
    <w:p w:rsidR="004861E6" w:rsidRPr="007C6A81" w:rsidRDefault="004861E6" w:rsidP="004B1F20">
      <w:pPr>
        <w:pStyle w:val="ListParagraph"/>
        <w:spacing w:after="0" w:line="240" w:lineRule="auto"/>
        <w:ind w:left="0"/>
        <w:contextualSpacing w:val="0"/>
        <w:rPr>
          <w:rFonts w:ascii="Book Antiqua" w:hAnsi="Book Antiqua" w:cs="Calibri"/>
          <w:b/>
          <w:iCs/>
          <w:color w:val="000000" w:themeColor="text1"/>
          <w:sz w:val="32"/>
          <w:szCs w:val="32"/>
        </w:rPr>
      </w:pPr>
    </w:p>
    <w:p w:rsidR="004B1F20" w:rsidRPr="00E873C0" w:rsidRDefault="00687DF4"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Ariman Sitompul</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sidR="004861E6">
        <w:rPr>
          <w:rFonts w:ascii="Book Antiqua" w:hAnsi="Book Antiqua"/>
          <w:b/>
          <w:bCs/>
          <w:sz w:val="24"/>
          <w:szCs w:val="24"/>
          <w:vertAlign w:val="superscript"/>
        </w:rPr>
        <w:tab/>
      </w:r>
    </w:p>
    <w:p w:rsidR="004B1F20" w:rsidRPr="00BD6EB6" w:rsidRDefault="004B1F20" w:rsidP="004B1F20">
      <w:pPr>
        <w:spacing w:after="0" w:line="240" w:lineRule="auto"/>
        <w:rPr>
          <w:rFonts w:ascii="Book Antiqua" w:hAnsi="Book Antiqua"/>
          <w:b/>
          <w:bCs/>
          <w:szCs w:val="22"/>
          <w:lang w:val="es-CO"/>
        </w:rPr>
      </w:pPr>
    </w:p>
    <w:p w:rsidR="00C92ED4" w:rsidRPr="00912A35" w:rsidRDefault="00C92ED4" w:rsidP="004B1F20">
      <w:pPr>
        <w:spacing w:after="0" w:line="240" w:lineRule="auto"/>
        <w:rPr>
          <w:rFonts w:ascii="Book Antiqua" w:hAnsi="Book Antiqua"/>
          <w:bCs/>
          <w:sz w:val="18"/>
          <w:szCs w:val="24"/>
        </w:rPr>
      </w:pPr>
      <w:r w:rsidRPr="001D6CFF">
        <w:rPr>
          <w:bCs/>
          <w:i/>
          <w:iCs/>
          <w:noProof/>
          <w:color w:val="000000" w:themeColor="text1"/>
          <w:lang w:bidi="ar-SA"/>
        </w:rPr>
        <w:drawing>
          <wp:anchor distT="0" distB="0" distL="114300" distR="114300" simplePos="0" relativeHeight="251663360" behindDoc="1" locked="0" layoutInCell="1" allowOverlap="1" wp14:anchorId="2A0F4B87" wp14:editId="27D15156">
            <wp:simplePos x="0" y="0"/>
            <wp:positionH relativeFrom="margin">
              <wp:posOffset>5722620</wp:posOffset>
            </wp:positionH>
            <wp:positionV relativeFrom="paragraph">
              <wp:posOffset>67310</wp:posOffset>
            </wp:positionV>
            <wp:extent cx="426720" cy="445770"/>
            <wp:effectExtent l="0" t="0" r="0" b="0"/>
            <wp:wrapNone/>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r w:rsidR="00687DF4">
        <w:rPr>
          <w:rFonts w:ascii="Book Antiqua" w:hAnsi="Book Antiqua"/>
          <w:bCs/>
          <w:szCs w:val="24"/>
          <w:vertAlign w:val="superscript"/>
        </w:rPr>
        <w:t>1</w:t>
      </w:r>
      <w:r w:rsidRPr="00F14211">
        <w:rPr>
          <w:rFonts w:ascii="Book Antiqua" w:hAnsi="Book Antiqua"/>
          <w:bCs/>
          <w:szCs w:val="24"/>
          <w:vertAlign w:val="superscript"/>
        </w:rPr>
        <w:t xml:space="preserve"> </w:t>
      </w:r>
      <w:r w:rsidR="00687DF4">
        <w:rPr>
          <w:rFonts w:ascii="Book Antiqua" w:hAnsi="Book Antiqua"/>
          <w:bCs/>
          <w:szCs w:val="24"/>
        </w:rPr>
        <w:t>Magister</w:t>
      </w:r>
      <w:r w:rsidRPr="00F14211">
        <w:rPr>
          <w:rFonts w:ascii="Book Antiqua" w:hAnsi="Book Antiqua"/>
          <w:bCs/>
          <w:szCs w:val="24"/>
        </w:rPr>
        <w:t xml:space="preserve"> of Law </w:t>
      </w:r>
      <w:r>
        <w:rPr>
          <w:rFonts w:ascii="Book Antiqua" w:hAnsi="Book Antiqua"/>
          <w:bCs/>
          <w:szCs w:val="24"/>
        </w:rPr>
        <w:t>Universitas Dharmawangsa</w:t>
      </w:r>
      <w:r w:rsidRPr="00F14211">
        <w:rPr>
          <w:rFonts w:ascii="Book Antiqua" w:hAnsi="Book Antiqua"/>
          <w:bCs/>
          <w:szCs w:val="24"/>
          <w:lang w:val="id-ID"/>
        </w:rPr>
        <w:t>,</w:t>
      </w:r>
      <w:r w:rsidRPr="00F14211">
        <w:rPr>
          <w:rFonts w:ascii="Book Antiqua" w:hAnsi="Book Antiqua"/>
          <w:bCs/>
          <w:szCs w:val="24"/>
        </w:rPr>
        <w:t xml:space="preserve"> </w:t>
      </w:r>
      <w:r>
        <w:rPr>
          <w:rFonts w:ascii="Book Antiqua" w:hAnsi="Book Antiqua"/>
          <w:bCs/>
          <w:szCs w:val="24"/>
        </w:rPr>
        <w:t>Medan</w:t>
      </w:r>
      <w:r w:rsidRPr="00F14211">
        <w:rPr>
          <w:rFonts w:ascii="Book Antiqua" w:hAnsi="Book Antiqua"/>
          <w:bCs/>
          <w:szCs w:val="24"/>
        </w:rPr>
        <w:t>, Indonesia.</w:t>
      </w:r>
    </w:p>
    <w:p w:rsidR="009001C8" w:rsidRPr="00023DA6" w:rsidRDefault="004B1F20" w:rsidP="00023DA6">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242A1B2C" wp14:editId="7E613308">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C92ED4">
        <w:rPr>
          <w:rFonts w:ascii="Book Antiqua" w:hAnsi="Book Antiqua"/>
          <w:bCs/>
          <w:szCs w:val="24"/>
        </w:rPr>
        <w:t>tompul987</w:t>
      </w:r>
      <w:r w:rsidR="004861E6" w:rsidRPr="004861E6">
        <w:rPr>
          <w:rFonts w:ascii="Book Antiqua" w:hAnsi="Book Antiqua"/>
          <w:bCs/>
          <w:szCs w:val="24"/>
        </w:rPr>
        <w:t>@gmail.com</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9232AF" w:rsidRDefault="00F505F5" w:rsidP="004B1F20">
            <w:pPr>
              <w:tabs>
                <w:tab w:val="left" w:pos="330"/>
              </w:tabs>
              <w:spacing w:after="0" w:line="240" w:lineRule="auto"/>
              <w:rPr>
                <w:rFonts w:ascii="Book Antiqua" w:hAnsi="Book Antiqua"/>
                <w:b/>
                <w:bCs/>
                <w:i/>
                <w:iCs/>
                <w:color w:val="000000" w:themeColor="text1"/>
              </w:rPr>
            </w:pPr>
            <w:r w:rsidRPr="00276F68">
              <w:rPr>
                <w:rFonts w:ascii="Book Antiqua" w:hAnsi="Book Antiqua"/>
                <w:b/>
                <w:bCs/>
                <w:i/>
                <w:iCs/>
                <w:color w:val="000000" w:themeColor="text1"/>
                <w:lang w:val="id-ID"/>
              </w:rPr>
              <w:t>Keywords:</w:t>
            </w:r>
          </w:p>
          <w:p w:rsidR="00CE7D33" w:rsidRPr="009232AF" w:rsidRDefault="009232AF" w:rsidP="004B1F20">
            <w:pPr>
              <w:tabs>
                <w:tab w:val="left" w:pos="330"/>
              </w:tabs>
              <w:spacing w:after="0" w:line="240" w:lineRule="auto"/>
              <w:rPr>
                <w:rFonts w:ascii="Book Antiqua" w:hAnsi="Book Antiqua"/>
                <w:b/>
                <w:bCs/>
                <w:i/>
                <w:iCs/>
                <w:color w:val="000000" w:themeColor="text1"/>
                <w:lang w:val="id-ID"/>
              </w:rPr>
            </w:pPr>
            <w:r>
              <w:rPr>
                <w:rFonts w:ascii="Book Antiqua" w:hAnsi="Book Antiqua"/>
                <w:i/>
              </w:rPr>
              <w:t xml:space="preserve"> </w:t>
            </w:r>
            <w:r w:rsidRPr="009232AF">
              <w:rPr>
                <w:rFonts w:ascii="Book Antiqua" w:hAnsi="Book Antiqua"/>
                <w:i/>
              </w:rPr>
              <w:t>Asset seizure, money laundering, UNCAC</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F84E94" w:rsidRPr="00107893" w:rsidRDefault="00F505F5" w:rsidP="00893519">
            <w:pPr>
              <w:spacing w:after="0" w:line="240" w:lineRule="auto"/>
              <w:jc w:val="both"/>
              <w:rPr>
                <w:rFonts w:ascii="Book Antiqua" w:hAnsi="Book Antiqua"/>
                <w:i/>
              </w:rPr>
            </w:pPr>
            <w:r w:rsidRPr="00F84E94">
              <w:rPr>
                <w:rFonts w:ascii="Book Antiqua" w:hAnsi="Book Antiqua"/>
                <w:b/>
                <w:i/>
                <w:color w:val="000000" w:themeColor="text1"/>
              </w:rPr>
              <w:t>Abstracts</w:t>
            </w:r>
            <w:r w:rsidRPr="00F84E94">
              <w:rPr>
                <w:rFonts w:ascii="Book Antiqua" w:hAnsi="Book Antiqua"/>
                <w:i/>
                <w:color w:val="000000" w:themeColor="text1"/>
              </w:rPr>
              <w:t xml:space="preserve"> </w:t>
            </w:r>
            <w:r w:rsidR="00FA668A" w:rsidRPr="00F84E94">
              <w:rPr>
                <w:rFonts w:ascii="Book Antiqua" w:hAnsi="Book Antiqua"/>
                <w:i/>
                <w:color w:val="000000" w:themeColor="text1"/>
              </w:rPr>
              <w:t xml:space="preserve">: </w:t>
            </w:r>
            <w:r w:rsidR="00107893" w:rsidRPr="00107893">
              <w:rPr>
                <w:rFonts w:ascii="Book Antiqua" w:hAnsi="Book Antiqua"/>
                <w:i/>
              </w:rPr>
              <w:t>This paper intends to examine the practice of expropriation of assets resulting from money laundering based on fair law enforcement in Indonesia in the establishment of the law on expropriation of assets of money laundering in Indonesia in which there are 26 kinds of criminal origin.</w:t>
            </w:r>
          </w:p>
          <w:p w:rsidR="009028FC" w:rsidRPr="00107893" w:rsidRDefault="00461F3D" w:rsidP="00893519">
            <w:pPr>
              <w:spacing w:after="0" w:line="240" w:lineRule="auto"/>
              <w:jc w:val="both"/>
              <w:rPr>
                <w:rFonts w:ascii="Book Antiqua" w:hAnsi="Book Antiqua"/>
                <w:i/>
              </w:rPr>
            </w:pPr>
            <w:r w:rsidRPr="00F84E94">
              <w:rPr>
                <w:rFonts w:ascii="Book Antiqua" w:hAnsi="Book Antiqua"/>
                <w:b/>
                <w:i/>
                <w:color w:val="000000" w:themeColor="text1"/>
              </w:rPr>
              <w:t>Introductio</w:t>
            </w:r>
            <w:r w:rsidR="00F505F5" w:rsidRPr="00F84E94">
              <w:rPr>
                <w:rFonts w:ascii="Book Antiqua" w:hAnsi="Book Antiqua"/>
                <w:b/>
                <w:i/>
                <w:color w:val="000000" w:themeColor="text1"/>
              </w:rPr>
              <w:t>n:</w:t>
            </w:r>
            <w:r w:rsidR="00F505F5" w:rsidRPr="00687DF4">
              <w:rPr>
                <w:rFonts w:ascii="Book Antiqua" w:hAnsi="Book Antiqua"/>
                <w:b/>
                <w:i/>
                <w:color w:val="FF0000"/>
              </w:rPr>
              <w:t xml:space="preserve"> </w:t>
            </w:r>
            <w:r w:rsidR="00107893" w:rsidRPr="00107893">
              <w:rPr>
                <w:rFonts w:ascii="Book Antiqua" w:hAnsi="Book Antiqua"/>
                <w:i/>
              </w:rPr>
              <w:t>The realization of Parliament's desire to support asset seizure efforts, currently there is a discourse to regulate the seizure of assets resulting from criminal offenses in a separate law. The proposal to form a law on the expropriation of assets resulting from criminal acts is seen in the agreement to include a draft law on the expropriation of assets resulting from criminal acts in the National Legislation 2009-2014.</w:t>
            </w:r>
          </w:p>
          <w:p w:rsidR="00107893" w:rsidRPr="00107893" w:rsidRDefault="00F505F5" w:rsidP="00893519">
            <w:pPr>
              <w:spacing w:after="0" w:line="240" w:lineRule="auto"/>
              <w:jc w:val="both"/>
              <w:rPr>
                <w:rFonts w:ascii="Book Antiqua" w:hAnsi="Book Antiqua"/>
                <w:i/>
              </w:rPr>
            </w:pPr>
            <w:r w:rsidRPr="00F84E94">
              <w:rPr>
                <w:rFonts w:ascii="Book Antiqua" w:hAnsi="Book Antiqua"/>
                <w:b/>
                <w:i/>
                <w:color w:val="000000" w:themeColor="text1"/>
              </w:rPr>
              <w:t>Purposes of the Research</w:t>
            </w:r>
            <w:r w:rsidRPr="00107893">
              <w:rPr>
                <w:rFonts w:ascii="Book Antiqua" w:hAnsi="Book Antiqua"/>
                <w:bCs/>
                <w:i/>
                <w:color w:val="000000" w:themeColor="text1"/>
              </w:rPr>
              <w:t xml:space="preserve">:  </w:t>
            </w:r>
            <w:r w:rsidR="00107893" w:rsidRPr="00107893">
              <w:rPr>
                <w:rFonts w:ascii="Book Antiqua" w:hAnsi="Book Antiqua"/>
                <w:i/>
              </w:rPr>
              <w:t>The purpose of this study is to explain the paradigm that the importance of the establishment of asset seizure laws in money laundering</w:t>
            </w:r>
            <w:r w:rsidR="00107893">
              <w:rPr>
                <w:rFonts w:ascii="Book Antiqua" w:hAnsi="Book Antiqua"/>
                <w:i/>
              </w:rPr>
              <w:t>.</w:t>
            </w:r>
          </w:p>
          <w:p w:rsidR="00F505F5" w:rsidRPr="00F84E94" w:rsidRDefault="00F505F5" w:rsidP="00893519">
            <w:pPr>
              <w:spacing w:after="0" w:line="240" w:lineRule="auto"/>
              <w:jc w:val="both"/>
              <w:rPr>
                <w:rFonts w:ascii="Book Antiqua" w:hAnsi="Book Antiqua"/>
                <w:bCs/>
                <w:i/>
                <w:color w:val="000000" w:themeColor="text1"/>
              </w:rPr>
            </w:pPr>
            <w:r w:rsidRPr="00F84E94">
              <w:rPr>
                <w:rFonts w:ascii="Book Antiqua" w:hAnsi="Book Antiqua"/>
                <w:b/>
                <w:i/>
                <w:color w:val="000000" w:themeColor="text1"/>
              </w:rPr>
              <w:t>Methods of the Research</w:t>
            </w:r>
            <w:r w:rsidRPr="00F84E94">
              <w:rPr>
                <w:rFonts w:ascii="Book Antiqua" w:hAnsi="Book Antiqua"/>
                <w:b/>
                <w:bCs/>
                <w:i/>
                <w:color w:val="000000" w:themeColor="text1"/>
              </w:rPr>
              <w:t xml:space="preserve">: </w:t>
            </w:r>
            <w:r w:rsidR="00FA668A" w:rsidRPr="00F84E94">
              <w:rPr>
                <w:rFonts w:ascii="Book Antiqua" w:hAnsi="Book Antiqua"/>
                <w:bCs/>
                <w:i/>
                <w:color w:val="000000" w:themeColor="text1"/>
              </w:rPr>
              <w:t>The research method used is normative legal research with a statute legal approach and a conceptual approach</w:t>
            </w:r>
          </w:p>
          <w:p w:rsidR="00107893" w:rsidRPr="00107893" w:rsidRDefault="00F505F5" w:rsidP="00407ED0">
            <w:pPr>
              <w:spacing w:after="0" w:line="240" w:lineRule="auto"/>
              <w:jc w:val="both"/>
              <w:rPr>
                <w:rFonts w:ascii="Book Antiqua" w:hAnsi="Book Antiqua"/>
                <w:i/>
                <w:szCs w:val="22"/>
              </w:rPr>
            </w:pPr>
            <w:r w:rsidRPr="00F84E94">
              <w:rPr>
                <w:rFonts w:ascii="Book Antiqua" w:hAnsi="Book Antiqua"/>
                <w:b/>
                <w:i/>
                <w:color w:val="000000" w:themeColor="text1"/>
              </w:rPr>
              <w:t>Results / Findings / Novelty of the Research</w:t>
            </w:r>
            <w:r w:rsidRPr="00F84E94">
              <w:rPr>
                <w:rFonts w:ascii="Book Antiqua" w:hAnsi="Book Antiqua"/>
                <w:bCs/>
                <w:i/>
                <w:color w:val="000000" w:themeColor="text1"/>
              </w:rPr>
              <w:t xml:space="preserve">: </w:t>
            </w:r>
            <w:r w:rsidR="00107893" w:rsidRPr="00107893">
              <w:rPr>
                <w:rFonts w:ascii="Book Antiqua" w:hAnsi="Book Antiqua"/>
                <w:i/>
                <w:szCs w:val="22"/>
              </w:rPr>
              <w:t>The urgency of establishing a special asset seizure law for money laundering is an inadequate mechanism. Adequate mechanisms in asset seizure efforts are expected to use the mechanisms contained in the UNCAC so that asset seizure in Indonesia will run effectively</w:t>
            </w:r>
          </w:p>
          <w:p w:rsidR="00F505F5" w:rsidRPr="00407ED0" w:rsidRDefault="00F505F5" w:rsidP="00107893">
            <w:pPr>
              <w:spacing w:after="0" w:line="240" w:lineRule="auto"/>
              <w:jc w:val="both"/>
              <w:rPr>
                <w:rFonts w:ascii="Book Antiqua" w:hAnsi="Book Antiqua"/>
                <w:bCs/>
                <w:i/>
              </w:rPr>
            </w:pP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73D75">
            <w:pPr>
              <w:rPr>
                <w:rFonts w:ascii="Book Antiqua" w:hAnsi="Book Antiqua"/>
                <w:b/>
                <w:bCs/>
                <w:i/>
                <w:iCs/>
                <w:color w:val="000000"/>
                <w:lang w:val="id-ID"/>
              </w:rPr>
            </w:pPr>
          </w:p>
        </w:tc>
        <w:tc>
          <w:tcPr>
            <w:tcW w:w="338" w:type="dxa"/>
          </w:tcPr>
          <w:p w:rsidR="00F505F5" w:rsidRPr="00DB3F2B" w:rsidRDefault="00F505F5" w:rsidP="00E73D75">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73D75">
            <w:pPr>
              <w:rPr>
                <w:rFonts w:ascii="Book Antiqua" w:hAnsi="Book Antiqua"/>
                <w:b/>
                <w:bCs/>
                <w:i/>
                <w:iCs/>
                <w:color w:val="000000"/>
                <w:sz w:val="24"/>
                <w:szCs w:val="24"/>
                <w:lang w:val="id-ID"/>
              </w:rPr>
            </w:pPr>
          </w:p>
        </w:tc>
      </w:tr>
    </w:tbl>
    <w:p w:rsidR="00025250" w:rsidRPr="00025250" w:rsidRDefault="00025250" w:rsidP="00AA1A42">
      <w:pPr>
        <w:spacing w:after="120" w:line="240" w:lineRule="auto"/>
        <w:jc w:val="both"/>
        <w:rPr>
          <w:rFonts w:ascii="Book Antiqua" w:hAnsi="Book Antiqua"/>
          <w:b/>
          <w:bCs/>
          <w:i/>
          <w:iCs/>
          <w:color w:val="FFC000" w:themeColor="accent4"/>
          <w:sz w:val="24"/>
          <w:szCs w:val="24"/>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4B09E5" w:rsidRDefault="004B09E5" w:rsidP="00F205F3">
      <w:pPr>
        <w:spacing w:after="120" w:line="240" w:lineRule="auto"/>
        <w:jc w:val="both"/>
        <w:rPr>
          <w:rFonts w:ascii="Book Antiqua" w:hAnsi="Book Antiqua"/>
          <w:sz w:val="24"/>
          <w:szCs w:val="24"/>
        </w:rPr>
      </w:pPr>
      <w:r w:rsidRPr="004B09E5">
        <w:rPr>
          <w:rFonts w:ascii="Book Antiqua" w:hAnsi="Book Antiqua"/>
          <w:sz w:val="24"/>
          <w:szCs w:val="24"/>
        </w:rPr>
        <w:t>In the international world, there are legal developments that show that the confiscation and seizure of proceeds and instruments of crime become an important part of efforts to reduce crime rates.</w:t>
      </w:r>
      <w:r>
        <w:rPr>
          <w:rStyle w:val="FootnoteReference"/>
          <w:rFonts w:ascii="Book Antiqua" w:hAnsi="Book Antiqua"/>
          <w:sz w:val="24"/>
          <w:szCs w:val="24"/>
        </w:rPr>
        <w:footnoteReference w:id="1"/>
      </w:r>
      <w:r w:rsidRPr="004B09E5">
        <w:rPr>
          <w:rFonts w:ascii="Book Antiqua" w:hAnsi="Book Antiqua"/>
          <w:sz w:val="24"/>
          <w:szCs w:val="24"/>
        </w:rPr>
        <w:t xml:space="preserve"> Even the seizure of assets is regulated in a separate chapter, namely </w:t>
      </w:r>
      <w:r w:rsidRPr="004B09E5">
        <w:rPr>
          <w:rFonts w:ascii="Book Antiqua" w:hAnsi="Book Antiqua"/>
          <w:sz w:val="24"/>
          <w:szCs w:val="24"/>
        </w:rPr>
        <w:lastRenderedPageBreak/>
        <w:t>Chapter V of the United Nation Convention Against Corruption (UNCAC) as an affirmation of the importance of the seizure of criminal proceeds in the settlement of cases.</w:t>
      </w:r>
      <w:r>
        <w:rPr>
          <w:rStyle w:val="FootnoteReference"/>
          <w:rFonts w:ascii="Book Antiqua" w:hAnsi="Book Antiqua"/>
          <w:sz w:val="24"/>
          <w:szCs w:val="24"/>
        </w:rPr>
        <w:footnoteReference w:id="2"/>
      </w:r>
    </w:p>
    <w:p w:rsidR="0096325B" w:rsidRDefault="004B09E5" w:rsidP="00F205F3">
      <w:pPr>
        <w:spacing w:after="120" w:line="240" w:lineRule="auto"/>
        <w:jc w:val="both"/>
        <w:rPr>
          <w:rFonts w:ascii="Book Antiqua" w:hAnsi="Book Antiqua"/>
          <w:sz w:val="24"/>
          <w:szCs w:val="24"/>
        </w:rPr>
      </w:pPr>
      <w:r w:rsidRPr="004B09E5">
        <w:rPr>
          <w:rFonts w:ascii="Book Antiqua" w:hAnsi="Book Antiqua"/>
          <w:sz w:val="24"/>
          <w:szCs w:val="24"/>
        </w:rPr>
        <w:t>Indonesia has ratified UNCAC through Law No. 7 of 2006 on the ratification of the UN Convention Against Corruption. With the ratification, Indonesia is a state party of UNCAC. Indonesia should have the same legal standing in carrying out the necessary actions to seize assets obtained illegally and rushed abroad. In addition to UNCAC, many other UN conventions also contain provisions regarding the seizure of assets resulting from criminal acts. These include the United Nations Convention Against Illicit Traffic in Narcotic Drugs and Phychotropic substances (1988), the United Nations Convention on Transnational Organized Crime (UNTOC) (2002), and various provisions of the United Nations Counter Terrorism Convention.</w:t>
      </w:r>
    </w:p>
    <w:p w:rsidR="004B09E5" w:rsidRDefault="004B09E5" w:rsidP="00F205F3">
      <w:pPr>
        <w:spacing w:after="120" w:line="240" w:lineRule="auto"/>
        <w:jc w:val="both"/>
        <w:rPr>
          <w:rFonts w:ascii="Book Antiqua" w:hAnsi="Book Antiqua"/>
          <w:sz w:val="24"/>
          <w:szCs w:val="24"/>
        </w:rPr>
      </w:pPr>
      <w:r w:rsidRPr="004B09E5">
        <w:rPr>
          <w:rFonts w:ascii="Book Antiqua" w:hAnsi="Book Antiqua"/>
          <w:sz w:val="24"/>
          <w:szCs w:val="24"/>
        </w:rPr>
        <w:t>Attempts to seize assets in a country certainly require the political will of the state from Parliament, government, and the judiciary.3 the political will of Parliament is related to the desire of Parliament to prepare a legal instrument in an effort to seize assets from the beginning until assets derived from criminal acts can be returned to the right party. The legal rules in question are related to asset tracking, asset management, asset delivery to the utilization and supervision of assets that have been handed over. In addition, it is also necessary to prepare legal instruments related to the relationship of mutual cooperation between countries. This political will can be realized through laws that specifically regulate the seizure of assets resulting from criminal acts in the legal system in Indonesia.</w:t>
      </w:r>
      <w:r w:rsidR="00411449">
        <w:rPr>
          <w:rStyle w:val="FootnoteReference"/>
          <w:rFonts w:ascii="Book Antiqua" w:hAnsi="Book Antiqua"/>
          <w:sz w:val="24"/>
          <w:szCs w:val="24"/>
        </w:rPr>
        <w:footnoteReference w:id="3"/>
      </w:r>
    </w:p>
    <w:p w:rsidR="00481C7D" w:rsidRDefault="004B09E5" w:rsidP="00F205F3">
      <w:pPr>
        <w:spacing w:after="120" w:line="240" w:lineRule="auto"/>
        <w:jc w:val="both"/>
        <w:rPr>
          <w:rFonts w:ascii="Bookman Old Style" w:hAnsi="Bookman Old Style"/>
          <w:sz w:val="24"/>
          <w:szCs w:val="24"/>
        </w:rPr>
      </w:pPr>
      <w:r w:rsidRPr="004B09E5">
        <w:rPr>
          <w:rFonts w:ascii="Book Antiqua" w:hAnsi="Book Antiqua"/>
          <w:sz w:val="24"/>
          <w:szCs w:val="24"/>
        </w:rPr>
        <w:t>The realization of the desire of Parliament to support efforts to seize assets, currently emerging discourse to regulate the seizure of assets resulting from criminal acts in a separate law. The proposal to form a law on the expropriation of assets resulting from criminal acts is seen in the agreement to include a draft law on the expropriation of assets resulting from criminal acts in the National Legislation 2009-2014. In the span of 5 years, although it has been included in the prolegnas, the draft law on asset expropriation was not also discussed even though the draft law was submitted in 2012</w:t>
      </w:r>
      <w:r w:rsidRPr="004B09E5">
        <w:rPr>
          <w:rFonts w:ascii="Bookman Old Style" w:hAnsi="Bookman Old Style"/>
          <w:sz w:val="24"/>
          <w:szCs w:val="24"/>
        </w:rPr>
        <w:t>.</w:t>
      </w:r>
    </w:p>
    <w:p w:rsidR="00AA1073" w:rsidRDefault="00481C7D" w:rsidP="00F205F3">
      <w:pPr>
        <w:spacing w:after="120" w:line="240" w:lineRule="auto"/>
        <w:jc w:val="both"/>
        <w:rPr>
          <w:rFonts w:ascii="Book Antiqua" w:hAnsi="Book Antiqua"/>
          <w:sz w:val="24"/>
          <w:szCs w:val="24"/>
        </w:rPr>
      </w:pPr>
      <w:r w:rsidRPr="00481C7D">
        <w:rPr>
          <w:rFonts w:ascii="Book Antiqua" w:hAnsi="Book Antiqua"/>
          <w:sz w:val="24"/>
          <w:szCs w:val="24"/>
        </w:rPr>
        <w:t>Prolegnas for the period 2014-2019 also lists the asset Expropriation Bill as one of the Bills on the long list to be discussed. In the draft law, there is a new paradigm related to the mechanism of asset seizure resulting from criminal acts which refers to several international conventions, especially UNCAC which uses the mechanism of asset seizure without conviction.4 this, of course, is different from the provisions for the seizure and seizure of assets resulting from criminal acts practiced in Indonesia so far. Because so far, asset seizure in the Indonesian legal system can be carried out after the enforcement process has obtained a Permanent Court decision.</w:t>
      </w:r>
    </w:p>
    <w:p w:rsidR="00AA1073" w:rsidRPr="00AA1073" w:rsidRDefault="00AA1073" w:rsidP="00F205F3">
      <w:pPr>
        <w:spacing w:after="120" w:line="240" w:lineRule="auto"/>
        <w:jc w:val="both"/>
        <w:rPr>
          <w:rFonts w:ascii="Book Antiqua" w:hAnsi="Book Antiqua"/>
          <w:sz w:val="24"/>
          <w:szCs w:val="24"/>
        </w:rPr>
      </w:pPr>
      <w:r w:rsidRPr="00AA1073">
        <w:rPr>
          <w:rFonts w:ascii="Book Antiqua" w:hAnsi="Book Antiqua"/>
          <w:sz w:val="24"/>
          <w:szCs w:val="24"/>
        </w:rPr>
        <w:t xml:space="preserve">Chairman of the Committee on money laundering, Coordinating Minister for Political, Legal and legal Mahfud MD, in a public hearing (RDPU) with Commission III of the DPR related to the Rp349 trillion awkward transaction at the Ministry of Finance. It turns out that in the public hearing, members of Commission III Arteria Dahlan mentioned that </w:t>
      </w:r>
      <w:r w:rsidRPr="00AA1073">
        <w:rPr>
          <w:rFonts w:ascii="Book Antiqua" w:hAnsi="Book Antiqua"/>
          <w:sz w:val="24"/>
          <w:szCs w:val="24"/>
        </w:rPr>
        <w:lastRenderedPageBreak/>
        <w:t>people who divulge the secret of the findings of money laundering can be sentenced to prison which is another form of resisting asset seizure</w:t>
      </w:r>
      <w:r>
        <w:rPr>
          <w:rFonts w:ascii="Book Antiqua" w:hAnsi="Book Antiqua"/>
          <w:sz w:val="24"/>
          <w:szCs w:val="24"/>
        </w:rPr>
        <w:t>.</w:t>
      </w:r>
      <w:r>
        <w:rPr>
          <w:rStyle w:val="FootnoteReference"/>
          <w:rFonts w:ascii="Book Antiqua" w:hAnsi="Book Antiqua"/>
          <w:sz w:val="24"/>
          <w:szCs w:val="24"/>
        </w:rPr>
        <w:footnoteReference w:id="4"/>
      </w:r>
    </w:p>
    <w:p w:rsidR="00481C7D" w:rsidRDefault="00481C7D" w:rsidP="00481C7D">
      <w:pPr>
        <w:spacing w:after="120" w:line="240" w:lineRule="auto"/>
        <w:jc w:val="both"/>
        <w:rPr>
          <w:rFonts w:ascii="Book Antiqua" w:hAnsi="Book Antiqua"/>
          <w:sz w:val="24"/>
          <w:szCs w:val="24"/>
        </w:rPr>
      </w:pPr>
      <w:r w:rsidRPr="00481C7D">
        <w:rPr>
          <w:rFonts w:ascii="Book Antiqua" w:hAnsi="Book Antiqua"/>
          <w:sz w:val="24"/>
          <w:szCs w:val="24"/>
        </w:rPr>
        <w:t>The need for a draft law on asset seizure, based on the fact that law enforcement efforts, especially money laundering, are based on the original criminal acts contained in law No. 8 in 2010 which also did not produce significant results to the state treasury. In addition, Romli also stated that the applicable law in Indonesia is currently not able to optimally regulate and accommodate activities in order to return assets resulting from corruption and crime in the field of Finance and banking in general.</w:t>
      </w:r>
      <w:r w:rsidR="007A0995">
        <w:rPr>
          <w:rStyle w:val="FootnoteReference"/>
          <w:rFonts w:ascii="Book Antiqua" w:hAnsi="Book Antiqua"/>
          <w:sz w:val="24"/>
          <w:szCs w:val="24"/>
        </w:rPr>
        <w:footnoteReference w:id="5"/>
      </w:r>
    </w:p>
    <w:p w:rsidR="00481C7D" w:rsidRPr="00481C7D" w:rsidRDefault="00481C7D" w:rsidP="00481C7D">
      <w:pPr>
        <w:spacing w:after="120" w:line="240" w:lineRule="auto"/>
        <w:jc w:val="both"/>
        <w:rPr>
          <w:rFonts w:ascii="Book Antiqua" w:hAnsi="Book Antiqua"/>
          <w:sz w:val="24"/>
          <w:szCs w:val="24"/>
        </w:rPr>
      </w:pPr>
      <w:r w:rsidRPr="00481C7D">
        <w:rPr>
          <w:rFonts w:ascii="Book Antiqua" w:eastAsia="Times New Roman" w:hAnsi="Book Antiqua"/>
          <w:sz w:val="24"/>
          <w:szCs w:val="24"/>
          <w:lang w:bidi="ar-SA"/>
        </w:rPr>
        <w:t>The asset forfeiture bill needs to be passed because it is strategic enough to eradicate money laundering in Indonesia. In addition, the draft law on the seizure of assets is also useful for the recovery of losses incurred from criminal acts committed by the perpetrator. Furthermore, Mudzakkir also emphasized that the draft law on asset seizure must be prepared proportionally and still prioritize the element of Justice</w:t>
      </w:r>
      <w:r>
        <w:rPr>
          <w:rFonts w:ascii="Book Antiqua" w:eastAsia="Times New Roman" w:hAnsi="Book Antiqua"/>
          <w:sz w:val="24"/>
          <w:szCs w:val="24"/>
          <w:lang w:bidi="ar-SA"/>
        </w:rPr>
        <w:t>.</w:t>
      </w:r>
    </w:p>
    <w:p w:rsidR="00481C7D" w:rsidRPr="00596858" w:rsidRDefault="00596858" w:rsidP="00481C7D">
      <w:pPr>
        <w:spacing w:after="120" w:line="240" w:lineRule="auto"/>
        <w:jc w:val="both"/>
        <w:rPr>
          <w:rFonts w:ascii="Book Antiqua" w:hAnsi="Book Antiqua"/>
          <w:sz w:val="24"/>
          <w:szCs w:val="24"/>
        </w:rPr>
      </w:pPr>
      <w:r w:rsidRPr="00596858">
        <w:rPr>
          <w:rFonts w:ascii="Book Antiqua" w:hAnsi="Book Antiqua"/>
          <w:sz w:val="24"/>
          <w:szCs w:val="24"/>
        </w:rPr>
        <w:t>From the description above, the author is interested in studying money laundering laws related to the establishment of asset seizure laws originating from criminal acts as stated in law no. 8 of 2010.</w:t>
      </w: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BF2E20" w:rsidRPr="00A73C61" w:rsidRDefault="00611148" w:rsidP="00B34288">
      <w:pPr>
        <w:spacing w:after="0" w:line="240" w:lineRule="auto"/>
        <w:jc w:val="both"/>
        <w:rPr>
          <w:rFonts w:ascii="Book Antiqua" w:eastAsia="Times New Roman" w:hAnsi="Book Antiqua"/>
          <w:sz w:val="24"/>
          <w:szCs w:val="24"/>
          <w:lang w:bidi="ar-SA"/>
        </w:rPr>
      </w:pPr>
      <w:r w:rsidRPr="00611148">
        <w:rPr>
          <w:rFonts w:ascii="Book Antiqua" w:eastAsia="Times New Roman" w:hAnsi="Book Antiqua"/>
          <w:sz w:val="24"/>
          <w:szCs w:val="24"/>
          <w:lang w:bidi="ar-SA"/>
        </w:rPr>
        <w:t>This study is a normative legal research. Normative legal research is research law that lays down the law as a building system of norms in conducting research. The system of norms in question are the principles, norms, rules of legislation, decis</w:t>
      </w:r>
      <w:r>
        <w:rPr>
          <w:rFonts w:ascii="Book Antiqua" w:eastAsia="Times New Roman" w:hAnsi="Book Antiqua"/>
          <w:sz w:val="24"/>
          <w:szCs w:val="24"/>
          <w:lang w:bidi="ar-SA"/>
        </w:rPr>
        <w:t>ions judgment, and doctrine.</w:t>
      </w:r>
      <w:r>
        <w:rPr>
          <w:rStyle w:val="FootnoteReference"/>
          <w:rFonts w:ascii="Book Antiqua" w:eastAsia="Times New Roman" w:hAnsi="Book Antiqua"/>
          <w:sz w:val="24"/>
          <w:szCs w:val="24"/>
          <w:lang w:bidi="ar-SA"/>
        </w:rPr>
        <w:footnoteReference w:id="6"/>
      </w:r>
      <w:r>
        <w:rPr>
          <w:rFonts w:ascii="Book Antiqua" w:eastAsia="Times New Roman" w:hAnsi="Book Antiqua"/>
          <w:sz w:val="24"/>
          <w:szCs w:val="24"/>
          <w:lang w:bidi="ar-SA"/>
        </w:rPr>
        <w:t>The</w:t>
      </w:r>
      <w:r w:rsidRPr="00611148">
        <w:rPr>
          <w:rFonts w:ascii="Book Antiqua" w:eastAsia="Times New Roman" w:hAnsi="Book Antiqua"/>
          <w:sz w:val="24"/>
          <w:szCs w:val="24"/>
          <w:lang w:bidi="ar-SA"/>
        </w:rPr>
        <w:t xml:space="preserve"> legal materials used in this study consist of primary legal materials, secondary legal materials, and tertiary legal materials. Primary legal material consists of legislation, jurisprudence or court decisions</w:t>
      </w:r>
      <w:r w:rsidR="0013451D">
        <w:rPr>
          <w:rFonts w:ascii="Book Antiqua" w:eastAsia="Times New Roman" w:hAnsi="Book Antiqua"/>
          <w:sz w:val="24"/>
          <w:szCs w:val="24"/>
          <w:lang w:bidi="ar-SA"/>
        </w:rPr>
        <w:t>, and international treaties.</w:t>
      </w:r>
      <w:r w:rsidRPr="00611148">
        <w:rPr>
          <w:rFonts w:ascii="Book Antiqua" w:eastAsia="Times New Roman" w:hAnsi="Book Antiqua"/>
          <w:sz w:val="24"/>
          <w:szCs w:val="24"/>
          <w:lang w:bidi="ar-SA"/>
        </w:rPr>
        <w:t>Primary legal material in this study is the Law No. 8 of 2010 on prevention and the eradication of money laundering. Secondary legal material is legal material can provide an explanation of the primary legal mate</w:t>
      </w:r>
      <w:r w:rsidR="0013451D">
        <w:rPr>
          <w:rFonts w:ascii="Book Antiqua" w:eastAsia="Times New Roman" w:hAnsi="Book Antiqua"/>
          <w:sz w:val="24"/>
          <w:szCs w:val="24"/>
          <w:lang w:bidi="ar-SA"/>
        </w:rPr>
        <w:t>rial.</w:t>
      </w:r>
      <w:r w:rsidR="0013451D">
        <w:rPr>
          <w:rStyle w:val="FootnoteReference"/>
          <w:rFonts w:ascii="Book Antiqua" w:eastAsia="Times New Roman" w:hAnsi="Book Antiqua"/>
          <w:sz w:val="24"/>
          <w:szCs w:val="24"/>
          <w:lang w:bidi="ar-SA"/>
        </w:rPr>
        <w:footnoteReference w:id="7"/>
      </w:r>
      <w:r w:rsidRPr="00611148">
        <w:rPr>
          <w:rFonts w:ascii="Book Antiqua" w:eastAsia="Times New Roman" w:hAnsi="Book Antiqua"/>
          <w:sz w:val="24"/>
          <w:szCs w:val="24"/>
          <w:lang w:bidi="ar-SA"/>
        </w:rPr>
        <w:t xml:space="preserve"> </w:t>
      </w:r>
      <w:r w:rsidR="00E10B70">
        <w:rPr>
          <w:rFonts w:ascii="Book Antiqua" w:eastAsia="Times New Roman" w:hAnsi="Book Antiqua"/>
          <w:sz w:val="24"/>
          <w:szCs w:val="24"/>
          <w:lang w:bidi="ar-SA"/>
        </w:rPr>
        <w:t>S</w:t>
      </w:r>
      <w:r w:rsidRPr="00611148">
        <w:rPr>
          <w:rFonts w:ascii="Book Antiqua" w:eastAsia="Times New Roman" w:hAnsi="Book Antiqua"/>
          <w:sz w:val="24"/>
          <w:szCs w:val="24"/>
          <w:lang w:bidi="ar-SA"/>
        </w:rPr>
        <w:t xml:space="preserve">econdary legal material consists of books- books, research journals, scientific articles and news from electronic and internet media related with this research topic. Tertiary legal material is legal material that can explain the material primary </w:t>
      </w:r>
      <w:r w:rsidR="0013451D">
        <w:rPr>
          <w:rFonts w:ascii="Book Antiqua" w:eastAsia="Times New Roman" w:hAnsi="Book Antiqua"/>
          <w:sz w:val="24"/>
          <w:szCs w:val="24"/>
          <w:lang w:bidi="ar-SA"/>
        </w:rPr>
        <w:t>law and secondary law.</w:t>
      </w:r>
      <w:r w:rsidRPr="00611148">
        <w:rPr>
          <w:rFonts w:ascii="Book Antiqua" w:eastAsia="Times New Roman" w:hAnsi="Book Antiqua"/>
          <w:sz w:val="24"/>
          <w:szCs w:val="24"/>
          <w:lang w:bidi="ar-SA"/>
        </w:rPr>
        <w:t xml:space="preserve"> </w:t>
      </w:r>
      <w:r w:rsidR="00E10B70">
        <w:rPr>
          <w:rFonts w:ascii="Book Antiqua" w:eastAsia="Times New Roman" w:hAnsi="Book Antiqua"/>
          <w:sz w:val="24"/>
          <w:szCs w:val="24"/>
          <w:lang w:bidi="ar-SA"/>
        </w:rPr>
        <w:t>T</w:t>
      </w:r>
      <w:r w:rsidRPr="00611148">
        <w:rPr>
          <w:rFonts w:ascii="Book Antiqua" w:eastAsia="Times New Roman" w:hAnsi="Book Antiqua"/>
          <w:sz w:val="24"/>
          <w:szCs w:val="24"/>
          <w:lang w:bidi="ar-SA"/>
        </w:rPr>
        <w:t>ertiary law material consists of Law Dictionary, dictionary large Indonesian, and English dictionaries. This study uses the approach of legislation- approach) and conceptual approach. Legal approach- invitation (statue approach) is done by examining the rule of law (as the initial basis for doing analysis) which underlies the criminal sanctions for money laundering, and the concept approach (conceptual approach) is done by using the theory of economic analysis of law as a knife analysis to the issues / topics discussed in this study.</w:t>
      </w:r>
      <w:r w:rsidR="00E10B70">
        <w:rPr>
          <w:rStyle w:val="FootnoteReference"/>
          <w:rFonts w:ascii="Book Antiqua" w:eastAsia="Times New Roman" w:hAnsi="Book Antiqua"/>
          <w:sz w:val="24"/>
          <w:szCs w:val="24"/>
          <w:lang w:bidi="ar-SA"/>
        </w:rPr>
        <w:footnoteReference w:id="8"/>
      </w:r>
      <w:r w:rsidRPr="00611148">
        <w:rPr>
          <w:rFonts w:ascii="Book Antiqua" w:eastAsia="Times New Roman" w:hAnsi="Book Antiqua"/>
          <w:sz w:val="24"/>
          <w:szCs w:val="24"/>
          <w:lang w:bidi="ar-SA"/>
        </w:rPr>
        <w:t xml:space="preserve"> </w:t>
      </w:r>
      <w:r w:rsidR="00E10B70">
        <w:rPr>
          <w:rFonts w:ascii="Book Antiqua" w:eastAsia="Times New Roman" w:hAnsi="Book Antiqua"/>
          <w:sz w:val="24"/>
          <w:szCs w:val="24"/>
          <w:lang w:bidi="ar-SA"/>
        </w:rPr>
        <w:t>C</w:t>
      </w:r>
      <w:r w:rsidRPr="00611148">
        <w:rPr>
          <w:rFonts w:ascii="Book Antiqua" w:eastAsia="Times New Roman" w:hAnsi="Book Antiqua"/>
          <w:sz w:val="24"/>
          <w:szCs w:val="24"/>
          <w:lang w:bidi="ar-SA"/>
        </w:rPr>
        <w:t xml:space="preserve">ollection is done by study library </w:t>
      </w:r>
      <w:r w:rsidRPr="00611148">
        <w:rPr>
          <w:rFonts w:ascii="Book Antiqua" w:eastAsia="Times New Roman" w:hAnsi="Book Antiqua"/>
          <w:sz w:val="24"/>
          <w:szCs w:val="24"/>
          <w:lang w:bidi="ar-SA"/>
        </w:rPr>
        <w:lastRenderedPageBreak/>
        <w:t>(library research) by conducting searches and reviews of legal materials primary, secondary legal materials, and tertiary legal materials, then the data are analyzed qualitative and descriptive in order to provide an explanation or a clear pictur</w:t>
      </w:r>
      <w:r w:rsidR="00A73C61">
        <w:rPr>
          <w:rFonts w:ascii="Book Antiqua" w:eastAsia="Times New Roman" w:hAnsi="Book Antiqua"/>
          <w:sz w:val="24"/>
          <w:szCs w:val="24"/>
          <w:lang w:bidi="ar-SA"/>
        </w:rPr>
        <w:t>e of analysis results obtained.</w:t>
      </w:r>
    </w:p>
    <w:p w:rsidR="00AF20D0" w:rsidRPr="00B63277" w:rsidRDefault="00AF20D0"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CC197B" w:rsidRPr="0013451D" w:rsidRDefault="0013451D" w:rsidP="00CC197B">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13451D">
        <w:rPr>
          <w:rFonts w:ascii="Book Antiqua" w:hAnsi="Book Antiqua"/>
          <w:b/>
          <w:sz w:val="24"/>
          <w:szCs w:val="24"/>
        </w:rPr>
        <w:t>Seizure Of Assets In Criminal Law</w:t>
      </w:r>
    </w:p>
    <w:p w:rsidR="0013451D" w:rsidRPr="0013451D" w:rsidRDefault="0013451D" w:rsidP="00CC197B">
      <w:pPr>
        <w:spacing w:after="120" w:line="240" w:lineRule="auto"/>
        <w:jc w:val="both"/>
        <w:rPr>
          <w:rFonts w:ascii="Book Antiqua" w:hAnsi="Book Antiqua"/>
          <w:sz w:val="24"/>
          <w:szCs w:val="24"/>
        </w:rPr>
      </w:pPr>
      <w:r w:rsidRPr="0013451D">
        <w:rPr>
          <w:rFonts w:ascii="Book Antiqua" w:hAnsi="Book Antiqua"/>
          <w:sz w:val="24"/>
          <w:szCs w:val="24"/>
        </w:rPr>
        <w:t>In the criminal law system in Indonesia, the Criminal Procedure Code uses the word “object” as the equivalent of an asset. This is stated in Article 39 of the foreclosure. In these provisions, it is explained that confiscation is a series of actions of the investigator to take over and or keep under his control movable or immovable, tangible or intangible objects for the purpose of evidence in the investigation, prosecution and Justice.</w:t>
      </w:r>
      <w:r w:rsidR="00C707B8">
        <w:rPr>
          <w:rStyle w:val="FootnoteReference"/>
          <w:rFonts w:ascii="Book Antiqua" w:hAnsi="Book Antiqua"/>
          <w:sz w:val="24"/>
          <w:szCs w:val="24"/>
        </w:rPr>
        <w:footnoteReference w:id="9"/>
      </w:r>
    </w:p>
    <w:p w:rsidR="0013451D" w:rsidRDefault="0013451D" w:rsidP="00CC197B">
      <w:pPr>
        <w:spacing w:after="120" w:line="240" w:lineRule="auto"/>
        <w:jc w:val="both"/>
        <w:rPr>
          <w:rFonts w:ascii="Book Antiqua" w:hAnsi="Book Antiqua"/>
          <w:sz w:val="24"/>
          <w:szCs w:val="24"/>
        </w:rPr>
      </w:pPr>
      <w:r w:rsidRPr="0013451D">
        <w:rPr>
          <w:rFonts w:ascii="Book Antiqua" w:hAnsi="Book Antiqua"/>
          <w:sz w:val="24"/>
          <w:szCs w:val="24"/>
        </w:rPr>
        <w:t>In the Criminal Code Bill, the word asset is also not clearly explained either in form or meaning. The word asset is only matched with the word “goods”, which is included in Article 165 of the Criminal Code Bill.Under the article, it is stated that “goods” mean tangible objects including water and giral money, and intangible objects including electricity, gas, data and computer programs, services including telephone services, telecommunications services, or computerized services.</w:t>
      </w:r>
    </w:p>
    <w:p w:rsidR="0013451D" w:rsidRPr="0013451D" w:rsidRDefault="0013451D" w:rsidP="00CC197B">
      <w:pPr>
        <w:spacing w:after="120" w:line="240" w:lineRule="auto"/>
        <w:jc w:val="both"/>
        <w:rPr>
          <w:rFonts w:ascii="Book Antiqua" w:hAnsi="Book Antiqua"/>
          <w:sz w:val="24"/>
          <w:szCs w:val="24"/>
        </w:rPr>
      </w:pPr>
      <w:r w:rsidRPr="0013451D">
        <w:rPr>
          <w:rFonts w:ascii="Book Antiqua" w:hAnsi="Book Antiqua"/>
          <w:sz w:val="24"/>
          <w:szCs w:val="24"/>
        </w:rPr>
        <w:t>The act of expropriation of assets in the legal system in Indonesia, contained in Article 10 (b) of the Criminal Code, as one form of additional criminal. Based on these provisions, the seizure is carried out on the basis of a court decision or determination from a judge, against certain goods. The expropriation is carried out limitatively in accordance with the provisions of the criminal code, that is, the goods owned by the convict obtained from the crime or intentionally used in committing the crime.10 the confiscation can be replaced by imprisonment if the confiscated goods are handed back to the convict, the duration of the imprisonment is at least 1 day and a maximum of 6 months.</w:t>
      </w:r>
    </w:p>
    <w:p w:rsidR="00CC197B" w:rsidRDefault="0013451D" w:rsidP="00CC197B">
      <w:pPr>
        <w:spacing w:after="120" w:line="240" w:lineRule="auto"/>
        <w:jc w:val="both"/>
        <w:rPr>
          <w:rFonts w:ascii="Book Antiqua" w:hAnsi="Book Antiqua"/>
          <w:sz w:val="24"/>
          <w:szCs w:val="24"/>
        </w:rPr>
      </w:pPr>
      <w:r w:rsidRPr="0013451D">
        <w:rPr>
          <w:rFonts w:ascii="Book Antiqua" w:hAnsi="Book Antiqua"/>
          <w:sz w:val="24"/>
          <w:szCs w:val="24"/>
        </w:rPr>
        <w:t>In principle, internationally there are 2 types of deprivation.</w:t>
      </w:r>
      <w:r>
        <w:rPr>
          <w:rStyle w:val="FootnoteReference"/>
          <w:rFonts w:ascii="Book Antiqua" w:hAnsi="Book Antiqua"/>
          <w:sz w:val="24"/>
          <w:szCs w:val="24"/>
        </w:rPr>
        <w:footnoteReference w:id="10"/>
      </w:r>
      <w:r w:rsidRPr="0013451D">
        <w:rPr>
          <w:rFonts w:ascii="Book Antiqua" w:hAnsi="Book Antiqua"/>
          <w:sz w:val="24"/>
          <w:szCs w:val="24"/>
        </w:rPr>
        <w:t xml:space="preserve"> The types of deprivation in question are the mechanism of deprivation in Personam and the mechanism of deprivation in Rem. Deprivation In personam (criminal deprivation), is an action directed at a person personally (individually). The act is part of a criminal sanction so that it can be carried out on the basis of a criminal justice decision. The prosecutor in this case must prove that the assets to be seized are the result or means of a criminal offense. In addition, the application for seizure of assets must be filed simultaneously with the prosecution file by the public prosecutor.</w:t>
      </w:r>
      <w:r w:rsidR="00A73C61">
        <w:rPr>
          <w:rStyle w:val="FootnoteReference"/>
          <w:rFonts w:ascii="Book Antiqua" w:hAnsi="Book Antiqua"/>
          <w:sz w:val="24"/>
          <w:szCs w:val="24"/>
        </w:rPr>
        <w:footnoteReference w:id="11"/>
      </w:r>
    </w:p>
    <w:p w:rsidR="0013451D" w:rsidRDefault="0013451D" w:rsidP="00CC197B">
      <w:pPr>
        <w:spacing w:after="120" w:line="240" w:lineRule="auto"/>
        <w:jc w:val="both"/>
        <w:rPr>
          <w:rFonts w:ascii="Book Antiqua" w:hAnsi="Book Antiqua"/>
          <w:sz w:val="24"/>
          <w:szCs w:val="24"/>
        </w:rPr>
      </w:pPr>
      <w:r w:rsidRPr="0013451D">
        <w:rPr>
          <w:rFonts w:ascii="Book Antiqua" w:hAnsi="Book Antiqua"/>
          <w:sz w:val="24"/>
          <w:szCs w:val="24"/>
        </w:rPr>
        <w:t xml:space="preserve">The second type of asset seizure is the mechanism of seizure in rem. There are various terms for the mechanism of seizure in rem, namely civil forfeiture, civil forfeiture, Non-Conviction Based (NCB) Asset Forfeiture. The essence of asset seizure using the In rem mechanism is a lawsuit against assets not against people. This mechanism is a separate </w:t>
      </w:r>
      <w:r w:rsidRPr="0013451D">
        <w:rPr>
          <w:rFonts w:ascii="Book Antiqua" w:hAnsi="Book Antiqua"/>
          <w:sz w:val="24"/>
          <w:szCs w:val="24"/>
        </w:rPr>
        <w:lastRenderedPageBreak/>
        <w:t>action from the criminal justice process and requires evidence that a property has been tainted by a criminal offense.</w:t>
      </w:r>
      <w:r>
        <w:rPr>
          <w:rStyle w:val="FootnoteReference"/>
          <w:rFonts w:ascii="Book Antiqua" w:hAnsi="Book Antiqua"/>
          <w:sz w:val="24"/>
          <w:szCs w:val="24"/>
        </w:rPr>
        <w:footnoteReference w:id="12"/>
      </w:r>
    </w:p>
    <w:p w:rsidR="00DB1B7D" w:rsidRDefault="00DB1B7D" w:rsidP="00CC197B">
      <w:pPr>
        <w:spacing w:after="120" w:line="240" w:lineRule="auto"/>
        <w:jc w:val="both"/>
        <w:rPr>
          <w:rFonts w:ascii="Book Antiqua" w:hAnsi="Book Antiqua" w:cs="Tahoma"/>
          <w:sz w:val="24"/>
          <w:szCs w:val="24"/>
        </w:rPr>
      </w:pPr>
      <w:r w:rsidRPr="00DB1B7D">
        <w:rPr>
          <w:rFonts w:ascii="Book Antiqua" w:hAnsi="Book Antiqua" w:cs="Tahoma"/>
          <w:sz w:val="24"/>
          <w:szCs w:val="24"/>
        </w:rPr>
        <w:t>In general, a criminal offense should be established on the balance of probabilities of the standard of proof. This eases the burden on the government to act. In addition, it is still possible to impose a fine if it is considered that there is sufficient evidence to support that a criminal offense has occurred. Since the lawsuit is not aimed at natural persons but rather at individuals, the owner of the property is a third party who has the right to defend the property that will be seized by the state because it is believed to be the result or tool in a criminal offense</w:t>
      </w:r>
      <w:r>
        <w:rPr>
          <w:rFonts w:ascii="Book Antiqua" w:hAnsi="Book Antiqua" w:cs="Tahoma"/>
          <w:sz w:val="24"/>
          <w:szCs w:val="24"/>
        </w:rPr>
        <w:t>.</w:t>
      </w:r>
    </w:p>
    <w:p w:rsidR="0013451D" w:rsidRPr="00DB1B7D" w:rsidRDefault="00DB1B7D" w:rsidP="00CC197B">
      <w:pPr>
        <w:spacing w:after="120" w:line="240" w:lineRule="auto"/>
        <w:jc w:val="both"/>
        <w:rPr>
          <w:rFonts w:ascii="Book Antiqua" w:hAnsi="Book Antiqua" w:cs="Tahoma"/>
          <w:sz w:val="24"/>
          <w:szCs w:val="24"/>
        </w:rPr>
      </w:pPr>
      <w:r w:rsidRPr="00DB1B7D">
        <w:rPr>
          <w:rFonts w:ascii="Book Antiqua" w:hAnsi="Book Antiqua"/>
          <w:sz w:val="24"/>
          <w:szCs w:val="24"/>
        </w:rPr>
        <w:t>Between the two types of deprivation, as mentioned above, there is a common goal, which is the deprivation of the results and means in criminal acts by the state. In addition, the two mechanisms have 2 things in common, namely that the perpetrators of violations of the law should not be allowed to profit from their crimes. The proceeds from the crime they must be seized and used for compensation to the victim, in this case both the state as a victim of the crime, and the individual. In addition, another similarity between the two mechanisms of asset seizure is that the seizure of assets or proceeds of crime can have a deterrent effect on offenders. With the seizure of assets, it will be a preventive measure so that the assets are not used for further criminal purposes.</w:t>
      </w:r>
      <w:r>
        <w:rPr>
          <w:rStyle w:val="FootnoteReference"/>
          <w:rFonts w:ascii="Book Antiqua" w:hAnsi="Book Antiqua"/>
          <w:sz w:val="24"/>
          <w:szCs w:val="24"/>
        </w:rPr>
        <w:footnoteReference w:id="13"/>
      </w:r>
    </w:p>
    <w:p w:rsidR="00FF3976" w:rsidRPr="00DB1B7D" w:rsidRDefault="00DB1B7D" w:rsidP="00CC197B">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DB1B7D">
        <w:rPr>
          <w:rFonts w:ascii="Book Antiqua" w:hAnsi="Book Antiqua"/>
          <w:b/>
          <w:sz w:val="24"/>
          <w:szCs w:val="24"/>
        </w:rPr>
        <w:t>The urgency of establishing a law on the seizure of assets of money laundering in Indonesia</w:t>
      </w:r>
    </w:p>
    <w:p w:rsidR="00DB1B7D" w:rsidRDefault="00DB1B7D" w:rsidP="00B322EB">
      <w:pPr>
        <w:spacing w:after="120" w:line="240" w:lineRule="auto"/>
        <w:jc w:val="both"/>
        <w:rPr>
          <w:rFonts w:ascii="Book Antiqua" w:hAnsi="Book Antiqua"/>
          <w:sz w:val="24"/>
          <w:szCs w:val="24"/>
        </w:rPr>
      </w:pPr>
      <w:r w:rsidRPr="00DB1B7D">
        <w:rPr>
          <w:rFonts w:ascii="Book Antiqua" w:hAnsi="Book Antiqua"/>
          <w:sz w:val="24"/>
          <w:szCs w:val="24"/>
        </w:rPr>
        <w:t>Ratification of UNCAC by Indonesia is carried out through Law Number 7 of 2006 concerning the ratification of the United Nation Convention Against Corruption, 2003 (United Nations Convention Against Corruption, 2003) one of the important parts regulated in UNCAC is the existence of arrangements relating to the search, seizure, and seizure of proceeds and instruments of criminal acts between countries. As a consequence of the ratification, the government of Indonesia must adjust the provisions of the existing legislation with the provisions of the convention, so that Indonesia can make maximum efforts to seize assets resulting from criminal acts, especially the results of corruption.</w:t>
      </w:r>
    </w:p>
    <w:p w:rsidR="00DB1B7D" w:rsidRDefault="00DB1B7D" w:rsidP="00B322EB">
      <w:pPr>
        <w:spacing w:after="120" w:line="240" w:lineRule="auto"/>
        <w:jc w:val="both"/>
        <w:rPr>
          <w:rFonts w:ascii="Book Antiqua" w:hAnsi="Book Antiqua"/>
          <w:sz w:val="24"/>
          <w:szCs w:val="24"/>
        </w:rPr>
      </w:pPr>
      <w:r w:rsidRPr="00DB1B7D">
        <w:rPr>
          <w:rFonts w:ascii="Book Antiqua" w:hAnsi="Book Antiqua"/>
          <w:sz w:val="24"/>
          <w:szCs w:val="24"/>
        </w:rPr>
        <w:t>In the UNCAC, there are detailed provisions regarding the mechanism of expropriation of assets resulting from criminal acts using the non conviction based asset forfeiture method. So that it can be a reference for state parties in conducting international cooperation in crime and financial problems as well as the use of technology among each other in an effort to seize assets resulting from corruption where corruption is one of the original criminal acts originating from law No. 8 of 2010 on the prevention and eradication of money laundering.</w:t>
      </w:r>
    </w:p>
    <w:p w:rsidR="000F52F9" w:rsidRDefault="00DB1B7D" w:rsidP="000F52F9">
      <w:pPr>
        <w:spacing w:after="120" w:line="240" w:lineRule="auto"/>
        <w:jc w:val="both"/>
        <w:rPr>
          <w:rFonts w:ascii="Book Antiqua" w:hAnsi="Book Antiqua"/>
          <w:sz w:val="24"/>
          <w:szCs w:val="24"/>
        </w:rPr>
      </w:pPr>
      <w:r w:rsidRPr="00DB1B7D">
        <w:rPr>
          <w:rFonts w:ascii="Book Antiqua" w:hAnsi="Book Antiqua"/>
          <w:sz w:val="24"/>
          <w:szCs w:val="24"/>
        </w:rPr>
        <w:t xml:space="preserve">The UNCAC determines that all states parties are obliged to consider the appropriation of proceeds of crime without incrimination (NCB). In this case, the UNCAC does not consider the existence of differences in legal systems between states parties, the NCB is </w:t>
      </w:r>
      <w:r w:rsidRPr="00DB1B7D">
        <w:rPr>
          <w:rFonts w:ascii="Book Antiqua" w:hAnsi="Book Antiqua"/>
          <w:sz w:val="24"/>
          <w:szCs w:val="24"/>
        </w:rPr>
        <w:lastRenderedPageBreak/>
        <w:t>considered as a system that can transcend the differences between legal systems adopted by the states parties of the UNCAC. UNCAC proposes NCB as a tool for all jurisdictions in efforts to eradicate widespread corruption with the follow-up crime of money laundering</w:t>
      </w:r>
      <w:r w:rsidR="000F52F9">
        <w:rPr>
          <w:rFonts w:ascii="Book Antiqua" w:hAnsi="Book Antiqua"/>
          <w:sz w:val="24"/>
          <w:szCs w:val="24"/>
        </w:rPr>
        <w:t>.</w:t>
      </w:r>
    </w:p>
    <w:p w:rsidR="000F52F9" w:rsidRDefault="00DB1B7D" w:rsidP="000F52F9">
      <w:pPr>
        <w:spacing w:after="120" w:line="240" w:lineRule="auto"/>
        <w:jc w:val="both"/>
        <w:rPr>
          <w:rFonts w:ascii="Book Antiqua" w:hAnsi="Book Antiqua"/>
          <w:sz w:val="24"/>
          <w:szCs w:val="24"/>
        </w:rPr>
      </w:pPr>
      <w:r w:rsidRPr="00DB1B7D">
        <w:rPr>
          <w:rFonts w:ascii="Book Antiqua" w:eastAsia="Times New Roman" w:hAnsi="Book Antiqua"/>
          <w:sz w:val="24"/>
          <w:szCs w:val="24"/>
          <w:lang w:bidi="ar-SA"/>
        </w:rPr>
        <w:t>Indonesia must comply with the provisions contained in UNCAC. After ratification, Indonesia should also make adjustments to the legal provisions applicable in Indonesia with UNCAC as an international convention in which Indonesia is part of it. The presence of the asset forfeiture bill is one of the steps of the Indonesian government in following up on the ratification of UNCAC. This is because with the draft of the asset forfeiture law that adheres to the criminal forfeiture mechanism In Rem (NCB) Indonesia has made adjustments to the provisions of the UNCAC as an international convention.</w:t>
      </w:r>
    </w:p>
    <w:p w:rsidR="000F52F9" w:rsidRDefault="00DB1B7D" w:rsidP="000F52F9">
      <w:pPr>
        <w:spacing w:after="120" w:line="240" w:lineRule="auto"/>
        <w:jc w:val="both"/>
        <w:rPr>
          <w:rFonts w:ascii="Book Antiqua" w:hAnsi="Book Antiqua"/>
          <w:sz w:val="24"/>
          <w:szCs w:val="24"/>
        </w:rPr>
      </w:pPr>
      <w:r w:rsidRPr="000F52F9">
        <w:rPr>
          <w:rFonts w:ascii="Book Antiqua" w:hAnsi="Book Antiqua"/>
          <w:sz w:val="24"/>
          <w:szCs w:val="24"/>
        </w:rPr>
        <w:t>Although the provisions contained in the draft law on asset forfeiture refer to the provisions on asset forfeiture suggested in the UNCAC, the material provided for in the draft law on asset forfeiture may apply to all criminal acts with economic motives. This is because the proceeds of crime assets are the weakest point of the crime chain with economic motives so that by expropriating the proceeds of crime assets, efforts to suppress crime rates are expected to run in accordance with expectations.</w:t>
      </w:r>
      <w:r w:rsidR="00E02F8F">
        <w:rPr>
          <w:rStyle w:val="FootnoteReference"/>
          <w:rFonts w:ascii="Book Antiqua" w:hAnsi="Book Antiqua"/>
          <w:sz w:val="24"/>
          <w:szCs w:val="24"/>
        </w:rPr>
        <w:footnoteReference w:id="14"/>
      </w:r>
    </w:p>
    <w:p w:rsidR="000F52F9" w:rsidRDefault="000F52F9" w:rsidP="000F52F9">
      <w:pPr>
        <w:spacing w:after="120" w:line="240" w:lineRule="auto"/>
        <w:jc w:val="both"/>
        <w:rPr>
          <w:rFonts w:ascii="Book Antiqua" w:hAnsi="Book Antiqua"/>
          <w:sz w:val="24"/>
          <w:szCs w:val="24"/>
        </w:rPr>
      </w:pPr>
      <w:r w:rsidRPr="000F52F9">
        <w:rPr>
          <w:rFonts w:ascii="Book Antiqua" w:eastAsia="Times New Roman" w:hAnsi="Book Antiqua"/>
          <w:sz w:val="24"/>
          <w:szCs w:val="24"/>
          <w:lang w:bidi="ar-SA"/>
        </w:rPr>
        <w:t>The development of criminal practices with economic motives in this case money laundering within 15 years in Indonesia is increasingly complex. Advances in Information Technology have made it easier for perpetrators to commit criminal acts thus creating variations in the modus operandi used. With the emergence of various new modus operandi in criminal acts, the efforts to enforce the law on criminal acts are certainly more difficult. In addition, advances in technology and information also facilitate the efforts of perpetrators of criminal acts to hide the results of the crime, so that efforts to conceal assets derived from a criminal offense no longer recognize certain national borders, and pass jurisdiction between one country and another.</w:t>
      </w:r>
    </w:p>
    <w:p w:rsidR="000F52F9" w:rsidRDefault="000F52F9" w:rsidP="000F52F9">
      <w:pPr>
        <w:spacing w:after="120" w:line="240" w:lineRule="auto"/>
        <w:jc w:val="both"/>
        <w:rPr>
          <w:rFonts w:ascii="Book Antiqua" w:hAnsi="Book Antiqua"/>
          <w:sz w:val="24"/>
          <w:szCs w:val="24"/>
        </w:rPr>
      </w:pPr>
      <w:r w:rsidRPr="000F52F9">
        <w:rPr>
          <w:rFonts w:ascii="Book Antiqua" w:hAnsi="Book Antiqua"/>
          <w:sz w:val="24"/>
          <w:szCs w:val="24"/>
        </w:rPr>
        <w:t>This development requires legal provisions that can be a solution to the problem of the development of economic types of criminal acts. So that the law enforcement of economic crimes both carried out by conventional methods and by cutting-edge methods can be completed by law enforcement officers in accordance with existing provisions.</w:t>
      </w:r>
    </w:p>
    <w:p w:rsidR="000F52F9" w:rsidRDefault="000F52F9" w:rsidP="000F52F9">
      <w:pPr>
        <w:spacing w:after="120" w:line="240" w:lineRule="auto"/>
        <w:jc w:val="both"/>
        <w:rPr>
          <w:rFonts w:ascii="Book Antiqua" w:hAnsi="Book Antiqua"/>
          <w:sz w:val="24"/>
        </w:rPr>
      </w:pPr>
      <w:r w:rsidRPr="000F52F9">
        <w:rPr>
          <w:rFonts w:ascii="Book Antiqua" w:hAnsi="Book Antiqua"/>
          <w:sz w:val="24"/>
        </w:rPr>
        <w:t>With this development, criminal acts whose assets are the object of asset seizure also develop and increase in type. The crimes in question include corruption, money laundering, terrorism, trafficking in persons, arms smuggling, narcotics, Forestry, and fisheries, as well as other crimes that have economic elements in their implementation such as embezzlement and fraud. The criminal act certainly has its own laws and regulations, but until now the provisions of each criminal act have not regulated the seizure of assets related to the completion of criminal acts.</w:t>
      </w:r>
      <w:r w:rsidR="00E10B70">
        <w:rPr>
          <w:rStyle w:val="FootnoteReference"/>
          <w:rFonts w:ascii="Book Antiqua" w:hAnsi="Book Antiqua"/>
          <w:sz w:val="24"/>
        </w:rPr>
        <w:footnoteReference w:id="15"/>
      </w:r>
    </w:p>
    <w:p w:rsidR="000F52F9" w:rsidRDefault="000F52F9" w:rsidP="000F52F9">
      <w:pPr>
        <w:spacing w:after="120" w:line="240" w:lineRule="auto"/>
        <w:jc w:val="both"/>
        <w:rPr>
          <w:rFonts w:ascii="Book Antiqua" w:hAnsi="Book Antiqua"/>
          <w:sz w:val="24"/>
          <w:szCs w:val="24"/>
        </w:rPr>
      </w:pPr>
      <w:r w:rsidRPr="000F52F9">
        <w:rPr>
          <w:rFonts w:ascii="Book Antiqua" w:hAnsi="Book Antiqua"/>
          <w:sz w:val="24"/>
          <w:szCs w:val="24"/>
        </w:rPr>
        <w:t xml:space="preserve">Money laundering derived from 26 kinds of criminal acts contained in law no. 8 of 2010, urgently need an effective asset seizure mechanism so that justice can be established, at least in terms of the return of losses resulting from the crime. The law on asset seizure can be an answer to the need for a more effective standard mechanism in efforts to seize assets resulting from criminal offenses. The DPR RI can show the public that the DPR has the </w:t>
      </w:r>
      <w:r w:rsidRPr="000F52F9">
        <w:rPr>
          <w:rFonts w:ascii="Book Antiqua" w:hAnsi="Book Antiqua"/>
          <w:sz w:val="24"/>
          <w:szCs w:val="24"/>
        </w:rPr>
        <w:lastRenderedPageBreak/>
        <w:t>political will to implement effective asset seizure efforts in the legal system in Indonesia by passing a law on asset seizure.</w:t>
      </w:r>
      <w:r w:rsidR="00E10B70">
        <w:rPr>
          <w:rStyle w:val="FootnoteReference"/>
          <w:rFonts w:ascii="Book Antiqua" w:hAnsi="Book Antiqua"/>
          <w:sz w:val="24"/>
          <w:szCs w:val="24"/>
        </w:rPr>
        <w:footnoteReference w:id="16"/>
      </w:r>
    </w:p>
    <w:p w:rsidR="000F52F9" w:rsidRDefault="000F52F9" w:rsidP="000F52F9">
      <w:pPr>
        <w:spacing w:after="120" w:line="240" w:lineRule="auto"/>
        <w:jc w:val="both"/>
        <w:rPr>
          <w:rFonts w:ascii="Book Antiqua" w:hAnsi="Book Antiqua"/>
          <w:sz w:val="24"/>
          <w:szCs w:val="24"/>
        </w:rPr>
      </w:pPr>
      <w:r w:rsidRPr="000F52F9">
        <w:rPr>
          <w:rFonts w:ascii="Book Antiqua" w:eastAsia="Times New Roman" w:hAnsi="Book Antiqua"/>
          <w:sz w:val="24"/>
          <w:szCs w:val="24"/>
          <w:lang w:bidi="ar-SA"/>
        </w:rPr>
        <w:t>In the current legal system in Indonesia, the method used in law enforcement for criminal acts by finding the culprit and placing the perpetrator of the crime in prison (follow the suspect) as contained in the Criminal Procedure Code and the Corruption Act did not cause a preventive effect and was not effective enough to suppress the crime rate because the mechanism was only emphasized on punishing the perpetrator by placing the perpetrator in prison while the seizure and seizure of assets was only carried out as an additional crime. While confiscating and depriving the results and instruments of criminal acts from the perpetrators of criminal acts not only transfer a number of assets from the perpetrators of crimes to the community but also will increase the possibility of the community to realize the common goal of the establishment of justice and welfare for all members of society.</w:t>
      </w:r>
      <w:r w:rsidR="00E02F8F">
        <w:rPr>
          <w:rStyle w:val="FootnoteReference"/>
          <w:rFonts w:ascii="Book Antiqua" w:eastAsia="Times New Roman" w:hAnsi="Book Antiqua"/>
          <w:sz w:val="24"/>
          <w:szCs w:val="24"/>
          <w:lang w:bidi="ar-SA"/>
        </w:rPr>
        <w:footnoteReference w:id="17"/>
      </w:r>
    </w:p>
    <w:p w:rsidR="000F52F9" w:rsidRDefault="000F52F9" w:rsidP="000F52F9">
      <w:pPr>
        <w:spacing w:after="120" w:line="240" w:lineRule="auto"/>
        <w:jc w:val="both"/>
        <w:rPr>
          <w:rFonts w:ascii="Book Antiqua" w:hAnsi="Book Antiqua"/>
          <w:sz w:val="24"/>
          <w:szCs w:val="24"/>
        </w:rPr>
      </w:pPr>
      <w:r w:rsidRPr="000F52F9">
        <w:rPr>
          <w:rFonts w:ascii="Book Antiqua" w:hAnsi="Book Antiqua"/>
          <w:sz w:val="24"/>
          <w:szCs w:val="24"/>
        </w:rPr>
        <w:t>In addition, the development of criminal types with economic motives also requires an adequate mechanism in terms of being able to be used in accordance with current circumstances to streamline asset seizure efforts in Indonesia. This then prompted the Indonesian government to issue a policy related to the effectiveness of asset seizure resulting from economic crimes. One of the priority policies of the Indonesian government is the creation of legal instruments that are able to seize all assets resulting from a criminal act as well as all means that allow the implementation of criminal acts, especially economically motivated criminal acts.</w:t>
      </w:r>
      <w:r w:rsidR="00232E39">
        <w:rPr>
          <w:rStyle w:val="FootnoteReference"/>
          <w:rFonts w:ascii="Book Antiqua" w:hAnsi="Book Antiqua"/>
          <w:sz w:val="24"/>
          <w:szCs w:val="24"/>
        </w:rPr>
        <w:footnoteReference w:id="18"/>
      </w:r>
    </w:p>
    <w:p w:rsidR="000F52F9" w:rsidRDefault="000F52F9" w:rsidP="000F52F9">
      <w:pPr>
        <w:spacing w:after="120" w:line="240" w:lineRule="auto"/>
        <w:jc w:val="both"/>
        <w:rPr>
          <w:rFonts w:ascii="Book Antiqua" w:hAnsi="Book Antiqua"/>
          <w:sz w:val="24"/>
          <w:szCs w:val="24"/>
        </w:rPr>
      </w:pPr>
      <w:r w:rsidRPr="000F52F9">
        <w:rPr>
          <w:rFonts w:ascii="Book Antiqua" w:hAnsi="Book Antiqua"/>
          <w:sz w:val="24"/>
          <w:szCs w:val="24"/>
        </w:rPr>
        <w:t>The policy is part of the Criminal Law Policy proposed by Mulder, namely actions that must be taken to prevent criminal acts. In this paper, the action to be taken is translated as a step taken by the Government of Indonesia to streamline asset expropriation efforts in the legal system in Indonesia is to form a draft law on asset expropriation.</w:t>
      </w:r>
      <w:r w:rsidR="00E10B70">
        <w:rPr>
          <w:rStyle w:val="FootnoteReference"/>
          <w:rFonts w:ascii="Book Antiqua" w:hAnsi="Book Antiqua"/>
          <w:sz w:val="24"/>
          <w:szCs w:val="24"/>
        </w:rPr>
        <w:footnoteReference w:id="19"/>
      </w:r>
    </w:p>
    <w:p w:rsidR="00DB1B7D" w:rsidRPr="000F52F9" w:rsidRDefault="000F52F9" w:rsidP="00B322EB">
      <w:pPr>
        <w:spacing w:after="120" w:line="240" w:lineRule="auto"/>
        <w:jc w:val="both"/>
        <w:rPr>
          <w:rFonts w:ascii="Book Antiqua" w:hAnsi="Book Antiqua"/>
          <w:sz w:val="24"/>
          <w:szCs w:val="24"/>
        </w:rPr>
      </w:pPr>
      <w:r w:rsidRPr="000F52F9">
        <w:rPr>
          <w:rFonts w:ascii="Book Antiqua" w:hAnsi="Book Antiqua"/>
          <w:sz w:val="24"/>
          <w:szCs w:val="24"/>
        </w:rPr>
        <w:t>In the description of ditas, it seems that the importance of the existence of the law on the seizure of assets for money laundering can be seen from several factors, namely the factor of Indonesia's position as an UNCAC ratifying country; factors in the development of types of criminal acts that cause economic losses; and factors that the available mechanisms are not sufficient.</w:t>
      </w: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2F421E" w:rsidRPr="00F02693" w:rsidRDefault="000F52F9" w:rsidP="00AA1A42">
      <w:pPr>
        <w:spacing w:after="0" w:line="240" w:lineRule="auto"/>
        <w:jc w:val="both"/>
        <w:rPr>
          <w:rFonts w:ascii="Book Antiqua" w:hAnsi="Book Antiqua" w:cstheme="majorHAnsi"/>
          <w:color w:val="000000" w:themeColor="text1"/>
          <w:sz w:val="24"/>
          <w:szCs w:val="24"/>
          <w:lang w:val="en-GB"/>
        </w:rPr>
      </w:pPr>
      <w:r w:rsidRPr="000F52F9">
        <w:rPr>
          <w:rFonts w:ascii="Book Antiqua" w:eastAsia="Times New Roman" w:hAnsi="Book Antiqua"/>
          <w:sz w:val="24"/>
          <w:szCs w:val="24"/>
          <w:lang w:bidi="ar-SA"/>
        </w:rPr>
        <w:t xml:space="preserve">The establishment of the law on the seizure of assets of the crime of money laundering is the development of the types of criminal acts of economic motives contained in the criminal acts of money laundering origin. Advances in technology make it easier for perpetrators to carry out crimes and hide the results of these crimes with easier methods. This must then be overcome by the existence of legal provisions that are in accordance with current and future circumstances so that asset seizure efforts can achieve maximum </w:t>
      </w:r>
      <w:r w:rsidRPr="000F52F9">
        <w:rPr>
          <w:rFonts w:ascii="Book Antiqua" w:eastAsia="Times New Roman" w:hAnsi="Book Antiqua"/>
          <w:sz w:val="24"/>
          <w:szCs w:val="24"/>
          <w:lang w:bidi="ar-SA"/>
        </w:rPr>
        <w:lastRenderedPageBreak/>
        <w:t>results. The last factor of urgency in the establishment of asset seizure legislation is an inadequate mechanism. Adequate mechanisms in asset seizure efforts are expected to use the mechanisms contained in the UNCAC so that asset seizure in Indonesia will run effectively</w:t>
      </w:r>
      <w:r w:rsidR="00F02693">
        <w:rPr>
          <w:rFonts w:ascii="Book Antiqua" w:eastAsia="Times New Roman" w:hAnsi="Book Antiqua"/>
          <w:sz w:val="24"/>
          <w:szCs w:val="24"/>
          <w:lang w:bidi="ar-SA"/>
        </w:rPr>
        <w:t xml:space="preserve">. </w:t>
      </w:r>
      <w:r w:rsidR="00F02693" w:rsidRPr="00F02693">
        <w:rPr>
          <w:rFonts w:ascii="Book Antiqua" w:hAnsi="Book Antiqua"/>
          <w:sz w:val="24"/>
          <w:szCs w:val="24"/>
        </w:rPr>
        <w:t>The importance of the law on asset seizure of criminal acts in Indonesia can be seen from 3 factors, namely the ratification of UNCAC,the development of types of criminal acts, and inadequate asset seizure mechanisms. Indonesia's position as a ratifying country of UNCAC, so that the government of Indonesia must adjust the provisions of existing legislation with the provisions in the convention because it is a consequence of the ratification.</w:t>
      </w: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E73D75" w:rsidRDefault="00141890" w:rsidP="00AA1A42">
      <w:pPr>
        <w:spacing w:after="0" w:line="240" w:lineRule="auto"/>
        <w:jc w:val="both"/>
        <w:rPr>
          <w:rFonts w:ascii="Book Antiqua" w:hAnsi="Book Antiqua" w:cs="Calibri"/>
          <w:bCs/>
          <w:color w:val="333333"/>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9D2D4E">
        <w:rPr>
          <w:rStyle w:val="markedcontent"/>
          <w:rFonts w:ascii="Book Antiqua" w:hAnsi="Book Antiqua" w:cs="Arial"/>
          <w:sz w:val="24"/>
          <w:szCs w:val="24"/>
        </w:rPr>
        <w:t>Dharmawangsa</w:t>
      </w:r>
      <w:r w:rsidR="00E40532">
        <w:rPr>
          <w:rStyle w:val="markedcontent"/>
          <w:rFonts w:ascii="Book Antiqua" w:hAnsi="Book Antiqua" w:cs="Arial"/>
          <w:sz w:val="24"/>
          <w:szCs w:val="24"/>
        </w:rPr>
        <w:t xml:space="preserve"> </w:t>
      </w:r>
      <w:r w:rsidRPr="00141890">
        <w:rPr>
          <w:rStyle w:val="markedcontent"/>
          <w:rFonts w:ascii="Book Antiqua" w:hAnsi="Book Antiqua" w:cs="Arial"/>
          <w:sz w:val="24"/>
          <w:szCs w:val="24"/>
        </w:rPr>
        <w:t>,which has provided support in research until the writing of this scientific paper iscompleted.</w:t>
      </w:r>
      <w:r w:rsidR="00F02A38" w:rsidRPr="00EE6288">
        <w:rPr>
          <w:rFonts w:ascii="Book Antiqua" w:hAnsi="Book Antiqua" w:cs="Calibri"/>
          <w:bCs/>
          <w:color w:val="333333"/>
        </w:rPr>
        <w:t xml:space="preserve"> </w:t>
      </w:r>
    </w:p>
    <w:p w:rsidR="00E73D75" w:rsidRPr="00E73D75" w:rsidRDefault="00E73D75" w:rsidP="00411449">
      <w:pPr>
        <w:pStyle w:val="Heading3"/>
        <w:spacing w:before="0" w:after="0" w:line="240" w:lineRule="auto"/>
        <w:jc w:val="both"/>
        <w:rPr>
          <w:rFonts w:ascii="Book Antiqua" w:hAnsi="Book Antiqua" w:cstheme="majorHAnsi"/>
          <w:b/>
          <w:color w:val="4472C4" w:themeColor="accent1"/>
        </w:rPr>
      </w:pPr>
      <w:r w:rsidRPr="00E73D75">
        <w:rPr>
          <w:rFonts w:ascii="Book Antiqua" w:hAnsi="Book Antiqua" w:cstheme="majorHAnsi"/>
          <w:b/>
          <w:color w:val="4472C4" w:themeColor="accent1"/>
        </w:rPr>
        <w:lastRenderedPageBreak/>
        <w:t>REFERENCES</w:t>
      </w:r>
    </w:p>
    <w:p w:rsidR="003C32FF" w:rsidRPr="00232E39" w:rsidRDefault="00AA1A42" w:rsidP="00411449">
      <w:pPr>
        <w:pStyle w:val="Heading3"/>
        <w:spacing w:before="0" w:after="0" w:line="240" w:lineRule="auto"/>
        <w:jc w:val="both"/>
        <w:rPr>
          <w:rFonts w:ascii="Book Antiqua" w:hAnsi="Book Antiqua" w:cstheme="majorHAnsi"/>
          <w:b/>
          <w:color w:val="000000" w:themeColor="text1"/>
        </w:rPr>
      </w:pPr>
      <w:r w:rsidRPr="00E73D75">
        <w:rPr>
          <w:rFonts w:ascii="Book Antiqua" w:hAnsi="Book Antiqua" w:cstheme="majorHAnsi"/>
          <w:b/>
          <w:color w:val="000000" w:themeColor="text1"/>
        </w:rPr>
        <w:t xml:space="preserve">Journal </w:t>
      </w:r>
    </w:p>
    <w:p w:rsidR="0001410E" w:rsidRDefault="0001410E" w:rsidP="00411449">
      <w:pPr>
        <w:pStyle w:val="Heading3"/>
        <w:spacing w:before="0" w:after="0" w:line="240" w:lineRule="auto"/>
        <w:ind w:left="540" w:hanging="540"/>
        <w:jc w:val="both"/>
        <w:rPr>
          <w:rFonts w:ascii="Book Antiqua" w:hAnsi="Book Antiqua"/>
        </w:rPr>
      </w:pPr>
      <w:r w:rsidRPr="00F72BC5">
        <w:rPr>
          <w:rFonts w:ascii="Book Antiqua" w:hAnsi="Book Antiqua"/>
        </w:rPr>
        <w:t xml:space="preserve">Ariman Sitompul, Arie Kartika, Windy Sri Wahyuni, Maswandi, </w:t>
      </w:r>
      <w:r w:rsidRPr="00F72BC5">
        <w:rPr>
          <w:rFonts w:ascii="Book Antiqua" w:hAnsi="Book Antiqua"/>
          <w:i/>
        </w:rPr>
        <w:t>Money Laundering In The Persepektif  Law In The System Of Proof</w:t>
      </w:r>
      <w:r w:rsidRPr="00F72BC5">
        <w:rPr>
          <w:rFonts w:ascii="Book Antiqua" w:hAnsi="Book Antiqua"/>
        </w:rPr>
        <w:t>, Justitia Islamica, Vol. 19,No.2, 2022, pp. 285-287</w:t>
      </w:r>
    </w:p>
    <w:p w:rsidR="0001410E" w:rsidRDefault="0001410E" w:rsidP="00411449">
      <w:pPr>
        <w:pStyle w:val="Heading3"/>
        <w:spacing w:before="0" w:after="0" w:line="240" w:lineRule="auto"/>
        <w:ind w:left="540" w:hanging="540"/>
        <w:jc w:val="both"/>
        <w:rPr>
          <w:rFonts w:ascii="Book Antiqua" w:hAnsi="Book Antiqua" w:cs="Tahoma"/>
        </w:rPr>
      </w:pPr>
      <w:r w:rsidRPr="003C32FF">
        <w:rPr>
          <w:rFonts w:ascii="Book Antiqua" w:hAnsi="Book Antiqua" w:cs="Tahoma"/>
        </w:rPr>
        <w:t xml:space="preserve">Ariman Sitompul, </w:t>
      </w:r>
      <w:r w:rsidRPr="003C32FF">
        <w:rPr>
          <w:rFonts w:ascii="Book Antiqua" w:hAnsi="Book Antiqua" w:cs="Tahoma"/>
          <w:i/>
        </w:rPr>
        <w:t>E Procurement System In The Mechanism Of Procurement Of Good And Service Electronically</w:t>
      </w:r>
      <w:r w:rsidRPr="003C32FF">
        <w:rPr>
          <w:rFonts w:ascii="Book Antiqua" w:hAnsi="Book Antiqua" w:cs="Tahoma"/>
        </w:rPr>
        <w:t>, International Asia Of Law And Money Laundering, Vol. 1No. 1,2022,pp.60</w:t>
      </w:r>
      <w:r>
        <w:rPr>
          <w:rFonts w:ascii="Book Antiqua" w:hAnsi="Book Antiqua" w:cs="Tahoma"/>
        </w:rPr>
        <w:t>.</w:t>
      </w:r>
    </w:p>
    <w:p w:rsidR="0001410E" w:rsidRDefault="0001410E" w:rsidP="00411449">
      <w:pPr>
        <w:pStyle w:val="Heading3"/>
        <w:spacing w:before="0" w:after="0" w:line="240" w:lineRule="auto"/>
        <w:ind w:left="540" w:hanging="540"/>
        <w:jc w:val="both"/>
        <w:rPr>
          <w:rFonts w:ascii="Book Antiqua" w:hAnsi="Book Antiqua"/>
        </w:rPr>
      </w:pPr>
      <w:r w:rsidRPr="00F72BC5">
        <w:rPr>
          <w:rFonts w:ascii="Book Antiqua" w:hAnsi="Book Antiqua"/>
        </w:rPr>
        <w:t xml:space="preserve">Ariman Sitompul, M. Nasir Sitompul, </w:t>
      </w:r>
      <w:r w:rsidRPr="00F72BC5">
        <w:rPr>
          <w:rFonts w:ascii="Book Antiqua" w:hAnsi="Book Antiqua"/>
          <w:i/>
        </w:rPr>
        <w:t>The Combination Of Money Laundering Crime With The Origin Of Narkotics Crime To Islamic Law</w:t>
      </w:r>
      <w:r w:rsidRPr="00F72BC5">
        <w:rPr>
          <w:rFonts w:ascii="Book Antiqua" w:hAnsi="Book Antiqua"/>
        </w:rPr>
        <w:t>. In Proceeding Internatio</w:t>
      </w:r>
      <w:r>
        <w:rPr>
          <w:rFonts w:ascii="Book Antiqua" w:hAnsi="Book Antiqua"/>
        </w:rPr>
        <w:t xml:space="preserve">nal Seminar of Islamic Studies , Vol. 1, No. 1 </w:t>
      </w:r>
      <w:r w:rsidRPr="00F72BC5">
        <w:rPr>
          <w:rFonts w:ascii="Book Antiqua" w:hAnsi="Book Antiqua"/>
        </w:rPr>
        <w:t>,2020,pp.673</w:t>
      </w:r>
    </w:p>
    <w:p w:rsidR="0001410E" w:rsidRDefault="0001410E" w:rsidP="00411449">
      <w:pPr>
        <w:pStyle w:val="Heading3"/>
        <w:spacing w:before="0" w:after="0" w:line="240" w:lineRule="auto"/>
        <w:ind w:left="540" w:hanging="540"/>
        <w:jc w:val="both"/>
        <w:rPr>
          <w:rFonts w:ascii="Book Antiqua" w:hAnsi="Book Antiqua"/>
        </w:rPr>
      </w:pPr>
      <w:r w:rsidRPr="009443D0">
        <w:rPr>
          <w:rFonts w:ascii="Book Antiqua" w:hAnsi="Book Antiqua"/>
        </w:rPr>
        <w:t>Ariman Sitompul, Pagar</w:t>
      </w:r>
      <w:r>
        <w:rPr>
          <w:rFonts w:ascii="Book Antiqua" w:hAnsi="Book Antiqua"/>
        </w:rPr>
        <w:t xml:space="preserve"> Hasibuan, M. Sahnan, </w:t>
      </w:r>
      <w:r w:rsidRPr="009443D0">
        <w:rPr>
          <w:rFonts w:ascii="Book Antiqua" w:hAnsi="Book Antiqua"/>
        </w:rPr>
        <w:t xml:space="preserve"> </w:t>
      </w:r>
      <w:r w:rsidRPr="009443D0">
        <w:rPr>
          <w:rFonts w:ascii="Book Antiqua" w:hAnsi="Book Antiqua"/>
          <w:i/>
        </w:rPr>
        <w:t>The Morality Of Law Enforcement Agencies (Police, Prosecutor’s Office, KPK) In Money Laundering With The Origin Of The Corruption</w:t>
      </w:r>
      <w:r w:rsidRPr="009443D0">
        <w:rPr>
          <w:rFonts w:ascii="Book Antiqua" w:hAnsi="Book Antiqua"/>
        </w:rPr>
        <w:t xml:space="preserve">, European Law Review, ,Vol.9, No. 10 , 2021 pp. 55–63 </w:t>
      </w:r>
    </w:p>
    <w:p w:rsidR="0001410E" w:rsidRDefault="0001410E" w:rsidP="00411449">
      <w:pPr>
        <w:pStyle w:val="Heading3"/>
        <w:spacing w:before="0" w:after="0" w:line="240" w:lineRule="auto"/>
        <w:ind w:left="540" w:hanging="540"/>
        <w:jc w:val="both"/>
        <w:rPr>
          <w:rFonts w:ascii="Book Antiqua" w:hAnsi="Book Antiqua"/>
        </w:rPr>
      </w:pPr>
      <w:r>
        <w:rPr>
          <w:rFonts w:ascii="Book Antiqua" w:hAnsi="Book Antiqua"/>
        </w:rPr>
        <w:t xml:space="preserve">Fitriyana, </w:t>
      </w:r>
      <w:r w:rsidRPr="00F72BC5">
        <w:rPr>
          <w:rFonts w:ascii="Book Antiqua" w:hAnsi="Book Antiqua"/>
        </w:rPr>
        <w:t>Pertanggungjawaban Partai Politik Dalam Tindak Pidana Pencuci</w:t>
      </w:r>
      <w:r>
        <w:rPr>
          <w:rFonts w:ascii="Book Antiqua" w:hAnsi="Book Antiqua"/>
        </w:rPr>
        <w:t>an Uang. Jurist Diction, Vol.2, No.4</w:t>
      </w:r>
      <w:r w:rsidRPr="00F72BC5">
        <w:rPr>
          <w:rFonts w:ascii="Book Antiqua" w:hAnsi="Book Antiqua"/>
        </w:rPr>
        <w:t xml:space="preserve">, </w:t>
      </w:r>
      <w:r>
        <w:rPr>
          <w:rFonts w:ascii="Book Antiqua" w:hAnsi="Book Antiqua"/>
        </w:rPr>
        <w:t xml:space="preserve">2019, </w:t>
      </w:r>
      <w:r w:rsidRPr="00F72BC5">
        <w:rPr>
          <w:rFonts w:ascii="Book Antiqua" w:hAnsi="Book Antiqua"/>
        </w:rPr>
        <w:t>pp.1319–1337.</w:t>
      </w:r>
    </w:p>
    <w:p w:rsidR="0001410E" w:rsidRPr="00E02F8F" w:rsidRDefault="0001410E" w:rsidP="00411449">
      <w:pPr>
        <w:pStyle w:val="Heading3"/>
        <w:spacing w:before="0" w:after="0" w:line="240" w:lineRule="auto"/>
        <w:ind w:left="540" w:hanging="540"/>
        <w:jc w:val="both"/>
        <w:rPr>
          <w:rFonts w:ascii="Book Antiqua" w:hAnsi="Book Antiqua" w:cs="Tahoma"/>
        </w:rPr>
      </w:pPr>
      <w:r>
        <w:rPr>
          <w:rFonts w:ascii="Book Antiqua" w:hAnsi="Book Antiqua" w:cs="Tahoma"/>
        </w:rPr>
        <w:t>Kusbianto, Ariman Sitompul, Adiputra, Miftahuddin</w:t>
      </w:r>
      <w:r w:rsidRPr="007A0995">
        <w:rPr>
          <w:rFonts w:ascii="Book Antiqua" w:hAnsi="Book Antiqua" w:cs="Tahoma"/>
        </w:rPr>
        <w:t xml:space="preserve">, </w:t>
      </w:r>
      <w:r w:rsidRPr="007A0995">
        <w:rPr>
          <w:rFonts w:ascii="Book Antiqua" w:hAnsi="Book Antiqua" w:cs="Tahoma"/>
          <w:i/>
        </w:rPr>
        <w:t>The Impact Of Criminal Police On Money Laundering Against The Resilence Of The Law</w:t>
      </w:r>
      <w:r w:rsidRPr="007A0995">
        <w:rPr>
          <w:rFonts w:ascii="Book Antiqua" w:hAnsi="Book Antiqua" w:cs="Tahoma"/>
        </w:rPr>
        <w:t xml:space="preserve">. Substantive Justice International Journal </w:t>
      </w:r>
      <w:r>
        <w:rPr>
          <w:rFonts w:ascii="Book Antiqua" w:hAnsi="Book Antiqua" w:cs="Tahoma"/>
        </w:rPr>
        <w:t>Of Law,Vol.5, No.2, 2022, pp.164</w:t>
      </w:r>
    </w:p>
    <w:p w:rsidR="0001410E" w:rsidRDefault="0001410E" w:rsidP="00411449">
      <w:pPr>
        <w:pStyle w:val="Heading3"/>
        <w:spacing w:before="0" w:after="0" w:line="240" w:lineRule="auto"/>
        <w:ind w:left="540" w:hanging="540"/>
        <w:jc w:val="both"/>
        <w:rPr>
          <w:rFonts w:ascii="Book Antiqua" w:hAnsi="Book Antiqua" w:cs="Tahoma"/>
        </w:rPr>
      </w:pPr>
      <w:r w:rsidRPr="007A0995">
        <w:rPr>
          <w:rFonts w:ascii="Book Antiqua" w:hAnsi="Book Antiqua" w:cs="Tahoma"/>
        </w:rPr>
        <w:t xml:space="preserve">Mhd. Nasir Sitompul, Ariman Sitompul, </w:t>
      </w:r>
      <w:r w:rsidRPr="007A0995">
        <w:rPr>
          <w:rFonts w:ascii="Book Antiqua" w:hAnsi="Book Antiqua" w:cs="Tahoma"/>
          <w:i/>
        </w:rPr>
        <w:t>Execution Of Death Penalty In Narcotics Crime In The Perspektif Of National Law In Indonesia</w:t>
      </w:r>
      <w:r w:rsidRPr="007A0995">
        <w:rPr>
          <w:rFonts w:ascii="Book Antiqua" w:hAnsi="Book Antiqua" w:cs="Tahoma"/>
        </w:rPr>
        <w:t>. , International Asia Of Law And Money Laundering,Vol. 1,No.2, 2022, pp.110</w:t>
      </w:r>
    </w:p>
    <w:p w:rsidR="0001410E" w:rsidRDefault="0001410E" w:rsidP="00411449">
      <w:pPr>
        <w:pStyle w:val="Heading3"/>
        <w:spacing w:before="0" w:after="0" w:line="240" w:lineRule="auto"/>
        <w:ind w:left="540" w:hanging="540"/>
        <w:jc w:val="both"/>
        <w:rPr>
          <w:rFonts w:ascii="Book Antiqua" w:hAnsi="Book Antiqua"/>
        </w:rPr>
      </w:pPr>
      <w:r w:rsidRPr="00E404EA">
        <w:rPr>
          <w:rFonts w:ascii="Book Antiqua" w:hAnsi="Book Antiqua"/>
        </w:rPr>
        <w:t>Muh. A</w:t>
      </w:r>
      <w:r>
        <w:rPr>
          <w:rFonts w:ascii="Book Antiqua" w:hAnsi="Book Antiqua"/>
        </w:rPr>
        <w:t xml:space="preserve">fdal Yanuar, </w:t>
      </w:r>
      <w:r w:rsidRPr="00E404EA">
        <w:rPr>
          <w:rFonts w:ascii="Book Antiqua" w:hAnsi="Book Antiqua"/>
        </w:rPr>
        <w:t>Diskursus Antara Kedudukan Delik Pencucian Uang Sebagai Independent Crime Dengan Sebagai Follow Up Crime Pasca Putusan MK Nomor 90/PUU-XIII/20</w:t>
      </w:r>
      <w:r>
        <w:rPr>
          <w:rFonts w:ascii="Book Antiqua" w:hAnsi="Book Antiqua"/>
        </w:rPr>
        <w:t>15. Jurnal Konstitusi, Vol.16, No.4</w:t>
      </w:r>
      <w:r w:rsidRPr="00E404EA">
        <w:rPr>
          <w:rFonts w:ascii="Book Antiqua" w:hAnsi="Book Antiqua"/>
        </w:rPr>
        <w:t>,</w:t>
      </w:r>
      <w:r>
        <w:rPr>
          <w:rFonts w:ascii="Book Antiqua" w:hAnsi="Book Antiqua"/>
        </w:rPr>
        <w:t xml:space="preserve">2019, </w:t>
      </w:r>
      <w:r w:rsidRPr="00E404EA">
        <w:rPr>
          <w:rFonts w:ascii="Book Antiqua" w:hAnsi="Book Antiqua"/>
        </w:rPr>
        <w:t>pp.721–739</w:t>
      </w:r>
    </w:p>
    <w:p w:rsidR="0001410E" w:rsidRDefault="0001410E" w:rsidP="00411449">
      <w:pPr>
        <w:pStyle w:val="Heading3"/>
        <w:spacing w:before="0" w:after="0" w:line="240" w:lineRule="auto"/>
        <w:ind w:left="540" w:hanging="540"/>
        <w:jc w:val="both"/>
        <w:rPr>
          <w:rFonts w:ascii="Book Antiqua" w:hAnsi="Book Antiqua"/>
        </w:rPr>
      </w:pPr>
      <w:r w:rsidRPr="000966C8">
        <w:rPr>
          <w:rFonts w:ascii="Book Antiqua" w:hAnsi="Book Antiqua"/>
        </w:rPr>
        <w:t>Murniyanti,Sahuri Lasmadi, Tri Imam Munandar, Kewenagan Penuntutan Komisi Pemberantasan Korupsi Terhadap Tindak Pidana Pencucian Uang, Pampas Journal Of Criminal Law, Vol.3 , No. 2, 2022, pp.169</w:t>
      </w:r>
    </w:p>
    <w:p w:rsidR="0001410E" w:rsidRDefault="0001410E" w:rsidP="00411449">
      <w:pPr>
        <w:pStyle w:val="Heading3"/>
        <w:spacing w:before="0" w:after="0" w:line="240" w:lineRule="auto"/>
        <w:ind w:left="540" w:hanging="540"/>
        <w:jc w:val="both"/>
        <w:rPr>
          <w:rFonts w:ascii="Book Antiqua" w:hAnsi="Book Antiqua"/>
        </w:rPr>
      </w:pPr>
      <w:r w:rsidRPr="00BF53DD">
        <w:rPr>
          <w:rFonts w:ascii="Book Antiqua" w:hAnsi="Book Antiqua"/>
        </w:rPr>
        <w:t>Nur Atika, Kewenangan Jaksa Dalam Perkara Tindak Pidana Pencucian Uang, Jurnal Cakrawala Ilmiah, Vol. 2, No. 7, 2023, pp. 3054</w:t>
      </w:r>
    </w:p>
    <w:p w:rsidR="0001410E" w:rsidRDefault="0001410E" w:rsidP="00411449">
      <w:pPr>
        <w:pStyle w:val="Heading3"/>
        <w:spacing w:before="0" w:after="0" w:line="240" w:lineRule="auto"/>
        <w:ind w:left="540" w:hanging="540"/>
        <w:jc w:val="both"/>
        <w:rPr>
          <w:rFonts w:ascii="Book Antiqua" w:hAnsi="Book Antiqua"/>
        </w:rPr>
      </w:pPr>
      <w:r w:rsidRPr="00213042">
        <w:rPr>
          <w:rFonts w:ascii="Book Antiqua" w:hAnsi="Book Antiqua"/>
        </w:rPr>
        <w:t>Rangganata adi,dkk, Studi Komparasi  Tindak Pidana Pencucian Uang Di Indonesaia dan Malaysia, Jurnal Pembangunan Hukum Indonesia ,Vol.4,No.2,2022,pp.231</w:t>
      </w:r>
    </w:p>
    <w:p w:rsidR="0001410E" w:rsidRDefault="0001410E" w:rsidP="00411449">
      <w:pPr>
        <w:pStyle w:val="Heading3"/>
        <w:spacing w:before="0" w:after="0" w:line="240" w:lineRule="auto"/>
        <w:ind w:left="540" w:hanging="540"/>
        <w:jc w:val="both"/>
        <w:rPr>
          <w:rFonts w:ascii="Book Antiqua" w:hAnsi="Book Antiqua"/>
        </w:rPr>
      </w:pPr>
      <w:r w:rsidRPr="00BF53DD">
        <w:rPr>
          <w:rFonts w:ascii="Book Antiqua" w:hAnsi="Book Antiqua"/>
        </w:rPr>
        <w:t>Tumiwa, Adrian F. Tindak Pidana Pencucian Uang Dalam Pespektif Undang-Undang No. 8 Tahun 2010 Tentang Pencegahan dan Pemberantasan Tindak Pidana Pencucian</w:t>
      </w:r>
      <w:r>
        <w:rPr>
          <w:rFonts w:ascii="Book Antiqua" w:hAnsi="Book Antiqua"/>
        </w:rPr>
        <w:t xml:space="preserve"> Uang. Jurnal Lex Crimen,Vol.7,No.2</w:t>
      </w:r>
      <w:r w:rsidRPr="00BF53DD">
        <w:rPr>
          <w:rFonts w:ascii="Book Antiqua" w:hAnsi="Book Antiqua"/>
        </w:rPr>
        <w:t>,</w:t>
      </w:r>
      <w:r>
        <w:rPr>
          <w:rFonts w:ascii="Book Antiqua" w:hAnsi="Book Antiqua"/>
        </w:rPr>
        <w:t xml:space="preserve">2018, </w:t>
      </w:r>
      <w:r w:rsidRPr="00BF53DD">
        <w:rPr>
          <w:rFonts w:ascii="Book Antiqua" w:hAnsi="Book Antiqua"/>
        </w:rPr>
        <w:t>pp.74-80.</w:t>
      </w: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01410E" w:rsidRDefault="0001410E" w:rsidP="00411449">
      <w:pPr>
        <w:pStyle w:val="ListParagraph"/>
        <w:spacing w:before="240" w:after="0" w:line="240" w:lineRule="auto"/>
        <w:ind w:left="0"/>
        <w:jc w:val="both"/>
        <w:rPr>
          <w:rFonts w:ascii="Book Antiqua" w:hAnsi="Book Antiqua" w:cstheme="majorHAnsi"/>
          <w:b/>
          <w:color w:val="000000" w:themeColor="text1"/>
          <w:sz w:val="24"/>
        </w:rPr>
      </w:pPr>
    </w:p>
    <w:p w:rsidR="003C32FF" w:rsidRDefault="00E73D75" w:rsidP="00411449">
      <w:pPr>
        <w:pStyle w:val="ListParagraph"/>
        <w:spacing w:before="240" w:after="0" w:line="240" w:lineRule="auto"/>
        <w:ind w:left="0"/>
        <w:jc w:val="both"/>
        <w:rPr>
          <w:rFonts w:ascii="Book Antiqua" w:hAnsi="Book Antiqua"/>
          <w:color w:val="000000" w:themeColor="text1"/>
        </w:rPr>
      </w:pPr>
      <w:r w:rsidRPr="00CC7B2D">
        <w:rPr>
          <w:rFonts w:ascii="Book Antiqua" w:hAnsi="Book Antiqua" w:cstheme="majorHAnsi"/>
          <w:b/>
          <w:color w:val="000000" w:themeColor="text1"/>
          <w:sz w:val="24"/>
        </w:rPr>
        <w:lastRenderedPageBreak/>
        <w:t>Book:</w:t>
      </w:r>
      <w:r w:rsidR="00411449">
        <w:rPr>
          <w:rFonts w:ascii="Book Antiqua" w:hAnsi="Book Antiqua"/>
          <w:color w:val="000000" w:themeColor="text1"/>
        </w:rPr>
        <w:t xml:space="preserve"> </w:t>
      </w:r>
    </w:p>
    <w:bookmarkEnd w:id="0"/>
    <w:bookmarkEnd w:id="1"/>
    <w:p w:rsidR="0001410E" w:rsidRDefault="0001410E" w:rsidP="00E73D75">
      <w:pPr>
        <w:pStyle w:val="Heading3"/>
        <w:spacing w:before="0" w:after="0" w:line="240" w:lineRule="auto"/>
        <w:ind w:left="540" w:hanging="540"/>
        <w:jc w:val="both"/>
        <w:rPr>
          <w:rStyle w:val="FootnoteTextChar"/>
          <w:rFonts w:ascii="Book Antiqua" w:hAnsi="Book Antiqua"/>
          <w:sz w:val="24"/>
          <w:szCs w:val="24"/>
        </w:rPr>
      </w:pPr>
    </w:p>
    <w:p w:rsidR="0001410E" w:rsidRDefault="0001410E" w:rsidP="0001410E">
      <w:pPr>
        <w:pStyle w:val="Heading3"/>
        <w:spacing w:before="0" w:after="0" w:line="240" w:lineRule="auto"/>
        <w:ind w:left="540" w:hanging="540"/>
        <w:jc w:val="both"/>
        <w:rPr>
          <w:rFonts w:ascii="Book Antiqua" w:hAnsi="Book Antiqua"/>
        </w:rPr>
      </w:pPr>
      <w:r>
        <w:rPr>
          <w:rFonts w:ascii="Book Antiqua" w:hAnsi="Book Antiqua"/>
        </w:rPr>
        <w:t xml:space="preserve">Ariman Sitompul, Firman Halawa, Sabela Gayo, Hukum Pencucian Uang  Kajian Teori, Praktek dan Perkembangannya, </w:t>
      </w:r>
      <w:r w:rsidRPr="0056473A">
        <w:rPr>
          <w:rFonts w:ascii="Book Antiqua" w:hAnsi="Book Antiqua"/>
        </w:rPr>
        <w:t>Malang</w:t>
      </w:r>
      <w:r>
        <w:rPr>
          <w:rFonts w:ascii="Book Antiqua" w:hAnsi="Book Antiqua"/>
        </w:rPr>
        <w:t xml:space="preserve"> </w:t>
      </w:r>
      <w:r w:rsidRPr="0056473A">
        <w:rPr>
          <w:rFonts w:ascii="Book Antiqua" w:hAnsi="Book Antiqua"/>
        </w:rPr>
        <w:t xml:space="preserve">:Mazda Media, 2020, pp. </w:t>
      </w:r>
      <w:r>
        <w:rPr>
          <w:rFonts w:ascii="Book Antiqua" w:hAnsi="Book Antiqua"/>
        </w:rPr>
        <w:t>130</w:t>
      </w:r>
    </w:p>
    <w:p w:rsidR="0001410E" w:rsidRDefault="0001410E" w:rsidP="003C32FF">
      <w:pPr>
        <w:pStyle w:val="Heading3"/>
        <w:spacing w:before="0" w:after="0" w:line="240" w:lineRule="auto"/>
        <w:ind w:left="540" w:hanging="540"/>
        <w:jc w:val="both"/>
        <w:rPr>
          <w:rStyle w:val="markedcontent"/>
          <w:rFonts w:ascii="Book Antiqua" w:hAnsi="Book Antiqua"/>
        </w:rPr>
      </w:pPr>
      <w:r w:rsidRPr="003C32FF">
        <w:rPr>
          <w:rFonts w:ascii="Book Antiqua" w:hAnsi="Book Antiqua"/>
        </w:rPr>
        <w:t xml:space="preserve">Ariman Sitompul, Metode Penelitian Hukum Normatif, </w:t>
      </w:r>
      <w:r w:rsidRPr="003C32FF">
        <w:rPr>
          <w:rStyle w:val="markedcontent"/>
          <w:rFonts w:ascii="Book Antiqua" w:hAnsi="Book Antiqua"/>
        </w:rPr>
        <w:t xml:space="preserve">Yogyakarta: Mazda Media, 2022 </w:t>
      </w:r>
      <w:r>
        <w:rPr>
          <w:rStyle w:val="markedcontent"/>
          <w:rFonts w:ascii="Book Antiqua" w:hAnsi="Book Antiqua"/>
        </w:rPr>
        <w:t>p</w:t>
      </w:r>
      <w:r w:rsidRPr="003C32FF">
        <w:rPr>
          <w:rStyle w:val="markedcontent"/>
          <w:rFonts w:ascii="Book Antiqua" w:hAnsi="Book Antiqua"/>
        </w:rPr>
        <w:t>. 106.</w:t>
      </w:r>
    </w:p>
    <w:p w:rsidR="0001410E" w:rsidRDefault="0001410E" w:rsidP="0001410E">
      <w:pPr>
        <w:pStyle w:val="Heading3"/>
        <w:spacing w:before="0" w:after="0" w:line="240" w:lineRule="auto"/>
        <w:ind w:left="540" w:hanging="540"/>
        <w:jc w:val="both"/>
        <w:rPr>
          <w:rFonts w:ascii="Book Antiqua" w:hAnsi="Book Antiqua"/>
        </w:rPr>
      </w:pPr>
      <w:r w:rsidRPr="0056473A">
        <w:rPr>
          <w:rFonts w:ascii="Book Antiqua" w:hAnsi="Book Antiqua"/>
        </w:rPr>
        <w:t>Ariman Sitompul, Perampasan Aset Hasil Tindak Pidana Pencuci</w:t>
      </w:r>
      <w:r>
        <w:rPr>
          <w:rFonts w:ascii="Book Antiqua" w:hAnsi="Book Antiqua"/>
        </w:rPr>
        <w:t>an Uang Dengan Asal Pidana Korups</w:t>
      </w:r>
      <w:r w:rsidRPr="0056473A">
        <w:rPr>
          <w:rFonts w:ascii="Book Antiqua" w:hAnsi="Book Antiqua"/>
        </w:rPr>
        <w:t>i ( Kajian Dalam Perspektif Hukum Islam, Malang</w:t>
      </w:r>
      <w:r>
        <w:rPr>
          <w:rFonts w:ascii="Book Antiqua" w:hAnsi="Book Antiqua"/>
        </w:rPr>
        <w:t xml:space="preserve"> </w:t>
      </w:r>
      <w:r w:rsidRPr="0056473A">
        <w:rPr>
          <w:rFonts w:ascii="Book Antiqua" w:hAnsi="Book Antiqua"/>
        </w:rPr>
        <w:t>:Mazda Media, 2020, pp. 20-25</w:t>
      </w:r>
    </w:p>
    <w:p w:rsidR="0001410E" w:rsidRDefault="0001410E" w:rsidP="003C32FF">
      <w:pPr>
        <w:pStyle w:val="Heading3"/>
        <w:spacing w:before="0" w:after="0" w:line="240" w:lineRule="auto"/>
        <w:ind w:left="540" w:hanging="540"/>
        <w:jc w:val="both"/>
        <w:rPr>
          <w:rFonts w:ascii="Book Antiqua" w:hAnsi="Book Antiqua"/>
        </w:rPr>
      </w:pPr>
      <w:r w:rsidRPr="003C32FF">
        <w:rPr>
          <w:rFonts w:ascii="Book Antiqua" w:hAnsi="Book Antiqua"/>
        </w:rPr>
        <w:t>Barbara Vettori, Tough on Criminal Weakth Exploring the Practice of Proceeds from Crime Confiscation in the EU, Doordrecht: Springer, 2006, p. 8-11.</w:t>
      </w:r>
    </w:p>
    <w:p w:rsidR="0001410E" w:rsidRDefault="0001410E" w:rsidP="003C32FF">
      <w:pPr>
        <w:pStyle w:val="Heading3"/>
        <w:spacing w:before="0" w:after="0" w:line="240" w:lineRule="auto"/>
        <w:ind w:left="540" w:hanging="540"/>
        <w:jc w:val="both"/>
        <w:rPr>
          <w:rFonts w:ascii="Book Antiqua" w:hAnsi="Book Antiqua"/>
        </w:rPr>
      </w:pPr>
      <w:r w:rsidRPr="003C32FF">
        <w:rPr>
          <w:rFonts w:ascii="Book Antiqua" w:hAnsi="Book Antiqua"/>
        </w:rPr>
        <w:t xml:space="preserve">David Scoott Romantz, “”Civil Forfeiture and The Constitution: A Legislative Abrogation of Right and The Judicial Response: The Guilt of The Res, 28th Suffolk </w:t>
      </w:r>
      <w:r>
        <w:rPr>
          <w:rFonts w:ascii="Book Antiqua" w:hAnsi="Book Antiqua"/>
        </w:rPr>
        <w:t>University Law Review, 1994, p.</w:t>
      </w:r>
      <w:r w:rsidRPr="003C32FF">
        <w:rPr>
          <w:rFonts w:ascii="Book Antiqua" w:hAnsi="Book Antiqua"/>
        </w:rPr>
        <w:t xml:space="preserve"> 390.</w:t>
      </w:r>
    </w:p>
    <w:p w:rsidR="0001410E" w:rsidRDefault="0001410E" w:rsidP="003C32FF">
      <w:pPr>
        <w:pStyle w:val="Heading3"/>
        <w:spacing w:before="0" w:after="0" w:line="240" w:lineRule="auto"/>
        <w:ind w:left="540" w:hanging="540"/>
        <w:jc w:val="both"/>
        <w:rPr>
          <w:rStyle w:val="markedcontent"/>
          <w:rFonts w:ascii="Book Antiqua" w:hAnsi="Book Antiqua"/>
        </w:rPr>
      </w:pPr>
      <w:r w:rsidRPr="003C32FF">
        <w:rPr>
          <w:rStyle w:val="markedcontent"/>
          <w:rFonts w:ascii="Book Antiqua" w:hAnsi="Book Antiqua"/>
        </w:rPr>
        <w:t xml:space="preserve">Ediwarman, Metode Penelitian Hukum (Panduan Penulisan Skripsidan Disertasi),  Yogyakarta: Genta Publising, 2016, </w:t>
      </w:r>
      <w:r>
        <w:rPr>
          <w:rStyle w:val="markedcontent"/>
          <w:rFonts w:ascii="Book Antiqua" w:hAnsi="Book Antiqua"/>
        </w:rPr>
        <w:t>p</w:t>
      </w:r>
      <w:r w:rsidRPr="003C32FF">
        <w:rPr>
          <w:rStyle w:val="markedcontent"/>
          <w:rFonts w:ascii="Book Antiqua" w:hAnsi="Book Antiqua"/>
        </w:rPr>
        <w:t>. 14.</w:t>
      </w:r>
    </w:p>
    <w:p w:rsidR="0001410E" w:rsidRPr="0001410E" w:rsidRDefault="0001410E" w:rsidP="0001410E">
      <w:pPr>
        <w:pStyle w:val="Heading3"/>
        <w:spacing w:before="0" w:after="0" w:line="240" w:lineRule="auto"/>
        <w:ind w:left="540" w:hanging="540"/>
        <w:jc w:val="both"/>
        <w:rPr>
          <w:rFonts w:ascii="Book Antiqua" w:hAnsi="Book Antiqua"/>
        </w:rPr>
      </w:pPr>
      <w:r w:rsidRPr="00E10B70">
        <w:rPr>
          <w:rFonts w:ascii="Book Antiqua" w:hAnsi="Book Antiqua"/>
        </w:rPr>
        <w:t>Kebijakan Kriminal Dalam Sistem Perddilan Serta Penanggulangan Kejahatan di Indonesia, Malang, Mazda Media, 2023, pp 146-148</w:t>
      </w:r>
    </w:p>
    <w:p w:rsidR="00731FF8" w:rsidRPr="00731FF8" w:rsidRDefault="0001410E" w:rsidP="00731FF8">
      <w:pPr>
        <w:pStyle w:val="Heading3"/>
        <w:spacing w:before="0" w:after="0" w:line="240" w:lineRule="auto"/>
        <w:ind w:left="540" w:hanging="540"/>
        <w:jc w:val="both"/>
        <w:rPr>
          <w:rFonts w:ascii="Book Antiqua" w:hAnsi="Book Antiqua"/>
          <w:color w:val="000000" w:themeColor="text1"/>
        </w:rPr>
      </w:pPr>
      <w:r w:rsidRPr="003C32FF">
        <w:rPr>
          <w:rStyle w:val="Hyperlink"/>
          <w:rFonts w:ascii="Book Antiqua" w:hAnsi="Book Antiqua"/>
          <w:color w:val="000000" w:themeColor="text1"/>
          <w:u w:val="none"/>
        </w:rPr>
        <w:t>Theodore S. Greenberg, Linda M. Samuel, Wingate Grand, and Larissa Gray, Stolen Asset Recovery, A Good Practices Guide for Non-Conviction Based Asset Forfeiture, Washington D.C.: The World Bank &amp; UNODC, 2009, p</w:t>
      </w:r>
      <w:r>
        <w:rPr>
          <w:rStyle w:val="Hyperlink"/>
          <w:rFonts w:ascii="Book Antiqua" w:hAnsi="Book Antiqua"/>
          <w:color w:val="000000" w:themeColor="text1"/>
          <w:u w:val="none"/>
        </w:rPr>
        <w:t>p</w:t>
      </w:r>
      <w:r w:rsidRPr="003C32FF">
        <w:rPr>
          <w:rStyle w:val="Hyperlink"/>
          <w:rFonts w:ascii="Book Antiqua" w:hAnsi="Book Antiqua"/>
          <w:color w:val="000000" w:themeColor="text1"/>
          <w:u w:val="none"/>
        </w:rPr>
        <w:t>. 18.</w:t>
      </w:r>
      <w:bookmarkStart w:id="2" w:name="_GoBack"/>
      <w:bookmarkEnd w:id="2"/>
    </w:p>
    <w:p w:rsidR="00731FF8" w:rsidRDefault="00731FF8" w:rsidP="00731FF8">
      <w:pPr>
        <w:pStyle w:val="FootnoteText"/>
        <w:ind w:left="567" w:hanging="567"/>
        <w:jc w:val="both"/>
        <w:rPr>
          <w:rFonts w:ascii="Book Antiqua" w:hAnsi="Book Antiqua" w:cstheme="majorBidi"/>
          <w:sz w:val="24"/>
          <w:szCs w:val="24"/>
        </w:rPr>
      </w:pPr>
    </w:p>
    <w:p w:rsidR="00731FF8" w:rsidRPr="00731FF8" w:rsidRDefault="00731FF8" w:rsidP="00731FF8">
      <w:pPr>
        <w:pStyle w:val="Heading3"/>
        <w:spacing w:before="0" w:after="0" w:line="240" w:lineRule="auto"/>
        <w:jc w:val="both"/>
        <w:rPr>
          <w:rFonts w:ascii="Book Antiqua" w:hAnsi="Book Antiqua" w:cstheme="majorHAnsi"/>
          <w:b/>
          <w:color w:val="000000" w:themeColor="text1"/>
        </w:rPr>
      </w:pPr>
      <w:r>
        <w:rPr>
          <w:rFonts w:ascii="Book Antiqua" w:hAnsi="Book Antiqua" w:cstheme="majorHAnsi"/>
          <w:b/>
          <w:color w:val="000000" w:themeColor="text1"/>
        </w:rPr>
        <w:t>Thesis,Web Page, and Others</w:t>
      </w:r>
    </w:p>
    <w:p w:rsidR="00731FF8" w:rsidRPr="00731FF8" w:rsidRDefault="00731FF8" w:rsidP="00731FF8">
      <w:pPr>
        <w:pStyle w:val="Heading3"/>
        <w:spacing w:before="0" w:after="0" w:line="240" w:lineRule="auto"/>
        <w:ind w:left="540" w:hanging="540"/>
        <w:jc w:val="both"/>
        <w:rPr>
          <w:rFonts w:ascii="Book Antiqua" w:hAnsi="Book Antiqua"/>
        </w:rPr>
      </w:pPr>
      <w:hyperlink r:id="rId12" w:history="1">
        <w:r w:rsidRPr="00731FF8">
          <w:rPr>
            <w:rStyle w:val="Hyperlink"/>
            <w:rFonts w:ascii="Book Antiqua" w:hAnsi="Book Antiqua"/>
            <w:color w:val="000000" w:themeColor="text1"/>
            <w:u w:val="none"/>
          </w:rPr>
          <w:t>https://www.merdeka.com/peristiwa/mahfud-md-vs-komisi-iii-bahas-transaksi-janggal-rp349-t-sampai-bawa-bawa-kepala-bin.html</w:t>
        </w:r>
      </w:hyperlink>
      <w:r w:rsidRPr="00731FF8">
        <w:rPr>
          <w:rFonts w:ascii="Book Antiqua" w:hAnsi="Book Antiqua"/>
          <w:color w:val="000000" w:themeColor="text1"/>
        </w:rPr>
        <w:t xml:space="preserve"> </w:t>
      </w:r>
      <w:r w:rsidRPr="00731FF8">
        <w:rPr>
          <w:rFonts w:ascii="Book Antiqua" w:hAnsi="Book Antiqua"/>
        </w:rPr>
        <w:t>diakses tanggal 4 April 2023</w:t>
      </w:r>
      <w:r w:rsidRPr="00731FF8">
        <w:rPr>
          <w:rFonts w:ascii="Book Antiqua" w:hAnsi="Book Antiqua"/>
        </w:rPr>
        <w:t>.</w:t>
      </w:r>
    </w:p>
    <w:p w:rsidR="00731FF8" w:rsidRPr="00731FF8" w:rsidRDefault="00731FF8" w:rsidP="00731FF8">
      <w:pPr>
        <w:pStyle w:val="Heading3"/>
        <w:spacing w:before="0" w:after="0" w:line="240" w:lineRule="auto"/>
        <w:ind w:left="540" w:hanging="540"/>
        <w:jc w:val="both"/>
        <w:rPr>
          <w:rFonts w:ascii="Book Antiqua" w:hAnsi="Book Antiqua"/>
        </w:rPr>
      </w:pPr>
      <w:r w:rsidRPr="00731FF8">
        <w:rPr>
          <w:rFonts w:ascii="Book Antiqua" w:hAnsi="Book Antiqua"/>
        </w:rPr>
        <w:t>Naskah Akademik Rancangan Undang-Undang tentang Perampasan Aset Tindak Pidana, Pusat Perencanaan Pembangunan Hukum Nasional Badan Pembinaan Hukum Nasional Kementrian Hukum dan Hak Asasi manusia Republik Indonesia, 2012, p. 13</w:t>
      </w:r>
    </w:p>
    <w:p w:rsidR="00731FF8" w:rsidRPr="00731FF8" w:rsidRDefault="00731FF8" w:rsidP="00731FF8">
      <w:pPr>
        <w:pStyle w:val="Heading3"/>
        <w:spacing w:before="0" w:after="0" w:line="240" w:lineRule="auto"/>
        <w:ind w:left="540" w:hanging="540"/>
        <w:jc w:val="both"/>
        <w:rPr>
          <w:rStyle w:val="markedcontent"/>
          <w:rFonts w:ascii="Book Antiqua" w:hAnsi="Book Antiqua"/>
        </w:rPr>
      </w:pPr>
      <w:r w:rsidRPr="00731FF8">
        <w:rPr>
          <w:rStyle w:val="markedcontent"/>
          <w:rFonts w:ascii="Book Antiqua" w:hAnsi="Book Antiqua"/>
        </w:rPr>
        <w:t>Undang-Undang Dasar Negara RepublikIndonesia Tahun 194</w:t>
      </w:r>
      <w:r w:rsidRPr="00731FF8">
        <w:rPr>
          <w:rStyle w:val="markedcontent"/>
          <w:rFonts w:ascii="Book Antiqua" w:hAnsi="Book Antiqua"/>
        </w:rPr>
        <w:t xml:space="preserve">6 </w:t>
      </w:r>
      <w:r w:rsidRPr="00731FF8">
        <w:rPr>
          <w:rStyle w:val="markedcontent"/>
          <w:rFonts w:ascii="Book Antiqua" w:hAnsi="Book Antiqua"/>
        </w:rPr>
        <w:t>(Kitab Undang-Undang Hukum</w:t>
      </w:r>
      <w:r w:rsidRPr="00731FF8">
        <w:rPr>
          <w:rFonts w:ascii="Book Antiqua" w:hAnsi="Book Antiqua"/>
        </w:rPr>
        <w:t xml:space="preserve"> </w:t>
      </w:r>
      <w:r w:rsidRPr="00731FF8">
        <w:rPr>
          <w:rStyle w:val="markedcontent"/>
          <w:rFonts w:ascii="Book Antiqua" w:hAnsi="Book Antiqua"/>
        </w:rPr>
        <w:t>Pidana KUHP).</w:t>
      </w:r>
    </w:p>
    <w:p w:rsidR="00731FF8" w:rsidRPr="00731FF8" w:rsidRDefault="00731FF8" w:rsidP="00731FF8">
      <w:pPr>
        <w:pStyle w:val="Heading3"/>
        <w:spacing w:before="0" w:after="0" w:line="240" w:lineRule="auto"/>
        <w:ind w:left="540" w:hanging="540"/>
        <w:jc w:val="both"/>
        <w:rPr>
          <w:rFonts w:ascii="Book Antiqua" w:hAnsi="Book Antiqua"/>
        </w:rPr>
      </w:pPr>
      <w:r w:rsidRPr="00731FF8">
        <w:rPr>
          <w:rFonts w:ascii="Book Antiqua" w:hAnsi="Book Antiqua"/>
        </w:rPr>
        <w:t>UU No. 8 Tahun 2010 Tentang Pencegahan dan Pemberantasan Tindak Pidana Pencucian Uang</w:t>
      </w:r>
    </w:p>
    <w:sectPr w:rsidR="00731FF8" w:rsidRPr="00731FF8" w:rsidSect="00B4626A">
      <w:headerReference w:type="even" r:id="rId13"/>
      <w:headerReference w:type="default" r:id="rId14"/>
      <w:footerReference w:type="even" r:id="rId15"/>
      <w:footerReference w:type="default" r:id="rId16"/>
      <w:headerReference w:type="first" r:id="rId17"/>
      <w:footerReference w:type="first" r:id="rId18"/>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41" w:rsidRDefault="005B0441" w:rsidP="00934130">
      <w:pPr>
        <w:spacing w:after="0" w:line="240" w:lineRule="auto"/>
      </w:pPr>
      <w:r>
        <w:separator/>
      </w:r>
    </w:p>
  </w:endnote>
  <w:endnote w:type="continuationSeparator" w:id="0">
    <w:p w:rsidR="005B0441" w:rsidRDefault="005B0441"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E02F8F" w:rsidRDefault="00E02F8F"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731FF8" w:rsidRPr="00731FF8">
          <w:rPr>
            <w:rFonts w:ascii="Book Antiqua" w:hAnsi="Book Antiqua"/>
            <w:bCs/>
            <w:noProof/>
            <w:color w:val="1F3864" w:themeColor="accent1" w:themeShade="80"/>
            <w:sz w:val="24"/>
          </w:rPr>
          <w:t>8</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E02F8F" w:rsidRPr="00185CD9" w:rsidRDefault="00E02F8F">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E02F8F" w:rsidRDefault="00E02F8F"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731FF8" w:rsidRPr="00731FF8">
          <w:rPr>
            <w:rFonts w:ascii="Book Antiqua" w:hAnsi="Book Antiqua"/>
            <w:b/>
            <w:bCs/>
            <w:noProof/>
            <w:color w:val="2F5496" w:themeColor="accent1" w:themeShade="BF"/>
            <w:sz w:val="24"/>
          </w:rPr>
          <w:t>9</w:t>
        </w:r>
        <w:r w:rsidRPr="00F14211">
          <w:rPr>
            <w:rFonts w:ascii="Book Antiqua" w:hAnsi="Book Antiqua"/>
            <w:b/>
            <w:bCs/>
            <w:noProof/>
            <w:color w:val="2F5496" w:themeColor="accent1" w:themeShade="BF"/>
            <w:sz w:val="24"/>
          </w:rPr>
          <w:fldChar w:fldCharType="end"/>
        </w:r>
        <w:r>
          <w:rPr>
            <w:b/>
            <w:bCs/>
          </w:rPr>
          <w:t xml:space="preserve"> |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E02F8F" w:rsidRPr="00185CD9" w:rsidRDefault="00E02F8F">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8F" w:rsidRDefault="00E02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41" w:rsidRDefault="005B0441" w:rsidP="00934130">
      <w:pPr>
        <w:spacing w:after="0" w:line="240" w:lineRule="auto"/>
      </w:pPr>
      <w:r>
        <w:separator/>
      </w:r>
    </w:p>
  </w:footnote>
  <w:footnote w:type="continuationSeparator" w:id="0">
    <w:p w:rsidR="005B0441" w:rsidRDefault="005B0441" w:rsidP="00934130">
      <w:pPr>
        <w:spacing w:after="0" w:line="240" w:lineRule="auto"/>
      </w:pPr>
      <w:r>
        <w:continuationSeparator/>
      </w:r>
    </w:p>
  </w:footnote>
  <w:footnote w:id="1">
    <w:p w:rsidR="00E02F8F" w:rsidRPr="007636E5" w:rsidRDefault="00E02F8F" w:rsidP="007636E5">
      <w:pPr>
        <w:pStyle w:val="NoSpacing"/>
        <w:ind w:firstLine="284"/>
        <w:rPr>
          <w:rFonts w:ascii="Times New Roman" w:hAnsi="Times New Roman"/>
          <w:color w:val="000000"/>
          <w:sz w:val="20"/>
          <w:szCs w:val="20"/>
          <w:u w:color="000000"/>
          <w:bdr w:val="nil"/>
          <w:lang w:eastAsia="fi-FI"/>
        </w:rPr>
      </w:pPr>
      <w:r w:rsidRPr="007636E5">
        <w:rPr>
          <w:rStyle w:val="FootnoteReference"/>
          <w:rFonts w:ascii="Times New Roman" w:hAnsi="Times New Roman"/>
          <w:sz w:val="20"/>
          <w:szCs w:val="20"/>
        </w:rPr>
        <w:footnoteRef/>
      </w:r>
      <w:r w:rsidRPr="007636E5">
        <w:rPr>
          <w:rFonts w:ascii="Times New Roman" w:hAnsi="Times New Roman"/>
          <w:sz w:val="20"/>
          <w:szCs w:val="20"/>
        </w:rPr>
        <w:t xml:space="preserve"> </w:t>
      </w:r>
      <w:r w:rsidR="007636E5" w:rsidRPr="007636E5">
        <w:rPr>
          <w:rStyle w:val="Heading3Char"/>
          <w:rFonts w:eastAsia="Calibri"/>
          <w:sz w:val="20"/>
          <w:szCs w:val="20"/>
        </w:rPr>
        <w:t xml:space="preserve">Eddy O.S. Hiariej, Pengembalian Aset Kejahatan, Jurnal Opinio Juris Vol. 13 Mei-Agustus 2013, pp. 4 lihat juga </w:t>
      </w:r>
      <w:r w:rsidRPr="007636E5">
        <w:rPr>
          <w:rFonts w:ascii="Times New Roman" w:hAnsi="Times New Roman"/>
          <w:sz w:val="20"/>
          <w:szCs w:val="20"/>
        </w:rPr>
        <w:t>Naskah Akademik Rancangan Undang-Undang tentang Perampasan Aset Tindak Pidana, Pusat Perencanaan Pembangunan Hukum Nasional Badan Pembinaan Hukum Nasional Kementrian Hukum dan Hak Asasi manusia Republik Indonesia, 2012, p</w:t>
      </w:r>
      <w:r w:rsidR="007636E5">
        <w:rPr>
          <w:rFonts w:ascii="Times New Roman" w:hAnsi="Times New Roman"/>
          <w:sz w:val="20"/>
          <w:szCs w:val="20"/>
        </w:rPr>
        <w:t>p</w:t>
      </w:r>
      <w:r w:rsidRPr="007636E5">
        <w:rPr>
          <w:rFonts w:ascii="Times New Roman" w:hAnsi="Times New Roman"/>
          <w:sz w:val="20"/>
          <w:szCs w:val="20"/>
        </w:rPr>
        <w:t>. 13</w:t>
      </w:r>
    </w:p>
  </w:footnote>
  <w:footnote w:id="2">
    <w:p w:rsidR="00E02F8F" w:rsidRPr="004B09E5" w:rsidRDefault="00E02F8F" w:rsidP="004B09E5">
      <w:pPr>
        <w:pStyle w:val="FootnoteText"/>
        <w:ind w:firstLine="284"/>
        <w:jc w:val="both"/>
      </w:pPr>
      <w:r>
        <w:rPr>
          <w:rStyle w:val="FootnoteReference"/>
        </w:rPr>
        <w:footnoteRef/>
      </w:r>
      <w:r>
        <w:t xml:space="preserve"> </w:t>
      </w:r>
      <w:r w:rsidRPr="004B09E5">
        <w:t>Walaupun subjek dari UNCAC adalah tindak pidana korupsi, hal tersebut menunjukkan pentingnya perampasan aset hasil tindak pidana, serta mekanisme yang ada dalam perampasan aset dalam tindak pidana korupsi tersebut dapat digunakan sebagai mekanisme umum untuk melakukan perampasan aset khususnya aset yang berada di luar wilayah terjadinya tindak pidana</w:t>
      </w:r>
    </w:p>
  </w:footnote>
  <w:footnote w:id="3">
    <w:p w:rsidR="00411449" w:rsidRPr="0056473A" w:rsidRDefault="00411449" w:rsidP="00411449">
      <w:pPr>
        <w:pStyle w:val="Heading3"/>
        <w:spacing w:before="0" w:after="0" w:line="240" w:lineRule="auto"/>
        <w:ind w:firstLine="284"/>
        <w:jc w:val="both"/>
      </w:pPr>
      <w:r>
        <w:rPr>
          <w:rStyle w:val="FootnoteReference"/>
        </w:rPr>
        <w:footnoteRef/>
      </w:r>
      <w:r>
        <w:t xml:space="preserve"> </w:t>
      </w:r>
      <w:r w:rsidRPr="00411449">
        <w:rPr>
          <w:sz w:val="20"/>
          <w:szCs w:val="20"/>
        </w:rPr>
        <w:t>Ariman Sitompul, Perampasan Aset Hasil Tindak Pidana Pencucian Uang Dengan Asal Pidana Korupsi ( Kajian Dalam Perspektif Hukum Islam, Malang :Mazda Media, 2020, pp. 20-25</w:t>
      </w:r>
    </w:p>
    <w:p w:rsidR="00411449" w:rsidRDefault="00411449">
      <w:pPr>
        <w:pStyle w:val="FootnoteText"/>
      </w:pPr>
    </w:p>
  </w:footnote>
  <w:footnote w:id="4">
    <w:p w:rsidR="00E02F8F" w:rsidRDefault="00E02F8F" w:rsidP="00E10B70">
      <w:pPr>
        <w:pStyle w:val="FootnoteText"/>
        <w:ind w:firstLine="284"/>
        <w:jc w:val="both"/>
      </w:pPr>
      <w:r>
        <w:rPr>
          <w:rStyle w:val="FootnoteReference"/>
        </w:rPr>
        <w:footnoteRef/>
      </w:r>
      <w:r>
        <w:t xml:space="preserve"> </w:t>
      </w:r>
      <w:hyperlink r:id="rId1" w:history="1">
        <w:r w:rsidRPr="00AA1073">
          <w:rPr>
            <w:rStyle w:val="Hyperlink"/>
            <w:color w:val="000000" w:themeColor="text1"/>
            <w:u w:val="none"/>
          </w:rPr>
          <w:t>https://www.merdeka.com/peristiwa/mahfud-md-vs-komisi-iii-bahas-transaksi-janggal-rp349-t-sampai-bawa-bawa-kepala-bin.html</w:t>
        </w:r>
      </w:hyperlink>
      <w:r w:rsidRPr="00AA1073">
        <w:rPr>
          <w:color w:val="000000" w:themeColor="text1"/>
        </w:rPr>
        <w:t xml:space="preserve"> </w:t>
      </w:r>
      <w:r>
        <w:t>diakses tanggal 4 April 2023</w:t>
      </w:r>
    </w:p>
  </w:footnote>
  <w:footnote w:id="5">
    <w:p w:rsidR="00E02F8F" w:rsidRPr="00AD2263" w:rsidRDefault="00E02F8F" w:rsidP="00E10B70">
      <w:pPr>
        <w:pStyle w:val="Heading3"/>
        <w:spacing w:before="0" w:after="0" w:line="240" w:lineRule="auto"/>
        <w:ind w:firstLine="284"/>
        <w:jc w:val="both"/>
        <w:rPr>
          <w:sz w:val="20"/>
          <w:szCs w:val="20"/>
        </w:rPr>
      </w:pPr>
      <w:r w:rsidRPr="00AD2263">
        <w:rPr>
          <w:rStyle w:val="FootnoteReference"/>
          <w:sz w:val="20"/>
          <w:szCs w:val="20"/>
        </w:rPr>
        <w:footnoteRef/>
      </w:r>
      <w:r w:rsidRPr="00AD2263">
        <w:rPr>
          <w:sz w:val="20"/>
          <w:szCs w:val="20"/>
        </w:rPr>
        <w:t xml:space="preserve"> Ariman Sitompul, Pagar Hasibuan, M. Sahnan,  </w:t>
      </w:r>
      <w:r w:rsidRPr="00AD2263">
        <w:rPr>
          <w:i/>
          <w:sz w:val="20"/>
          <w:szCs w:val="20"/>
        </w:rPr>
        <w:t>The Morality Of Law Enforcement Agencies (Police, Prosecutor’s Office, KPK) In Money Laundering With The Origin Of The Corruption</w:t>
      </w:r>
      <w:r w:rsidRPr="00AD2263">
        <w:rPr>
          <w:sz w:val="20"/>
          <w:szCs w:val="20"/>
        </w:rPr>
        <w:t>, European Law Review, ,Vol.9, No. 10 , 2021 pp. 55–63</w:t>
      </w:r>
      <w:r w:rsidR="00AD2263" w:rsidRPr="00AD2263">
        <w:rPr>
          <w:sz w:val="20"/>
          <w:szCs w:val="20"/>
        </w:rPr>
        <w:t xml:space="preserve">, lihat juga Ariman Sitompul, M. Nasir Sitompul, </w:t>
      </w:r>
      <w:r w:rsidR="00AD2263" w:rsidRPr="00AD2263">
        <w:rPr>
          <w:i/>
          <w:sz w:val="20"/>
          <w:szCs w:val="20"/>
        </w:rPr>
        <w:t>The Combination Of Money Laundering Crime With The Origin Of Narkotics Crime To Islamic Law</w:t>
      </w:r>
      <w:r w:rsidR="00AD2263" w:rsidRPr="00AD2263">
        <w:rPr>
          <w:sz w:val="20"/>
          <w:szCs w:val="20"/>
        </w:rPr>
        <w:t>. In Proceeding International Seminar of Islamic Studies , Vol. 1, No. 1 ,2020,pp.673</w:t>
      </w:r>
    </w:p>
  </w:footnote>
  <w:footnote w:id="6">
    <w:p w:rsidR="00E02F8F" w:rsidRPr="00611148" w:rsidRDefault="00E02F8F" w:rsidP="00E10B70">
      <w:pPr>
        <w:pStyle w:val="FootnoteText"/>
        <w:ind w:firstLine="284"/>
        <w:jc w:val="both"/>
      </w:pPr>
      <w:r>
        <w:rPr>
          <w:rStyle w:val="FootnoteReference"/>
        </w:rPr>
        <w:footnoteRef/>
      </w:r>
      <w:r>
        <w:t xml:space="preserve"> </w:t>
      </w:r>
      <w:r>
        <w:rPr>
          <w:rStyle w:val="markedcontent"/>
        </w:rPr>
        <w:t xml:space="preserve">Ediwarman, Metode Penelitian Hukum (Panduan Penulisan Skripsidan Disertasi), </w:t>
      </w:r>
      <w:r w:rsidRPr="00611148">
        <w:rPr>
          <w:rStyle w:val="markedcontent"/>
        </w:rPr>
        <w:t xml:space="preserve"> Yogyakarta: </w:t>
      </w:r>
      <w:r>
        <w:rPr>
          <w:rStyle w:val="markedcontent"/>
        </w:rPr>
        <w:t>Genta Publising, 2016,</w:t>
      </w:r>
      <w:r w:rsidRPr="00611148">
        <w:rPr>
          <w:rStyle w:val="markedcontent"/>
        </w:rPr>
        <w:t xml:space="preserve"> </w:t>
      </w:r>
      <w:r w:rsidR="007636E5">
        <w:rPr>
          <w:rStyle w:val="markedcontent"/>
        </w:rPr>
        <w:t>pp</w:t>
      </w:r>
      <w:r w:rsidRPr="00611148">
        <w:rPr>
          <w:rStyle w:val="markedcontent"/>
        </w:rPr>
        <w:t xml:space="preserve">. </w:t>
      </w:r>
      <w:r>
        <w:rPr>
          <w:rStyle w:val="markedcontent"/>
        </w:rPr>
        <w:t>14</w:t>
      </w:r>
      <w:r w:rsidRPr="00611148">
        <w:rPr>
          <w:rStyle w:val="markedcontent"/>
        </w:rPr>
        <w:t>.</w:t>
      </w:r>
    </w:p>
  </w:footnote>
  <w:footnote w:id="7">
    <w:p w:rsidR="00E02F8F" w:rsidRDefault="00E02F8F" w:rsidP="00E10B70">
      <w:pPr>
        <w:pStyle w:val="FootnoteText"/>
        <w:ind w:firstLine="284"/>
        <w:jc w:val="both"/>
      </w:pPr>
      <w:r>
        <w:rPr>
          <w:rStyle w:val="FootnoteReference"/>
        </w:rPr>
        <w:footnoteRef/>
      </w:r>
      <w:r>
        <w:t xml:space="preserve"> Ariman Sitompul, Metode Penelitian Hukum Normatif, </w:t>
      </w:r>
      <w:r w:rsidRPr="00611148">
        <w:rPr>
          <w:rStyle w:val="markedcontent"/>
        </w:rPr>
        <w:t xml:space="preserve">Yogyakarta: </w:t>
      </w:r>
      <w:r>
        <w:rPr>
          <w:rStyle w:val="markedcontent"/>
        </w:rPr>
        <w:t>Mazda Media, 2022</w:t>
      </w:r>
      <w:r w:rsidR="007636E5">
        <w:rPr>
          <w:rStyle w:val="markedcontent"/>
        </w:rPr>
        <w:t>,</w:t>
      </w:r>
      <w:r w:rsidRPr="00611148">
        <w:rPr>
          <w:rStyle w:val="markedcontent"/>
        </w:rPr>
        <w:t xml:space="preserve"> </w:t>
      </w:r>
      <w:r w:rsidR="007636E5">
        <w:rPr>
          <w:rStyle w:val="markedcontent"/>
        </w:rPr>
        <w:t>pp</w:t>
      </w:r>
      <w:r w:rsidRPr="00611148">
        <w:rPr>
          <w:rStyle w:val="markedcontent"/>
        </w:rPr>
        <w:t xml:space="preserve">. </w:t>
      </w:r>
      <w:r>
        <w:rPr>
          <w:rStyle w:val="markedcontent"/>
        </w:rPr>
        <w:t>106</w:t>
      </w:r>
      <w:r w:rsidRPr="00611148">
        <w:rPr>
          <w:rStyle w:val="markedcontent"/>
        </w:rPr>
        <w:t>.</w:t>
      </w:r>
    </w:p>
  </w:footnote>
  <w:footnote w:id="8">
    <w:p w:rsidR="00E10B70" w:rsidRPr="00E10B70" w:rsidRDefault="00E10B70" w:rsidP="00E10B70">
      <w:pPr>
        <w:pStyle w:val="Heading3"/>
        <w:spacing w:before="0" w:after="0" w:line="240" w:lineRule="auto"/>
        <w:ind w:firstLine="284"/>
        <w:jc w:val="both"/>
        <w:rPr>
          <w:sz w:val="20"/>
          <w:szCs w:val="20"/>
        </w:rPr>
      </w:pPr>
      <w:r w:rsidRPr="00E10B70">
        <w:rPr>
          <w:rStyle w:val="FootnoteReference"/>
          <w:sz w:val="20"/>
          <w:szCs w:val="20"/>
        </w:rPr>
        <w:footnoteRef/>
      </w:r>
      <w:r w:rsidRPr="00E10B70">
        <w:rPr>
          <w:sz w:val="20"/>
          <w:szCs w:val="20"/>
        </w:rPr>
        <w:t xml:space="preserve"> Tumiwa, Adrian F. Tindak Pidana Pencucian Uang Dalam Pespektif Undang-Undang No. 8 Tahun 2010 Tentang Pencegahan dan Pemberantasan Tindak Pidana Pencucian Uang. Jurnal Lex Crimen,Vol.7,No.2,2018, pp.74-80.</w:t>
      </w:r>
    </w:p>
    <w:p w:rsidR="00E10B70" w:rsidRDefault="00E10B70">
      <w:pPr>
        <w:pStyle w:val="FootnoteText"/>
      </w:pPr>
    </w:p>
  </w:footnote>
  <w:footnote w:id="9">
    <w:p w:rsidR="00C707B8" w:rsidRPr="00C707B8" w:rsidRDefault="00C707B8" w:rsidP="00C707B8">
      <w:pPr>
        <w:pStyle w:val="Heading3"/>
        <w:spacing w:before="0" w:after="0" w:line="240" w:lineRule="auto"/>
        <w:ind w:firstLine="284"/>
        <w:jc w:val="both"/>
        <w:rPr>
          <w:sz w:val="20"/>
          <w:szCs w:val="20"/>
        </w:rPr>
      </w:pPr>
      <w:r w:rsidRPr="00C707B8">
        <w:rPr>
          <w:rStyle w:val="FootnoteReference"/>
          <w:sz w:val="20"/>
          <w:szCs w:val="20"/>
        </w:rPr>
        <w:footnoteRef/>
      </w:r>
      <w:r w:rsidRPr="00C707B8">
        <w:rPr>
          <w:sz w:val="20"/>
          <w:szCs w:val="20"/>
        </w:rPr>
        <w:t xml:space="preserve"> Ariman Sitompul, Firman Halawa, Sabela Gayo, Hukum Pencucian Uang  Kajian Teori, Praktek dan Perkembangannya, Malang :Mazda Media, 2020, pp. 130</w:t>
      </w:r>
    </w:p>
  </w:footnote>
  <w:footnote w:id="10">
    <w:p w:rsidR="00E02F8F" w:rsidRPr="00DB1B7D" w:rsidRDefault="00E02F8F" w:rsidP="00A73C61">
      <w:pPr>
        <w:pStyle w:val="Heading3"/>
        <w:spacing w:before="0" w:after="0" w:line="240" w:lineRule="auto"/>
        <w:ind w:firstLine="284"/>
        <w:jc w:val="both"/>
        <w:rPr>
          <w:sz w:val="20"/>
          <w:szCs w:val="20"/>
        </w:rPr>
      </w:pPr>
      <w:r w:rsidRPr="00AD2263">
        <w:rPr>
          <w:rStyle w:val="FootnoteReference"/>
          <w:sz w:val="20"/>
          <w:szCs w:val="20"/>
        </w:rPr>
        <w:footnoteRef/>
      </w:r>
      <w:r w:rsidRPr="00AD2263">
        <w:rPr>
          <w:sz w:val="20"/>
          <w:szCs w:val="20"/>
        </w:rPr>
        <w:t xml:space="preserve"> </w:t>
      </w:r>
      <w:r w:rsidRPr="00AD2263">
        <w:rPr>
          <w:rStyle w:val="Heading3Char"/>
          <w:rFonts w:eastAsia="Calibri"/>
          <w:sz w:val="20"/>
          <w:szCs w:val="20"/>
        </w:rPr>
        <w:t>Barbara Vettori, T</w:t>
      </w:r>
      <w:r w:rsidRPr="00AD2263">
        <w:rPr>
          <w:rStyle w:val="Heading3Char"/>
          <w:rFonts w:eastAsia="Calibri"/>
          <w:i/>
          <w:sz w:val="20"/>
          <w:szCs w:val="20"/>
        </w:rPr>
        <w:t>ough on Criminal Weakth Exploring the Practice of Proceeds from Crime Confiscation in the EU</w:t>
      </w:r>
      <w:r w:rsidRPr="00AD2263">
        <w:rPr>
          <w:i/>
          <w:w w:val="90"/>
          <w:sz w:val="20"/>
          <w:szCs w:val="20"/>
        </w:rPr>
        <w:t>,</w:t>
      </w:r>
      <w:r w:rsidRPr="00AD2263">
        <w:rPr>
          <w:spacing w:val="1"/>
          <w:w w:val="90"/>
          <w:sz w:val="20"/>
          <w:szCs w:val="20"/>
        </w:rPr>
        <w:t xml:space="preserve"> </w:t>
      </w:r>
      <w:r w:rsidRPr="00AD2263">
        <w:rPr>
          <w:sz w:val="20"/>
          <w:szCs w:val="20"/>
        </w:rPr>
        <w:t>Doordrecht:</w:t>
      </w:r>
      <w:r w:rsidRPr="00AD2263">
        <w:rPr>
          <w:spacing w:val="-2"/>
          <w:sz w:val="20"/>
          <w:szCs w:val="20"/>
        </w:rPr>
        <w:t xml:space="preserve"> </w:t>
      </w:r>
      <w:r w:rsidRPr="00AD2263">
        <w:rPr>
          <w:sz w:val="20"/>
          <w:szCs w:val="20"/>
        </w:rPr>
        <w:t>Springer,</w:t>
      </w:r>
      <w:r w:rsidRPr="00AD2263">
        <w:rPr>
          <w:spacing w:val="-1"/>
          <w:sz w:val="20"/>
          <w:szCs w:val="20"/>
        </w:rPr>
        <w:t xml:space="preserve"> </w:t>
      </w:r>
      <w:r w:rsidRPr="00AD2263">
        <w:rPr>
          <w:sz w:val="20"/>
          <w:szCs w:val="20"/>
        </w:rPr>
        <w:t>2006,</w:t>
      </w:r>
      <w:r w:rsidRPr="00AD2263">
        <w:rPr>
          <w:spacing w:val="-2"/>
          <w:sz w:val="20"/>
          <w:szCs w:val="20"/>
        </w:rPr>
        <w:t xml:space="preserve"> </w:t>
      </w:r>
      <w:r w:rsidRPr="00AD2263">
        <w:rPr>
          <w:sz w:val="20"/>
          <w:szCs w:val="20"/>
        </w:rPr>
        <w:t>p.</w:t>
      </w:r>
      <w:r w:rsidRPr="00AD2263">
        <w:rPr>
          <w:spacing w:val="-1"/>
          <w:sz w:val="20"/>
          <w:szCs w:val="20"/>
        </w:rPr>
        <w:t xml:space="preserve"> </w:t>
      </w:r>
      <w:r w:rsidRPr="00AD2263">
        <w:rPr>
          <w:sz w:val="20"/>
          <w:szCs w:val="20"/>
        </w:rPr>
        <w:t>8-11.</w:t>
      </w:r>
      <w:r w:rsidR="00AD2263" w:rsidRPr="00AD2263">
        <w:rPr>
          <w:sz w:val="20"/>
          <w:szCs w:val="20"/>
        </w:rPr>
        <w:t xml:space="preserve"> Lihat juga Fitriyana, Pertanggungjawaban Partai Politik Dalam Tindak Pidana Pencucian Uang. Jurist Diction, Vol.2, No.4, 2019, pp.1319–1337.</w:t>
      </w:r>
    </w:p>
  </w:footnote>
  <w:footnote w:id="11">
    <w:p w:rsidR="00A73C61" w:rsidRPr="00A73C61" w:rsidRDefault="00A73C61" w:rsidP="00A73C61">
      <w:pPr>
        <w:pStyle w:val="FootnoteText"/>
        <w:ind w:firstLine="284"/>
        <w:jc w:val="both"/>
      </w:pPr>
      <w:r w:rsidRPr="00A73C61">
        <w:rPr>
          <w:rStyle w:val="FootnoteReference"/>
        </w:rPr>
        <w:footnoteRef/>
      </w:r>
      <w:r w:rsidRPr="00A73C61">
        <w:t xml:space="preserve"> Murniyanti,Sahuri Lasmadi, Tri Imam Munandar, Kewenagan Penuntutan Komisi Pemberantasan Korupsi Terhadap Tindak Pidana Pencucian Uang, Pampas Journal Of Criminal Law, Vol.</w:t>
      </w:r>
      <w:r w:rsidR="0001410E">
        <w:t xml:space="preserve"> </w:t>
      </w:r>
      <w:r w:rsidRPr="00A73C61">
        <w:t>3 , No. 2, 2022, pp.169</w:t>
      </w:r>
    </w:p>
  </w:footnote>
  <w:footnote w:id="12">
    <w:p w:rsidR="00E02F8F" w:rsidRPr="00AD2263" w:rsidRDefault="00E02F8F" w:rsidP="00AD2263">
      <w:pPr>
        <w:pStyle w:val="Heading3"/>
        <w:spacing w:before="0" w:after="0" w:line="240" w:lineRule="auto"/>
        <w:ind w:firstLine="284"/>
        <w:jc w:val="both"/>
        <w:rPr>
          <w:sz w:val="20"/>
          <w:szCs w:val="20"/>
        </w:rPr>
      </w:pPr>
      <w:r w:rsidRPr="00AD2263">
        <w:rPr>
          <w:rStyle w:val="FootnoteReference"/>
          <w:sz w:val="20"/>
          <w:szCs w:val="20"/>
        </w:rPr>
        <w:footnoteRef/>
      </w:r>
      <w:r w:rsidRPr="00AD2263">
        <w:rPr>
          <w:sz w:val="20"/>
          <w:szCs w:val="20"/>
        </w:rPr>
        <w:t>. David Scoott Romantz, “”Civil Forfeiture and The Constitution: A Legislative Abrogation of Right and The Judicial Response: The Guilt of The Res, 28th Suffolk University Law Review, 1994, p.. 390.</w:t>
      </w:r>
      <w:r w:rsidR="00AD2263" w:rsidRPr="00AD2263">
        <w:rPr>
          <w:sz w:val="20"/>
          <w:szCs w:val="20"/>
        </w:rPr>
        <w:t xml:space="preserve"> Lihat juga Ariman Sitompul, Arie Kartika, Windy Sri Wahyuni, Maswandi, </w:t>
      </w:r>
      <w:r w:rsidR="00AD2263" w:rsidRPr="00AD2263">
        <w:rPr>
          <w:i/>
          <w:sz w:val="20"/>
          <w:szCs w:val="20"/>
        </w:rPr>
        <w:t>Money Laundering In The Persepektif  Law In The System Of Proof</w:t>
      </w:r>
      <w:r w:rsidR="00AD2263" w:rsidRPr="00AD2263">
        <w:rPr>
          <w:sz w:val="20"/>
          <w:szCs w:val="20"/>
        </w:rPr>
        <w:t>, Justitia Islamica, Vol. 19,No.2, 2022, pp. 285-287</w:t>
      </w:r>
    </w:p>
  </w:footnote>
  <w:footnote w:id="13">
    <w:p w:rsidR="00E02F8F" w:rsidRPr="007A0995" w:rsidRDefault="00E02F8F" w:rsidP="007A0995">
      <w:pPr>
        <w:pStyle w:val="Heading3"/>
        <w:spacing w:before="0" w:after="0" w:line="240" w:lineRule="auto"/>
        <w:ind w:firstLine="284"/>
        <w:jc w:val="both"/>
        <w:rPr>
          <w:sz w:val="20"/>
          <w:szCs w:val="20"/>
        </w:rPr>
      </w:pPr>
      <w:r w:rsidRPr="007A0995">
        <w:rPr>
          <w:rStyle w:val="Hyperlink"/>
          <w:color w:val="000000" w:themeColor="text1"/>
          <w:sz w:val="20"/>
          <w:szCs w:val="20"/>
          <w:u w:val="none"/>
        </w:rPr>
        <w:footnoteRef/>
      </w:r>
      <w:r w:rsidRPr="007A0995">
        <w:rPr>
          <w:rStyle w:val="Hyperlink"/>
          <w:color w:val="000000" w:themeColor="text1"/>
          <w:sz w:val="20"/>
          <w:szCs w:val="20"/>
          <w:u w:val="none"/>
        </w:rPr>
        <w:t xml:space="preserve"> Theodore S. Greenberg, Linda M. Samuel, Wingate Grand, and Larissa Gray, Stolen Asset Recovery, A Good Practices Guide for Non-Conviction Based Asset Forfeiture, Washington D.C.: The World Bank &amp; UNODC, 2009, p. 18 lihat juga </w:t>
      </w:r>
      <w:r w:rsidRPr="007A0995">
        <w:rPr>
          <w:sz w:val="20"/>
          <w:szCs w:val="20"/>
        </w:rPr>
        <w:t xml:space="preserve">Mhd. Nasir Sitompul, Ariman Sitompul, </w:t>
      </w:r>
      <w:r w:rsidRPr="007A0995">
        <w:rPr>
          <w:i/>
          <w:sz w:val="20"/>
          <w:szCs w:val="20"/>
        </w:rPr>
        <w:t>Execution Of Death Penalty In Narcotics Crime In The Perspektif Of National Law In Indonesia</w:t>
      </w:r>
      <w:r w:rsidRPr="007A0995">
        <w:rPr>
          <w:sz w:val="20"/>
          <w:szCs w:val="20"/>
        </w:rPr>
        <w:t>. , International Asia Of Law And Money Laundering,Vol. 1,No.2, 2022, pp.110</w:t>
      </w:r>
    </w:p>
    <w:p w:rsidR="00E02F8F" w:rsidRPr="007A0995" w:rsidRDefault="00E02F8F" w:rsidP="007A0995">
      <w:pPr>
        <w:pStyle w:val="FootnoteText"/>
        <w:ind w:left="720"/>
        <w:jc w:val="both"/>
        <w:rPr>
          <w:rStyle w:val="Hyperlink"/>
          <w:color w:val="000000" w:themeColor="text1"/>
          <w:u w:val="none"/>
        </w:rPr>
      </w:pPr>
    </w:p>
  </w:footnote>
  <w:footnote w:id="14">
    <w:p w:rsidR="00E02F8F" w:rsidRPr="00E10B70" w:rsidRDefault="00E02F8F" w:rsidP="00E10B70">
      <w:pPr>
        <w:pStyle w:val="Heading3"/>
        <w:spacing w:before="0" w:after="0" w:line="240" w:lineRule="auto"/>
        <w:ind w:firstLine="284"/>
        <w:jc w:val="both"/>
        <w:rPr>
          <w:sz w:val="20"/>
          <w:szCs w:val="20"/>
        </w:rPr>
      </w:pPr>
      <w:r w:rsidRPr="00E02F8F">
        <w:rPr>
          <w:rStyle w:val="FootnoteReference"/>
          <w:sz w:val="20"/>
          <w:szCs w:val="20"/>
        </w:rPr>
        <w:footnoteRef/>
      </w:r>
      <w:r w:rsidRPr="00E02F8F">
        <w:rPr>
          <w:sz w:val="20"/>
          <w:szCs w:val="20"/>
        </w:rPr>
        <w:t xml:space="preserve"> Sumadi, Telaah Kasus Pencucian Uang Dalam Tinjaun Ekonomi Syariah, Jurnal Ilmiah Ekonomi Islam,Vol. 3,No.3, 2017, pp 18</w:t>
      </w:r>
      <w:r w:rsidR="00E10B70">
        <w:rPr>
          <w:sz w:val="20"/>
          <w:szCs w:val="20"/>
        </w:rPr>
        <w:t>8</w:t>
      </w:r>
    </w:p>
  </w:footnote>
  <w:footnote w:id="15">
    <w:p w:rsidR="00E10B70" w:rsidRPr="00E10B70" w:rsidRDefault="00E10B70" w:rsidP="00E10B70">
      <w:pPr>
        <w:pStyle w:val="Heading3"/>
        <w:spacing w:before="0" w:after="0" w:line="240" w:lineRule="auto"/>
        <w:ind w:firstLine="284"/>
        <w:jc w:val="both"/>
        <w:rPr>
          <w:sz w:val="20"/>
          <w:szCs w:val="20"/>
        </w:rPr>
      </w:pPr>
      <w:r w:rsidRPr="00E10B70">
        <w:rPr>
          <w:rStyle w:val="FootnoteReference"/>
          <w:sz w:val="20"/>
          <w:szCs w:val="20"/>
        </w:rPr>
        <w:footnoteRef/>
      </w:r>
      <w:r w:rsidRPr="00E10B70">
        <w:rPr>
          <w:sz w:val="20"/>
          <w:szCs w:val="20"/>
        </w:rPr>
        <w:t xml:space="preserve"> Nur Atika, Kewenangan Jaksa Dalam Perkara Tindak Pidana Pencucian Uang, Jurnal Cakrawala Ilmiah, Vol. 2, No. 7, 2023, pp. 3054</w:t>
      </w:r>
    </w:p>
    <w:p w:rsidR="00E10B70" w:rsidRDefault="00E10B70">
      <w:pPr>
        <w:pStyle w:val="FootnoteText"/>
      </w:pPr>
    </w:p>
  </w:footnote>
  <w:footnote w:id="16">
    <w:p w:rsidR="00E10B70" w:rsidRPr="00E10B70" w:rsidRDefault="00E10B70" w:rsidP="00E10B70">
      <w:pPr>
        <w:pStyle w:val="Heading3"/>
        <w:spacing w:before="0" w:after="0" w:line="240" w:lineRule="auto"/>
        <w:ind w:firstLine="284"/>
        <w:jc w:val="both"/>
        <w:rPr>
          <w:sz w:val="20"/>
          <w:szCs w:val="20"/>
        </w:rPr>
      </w:pPr>
      <w:r w:rsidRPr="00E10B70">
        <w:rPr>
          <w:rStyle w:val="FootnoteReference"/>
          <w:sz w:val="20"/>
          <w:szCs w:val="20"/>
        </w:rPr>
        <w:footnoteRef/>
      </w:r>
      <w:r w:rsidRPr="00E10B70">
        <w:rPr>
          <w:sz w:val="20"/>
          <w:szCs w:val="20"/>
        </w:rPr>
        <w:t xml:space="preserve"> Muh. Afdal Yanuar, Diskursus Antara Kedudukan Delik Pencucian Uang Sebagai Independent Crime Dengan Sebagai Follow Up Crime Pasca Putusan MK Nomor 90/PUU-XIII/2015. Jurnal Konstitusi, Vol.16, No.4,2019, pp.721–739</w:t>
      </w:r>
    </w:p>
  </w:footnote>
  <w:footnote w:id="17">
    <w:p w:rsidR="00E02F8F" w:rsidRPr="00E02F8F" w:rsidRDefault="00E02F8F" w:rsidP="00E10B70">
      <w:pPr>
        <w:pStyle w:val="Heading3"/>
        <w:spacing w:before="0" w:after="0" w:line="240" w:lineRule="auto"/>
        <w:ind w:firstLine="284"/>
        <w:jc w:val="both"/>
        <w:rPr>
          <w:sz w:val="20"/>
          <w:szCs w:val="20"/>
        </w:rPr>
      </w:pPr>
      <w:r w:rsidRPr="00E02F8F">
        <w:rPr>
          <w:rStyle w:val="FootnoteReference"/>
          <w:sz w:val="20"/>
          <w:szCs w:val="20"/>
        </w:rPr>
        <w:footnoteRef/>
      </w:r>
      <w:r w:rsidRPr="00E02F8F">
        <w:rPr>
          <w:sz w:val="20"/>
          <w:szCs w:val="20"/>
        </w:rPr>
        <w:t xml:space="preserve"> Rangganata adi,dkk, Studi Komparasi  Tindak Pidana Pencucian Uang Di Indonesaia dan Malaysia, Jurnal Pembangunan Hukum Indonesia ,Vol.4,No.2,2022,pp.231</w:t>
      </w:r>
    </w:p>
  </w:footnote>
  <w:footnote w:id="18">
    <w:p w:rsidR="00E02F8F" w:rsidRDefault="00E02F8F" w:rsidP="00E10B70">
      <w:pPr>
        <w:pStyle w:val="FootnoteText"/>
        <w:ind w:firstLine="284"/>
        <w:jc w:val="both"/>
      </w:pPr>
      <w:r>
        <w:rPr>
          <w:rStyle w:val="FootnoteReference"/>
        </w:rPr>
        <w:footnoteRef/>
      </w:r>
      <w:r>
        <w:t xml:space="preserve"> </w:t>
      </w:r>
      <w:r>
        <w:rPr>
          <w:rFonts w:ascii="Book Antiqua" w:hAnsi="Book Antiqua" w:cs="Tahoma"/>
        </w:rPr>
        <w:t>Kusbianto, Ariman Sitompul, Adiputra, Miftahuddin</w:t>
      </w:r>
      <w:r w:rsidRPr="007A0995">
        <w:rPr>
          <w:rFonts w:ascii="Book Antiqua" w:hAnsi="Book Antiqua" w:cs="Tahoma"/>
        </w:rPr>
        <w:t xml:space="preserve">, </w:t>
      </w:r>
      <w:r w:rsidRPr="007A0995">
        <w:rPr>
          <w:rFonts w:ascii="Book Antiqua" w:hAnsi="Book Antiqua" w:cs="Tahoma"/>
          <w:i/>
        </w:rPr>
        <w:t>The Impact Of Criminal Police On Money Laundering Against The Resilence Of The Law</w:t>
      </w:r>
      <w:r w:rsidRPr="007A0995">
        <w:rPr>
          <w:rFonts w:ascii="Book Antiqua" w:hAnsi="Book Antiqua" w:cs="Tahoma"/>
        </w:rPr>
        <w:t xml:space="preserve">. Substantive Justice International Journal </w:t>
      </w:r>
      <w:r>
        <w:rPr>
          <w:rFonts w:ascii="Book Antiqua" w:hAnsi="Book Antiqua" w:cs="Tahoma"/>
        </w:rPr>
        <w:t>Of Law,Vol.5, No.2, 2022, pp.164</w:t>
      </w:r>
    </w:p>
  </w:footnote>
  <w:footnote w:id="19">
    <w:p w:rsidR="00E10B70" w:rsidRDefault="00E10B70" w:rsidP="00E10B70">
      <w:pPr>
        <w:pStyle w:val="FootnoteText"/>
        <w:ind w:firstLine="284"/>
        <w:jc w:val="both"/>
      </w:pPr>
      <w:r>
        <w:rPr>
          <w:rStyle w:val="FootnoteReference"/>
        </w:rPr>
        <w:footnoteRef/>
      </w:r>
      <w:r>
        <w:t xml:space="preserve"> Kebijakan Kriminal Dalam Sistem Perddilan Serta Penanggulangan Kejahatan di Indonesia, Malang, Mazda Media, 2023, pp 146-148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8F" w:rsidRDefault="00E02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8F" w:rsidRDefault="00E02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F8F" w:rsidRPr="000D479C" w:rsidRDefault="00E02F8F"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7DF3F7AA" wp14:editId="13712767">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77014A98" wp14:editId="0797A18F">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2F8F" w:rsidRPr="0026676C" w:rsidRDefault="00E02F8F"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E02F8F" w:rsidRPr="0026676C" w:rsidRDefault="00E02F8F"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5F1D93A2" wp14:editId="0CB59FE5">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E02F8F" w:rsidRPr="00EB46BA" w:rsidRDefault="00E02F8F"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E02F8F" w:rsidRPr="00D571BD" w:rsidRDefault="00E02F8F"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2EC3D934" wp14:editId="2A705E88">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B46BA">
      <w:rPr>
        <w:rFonts w:ascii="Book Antiqua" w:hAnsi="Book Antiqua" w:cstheme="majorHAnsi"/>
        <w:color w:val="000000" w:themeColor="text1"/>
        <w:sz w:val="20"/>
        <w:szCs w:val="20"/>
      </w:rPr>
      <w:t>P-ISSN: 1693-0061, E-ISSN: 2614-2961</w:t>
    </w:r>
  </w:p>
  <w:p w:rsidR="00E02F8F" w:rsidRDefault="00E02F8F"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33E75B8D" wp14:editId="4DB00963">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F8F" w:rsidRPr="00B4626A" w:rsidRDefault="005B0441" w:rsidP="00B4626A">
    <w:pPr>
      <w:spacing w:after="20"/>
      <w:ind w:right="707"/>
      <w:jc w:val="right"/>
      <w:rPr>
        <w:rFonts w:ascii="Book Antiqua" w:hAnsi="Book Antiqua"/>
        <w:color w:val="2F5496" w:themeColor="accent1" w:themeShade="BF"/>
        <w:sz w:val="18"/>
      </w:rPr>
    </w:pPr>
    <w:hyperlink r:id="rId5" w:history="1">
      <w:r w:rsidR="00E02F8F"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3">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7">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9">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7"/>
  </w:num>
  <w:num w:numId="4">
    <w:abstractNumId w:val="12"/>
  </w:num>
  <w:num w:numId="5">
    <w:abstractNumId w:val="18"/>
  </w:num>
  <w:num w:numId="6">
    <w:abstractNumId w:val="0"/>
  </w:num>
  <w:num w:numId="7">
    <w:abstractNumId w:val="4"/>
  </w:num>
  <w:num w:numId="8">
    <w:abstractNumId w:val="3"/>
  </w:num>
  <w:num w:numId="9">
    <w:abstractNumId w:val="2"/>
  </w:num>
  <w:num w:numId="10">
    <w:abstractNumId w:val="1"/>
  </w:num>
  <w:num w:numId="11">
    <w:abstractNumId w:val="6"/>
  </w:num>
  <w:num w:numId="12">
    <w:abstractNumId w:val="13"/>
  </w:num>
  <w:num w:numId="13">
    <w:abstractNumId w:val="20"/>
  </w:num>
  <w:num w:numId="14">
    <w:abstractNumId w:val="19"/>
  </w:num>
  <w:num w:numId="15">
    <w:abstractNumId w:val="11"/>
  </w:num>
  <w:num w:numId="16">
    <w:abstractNumId w:val="14"/>
  </w:num>
  <w:num w:numId="17">
    <w:abstractNumId w:val="5"/>
  </w:num>
  <w:num w:numId="18">
    <w:abstractNumId w:val="8"/>
  </w:num>
  <w:num w:numId="19">
    <w:abstractNumId w:val="21"/>
  </w:num>
  <w:num w:numId="20">
    <w:abstractNumId w:val="23"/>
  </w:num>
  <w:num w:numId="21">
    <w:abstractNumId w:val="9"/>
  </w:num>
  <w:num w:numId="22">
    <w:abstractNumId w:val="24"/>
  </w:num>
  <w:num w:numId="23">
    <w:abstractNumId w:val="17"/>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10E"/>
    <w:rsid w:val="00014A2C"/>
    <w:rsid w:val="00016756"/>
    <w:rsid w:val="00023880"/>
    <w:rsid w:val="00023DA6"/>
    <w:rsid w:val="00025250"/>
    <w:rsid w:val="00033B48"/>
    <w:rsid w:val="000351B3"/>
    <w:rsid w:val="000432D6"/>
    <w:rsid w:val="00046A90"/>
    <w:rsid w:val="00046AF5"/>
    <w:rsid w:val="00050546"/>
    <w:rsid w:val="00052E06"/>
    <w:rsid w:val="00052FE5"/>
    <w:rsid w:val="000554A5"/>
    <w:rsid w:val="0005601A"/>
    <w:rsid w:val="00063C82"/>
    <w:rsid w:val="000715EA"/>
    <w:rsid w:val="000775E8"/>
    <w:rsid w:val="000822BD"/>
    <w:rsid w:val="00087494"/>
    <w:rsid w:val="000966C8"/>
    <w:rsid w:val="00096B1F"/>
    <w:rsid w:val="0009788A"/>
    <w:rsid w:val="000A05AE"/>
    <w:rsid w:val="000A091C"/>
    <w:rsid w:val="000A2E97"/>
    <w:rsid w:val="000A5878"/>
    <w:rsid w:val="000A6447"/>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4A19"/>
    <w:rsid w:val="000F52F9"/>
    <w:rsid w:val="000F7008"/>
    <w:rsid w:val="00102D34"/>
    <w:rsid w:val="0010788E"/>
    <w:rsid w:val="00107893"/>
    <w:rsid w:val="001161B0"/>
    <w:rsid w:val="00116CDD"/>
    <w:rsid w:val="00123CDB"/>
    <w:rsid w:val="001242D9"/>
    <w:rsid w:val="00124D8C"/>
    <w:rsid w:val="0013451D"/>
    <w:rsid w:val="00136A1D"/>
    <w:rsid w:val="00141890"/>
    <w:rsid w:val="00141AEB"/>
    <w:rsid w:val="00141B61"/>
    <w:rsid w:val="0014772F"/>
    <w:rsid w:val="001520B9"/>
    <w:rsid w:val="001539AC"/>
    <w:rsid w:val="001624DD"/>
    <w:rsid w:val="00167C17"/>
    <w:rsid w:val="00167CC3"/>
    <w:rsid w:val="001720AE"/>
    <w:rsid w:val="00177044"/>
    <w:rsid w:val="00180645"/>
    <w:rsid w:val="00184949"/>
    <w:rsid w:val="00185CD9"/>
    <w:rsid w:val="001A42EB"/>
    <w:rsid w:val="001A54A2"/>
    <w:rsid w:val="001A55CA"/>
    <w:rsid w:val="001A6FE1"/>
    <w:rsid w:val="001B027D"/>
    <w:rsid w:val="001B0BE9"/>
    <w:rsid w:val="001B402D"/>
    <w:rsid w:val="001B4FFE"/>
    <w:rsid w:val="001B7BE7"/>
    <w:rsid w:val="001C13EC"/>
    <w:rsid w:val="001D204F"/>
    <w:rsid w:val="001E0B40"/>
    <w:rsid w:val="001E2CA6"/>
    <w:rsid w:val="001F2BA3"/>
    <w:rsid w:val="001F73E9"/>
    <w:rsid w:val="00200DA7"/>
    <w:rsid w:val="00201A60"/>
    <w:rsid w:val="00202499"/>
    <w:rsid w:val="00203F76"/>
    <w:rsid w:val="00204D8C"/>
    <w:rsid w:val="0020773C"/>
    <w:rsid w:val="002119FE"/>
    <w:rsid w:val="00213042"/>
    <w:rsid w:val="00213935"/>
    <w:rsid w:val="00215AA9"/>
    <w:rsid w:val="00222ABB"/>
    <w:rsid w:val="0022358B"/>
    <w:rsid w:val="00223602"/>
    <w:rsid w:val="0023165A"/>
    <w:rsid w:val="00232E39"/>
    <w:rsid w:val="00234123"/>
    <w:rsid w:val="00235583"/>
    <w:rsid w:val="00244694"/>
    <w:rsid w:val="00247B6A"/>
    <w:rsid w:val="0025070C"/>
    <w:rsid w:val="00251F9C"/>
    <w:rsid w:val="00256527"/>
    <w:rsid w:val="0025739B"/>
    <w:rsid w:val="00264C10"/>
    <w:rsid w:val="0026676C"/>
    <w:rsid w:val="002778FB"/>
    <w:rsid w:val="00284DA6"/>
    <w:rsid w:val="00287D36"/>
    <w:rsid w:val="002903F0"/>
    <w:rsid w:val="00292DF3"/>
    <w:rsid w:val="0029509B"/>
    <w:rsid w:val="00297E00"/>
    <w:rsid w:val="002B0C1A"/>
    <w:rsid w:val="002B1303"/>
    <w:rsid w:val="002B6553"/>
    <w:rsid w:val="002C01AB"/>
    <w:rsid w:val="002C02F0"/>
    <w:rsid w:val="002C65DB"/>
    <w:rsid w:val="002D252C"/>
    <w:rsid w:val="002D5F3D"/>
    <w:rsid w:val="002E4144"/>
    <w:rsid w:val="002F15D6"/>
    <w:rsid w:val="002F2A28"/>
    <w:rsid w:val="002F421E"/>
    <w:rsid w:val="002F4EAC"/>
    <w:rsid w:val="002F7873"/>
    <w:rsid w:val="00300648"/>
    <w:rsid w:val="00300F01"/>
    <w:rsid w:val="003028A1"/>
    <w:rsid w:val="00302AAA"/>
    <w:rsid w:val="00303BA8"/>
    <w:rsid w:val="00303D36"/>
    <w:rsid w:val="003045E4"/>
    <w:rsid w:val="00307758"/>
    <w:rsid w:val="00311B81"/>
    <w:rsid w:val="0031227B"/>
    <w:rsid w:val="003127E2"/>
    <w:rsid w:val="00322CC7"/>
    <w:rsid w:val="00323A6E"/>
    <w:rsid w:val="0032739E"/>
    <w:rsid w:val="003317B7"/>
    <w:rsid w:val="00332D4B"/>
    <w:rsid w:val="00334F9D"/>
    <w:rsid w:val="00337CB5"/>
    <w:rsid w:val="00342C78"/>
    <w:rsid w:val="00350DDB"/>
    <w:rsid w:val="00351324"/>
    <w:rsid w:val="0035446F"/>
    <w:rsid w:val="0035562C"/>
    <w:rsid w:val="00363A61"/>
    <w:rsid w:val="0036504F"/>
    <w:rsid w:val="00374F43"/>
    <w:rsid w:val="00375FE4"/>
    <w:rsid w:val="00381694"/>
    <w:rsid w:val="00381D74"/>
    <w:rsid w:val="003844F8"/>
    <w:rsid w:val="00384A23"/>
    <w:rsid w:val="00385250"/>
    <w:rsid w:val="00385623"/>
    <w:rsid w:val="00385B3D"/>
    <w:rsid w:val="00394924"/>
    <w:rsid w:val="003962B0"/>
    <w:rsid w:val="003A0113"/>
    <w:rsid w:val="003A0FB5"/>
    <w:rsid w:val="003B6B36"/>
    <w:rsid w:val="003B7F17"/>
    <w:rsid w:val="003C32FF"/>
    <w:rsid w:val="003C34DF"/>
    <w:rsid w:val="003C6CE2"/>
    <w:rsid w:val="003D100C"/>
    <w:rsid w:val="003D3F19"/>
    <w:rsid w:val="003D70E2"/>
    <w:rsid w:val="003E01BA"/>
    <w:rsid w:val="003E1887"/>
    <w:rsid w:val="003E5D47"/>
    <w:rsid w:val="003E62C7"/>
    <w:rsid w:val="003F35CB"/>
    <w:rsid w:val="003F3EE6"/>
    <w:rsid w:val="0040054B"/>
    <w:rsid w:val="004021A6"/>
    <w:rsid w:val="00405FC2"/>
    <w:rsid w:val="00407ED0"/>
    <w:rsid w:val="00410C32"/>
    <w:rsid w:val="00411302"/>
    <w:rsid w:val="00411449"/>
    <w:rsid w:val="0041449D"/>
    <w:rsid w:val="00414A05"/>
    <w:rsid w:val="00417EC2"/>
    <w:rsid w:val="00420E7A"/>
    <w:rsid w:val="00420F09"/>
    <w:rsid w:val="004218C6"/>
    <w:rsid w:val="00424F59"/>
    <w:rsid w:val="0042782F"/>
    <w:rsid w:val="004344BE"/>
    <w:rsid w:val="004369F4"/>
    <w:rsid w:val="00440F28"/>
    <w:rsid w:val="00443E28"/>
    <w:rsid w:val="00446AFC"/>
    <w:rsid w:val="00450DBC"/>
    <w:rsid w:val="0045607A"/>
    <w:rsid w:val="0046034D"/>
    <w:rsid w:val="00461F3D"/>
    <w:rsid w:val="00465420"/>
    <w:rsid w:val="00465841"/>
    <w:rsid w:val="00473181"/>
    <w:rsid w:val="0047374A"/>
    <w:rsid w:val="0047619A"/>
    <w:rsid w:val="00477FCB"/>
    <w:rsid w:val="00481C7D"/>
    <w:rsid w:val="0048351B"/>
    <w:rsid w:val="00484C66"/>
    <w:rsid w:val="004861E6"/>
    <w:rsid w:val="00487496"/>
    <w:rsid w:val="004902FB"/>
    <w:rsid w:val="004A0B21"/>
    <w:rsid w:val="004A66B4"/>
    <w:rsid w:val="004B0527"/>
    <w:rsid w:val="004B09E5"/>
    <w:rsid w:val="004B0D01"/>
    <w:rsid w:val="004B1F20"/>
    <w:rsid w:val="004C1DE7"/>
    <w:rsid w:val="004C26B9"/>
    <w:rsid w:val="004D3400"/>
    <w:rsid w:val="004D57B8"/>
    <w:rsid w:val="004D6FAE"/>
    <w:rsid w:val="00501798"/>
    <w:rsid w:val="00501FA4"/>
    <w:rsid w:val="0050336D"/>
    <w:rsid w:val="00503FAE"/>
    <w:rsid w:val="005105AC"/>
    <w:rsid w:val="00521EA6"/>
    <w:rsid w:val="005242C5"/>
    <w:rsid w:val="00526541"/>
    <w:rsid w:val="005270E6"/>
    <w:rsid w:val="0053356F"/>
    <w:rsid w:val="005425A6"/>
    <w:rsid w:val="00544531"/>
    <w:rsid w:val="005610BA"/>
    <w:rsid w:val="0056473A"/>
    <w:rsid w:val="0056636C"/>
    <w:rsid w:val="00566C4D"/>
    <w:rsid w:val="005707DC"/>
    <w:rsid w:val="00570E3D"/>
    <w:rsid w:val="005767DA"/>
    <w:rsid w:val="0058474D"/>
    <w:rsid w:val="00585EE9"/>
    <w:rsid w:val="005878E8"/>
    <w:rsid w:val="00591AE2"/>
    <w:rsid w:val="00594198"/>
    <w:rsid w:val="00596858"/>
    <w:rsid w:val="00597B07"/>
    <w:rsid w:val="005A08C9"/>
    <w:rsid w:val="005A6549"/>
    <w:rsid w:val="005B0441"/>
    <w:rsid w:val="005B7C97"/>
    <w:rsid w:val="005C5C9C"/>
    <w:rsid w:val="005D205A"/>
    <w:rsid w:val="005D316F"/>
    <w:rsid w:val="005D6A36"/>
    <w:rsid w:val="005E2369"/>
    <w:rsid w:val="005E53BC"/>
    <w:rsid w:val="005E77B3"/>
    <w:rsid w:val="005F2A78"/>
    <w:rsid w:val="005F5543"/>
    <w:rsid w:val="00601209"/>
    <w:rsid w:val="0060246F"/>
    <w:rsid w:val="00604E92"/>
    <w:rsid w:val="00606089"/>
    <w:rsid w:val="00611148"/>
    <w:rsid w:val="00613923"/>
    <w:rsid w:val="00613B80"/>
    <w:rsid w:val="00620ABC"/>
    <w:rsid w:val="00622843"/>
    <w:rsid w:val="00622AEE"/>
    <w:rsid w:val="00624D16"/>
    <w:rsid w:val="0063023C"/>
    <w:rsid w:val="00630AD4"/>
    <w:rsid w:val="00643BF3"/>
    <w:rsid w:val="00644CDC"/>
    <w:rsid w:val="00645A53"/>
    <w:rsid w:val="006520AB"/>
    <w:rsid w:val="00654158"/>
    <w:rsid w:val="006629B3"/>
    <w:rsid w:val="00663DC7"/>
    <w:rsid w:val="00667E24"/>
    <w:rsid w:val="00680AA0"/>
    <w:rsid w:val="00680EA8"/>
    <w:rsid w:val="00685074"/>
    <w:rsid w:val="00687DF4"/>
    <w:rsid w:val="00693A54"/>
    <w:rsid w:val="006940A8"/>
    <w:rsid w:val="00695008"/>
    <w:rsid w:val="006A2400"/>
    <w:rsid w:val="006A5313"/>
    <w:rsid w:val="006A7CFB"/>
    <w:rsid w:val="006B11D6"/>
    <w:rsid w:val="006B7DF4"/>
    <w:rsid w:val="006C142B"/>
    <w:rsid w:val="006C3179"/>
    <w:rsid w:val="006C41A2"/>
    <w:rsid w:val="006C4CB2"/>
    <w:rsid w:val="006C56C8"/>
    <w:rsid w:val="006D0D57"/>
    <w:rsid w:val="006D2787"/>
    <w:rsid w:val="006D4FA9"/>
    <w:rsid w:val="006D662C"/>
    <w:rsid w:val="006E0F53"/>
    <w:rsid w:val="006E2A91"/>
    <w:rsid w:val="006E4CA1"/>
    <w:rsid w:val="006E6514"/>
    <w:rsid w:val="006E718A"/>
    <w:rsid w:val="006F24E2"/>
    <w:rsid w:val="00701C2A"/>
    <w:rsid w:val="00702E17"/>
    <w:rsid w:val="00705CA5"/>
    <w:rsid w:val="00712303"/>
    <w:rsid w:val="00713165"/>
    <w:rsid w:val="0071604D"/>
    <w:rsid w:val="00717018"/>
    <w:rsid w:val="00717391"/>
    <w:rsid w:val="00723814"/>
    <w:rsid w:val="00725544"/>
    <w:rsid w:val="00727435"/>
    <w:rsid w:val="00730927"/>
    <w:rsid w:val="00731FF8"/>
    <w:rsid w:val="007326F3"/>
    <w:rsid w:val="00740136"/>
    <w:rsid w:val="0075193E"/>
    <w:rsid w:val="00752701"/>
    <w:rsid w:val="0075523B"/>
    <w:rsid w:val="00761A26"/>
    <w:rsid w:val="007636E5"/>
    <w:rsid w:val="00764503"/>
    <w:rsid w:val="00770909"/>
    <w:rsid w:val="007811FE"/>
    <w:rsid w:val="00783571"/>
    <w:rsid w:val="007855DD"/>
    <w:rsid w:val="007872A9"/>
    <w:rsid w:val="00787978"/>
    <w:rsid w:val="00787E5C"/>
    <w:rsid w:val="0079118D"/>
    <w:rsid w:val="007916B7"/>
    <w:rsid w:val="00792095"/>
    <w:rsid w:val="007922F9"/>
    <w:rsid w:val="007927BB"/>
    <w:rsid w:val="00793043"/>
    <w:rsid w:val="00796396"/>
    <w:rsid w:val="00797C46"/>
    <w:rsid w:val="007A0995"/>
    <w:rsid w:val="007A1886"/>
    <w:rsid w:val="007A5CA5"/>
    <w:rsid w:val="007A5D52"/>
    <w:rsid w:val="007B0722"/>
    <w:rsid w:val="007B2B10"/>
    <w:rsid w:val="007B38C2"/>
    <w:rsid w:val="007B6169"/>
    <w:rsid w:val="007C216D"/>
    <w:rsid w:val="007C24AB"/>
    <w:rsid w:val="007C3937"/>
    <w:rsid w:val="007C6644"/>
    <w:rsid w:val="007C6A81"/>
    <w:rsid w:val="007C70F8"/>
    <w:rsid w:val="007D17F8"/>
    <w:rsid w:val="007D23AE"/>
    <w:rsid w:val="007E163D"/>
    <w:rsid w:val="007E67AA"/>
    <w:rsid w:val="007E78AA"/>
    <w:rsid w:val="007F1550"/>
    <w:rsid w:val="007F2DB2"/>
    <w:rsid w:val="007F5BFF"/>
    <w:rsid w:val="008134DE"/>
    <w:rsid w:val="00820DAF"/>
    <w:rsid w:val="008231E2"/>
    <w:rsid w:val="008315D7"/>
    <w:rsid w:val="00832D3F"/>
    <w:rsid w:val="00840805"/>
    <w:rsid w:val="0084140D"/>
    <w:rsid w:val="00846CB2"/>
    <w:rsid w:val="00853D94"/>
    <w:rsid w:val="0085433C"/>
    <w:rsid w:val="0085517E"/>
    <w:rsid w:val="0085741A"/>
    <w:rsid w:val="008619F9"/>
    <w:rsid w:val="00862B71"/>
    <w:rsid w:val="00864789"/>
    <w:rsid w:val="00867951"/>
    <w:rsid w:val="00873B54"/>
    <w:rsid w:val="00881666"/>
    <w:rsid w:val="00884C1F"/>
    <w:rsid w:val="00886166"/>
    <w:rsid w:val="00893519"/>
    <w:rsid w:val="008936AE"/>
    <w:rsid w:val="00893C20"/>
    <w:rsid w:val="0089533E"/>
    <w:rsid w:val="008A0E02"/>
    <w:rsid w:val="008A35A3"/>
    <w:rsid w:val="008B5150"/>
    <w:rsid w:val="008B55B8"/>
    <w:rsid w:val="008B6079"/>
    <w:rsid w:val="008C42E8"/>
    <w:rsid w:val="008D2F11"/>
    <w:rsid w:val="008E6270"/>
    <w:rsid w:val="008E7385"/>
    <w:rsid w:val="008E7C43"/>
    <w:rsid w:val="008F2DE5"/>
    <w:rsid w:val="008F6AD8"/>
    <w:rsid w:val="009001C8"/>
    <w:rsid w:val="00900C57"/>
    <w:rsid w:val="009028FC"/>
    <w:rsid w:val="00903FE4"/>
    <w:rsid w:val="00911ABD"/>
    <w:rsid w:val="00914D60"/>
    <w:rsid w:val="00916825"/>
    <w:rsid w:val="009232AF"/>
    <w:rsid w:val="00925D4D"/>
    <w:rsid w:val="00927804"/>
    <w:rsid w:val="00932498"/>
    <w:rsid w:val="0093286C"/>
    <w:rsid w:val="00934130"/>
    <w:rsid w:val="00934385"/>
    <w:rsid w:val="00935655"/>
    <w:rsid w:val="009443D0"/>
    <w:rsid w:val="00946D79"/>
    <w:rsid w:val="009507CC"/>
    <w:rsid w:val="009538EB"/>
    <w:rsid w:val="00954C5B"/>
    <w:rsid w:val="00954CC1"/>
    <w:rsid w:val="00956651"/>
    <w:rsid w:val="0096325B"/>
    <w:rsid w:val="009649F5"/>
    <w:rsid w:val="00965143"/>
    <w:rsid w:val="00966A52"/>
    <w:rsid w:val="00971E13"/>
    <w:rsid w:val="00972AB1"/>
    <w:rsid w:val="00972E25"/>
    <w:rsid w:val="00983212"/>
    <w:rsid w:val="009840F8"/>
    <w:rsid w:val="009900A2"/>
    <w:rsid w:val="00991217"/>
    <w:rsid w:val="00992626"/>
    <w:rsid w:val="00994A9F"/>
    <w:rsid w:val="00996760"/>
    <w:rsid w:val="009A2E58"/>
    <w:rsid w:val="009A5306"/>
    <w:rsid w:val="009A63DE"/>
    <w:rsid w:val="009B0BB9"/>
    <w:rsid w:val="009B0E19"/>
    <w:rsid w:val="009B586D"/>
    <w:rsid w:val="009B75E1"/>
    <w:rsid w:val="009C00D6"/>
    <w:rsid w:val="009C756F"/>
    <w:rsid w:val="009D187D"/>
    <w:rsid w:val="009D2D4E"/>
    <w:rsid w:val="009D5489"/>
    <w:rsid w:val="009E1086"/>
    <w:rsid w:val="009E6FFA"/>
    <w:rsid w:val="009F13C3"/>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70568"/>
    <w:rsid w:val="00A73C61"/>
    <w:rsid w:val="00A81BFA"/>
    <w:rsid w:val="00A84BDE"/>
    <w:rsid w:val="00A85FBA"/>
    <w:rsid w:val="00A93A6E"/>
    <w:rsid w:val="00A94285"/>
    <w:rsid w:val="00A947DF"/>
    <w:rsid w:val="00A95609"/>
    <w:rsid w:val="00AA014D"/>
    <w:rsid w:val="00AA1073"/>
    <w:rsid w:val="00AA17B4"/>
    <w:rsid w:val="00AA1A42"/>
    <w:rsid w:val="00AA71C4"/>
    <w:rsid w:val="00AB18E1"/>
    <w:rsid w:val="00AB395C"/>
    <w:rsid w:val="00AB3E19"/>
    <w:rsid w:val="00AB6E89"/>
    <w:rsid w:val="00AB782F"/>
    <w:rsid w:val="00AC017F"/>
    <w:rsid w:val="00AC6E2E"/>
    <w:rsid w:val="00AD209E"/>
    <w:rsid w:val="00AD2263"/>
    <w:rsid w:val="00AE0369"/>
    <w:rsid w:val="00AE0A5E"/>
    <w:rsid w:val="00AE44B2"/>
    <w:rsid w:val="00AF1307"/>
    <w:rsid w:val="00AF20D0"/>
    <w:rsid w:val="00AF2E6D"/>
    <w:rsid w:val="00AF45B3"/>
    <w:rsid w:val="00AF4C7B"/>
    <w:rsid w:val="00AF6BD2"/>
    <w:rsid w:val="00B00767"/>
    <w:rsid w:val="00B01B42"/>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4AC5"/>
    <w:rsid w:val="00B4626A"/>
    <w:rsid w:val="00B468F5"/>
    <w:rsid w:val="00B5085F"/>
    <w:rsid w:val="00B51127"/>
    <w:rsid w:val="00B544EB"/>
    <w:rsid w:val="00B54585"/>
    <w:rsid w:val="00B55168"/>
    <w:rsid w:val="00B561E6"/>
    <w:rsid w:val="00B62737"/>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2E5"/>
    <w:rsid w:val="00BC3AF0"/>
    <w:rsid w:val="00BC46E1"/>
    <w:rsid w:val="00BD0EDF"/>
    <w:rsid w:val="00BF2E20"/>
    <w:rsid w:val="00BF366D"/>
    <w:rsid w:val="00BF4739"/>
    <w:rsid w:val="00BF53DD"/>
    <w:rsid w:val="00C0529B"/>
    <w:rsid w:val="00C05EEA"/>
    <w:rsid w:val="00C0667C"/>
    <w:rsid w:val="00C1367B"/>
    <w:rsid w:val="00C223DA"/>
    <w:rsid w:val="00C30873"/>
    <w:rsid w:val="00C34485"/>
    <w:rsid w:val="00C37A21"/>
    <w:rsid w:val="00C37AC1"/>
    <w:rsid w:val="00C42278"/>
    <w:rsid w:val="00C428A0"/>
    <w:rsid w:val="00C43AB2"/>
    <w:rsid w:val="00C50E91"/>
    <w:rsid w:val="00C6023D"/>
    <w:rsid w:val="00C626DB"/>
    <w:rsid w:val="00C63A86"/>
    <w:rsid w:val="00C707B8"/>
    <w:rsid w:val="00C71B1D"/>
    <w:rsid w:val="00C72977"/>
    <w:rsid w:val="00C76AB6"/>
    <w:rsid w:val="00C85CDA"/>
    <w:rsid w:val="00C879E7"/>
    <w:rsid w:val="00C90F41"/>
    <w:rsid w:val="00C92ADD"/>
    <w:rsid w:val="00C92ED4"/>
    <w:rsid w:val="00C9465C"/>
    <w:rsid w:val="00C96BD0"/>
    <w:rsid w:val="00CA3468"/>
    <w:rsid w:val="00CA47C1"/>
    <w:rsid w:val="00CA64E6"/>
    <w:rsid w:val="00CB19BE"/>
    <w:rsid w:val="00CB3F24"/>
    <w:rsid w:val="00CC197B"/>
    <w:rsid w:val="00CC2C92"/>
    <w:rsid w:val="00CC7B2D"/>
    <w:rsid w:val="00CE1163"/>
    <w:rsid w:val="00CE3571"/>
    <w:rsid w:val="00CE7D33"/>
    <w:rsid w:val="00CF0C52"/>
    <w:rsid w:val="00CF1AB1"/>
    <w:rsid w:val="00D021FB"/>
    <w:rsid w:val="00D067DD"/>
    <w:rsid w:val="00D156F3"/>
    <w:rsid w:val="00D20E99"/>
    <w:rsid w:val="00D26AC0"/>
    <w:rsid w:val="00D34927"/>
    <w:rsid w:val="00D35BE1"/>
    <w:rsid w:val="00D35CCA"/>
    <w:rsid w:val="00D3694D"/>
    <w:rsid w:val="00D372C4"/>
    <w:rsid w:val="00D41AF6"/>
    <w:rsid w:val="00D44E17"/>
    <w:rsid w:val="00D50F76"/>
    <w:rsid w:val="00D5381E"/>
    <w:rsid w:val="00D570F7"/>
    <w:rsid w:val="00D571BD"/>
    <w:rsid w:val="00D7217F"/>
    <w:rsid w:val="00D74B35"/>
    <w:rsid w:val="00D752DE"/>
    <w:rsid w:val="00D77BBE"/>
    <w:rsid w:val="00D815C4"/>
    <w:rsid w:val="00D8488C"/>
    <w:rsid w:val="00D87DA2"/>
    <w:rsid w:val="00D950D2"/>
    <w:rsid w:val="00D96084"/>
    <w:rsid w:val="00D962C2"/>
    <w:rsid w:val="00D97188"/>
    <w:rsid w:val="00D976FC"/>
    <w:rsid w:val="00DA4B6A"/>
    <w:rsid w:val="00DA7A38"/>
    <w:rsid w:val="00DB1B7D"/>
    <w:rsid w:val="00DB2A2F"/>
    <w:rsid w:val="00DC0C36"/>
    <w:rsid w:val="00DC293C"/>
    <w:rsid w:val="00DC2EA0"/>
    <w:rsid w:val="00DC61EA"/>
    <w:rsid w:val="00DC6373"/>
    <w:rsid w:val="00DE233D"/>
    <w:rsid w:val="00DE3A5F"/>
    <w:rsid w:val="00DE3CDB"/>
    <w:rsid w:val="00DE6B29"/>
    <w:rsid w:val="00DF0E65"/>
    <w:rsid w:val="00DF126A"/>
    <w:rsid w:val="00DF25A2"/>
    <w:rsid w:val="00DF7785"/>
    <w:rsid w:val="00E007BB"/>
    <w:rsid w:val="00E02F8F"/>
    <w:rsid w:val="00E0598C"/>
    <w:rsid w:val="00E05A73"/>
    <w:rsid w:val="00E067BD"/>
    <w:rsid w:val="00E07E37"/>
    <w:rsid w:val="00E10B70"/>
    <w:rsid w:val="00E1479B"/>
    <w:rsid w:val="00E17D65"/>
    <w:rsid w:val="00E21C00"/>
    <w:rsid w:val="00E2583E"/>
    <w:rsid w:val="00E34FAC"/>
    <w:rsid w:val="00E36497"/>
    <w:rsid w:val="00E37C5D"/>
    <w:rsid w:val="00E37FDF"/>
    <w:rsid w:val="00E404EA"/>
    <w:rsid w:val="00E40532"/>
    <w:rsid w:val="00E42395"/>
    <w:rsid w:val="00E52B39"/>
    <w:rsid w:val="00E54694"/>
    <w:rsid w:val="00E54E28"/>
    <w:rsid w:val="00E55074"/>
    <w:rsid w:val="00E56FA1"/>
    <w:rsid w:val="00E73D75"/>
    <w:rsid w:val="00E754EB"/>
    <w:rsid w:val="00E76685"/>
    <w:rsid w:val="00E77F00"/>
    <w:rsid w:val="00E822E0"/>
    <w:rsid w:val="00E9032F"/>
    <w:rsid w:val="00EA5502"/>
    <w:rsid w:val="00EA63B5"/>
    <w:rsid w:val="00EA684F"/>
    <w:rsid w:val="00EA7773"/>
    <w:rsid w:val="00EB0E10"/>
    <w:rsid w:val="00EB14D6"/>
    <w:rsid w:val="00EB1CEB"/>
    <w:rsid w:val="00EB46BA"/>
    <w:rsid w:val="00EB6864"/>
    <w:rsid w:val="00EC610A"/>
    <w:rsid w:val="00ED00F7"/>
    <w:rsid w:val="00ED3A3F"/>
    <w:rsid w:val="00ED5C56"/>
    <w:rsid w:val="00ED6DA4"/>
    <w:rsid w:val="00ED74BD"/>
    <w:rsid w:val="00EE0A92"/>
    <w:rsid w:val="00EE2894"/>
    <w:rsid w:val="00EE3327"/>
    <w:rsid w:val="00EF0E1A"/>
    <w:rsid w:val="00EF26FE"/>
    <w:rsid w:val="00EF28D6"/>
    <w:rsid w:val="00EF297A"/>
    <w:rsid w:val="00EF357F"/>
    <w:rsid w:val="00EF3DE8"/>
    <w:rsid w:val="00EF6CAC"/>
    <w:rsid w:val="00F005E2"/>
    <w:rsid w:val="00F02693"/>
    <w:rsid w:val="00F02A38"/>
    <w:rsid w:val="00F02D26"/>
    <w:rsid w:val="00F03107"/>
    <w:rsid w:val="00F049D3"/>
    <w:rsid w:val="00F05079"/>
    <w:rsid w:val="00F061E1"/>
    <w:rsid w:val="00F06D5C"/>
    <w:rsid w:val="00F14211"/>
    <w:rsid w:val="00F14EDE"/>
    <w:rsid w:val="00F205F3"/>
    <w:rsid w:val="00F25CC6"/>
    <w:rsid w:val="00F32571"/>
    <w:rsid w:val="00F34468"/>
    <w:rsid w:val="00F35C49"/>
    <w:rsid w:val="00F450CA"/>
    <w:rsid w:val="00F47F06"/>
    <w:rsid w:val="00F505F5"/>
    <w:rsid w:val="00F5480D"/>
    <w:rsid w:val="00F553F0"/>
    <w:rsid w:val="00F5692C"/>
    <w:rsid w:val="00F72BC5"/>
    <w:rsid w:val="00F7535E"/>
    <w:rsid w:val="00F774C4"/>
    <w:rsid w:val="00F808B8"/>
    <w:rsid w:val="00F81A50"/>
    <w:rsid w:val="00F84226"/>
    <w:rsid w:val="00F84E94"/>
    <w:rsid w:val="00F9409D"/>
    <w:rsid w:val="00FA0B62"/>
    <w:rsid w:val="00FA1981"/>
    <w:rsid w:val="00FA668A"/>
    <w:rsid w:val="00FA77AA"/>
    <w:rsid w:val="00FB3E87"/>
    <w:rsid w:val="00FC3C56"/>
    <w:rsid w:val="00FC68CF"/>
    <w:rsid w:val="00FC7368"/>
    <w:rsid w:val="00FC7AE1"/>
    <w:rsid w:val="00FD0140"/>
    <w:rsid w:val="00FE5251"/>
    <w:rsid w:val="00FE6814"/>
    <w:rsid w:val="00FF3976"/>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135">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00566">
      <w:bodyDiv w:val="1"/>
      <w:marLeft w:val="0"/>
      <w:marRight w:val="0"/>
      <w:marTop w:val="0"/>
      <w:marBottom w:val="0"/>
      <w:divBdr>
        <w:top w:val="none" w:sz="0" w:space="0" w:color="auto"/>
        <w:left w:val="none" w:sz="0" w:space="0" w:color="auto"/>
        <w:bottom w:val="none" w:sz="0" w:space="0" w:color="auto"/>
        <w:right w:val="none" w:sz="0" w:space="0" w:color="auto"/>
      </w:divBdr>
      <w:divsChild>
        <w:div w:id="1232420685">
          <w:marLeft w:val="0"/>
          <w:marRight w:val="0"/>
          <w:marTop w:val="0"/>
          <w:marBottom w:val="0"/>
          <w:divBdr>
            <w:top w:val="none" w:sz="0" w:space="0" w:color="auto"/>
            <w:left w:val="none" w:sz="0" w:space="0" w:color="auto"/>
            <w:bottom w:val="none" w:sz="0" w:space="0" w:color="auto"/>
            <w:right w:val="none" w:sz="0" w:space="0" w:color="auto"/>
          </w:divBdr>
          <w:divsChild>
            <w:div w:id="1146118600">
              <w:marLeft w:val="0"/>
              <w:marRight w:val="0"/>
              <w:marTop w:val="0"/>
              <w:marBottom w:val="0"/>
              <w:divBdr>
                <w:top w:val="none" w:sz="0" w:space="0" w:color="auto"/>
                <w:left w:val="none" w:sz="0" w:space="0" w:color="auto"/>
                <w:bottom w:val="none" w:sz="0" w:space="0" w:color="auto"/>
                <w:right w:val="none" w:sz="0" w:space="0" w:color="auto"/>
              </w:divBdr>
              <w:divsChild>
                <w:div w:id="9993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44178155">
      <w:bodyDiv w:val="1"/>
      <w:marLeft w:val="0"/>
      <w:marRight w:val="0"/>
      <w:marTop w:val="0"/>
      <w:marBottom w:val="0"/>
      <w:divBdr>
        <w:top w:val="none" w:sz="0" w:space="0" w:color="auto"/>
        <w:left w:val="none" w:sz="0" w:space="0" w:color="auto"/>
        <w:bottom w:val="none" w:sz="0" w:space="0" w:color="auto"/>
        <w:right w:val="none" w:sz="0" w:space="0" w:color="auto"/>
      </w:divBdr>
      <w:divsChild>
        <w:div w:id="386609149">
          <w:marLeft w:val="0"/>
          <w:marRight w:val="0"/>
          <w:marTop w:val="0"/>
          <w:marBottom w:val="0"/>
          <w:divBdr>
            <w:top w:val="none" w:sz="0" w:space="0" w:color="auto"/>
            <w:left w:val="none" w:sz="0" w:space="0" w:color="auto"/>
            <w:bottom w:val="none" w:sz="0" w:space="0" w:color="auto"/>
            <w:right w:val="none" w:sz="0" w:space="0" w:color="auto"/>
          </w:divBdr>
          <w:divsChild>
            <w:div w:id="12146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5555">
      <w:bodyDiv w:val="1"/>
      <w:marLeft w:val="0"/>
      <w:marRight w:val="0"/>
      <w:marTop w:val="0"/>
      <w:marBottom w:val="0"/>
      <w:divBdr>
        <w:top w:val="none" w:sz="0" w:space="0" w:color="auto"/>
        <w:left w:val="none" w:sz="0" w:space="0" w:color="auto"/>
        <w:bottom w:val="none" w:sz="0" w:space="0" w:color="auto"/>
        <w:right w:val="none" w:sz="0" w:space="0" w:color="auto"/>
      </w:divBdr>
      <w:divsChild>
        <w:div w:id="581763891">
          <w:marLeft w:val="0"/>
          <w:marRight w:val="0"/>
          <w:marTop w:val="0"/>
          <w:marBottom w:val="0"/>
          <w:divBdr>
            <w:top w:val="none" w:sz="0" w:space="0" w:color="auto"/>
            <w:left w:val="none" w:sz="0" w:space="0" w:color="auto"/>
            <w:bottom w:val="none" w:sz="0" w:space="0" w:color="auto"/>
            <w:right w:val="none" w:sz="0" w:space="0" w:color="auto"/>
          </w:divBdr>
          <w:divsChild>
            <w:div w:id="1460611486">
              <w:marLeft w:val="0"/>
              <w:marRight w:val="0"/>
              <w:marTop w:val="0"/>
              <w:marBottom w:val="0"/>
              <w:divBdr>
                <w:top w:val="none" w:sz="0" w:space="0" w:color="auto"/>
                <w:left w:val="none" w:sz="0" w:space="0" w:color="auto"/>
                <w:bottom w:val="none" w:sz="0" w:space="0" w:color="auto"/>
                <w:right w:val="none" w:sz="0" w:space="0" w:color="auto"/>
              </w:divBdr>
              <w:divsChild>
                <w:div w:id="10936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00387673">
      <w:bodyDiv w:val="1"/>
      <w:marLeft w:val="0"/>
      <w:marRight w:val="0"/>
      <w:marTop w:val="0"/>
      <w:marBottom w:val="0"/>
      <w:divBdr>
        <w:top w:val="none" w:sz="0" w:space="0" w:color="auto"/>
        <w:left w:val="none" w:sz="0" w:space="0" w:color="auto"/>
        <w:bottom w:val="none" w:sz="0" w:space="0" w:color="auto"/>
        <w:right w:val="none" w:sz="0" w:space="0" w:color="auto"/>
      </w:divBdr>
      <w:divsChild>
        <w:div w:id="782073490">
          <w:marLeft w:val="0"/>
          <w:marRight w:val="0"/>
          <w:marTop w:val="0"/>
          <w:marBottom w:val="0"/>
          <w:divBdr>
            <w:top w:val="none" w:sz="0" w:space="0" w:color="auto"/>
            <w:left w:val="none" w:sz="0" w:space="0" w:color="auto"/>
            <w:bottom w:val="none" w:sz="0" w:space="0" w:color="auto"/>
            <w:right w:val="none" w:sz="0" w:space="0" w:color="auto"/>
          </w:divBdr>
          <w:divsChild>
            <w:div w:id="2100833044">
              <w:marLeft w:val="0"/>
              <w:marRight w:val="0"/>
              <w:marTop w:val="0"/>
              <w:marBottom w:val="0"/>
              <w:divBdr>
                <w:top w:val="none" w:sz="0" w:space="0" w:color="auto"/>
                <w:left w:val="none" w:sz="0" w:space="0" w:color="auto"/>
                <w:bottom w:val="none" w:sz="0" w:space="0" w:color="auto"/>
                <w:right w:val="none" w:sz="0" w:space="0" w:color="auto"/>
              </w:divBdr>
              <w:divsChild>
                <w:div w:id="12940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27902">
      <w:bodyDiv w:val="1"/>
      <w:marLeft w:val="0"/>
      <w:marRight w:val="0"/>
      <w:marTop w:val="0"/>
      <w:marBottom w:val="0"/>
      <w:divBdr>
        <w:top w:val="none" w:sz="0" w:space="0" w:color="auto"/>
        <w:left w:val="none" w:sz="0" w:space="0" w:color="auto"/>
        <w:bottom w:val="none" w:sz="0" w:space="0" w:color="auto"/>
        <w:right w:val="none" w:sz="0" w:space="0" w:color="auto"/>
      </w:divBdr>
      <w:divsChild>
        <w:div w:id="2048384">
          <w:marLeft w:val="0"/>
          <w:marRight w:val="0"/>
          <w:marTop w:val="0"/>
          <w:marBottom w:val="0"/>
          <w:divBdr>
            <w:top w:val="none" w:sz="0" w:space="0" w:color="auto"/>
            <w:left w:val="none" w:sz="0" w:space="0" w:color="auto"/>
            <w:bottom w:val="none" w:sz="0" w:space="0" w:color="auto"/>
            <w:right w:val="none" w:sz="0" w:space="0" w:color="auto"/>
          </w:divBdr>
          <w:divsChild>
            <w:div w:id="6248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6029">
      <w:bodyDiv w:val="1"/>
      <w:marLeft w:val="0"/>
      <w:marRight w:val="0"/>
      <w:marTop w:val="0"/>
      <w:marBottom w:val="0"/>
      <w:divBdr>
        <w:top w:val="none" w:sz="0" w:space="0" w:color="auto"/>
        <w:left w:val="none" w:sz="0" w:space="0" w:color="auto"/>
        <w:bottom w:val="none" w:sz="0" w:space="0" w:color="auto"/>
        <w:right w:val="none" w:sz="0" w:space="0" w:color="auto"/>
      </w:divBdr>
    </w:div>
    <w:div w:id="1606844367">
      <w:bodyDiv w:val="1"/>
      <w:marLeft w:val="0"/>
      <w:marRight w:val="0"/>
      <w:marTop w:val="0"/>
      <w:marBottom w:val="0"/>
      <w:divBdr>
        <w:top w:val="none" w:sz="0" w:space="0" w:color="auto"/>
        <w:left w:val="none" w:sz="0" w:space="0" w:color="auto"/>
        <w:bottom w:val="none" w:sz="0" w:space="0" w:color="auto"/>
        <w:right w:val="none" w:sz="0" w:space="0" w:color="auto"/>
      </w:divBdr>
      <w:divsChild>
        <w:div w:id="225801760">
          <w:marLeft w:val="0"/>
          <w:marRight w:val="0"/>
          <w:marTop w:val="0"/>
          <w:marBottom w:val="0"/>
          <w:divBdr>
            <w:top w:val="none" w:sz="0" w:space="0" w:color="auto"/>
            <w:left w:val="none" w:sz="0" w:space="0" w:color="auto"/>
            <w:bottom w:val="none" w:sz="0" w:space="0" w:color="auto"/>
            <w:right w:val="none" w:sz="0" w:space="0" w:color="auto"/>
          </w:divBdr>
          <w:divsChild>
            <w:div w:id="626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9651">
      <w:bodyDiv w:val="1"/>
      <w:marLeft w:val="0"/>
      <w:marRight w:val="0"/>
      <w:marTop w:val="0"/>
      <w:marBottom w:val="0"/>
      <w:divBdr>
        <w:top w:val="none" w:sz="0" w:space="0" w:color="auto"/>
        <w:left w:val="none" w:sz="0" w:space="0" w:color="auto"/>
        <w:bottom w:val="none" w:sz="0" w:space="0" w:color="auto"/>
        <w:right w:val="none" w:sz="0" w:space="0" w:color="auto"/>
      </w:divBdr>
      <w:divsChild>
        <w:div w:id="1591306547">
          <w:marLeft w:val="0"/>
          <w:marRight w:val="0"/>
          <w:marTop w:val="0"/>
          <w:marBottom w:val="0"/>
          <w:divBdr>
            <w:top w:val="none" w:sz="0" w:space="0" w:color="auto"/>
            <w:left w:val="none" w:sz="0" w:space="0" w:color="auto"/>
            <w:bottom w:val="none" w:sz="0" w:space="0" w:color="auto"/>
            <w:right w:val="none" w:sz="0" w:space="0" w:color="auto"/>
          </w:divBdr>
          <w:divsChild>
            <w:div w:id="11796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rdeka.com/peristiwa/mahfud-md-vs-komisi-iii-bahas-transaksi-janggal-rp349-t-sampai-bawa-bawa-kepala-bi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rdeka.com/peristiwa/mahfud-md-vs-komisi-iii-bahas-transaksi-janggal-rp349-t-sampai-bawa-bawa-kepala-bin.html"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D317BE33-9AE0-4CB3-BE39-9A4748B4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TotalTime>
  <Pages>10</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2</cp:revision>
  <cp:lastPrinted>2022-01-05T10:30:00Z</cp:lastPrinted>
  <dcterms:created xsi:type="dcterms:W3CDTF">2023-04-06T03:42:00Z</dcterms:created>
  <dcterms:modified xsi:type="dcterms:W3CDTF">2023-04-06T03:42:00Z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