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04A18E6E" w14:textId="77777777" w:rsidR="00D34C69" w:rsidRPr="00EB46BA" w:rsidRDefault="00164B5C" w:rsidP="00AE5193">
      <w:pPr>
        <w:pStyle w:val="Header"/>
        <w:tabs>
          <w:tab w:val="clear" w:pos="9360"/>
          <w:tab w:val="left" w:pos="825"/>
          <w:tab w:val="right" w:pos="9781"/>
        </w:tabs>
        <w:spacing w:before="120"/>
        <w:jc w:val="right"/>
        <w:rPr>
          <w:rFonts w:ascii="Book Antiqua" w:hAnsi="Book Antiqua" w:cstheme="majorHAnsi"/>
          <w:color w:val="000000" w:themeColor="text1"/>
          <w:sz w:val="20"/>
          <w:szCs w:val="20"/>
        </w:rPr>
      </w:pPr>
      <w:bookmarkStart w:id="0" w:name="_Toc292564709"/>
      <w:bookmarkStart w:id="1" w:name="_Toc1"/>
      <w:r w:rsidRPr="0096447F">
        <w:rPr>
          <w:rFonts w:ascii="Book Antiqua" w:hAnsi="Book Antiqua" w:cstheme="majorHAnsi"/>
          <w:noProof/>
          <w:color w:val="000000" w:themeColor="text1"/>
          <w:sz w:val="20"/>
          <w:szCs w:val="20"/>
          <w:lang w:bidi="ar-SA"/>
        </w:rPr>
        <w:drawing>
          <wp:anchor distT="0" distB="0" distL="114300" distR="114300" simplePos="0" relativeHeight="251685888" behindDoc="0" locked="0" layoutInCell="1" allowOverlap="1" wp14:anchorId="70918130" wp14:editId="1915FC6F">
            <wp:simplePos x="0" y="0"/>
            <wp:positionH relativeFrom="column">
              <wp:posOffset>-920115</wp:posOffset>
            </wp:positionH>
            <wp:positionV relativeFrom="paragraph">
              <wp:posOffset>-405765</wp:posOffset>
            </wp:positionV>
            <wp:extent cx="7791450" cy="415925"/>
            <wp:effectExtent l="0" t="0" r="0" b="3175"/>
            <wp:wrapNone/>
            <wp:docPr id="3" name="Picture 3" descr="E:\FileKu\JURNAL FH UNPATTI\SASI\Cover Template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ver Template SA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5A">
        <w:rPr>
          <w:rFonts w:ascii="Book Antiqua" w:hAnsi="Book Antiqua" w:cstheme="majorHAnsi"/>
          <w:color w:val="000000" w:themeColor="text1"/>
          <w:sz w:val="20"/>
          <w:szCs w:val="20"/>
        </w:rPr>
        <w:t xml:space="preserve">Volume </w:t>
      </w:r>
      <w:r w:rsidR="00F2670C">
        <w:rPr>
          <w:rFonts w:ascii="Book Antiqua" w:hAnsi="Book Antiqua" w:cstheme="majorHAnsi"/>
          <w:color w:val="000000" w:themeColor="text1"/>
          <w:sz w:val="20"/>
          <w:szCs w:val="20"/>
        </w:rPr>
        <w:t>30</w:t>
      </w:r>
      <w:r w:rsidR="001C2D0B">
        <w:rPr>
          <w:rFonts w:ascii="Book Antiqua" w:hAnsi="Book Antiqua" w:cstheme="majorHAnsi"/>
          <w:color w:val="000000" w:themeColor="text1"/>
          <w:sz w:val="20"/>
          <w:szCs w:val="20"/>
        </w:rPr>
        <w:t xml:space="preserve"> Issue</w:t>
      </w:r>
      <w:r w:rsidR="00F2670C">
        <w:rPr>
          <w:rFonts w:ascii="Book Antiqua" w:hAnsi="Book Antiqua" w:cstheme="majorHAnsi"/>
          <w:color w:val="000000" w:themeColor="text1"/>
          <w:sz w:val="20"/>
          <w:szCs w:val="20"/>
        </w:rPr>
        <w:t xml:space="preserve"> 1, March 2024</w:t>
      </w:r>
      <w:r w:rsidR="00A2185A">
        <w:rPr>
          <w:rFonts w:ascii="Book Antiqua" w:hAnsi="Book Antiqua" w:cstheme="majorHAnsi"/>
          <w:color w:val="000000" w:themeColor="text1"/>
          <w:sz w:val="20"/>
          <w:szCs w:val="20"/>
        </w:rPr>
        <w:t>: p. XX-XX</w:t>
      </w:r>
    </w:p>
    <w:p w14:paraId="44E1C523" w14:textId="77777777" w:rsidR="00D34C69" w:rsidRPr="00215FF0" w:rsidRDefault="0073460D" w:rsidP="0073460D">
      <w:pPr>
        <w:pStyle w:val="Header"/>
        <w:tabs>
          <w:tab w:val="clear" w:pos="9360"/>
          <w:tab w:val="left" w:pos="825"/>
          <w:tab w:val="right" w:pos="9781"/>
        </w:tabs>
        <w:rPr>
          <w:rFonts w:ascii="Book Antiqua" w:hAnsi="Book Antiqua" w:cstheme="majorHAnsi"/>
          <w:color w:val="000000" w:themeColor="text1"/>
          <w:sz w:val="20"/>
          <w:szCs w:val="20"/>
          <w:lang w:val="da-DK"/>
        </w:rPr>
      </w:pP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Pr>
          <w:rFonts w:ascii="Book Antiqua" w:hAnsi="Book Antiqua" w:cstheme="majorHAnsi"/>
          <w:color w:val="000000" w:themeColor="text1"/>
          <w:sz w:val="20"/>
          <w:szCs w:val="20"/>
        </w:rPr>
        <w:tab/>
      </w:r>
      <w:r w:rsidR="00A2185A" w:rsidRPr="00A2185A">
        <w:rPr>
          <w:rFonts w:ascii="Book Antiqua" w:hAnsi="Book Antiqua" w:cstheme="majorHAnsi"/>
          <w:color w:val="000000" w:themeColor="text1"/>
          <w:sz w:val="20"/>
          <w:szCs w:val="20"/>
        </w:rPr>
        <w:t xml:space="preserve"> </w:t>
      </w:r>
      <w:r w:rsidR="00A2185A" w:rsidRPr="00215FF0">
        <w:rPr>
          <w:rFonts w:ascii="Book Antiqua" w:hAnsi="Book Antiqua" w:cstheme="majorHAnsi"/>
          <w:color w:val="000000" w:themeColor="text1"/>
          <w:sz w:val="20"/>
          <w:szCs w:val="20"/>
          <w:lang w:val="da-DK"/>
        </w:rPr>
        <w:t>P-ISSN: 1693-0061, E-I</w:t>
      </w:r>
      <w:r w:rsidR="0096447F" w:rsidRPr="0096447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A2185A" w:rsidRPr="00215FF0">
        <w:rPr>
          <w:rFonts w:ascii="Book Antiqua" w:hAnsi="Book Antiqua" w:cstheme="majorHAnsi"/>
          <w:color w:val="000000" w:themeColor="text1"/>
          <w:sz w:val="20"/>
          <w:szCs w:val="20"/>
          <w:lang w:val="da-DK"/>
        </w:rPr>
        <w:t>SSN: 2614-2961</w:t>
      </w:r>
    </w:p>
    <w:p w14:paraId="2454ABE1" w14:textId="77777777" w:rsidR="00DE2DB3" w:rsidRPr="00215FF0" w:rsidRDefault="003B1A7B" w:rsidP="00DE1590">
      <w:pPr>
        <w:pStyle w:val="Header"/>
        <w:tabs>
          <w:tab w:val="clear" w:pos="9360"/>
          <w:tab w:val="left" w:pos="615"/>
          <w:tab w:val="left" w:pos="825"/>
          <w:tab w:val="right" w:pos="9781"/>
        </w:tabs>
        <w:spacing w:after="40"/>
        <w:rPr>
          <w:rStyle w:val="Hyperlink"/>
          <w:rFonts w:ascii="Book Antiqua" w:hAnsi="Book Antiqua" w:cstheme="majorHAnsi"/>
          <w:sz w:val="18"/>
          <w:szCs w:val="18"/>
          <w:lang w:val="da-DK"/>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98176" behindDoc="0" locked="0" layoutInCell="1" allowOverlap="1" wp14:anchorId="7B81FAAC" wp14:editId="447A9C35">
                <wp:simplePos x="0" y="0"/>
                <wp:positionH relativeFrom="column">
                  <wp:posOffset>-90805</wp:posOffset>
                </wp:positionH>
                <wp:positionV relativeFrom="paragraph">
                  <wp:posOffset>50165</wp:posOffset>
                </wp:positionV>
                <wp:extent cx="933450" cy="428625"/>
                <wp:effectExtent l="0" t="0" r="0" b="0"/>
                <wp:wrapNone/>
                <wp:docPr id="16" name="Rectangle 16"/>
                <wp:cNvGraphicFramePr/>
                <a:graphic xmlns:a="http://schemas.openxmlformats.org/drawingml/2006/main">
                  <a:graphicData uri="http://schemas.microsoft.com/office/word/2010/wordprocessingShape">
                    <wps:wsp>
                      <wps:cNvSpPr/>
                      <wps:spPr>
                        <a:xfrm>
                          <a:off x="0" y="0"/>
                          <a:ext cx="9334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FAAC" id="Rectangle 16" o:spid="_x0000_s1026" style="position:absolute;margin-left:-7.15pt;margin-top:3.95pt;width:73.5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" filled="f" stroked="f" strokeweight="1pt">
                <v:textbox>
                  <w:txbxContent>
                    <w:p w14:paraId="6BF194F6" w14:textId="77777777" w:rsidR="00907AF6" w:rsidRPr="00907AF6" w:rsidRDefault="00907AF6" w:rsidP="00907AF6">
                      <w:pPr>
                        <w:pStyle w:val="Header"/>
                        <w:spacing w:after="60"/>
                        <w:jc w:val="both"/>
                        <w:rPr>
                          <w:rFonts w:ascii="Book Antiqua" w:hAnsi="Book Antiqua" w:cs="Helvetica"/>
                          <w:b/>
                          <w:color w:val="000000" w:themeColor="text1"/>
                          <w:sz w:val="16"/>
                          <w:szCs w:val="16"/>
                        </w:rPr>
                      </w:pPr>
                      <w:r w:rsidRPr="003B1A7B">
                        <w:rPr>
                          <w:rFonts w:ascii="Book Antiqua" w:hAnsi="Book Antiqua" w:cs="Helvetica"/>
                          <w:b/>
                          <w:color w:val="000000" w:themeColor="text1"/>
                          <w:sz w:val="24"/>
                          <w:szCs w:val="16"/>
                        </w:rPr>
                        <w:t>SASI</w:t>
                      </w:r>
                    </w:p>
                  </w:txbxContent>
                </v:textbox>
              </v:rect>
            </w:pict>
          </mc:Fallback>
        </mc:AlternateContent>
      </w:r>
      <w:r w:rsidR="00DE1590" w:rsidRPr="00011808">
        <w:rPr>
          <w:rFonts w:ascii="Book Antiqua" w:hAnsi="Book Antiqua"/>
          <w:noProof/>
          <w:sz w:val="18"/>
          <w:szCs w:val="18"/>
          <w:lang w:bidi="ar-SA"/>
        </w:rPr>
        <w:drawing>
          <wp:anchor distT="0" distB="0" distL="114300" distR="114300" simplePos="0" relativeHeight="251669504" behindDoc="0" locked="0" layoutInCell="1" allowOverlap="1" wp14:anchorId="2EC783AF" wp14:editId="37138FAA">
            <wp:simplePos x="0" y="0"/>
            <wp:positionH relativeFrom="column">
              <wp:posOffset>4448810</wp:posOffset>
            </wp:positionH>
            <wp:positionV relativeFrom="paragraph">
              <wp:posOffset>139065</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r w:rsidR="00DE2DB3" w:rsidRPr="00215FF0">
        <w:rPr>
          <w:rFonts w:ascii="Book Antiqua" w:hAnsi="Book Antiqua" w:cstheme="majorHAnsi"/>
          <w:color w:val="000000" w:themeColor="text1"/>
          <w:sz w:val="20"/>
          <w:szCs w:val="20"/>
          <w:lang w:val="da-DK"/>
        </w:rPr>
        <w:tab/>
      </w:r>
      <w:hyperlink r:id="rId10" w:history="1">
        <w:r w:rsidR="00DE2DB3" w:rsidRPr="00215FF0">
          <w:rPr>
            <w:rStyle w:val="Hyperlink"/>
            <w:rFonts w:ascii="Book Antiqua" w:hAnsi="Book Antiqua" w:cstheme="majorHAnsi"/>
            <w:sz w:val="18"/>
            <w:szCs w:val="18"/>
            <w:lang w:val="da-DK"/>
          </w:rPr>
          <w:t>https://fhukum.unpatti.ac.id/jurnal/sasi</w:t>
        </w:r>
      </w:hyperlink>
    </w:p>
    <w:p w14:paraId="5F529A3F" w14:textId="77777777" w:rsidR="00D34C69" w:rsidRPr="00215FF0" w:rsidRDefault="00A27DF6" w:rsidP="00E86094">
      <w:pPr>
        <w:pStyle w:val="Header"/>
        <w:tabs>
          <w:tab w:val="clear" w:pos="9360"/>
          <w:tab w:val="left" w:pos="615"/>
          <w:tab w:val="left" w:pos="825"/>
          <w:tab w:val="right" w:pos="9781"/>
        </w:tabs>
        <w:spacing w:after="80"/>
        <w:jc w:val="right"/>
        <w:rPr>
          <w:rFonts w:ascii="Book Antiqua" w:hAnsi="Book Antiqua" w:cstheme="majorHAnsi"/>
          <w:color w:val="000000" w:themeColor="text1"/>
          <w:sz w:val="18"/>
          <w:szCs w:val="18"/>
          <w:lang w:val="da-DK"/>
        </w:rPr>
      </w:pPr>
      <w:r>
        <w:rPr>
          <w:noProof/>
          <w:lang w:bidi="ar-SA"/>
        </w:rPr>
        <mc:AlternateContent>
          <mc:Choice Requires="wps">
            <w:drawing>
              <wp:anchor distT="0" distB="0" distL="114300" distR="114300" simplePos="0" relativeHeight="251679744" behindDoc="0" locked="0" layoutInCell="1" allowOverlap="1" wp14:anchorId="047B445A" wp14:editId="07F9F123">
                <wp:simplePos x="0" y="0"/>
                <wp:positionH relativeFrom="column">
                  <wp:posOffset>-9525</wp:posOffset>
                </wp:positionH>
                <wp:positionV relativeFrom="paragraph">
                  <wp:posOffset>201295</wp:posOffset>
                </wp:positionV>
                <wp:extent cx="615569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569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B4EC7"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85pt" to="48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" strokecolor="#aeaaaa [2414]" strokeweight="6pt">
                <v:stroke linestyle="thinThin" joinstyle="miter"/>
              </v:line>
            </w:pict>
          </mc:Fallback>
        </mc:AlternateContent>
      </w:r>
      <w:r w:rsidR="00DE1590" w:rsidRPr="00215FF0">
        <w:rPr>
          <w:rStyle w:val="Hyperlink"/>
          <w:rFonts w:ascii="Book Antiqua" w:hAnsi="Book Antiqua" w:cstheme="majorHAnsi"/>
          <w:color w:val="4472C4" w:themeColor="accent1"/>
          <w:sz w:val="18"/>
          <w:szCs w:val="18"/>
          <w:u w:val="none"/>
          <w:lang w:val="da-DK"/>
        </w:rPr>
        <w:t xml:space="preserve">: </w:t>
      </w:r>
      <w:r w:rsidR="00000000">
        <w:fldChar w:fldCharType="begin"/>
      </w:r>
      <w:r w:rsidR="00000000">
        <w:instrText>HYPERLINK "http://dx.doi.org/10.47268/sasi.v30i1.XXXXX"</w:instrText>
      </w:r>
      <w:r w:rsidR="00000000">
        <w:fldChar w:fldCharType="separate"/>
      </w:r>
      <w:r w:rsidR="00DE1590" w:rsidRPr="00215FF0">
        <w:rPr>
          <w:rStyle w:val="Hyperlink"/>
          <w:rFonts w:ascii="Book Antiqua" w:hAnsi="Book Antiqua" w:cstheme="majorHAnsi"/>
          <w:sz w:val="18"/>
          <w:szCs w:val="18"/>
          <w:u w:val="none"/>
          <w:lang w:val="da-DK"/>
        </w:rPr>
        <w:t>10.47268/sasi.v30i1.XXXXX</w:t>
      </w:r>
      <w:r w:rsidR="00000000">
        <w:rPr>
          <w:rStyle w:val="Hyperlink"/>
          <w:rFonts w:ascii="Book Antiqua" w:hAnsi="Book Antiqua" w:cstheme="majorHAnsi"/>
          <w:sz w:val="18"/>
          <w:szCs w:val="18"/>
          <w:u w:val="none"/>
          <w:lang w:val="da-DK"/>
        </w:rPr>
        <w:fldChar w:fldCharType="end"/>
      </w:r>
    </w:p>
    <w:p w14:paraId="7EF455F9" w14:textId="77777777" w:rsidR="0071563E" w:rsidRPr="00215FF0" w:rsidRDefault="0071563E" w:rsidP="0071563E">
      <w:pPr>
        <w:pStyle w:val="ListParagraph"/>
        <w:spacing w:after="0" w:line="240" w:lineRule="auto"/>
        <w:ind w:left="0"/>
        <w:contextualSpacing w:val="0"/>
        <w:rPr>
          <w:rFonts w:ascii="Book Antiqua" w:hAnsi="Book Antiqua" w:cs="Calibri"/>
          <w:b/>
          <w:iCs/>
          <w:color w:val="000000" w:themeColor="text1"/>
          <w:sz w:val="32"/>
          <w:lang w:val="da-DK"/>
        </w:rPr>
      </w:pPr>
    </w:p>
    <w:p w14:paraId="4FA9C19D" w14:textId="3FE5CD8B" w:rsidR="00636DD4" w:rsidRPr="00636DD4" w:rsidRDefault="00636DD4" w:rsidP="001B212E">
      <w:pPr>
        <w:pStyle w:val="ListParagraph"/>
        <w:spacing w:after="120" w:line="240" w:lineRule="auto"/>
        <w:ind w:left="0"/>
        <w:contextualSpacing w:val="0"/>
        <w:rPr>
          <w:rFonts w:ascii="Book Antiqua" w:hAnsi="Book Antiqua" w:cs="Calibri"/>
          <w:b/>
          <w:iCs/>
          <w:color w:val="000000" w:themeColor="text1"/>
          <w:sz w:val="32"/>
        </w:rPr>
      </w:pPr>
      <w:r w:rsidRPr="00636DD4">
        <w:rPr>
          <w:rFonts w:ascii="Book Antiqua" w:hAnsi="Book Antiqua" w:cs="Calibri"/>
          <w:b/>
          <w:iCs/>
          <w:color w:val="000000" w:themeColor="text1"/>
          <w:sz w:val="32"/>
        </w:rPr>
        <w:t xml:space="preserve">The Law </w:t>
      </w:r>
      <w:proofErr w:type="gramStart"/>
      <w:r w:rsidRPr="00636DD4">
        <w:rPr>
          <w:rFonts w:ascii="Book Antiqua" w:hAnsi="Book Antiqua" w:cs="Calibri"/>
          <w:b/>
          <w:iCs/>
          <w:color w:val="000000" w:themeColor="text1"/>
          <w:sz w:val="32"/>
        </w:rPr>
        <w:t>Of</w:t>
      </w:r>
      <w:proofErr w:type="gramEnd"/>
      <w:r w:rsidRPr="00636DD4">
        <w:rPr>
          <w:rFonts w:ascii="Book Antiqua" w:hAnsi="Book Antiqua" w:cs="Calibri"/>
          <w:b/>
          <w:iCs/>
          <w:color w:val="000000" w:themeColor="text1"/>
          <w:sz w:val="32"/>
        </w:rPr>
        <w:t xml:space="preserve"> Gender Justice In Digital Inheritance Distribution: A Fiqh Perspective On Crypto Assets And </w:t>
      </w:r>
      <w:proofErr w:type="spellStart"/>
      <w:r w:rsidRPr="00636DD4">
        <w:rPr>
          <w:rFonts w:ascii="Book Antiqua" w:hAnsi="Book Antiqua" w:cs="Calibri"/>
          <w:b/>
          <w:iCs/>
          <w:color w:val="000000" w:themeColor="text1"/>
          <w:sz w:val="32"/>
        </w:rPr>
        <w:t>Nfts</w:t>
      </w:r>
      <w:proofErr w:type="spellEnd"/>
      <w:r w:rsidRPr="00636DD4">
        <w:rPr>
          <w:rFonts w:ascii="Book Antiqua" w:hAnsi="Book Antiqua" w:cs="Calibri"/>
          <w:b/>
          <w:iCs/>
          <w:color w:val="000000" w:themeColor="text1"/>
          <w:sz w:val="32"/>
        </w:rPr>
        <w:t xml:space="preserve"> In Dubai</w:t>
      </w:r>
    </w:p>
    <w:p w14:paraId="6FE4F224" w14:textId="25574084" w:rsidR="004B1F20" w:rsidRPr="002022E7" w:rsidRDefault="00636DD4" w:rsidP="002022E7">
      <w:pPr>
        <w:spacing w:after="120" w:line="240" w:lineRule="auto"/>
        <w:rPr>
          <w:rFonts w:ascii="Book Antiqua" w:hAnsi="Book Antiqua"/>
          <w:b/>
          <w:bCs/>
          <w:sz w:val="24"/>
          <w:szCs w:val="24"/>
          <w:vertAlign w:val="superscript"/>
        </w:rPr>
      </w:pPr>
      <w:r w:rsidRPr="00636DD4">
        <w:rPr>
          <w:rFonts w:ascii="Book Antiqua" w:hAnsi="Book Antiqua"/>
          <w:b/>
          <w:bCs/>
          <w:sz w:val="24"/>
          <w:szCs w:val="24"/>
        </w:rPr>
        <w:t xml:space="preserve">Umi </w:t>
      </w:r>
      <w:proofErr w:type="spellStart"/>
      <w:r w:rsidRPr="00636DD4">
        <w:rPr>
          <w:rFonts w:ascii="Book Antiqua" w:hAnsi="Book Antiqua"/>
          <w:b/>
          <w:bCs/>
          <w:sz w:val="24"/>
          <w:szCs w:val="24"/>
        </w:rPr>
        <w:t>Khusnul</w:t>
      </w:r>
      <w:proofErr w:type="spellEnd"/>
      <w:r w:rsidRPr="00636DD4">
        <w:rPr>
          <w:rFonts w:ascii="Book Antiqua" w:hAnsi="Book Antiqua"/>
          <w:b/>
          <w:bCs/>
          <w:sz w:val="24"/>
          <w:szCs w:val="24"/>
        </w:rPr>
        <w:t xml:space="preserve"> </w:t>
      </w:r>
      <w:proofErr w:type="spellStart"/>
      <w:r w:rsidRPr="00636DD4">
        <w:rPr>
          <w:rFonts w:ascii="Book Antiqua" w:hAnsi="Book Antiqua"/>
          <w:b/>
          <w:bCs/>
          <w:sz w:val="24"/>
          <w:szCs w:val="24"/>
        </w:rPr>
        <w:t>Khotimah</w:t>
      </w:r>
      <w:proofErr w:type="spellEnd"/>
      <w:r w:rsidR="006A639D">
        <w:rPr>
          <w:rFonts w:ascii="Book Antiqua" w:hAnsi="Book Antiqua"/>
          <w:b/>
          <w:bCs/>
          <w:sz w:val="24"/>
          <w:szCs w:val="24"/>
          <w:vertAlign w:val="superscript"/>
        </w:rPr>
        <w:t>*</w:t>
      </w:r>
      <w:r w:rsidR="00990023">
        <w:rPr>
          <w:rFonts w:ascii="Book Antiqua" w:hAnsi="Book Antiqua"/>
          <w:b/>
          <w:bCs/>
          <w:sz w:val="24"/>
          <w:szCs w:val="24"/>
          <w:vertAlign w:val="superscript"/>
        </w:rPr>
        <w:t xml:space="preserve"> </w:t>
      </w:r>
    </w:p>
    <w:p w14:paraId="3D2A2F83" w14:textId="31C9A271" w:rsidR="004B1F20" w:rsidRPr="00912A35" w:rsidRDefault="004B1F20" w:rsidP="005B42F8">
      <w:pPr>
        <w:spacing w:after="120" w:line="240" w:lineRule="auto"/>
        <w:rPr>
          <w:rFonts w:ascii="Book Antiqua" w:hAnsi="Book Antiqua"/>
          <w:bCs/>
          <w:sz w:val="18"/>
          <w:szCs w:val="24"/>
        </w:rPr>
      </w:pPr>
      <w:r w:rsidRPr="00F14211">
        <w:rPr>
          <w:rFonts w:ascii="Book Antiqua" w:hAnsi="Book Antiqua"/>
          <w:bCs/>
          <w:szCs w:val="24"/>
          <w:vertAlign w:val="superscript"/>
        </w:rPr>
        <w:t>1</w:t>
      </w:r>
      <w:r w:rsidR="00636DD4" w:rsidRPr="00636DD4">
        <w:rPr>
          <w:rFonts w:ascii="Book Antiqua" w:hAnsi="Book Antiqua"/>
          <w:bCs/>
          <w:szCs w:val="24"/>
        </w:rPr>
        <w:t xml:space="preserve">Faculty of Sharia and Islamic Economics, </w:t>
      </w:r>
      <w:proofErr w:type="spellStart"/>
      <w:r w:rsidR="00636DD4" w:rsidRPr="00636DD4">
        <w:rPr>
          <w:rFonts w:ascii="Book Antiqua" w:hAnsi="Book Antiqua"/>
          <w:bCs/>
          <w:szCs w:val="24"/>
        </w:rPr>
        <w:t>Institut</w:t>
      </w:r>
      <w:proofErr w:type="spellEnd"/>
      <w:r w:rsidR="00636DD4" w:rsidRPr="00636DD4">
        <w:rPr>
          <w:rFonts w:ascii="Book Antiqua" w:hAnsi="Book Antiqua"/>
          <w:bCs/>
          <w:szCs w:val="24"/>
        </w:rPr>
        <w:t xml:space="preserve"> </w:t>
      </w:r>
      <w:proofErr w:type="spellStart"/>
      <w:r w:rsidR="00636DD4" w:rsidRPr="00636DD4">
        <w:rPr>
          <w:rFonts w:ascii="Book Antiqua" w:hAnsi="Book Antiqua"/>
          <w:bCs/>
          <w:szCs w:val="24"/>
        </w:rPr>
        <w:t>Ilmu</w:t>
      </w:r>
      <w:proofErr w:type="spellEnd"/>
      <w:r w:rsidR="00636DD4" w:rsidRPr="00636DD4">
        <w:rPr>
          <w:rFonts w:ascii="Book Antiqua" w:hAnsi="Book Antiqua"/>
          <w:bCs/>
          <w:szCs w:val="24"/>
        </w:rPr>
        <w:t xml:space="preserve"> Al Qur'an Jakarta, Jakarta</w:t>
      </w:r>
    </w:p>
    <w:p w14:paraId="14CBFB6F" w14:textId="3845D394" w:rsidR="00636DD4" w:rsidRPr="00636DD4" w:rsidRDefault="00602006" w:rsidP="00636DD4">
      <w:pPr>
        <w:spacing w:after="0"/>
        <w:rPr>
          <w:rStyle w:val="Hyperlink"/>
          <w:rFonts w:ascii="Book Antiqua" w:hAnsi="Book Antiqua"/>
          <w:sz w:val="20"/>
          <w:u w:val="none"/>
        </w:rPr>
      </w:pPr>
      <w:r w:rsidRPr="001D6CFF">
        <w:rPr>
          <w:bCs/>
          <w:i/>
          <w:iCs/>
          <w:noProof/>
          <w:color w:val="000000" w:themeColor="text1"/>
          <w:lang w:bidi="ar-SA"/>
        </w:rPr>
        <w:drawing>
          <wp:anchor distT="0" distB="0" distL="114300" distR="114300" simplePos="0" relativeHeight="251660288" behindDoc="1" locked="0" layoutInCell="1" allowOverlap="1" wp14:anchorId="1AA48749" wp14:editId="34E6BE82">
            <wp:simplePos x="0" y="0"/>
            <wp:positionH relativeFrom="margin">
              <wp:posOffset>5818505</wp:posOffset>
            </wp:positionH>
            <wp:positionV relativeFrom="paragraph">
              <wp:posOffset>13970</wp:posOffset>
            </wp:positionV>
            <wp:extent cx="324000" cy="338727"/>
            <wp:effectExtent l="0" t="0" r="0" b="4445"/>
            <wp:wrapNone/>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1327438B" wp14:editId="6456D574">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F14211">
        <w:rPr>
          <w:rFonts w:ascii="Book Antiqua" w:hAnsi="Book Antiqua"/>
          <w:bCs/>
          <w:szCs w:val="24"/>
        </w:rPr>
        <w:t>:</w:t>
      </w:r>
      <w:r w:rsidR="00636DD4">
        <w:rPr>
          <w:rStyle w:val="Hyperlink"/>
          <w:rFonts w:ascii="Book Antiqua" w:hAnsi="Book Antiqua"/>
          <w:color w:val="000000" w:themeColor="text1"/>
          <w:sz w:val="20"/>
          <w:u w:val="none"/>
        </w:rPr>
        <w:t xml:space="preserve"> </w:t>
      </w:r>
      <w:hyperlink r:id="rId14" w:history="1">
        <w:r w:rsidR="00636DD4" w:rsidRPr="00636DD4">
          <w:rPr>
            <w:rStyle w:val="Hyperlink"/>
            <w:rFonts w:ascii="Book Antiqua" w:hAnsi="Book Antiqua"/>
            <w:sz w:val="20"/>
            <w:u w:val="none"/>
          </w:rPr>
          <w:t>umi.husnul@iiq.ac.id</w:t>
        </w:r>
      </w:hyperlink>
      <w:r w:rsidR="00636DD4" w:rsidRPr="00636DD4">
        <w:rPr>
          <w:rStyle w:val="Hyperlink"/>
          <w:rFonts w:ascii="Book Antiqua" w:hAnsi="Book Antiqua"/>
          <w:sz w:val="20"/>
          <w:u w:val="none"/>
        </w:rPr>
        <w:t xml:space="preserve"> </w:t>
      </w:r>
    </w:p>
    <w:p w14:paraId="02B072A3" w14:textId="77777777" w:rsidR="00023DA6" w:rsidRPr="00023DA6" w:rsidRDefault="00023DA6" w:rsidP="00636DD4">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Style w:val="TableGrid"/>
        <w:tblW w:w="9639" w:type="dxa"/>
        <w:tblLayout w:type="fixed"/>
        <w:tblLook w:val="04A0" w:firstRow="1" w:lastRow="0" w:firstColumn="1" w:lastColumn="0" w:noHBand="0" w:noVBand="1"/>
      </w:tblPr>
      <w:tblGrid>
        <w:gridCol w:w="2378"/>
        <w:gridCol w:w="2300"/>
        <w:gridCol w:w="2410"/>
        <w:gridCol w:w="2551"/>
      </w:tblGrid>
      <w:tr w:rsidR="00A2185A" w14:paraId="6BAC9C3A" w14:textId="77777777" w:rsidTr="00E86094">
        <w:tc>
          <w:tcPr>
            <w:tcW w:w="9639" w:type="dxa"/>
            <w:gridSpan w:val="4"/>
            <w:tcBorders>
              <w:top w:val="single" w:sz="4" w:space="0" w:color="auto"/>
              <w:left w:val="nil"/>
              <w:bottom w:val="nil"/>
              <w:right w:val="nil"/>
            </w:tcBorders>
            <w:shd w:val="clear" w:color="auto" w:fill="D9E2F3" w:themeFill="accent1" w:themeFillTint="33"/>
            <w:vAlign w:val="center"/>
          </w:tcPr>
          <w:p w14:paraId="462A9BED" w14:textId="77777777" w:rsidR="00A2185A" w:rsidRPr="004418A3" w:rsidRDefault="00183EBA" w:rsidP="003B3B74">
            <w:pPr>
              <w:spacing w:after="0" w:line="240" w:lineRule="auto"/>
              <w:jc w:val="center"/>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285C8E" w14:paraId="2A38FCA9" w14:textId="77777777" w:rsidTr="00E86094">
        <w:tc>
          <w:tcPr>
            <w:tcW w:w="9639" w:type="dxa"/>
            <w:gridSpan w:val="4"/>
            <w:tcBorders>
              <w:top w:val="nil"/>
              <w:left w:val="nil"/>
              <w:bottom w:val="single" w:sz="4" w:space="0" w:color="auto"/>
              <w:right w:val="nil"/>
            </w:tcBorders>
            <w:shd w:val="clear" w:color="auto" w:fill="auto"/>
            <w:vAlign w:val="center"/>
          </w:tcPr>
          <w:p w14:paraId="4003C53E" w14:textId="77777777" w:rsidR="00636DD4" w:rsidRPr="00636DD4" w:rsidRDefault="00636DD4" w:rsidP="00636DD4">
            <w:pPr>
              <w:spacing w:after="120" w:line="240" w:lineRule="auto"/>
              <w:ind w:left="-108" w:right="-108"/>
              <w:jc w:val="both"/>
              <w:rPr>
                <w:rFonts w:ascii="Book Antiqua" w:hAnsi="Book Antiqua"/>
                <w:i/>
                <w:sz w:val="20"/>
              </w:rPr>
            </w:pPr>
            <w:r w:rsidRPr="00636DD4">
              <w:rPr>
                <w:rFonts w:ascii="Book Antiqua" w:hAnsi="Book Antiqua"/>
                <w:i/>
                <w:sz w:val="20"/>
              </w:rPr>
              <w:t xml:space="preserve">This study aims to explore gender justice in the distribution of digital inheritance, focusing on the Islamic </w:t>
            </w:r>
            <w:proofErr w:type="spellStart"/>
            <w:r w:rsidRPr="00636DD4">
              <w:rPr>
                <w:rFonts w:ascii="Book Antiqua" w:hAnsi="Book Antiqua"/>
                <w:i/>
                <w:sz w:val="20"/>
              </w:rPr>
              <w:t>fiqh</w:t>
            </w:r>
            <w:proofErr w:type="spellEnd"/>
            <w:r w:rsidRPr="00636DD4">
              <w:rPr>
                <w:rFonts w:ascii="Book Antiqua" w:hAnsi="Book Antiqua"/>
                <w:i/>
                <w:sz w:val="20"/>
              </w:rPr>
              <w:t xml:space="preserve"> perspective toward cryptocurrency and NFT assets in Dubai. The research employs a qualitative approach to analyze </w:t>
            </w:r>
            <w:proofErr w:type="spellStart"/>
            <w:r w:rsidRPr="00636DD4">
              <w:rPr>
                <w:rFonts w:ascii="Book Antiqua" w:hAnsi="Book Antiqua"/>
                <w:i/>
                <w:sz w:val="20"/>
              </w:rPr>
              <w:t>fiqh</w:t>
            </w:r>
            <w:proofErr w:type="spellEnd"/>
            <w:r w:rsidRPr="00636DD4">
              <w:rPr>
                <w:rFonts w:ascii="Book Antiqua" w:hAnsi="Book Antiqua"/>
                <w:i/>
                <w:sz w:val="20"/>
              </w:rPr>
              <w:t xml:space="preserve"> texts, regulations, and real-life cases related to digital inheritance. Data collection includes document analysis, case studies, and expert opinions from Islamic scholars and digital asset practitioners in Dubai. The findings reveal that digital inheritance, characterized by its unique properties such as anonymity and the need for secure access, poses significant challenges in ensuring fair distribution, especially for women. The study highlights the cultural and technological barriers that limit women's access to digital inheritance in Dubai, despite their increasing economic contributions. The novelty lies in proposing a contemporary </w:t>
            </w:r>
            <w:proofErr w:type="spellStart"/>
            <w:r w:rsidRPr="00636DD4">
              <w:rPr>
                <w:rFonts w:ascii="Book Antiqua" w:hAnsi="Book Antiqua"/>
                <w:i/>
                <w:sz w:val="20"/>
              </w:rPr>
              <w:t>fiqh</w:t>
            </w:r>
            <w:proofErr w:type="spellEnd"/>
            <w:r w:rsidRPr="00636DD4">
              <w:rPr>
                <w:rFonts w:ascii="Book Antiqua" w:hAnsi="Book Antiqua"/>
                <w:i/>
                <w:sz w:val="20"/>
              </w:rPr>
              <w:t xml:space="preserve"> framework that integrates traditional principles with modern technological solutions like blockchain, ensuring transparency and fairness in inheritance distribution. By addressing the gender gap in digital inheritance, this research contributes to the development of equitable and practical </w:t>
            </w:r>
            <w:proofErr w:type="spellStart"/>
            <w:r w:rsidRPr="00636DD4">
              <w:rPr>
                <w:rFonts w:ascii="Book Antiqua" w:hAnsi="Book Antiqua"/>
                <w:i/>
                <w:sz w:val="20"/>
              </w:rPr>
              <w:t>fiqh</w:t>
            </w:r>
            <w:proofErr w:type="spellEnd"/>
            <w:r w:rsidRPr="00636DD4">
              <w:rPr>
                <w:rFonts w:ascii="Book Antiqua" w:hAnsi="Book Antiqua"/>
                <w:i/>
                <w:sz w:val="20"/>
              </w:rPr>
              <w:t xml:space="preserve"> guidelines for Muslim communities in the digital era.</w:t>
            </w:r>
          </w:p>
          <w:p w14:paraId="2A05EA8C" w14:textId="77777777" w:rsidR="00636DD4" w:rsidRDefault="00636DD4" w:rsidP="00183EBA">
            <w:pPr>
              <w:spacing w:after="120" w:line="240" w:lineRule="auto"/>
              <w:ind w:left="-108" w:right="-108"/>
              <w:jc w:val="both"/>
              <w:rPr>
                <w:rFonts w:ascii="Book Antiqua" w:hAnsi="Book Antiqua"/>
                <w:bCs/>
                <w:sz w:val="20"/>
              </w:rPr>
            </w:pPr>
          </w:p>
          <w:p w14:paraId="3DB37FC2" w14:textId="6BDE09DB" w:rsidR="00FC5CD6" w:rsidRPr="00FC5CD6" w:rsidRDefault="00183EBA" w:rsidP="004C1521">
            <w:pPr>
              <w:spacing w:after="120" w:line="240" w:lineRule="auto"/>
              <w:ind w:left="-108" w:right="-108"/>
              <w:jc w:val="both"/>
              <w:rPr>
                <w:rFonts w:ascii="Book Antiqua" w:hAnsi="Book Antiqua"/>
                <w:b/>
                <w:bCs/>
                <w:i/>
                <w:iCs/>
                <w:color w:val="000000"/>
                <w:sz w:val="20"/>
                <w:szCs w:val="24"/>
              </w:rPr>
            </w:pPr>
            <w:r w:rsidRPr="003B3B74">
              <w:rPr>
                <w:rFonts w:ascii="Book Antiqua" w:hAnsi="Book Antiqua"/>
                <w:b/>
                <w:bCs/>
                <w:i/>
                <w:iCs/>
                <w:color w:val="000000" w:themeColor="text1"/>
                <w:sz w:val="20"/>
                <w:szCs w:val="20"/>
                <w:lang w:val="id-ID"/>
              </w:rPr>
              <w:t>Keywords:</w:t>
            </w:r>
            <w:r w:rsidR="00636DD4">
              <w:rPr>
                <w:rFonts w:ascii="Book Antiqua" w:hAnsi="Book Antiqua"/>
                <w:b/>
                <w:bCs/>
                <w:i/>
                <w:iCs/>
                <w:color w:val="FFC000" w:themeColor="accent4"/>
                <w:sz w:val="20"/>
                <w:szCs w:val="20"/>
              </w:rPr>
              <w:t xml:space="preserve"> </w:t>
            </w:r>
            <w:r w:rsidR="00636DD4" w:rsidRPr="00636DD4">
              <w:rPr>
                <w:rFonts w:ascii="Book Antiqua" w:hAnsi="Book Antiqua"/>
                <w:b/>
                <w:i/>
                <w:sz w:val="20"/>
                <w:szCs w:val="20"/>
              </w:rPr>
              <w:t xml:space="preserve">Law, </w:t>
            </w:r>
            <w:r w:rsidR="00636DD4" w:rsidRPr="00636DD4">
              <w:rPr>
                <w:rFonts w:ascii="Book Antiqua" w:hAnsi="Book Antiqua"/>
                <w:b/>
                <w:i/>
                <w:sz w:val="20"/>
                <w:szCs w:val="20"/>
              </w:rPr>
              <w:t xml:space="preserve">Gender justice, digital inheritance, Islamic </w:t>
            </w:r>
            <w:proofErr w:type="spellStart"/>
            <w:r w:rsidR="00636DD4" w:rsidRPr="00636DD4">
              <w:rPr>
                <w:rFonts w:ascii="Book Antiqua" w:hAnsi="Book Antiqua"/>
                <w:b/>
                <w:i/>
                <w:sz w:val="20"/>
                <w:szCs w:val="20"/>
              </w:rPr>
              <w:t>fiqh</w:t>
            </w:r>
            <w:proofErr w:type="spellEnd"/>
            <w:r w:rsidR="00636DD4" w:rsidRPr="00636DD4">
              <w:rPr>
                <w:rFonts w:ascii="Book Antiqua" w:hAnsi="Book Antiqua"/>
                <w:b/>
                <w:i/>
                <w:sz w:val="20"/>
                <w:szCs w:val="20"/>
              </w:rPr>
              <w:t>, cryptocurrency, NFT.</w:t>
            </w:r>
          </w:p>
        </w:tc>
      </w:tr>
      <w:tr w:rsidR="009807F2" w14:paraId="6A058B70" w14:textId="77777777" w:rsidTr="00404A63">
        <w:tc>
          <w:tcPr>
            <w:tcW w:w="2378" w:type="dxa"/>
            <w:tcBorders>
              <w:left w:val="nil"/>
              <w:bottom w:val="single" w:sz="4" w:space="0" w:color="auto"/>
              <w:right w:val="nil"/>
            </w:tcBorders>
            <w:shd w:val="clear" w:color="auto" w:fill="F2F2F2" w:themeFill="background1" w:themeFillShade="F2"/>
            <w:vAlign w:val="center"/>
          </w:tcPr>
          <w:p w14:paraId="6741A84C" w14:textId="77777777" w:rsidR="009807F2" w:rsidRPr="009B3C8A" w:rsidRDefault="009807F2" w:rsidP="009B3C8A">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2F2F2" w:themeFill="background1" w:themeFillShade="F2"/>
            <w:vAlign w:val="center"/>
          </w:tcPr>
          <w:p w14:paraId="5CE261B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2F2F2" w:themeFill="background1" w:themeFillShade="F2"/>
            <w:vAlign w:val="center"/>
          </w:tcPr>
          <w:p w14:paraId="73CACDB1"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2F2F2" w:themeFill="background1" w:themeFillShade="F2"/>
            <w:vAlign w:val="center"/>
          </w:tcPr>
          <w:p w14:paraId="4641EBF2" w14:textId="77777777" w:rsidR="009807F2" w:rsidRPr="009B3C8A" w:rsidRDefault="009807F2" w:rsidP="00183EBA">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D02095" w14:paraId="68260FFA" w14:textId="77777777" w:rsidTr="00404A63">
        <w:trPr>
          <w:trHeight w:val="521"/>
        </w:trPr>
        <w:tc>
          <w:tcPr>
            <w:tcW w:w="9639" w:type="dxa"/>
            <w:gridSpan w:val="4"/>
            <w:tcBorders>
              <w:top w:val="single" w:sz="4" w:space="0" w:color="auto"/>
              <w:left w:val="nil"/>
              <w:bottom w:val="single" w:sz="4" w:space="0" w:color="auto"/>
              <w:right w:val="nil"/>
            </w:tcBorders>
            <w:shd w:val="clear" w:color="auto" w:fill="F2F2F2" w:themeFill="background1" w:themeFillShade="F2"/>
            <w:vAlign w:val="center"/>
          </w:tcPr>
          <w:p w14:paraId="71C3306F" w14:textId="77777777" w:rsidR="009B3C8A" w:rsidRPr="009B3C8A" w:rsidRDefault="00224963" w:rsidP="00164B5C">
            <w:pPr>
              <w:spacing w:after="0" w:line="240" w:lineRule="auto"/>
              <w:ind w:left="-108"/>
              <w:jc w:val="both"/>
              <w:rPr>
                <w:rFonts w:ascii="Book Antiqua" w:hAnsi="Book Antiqua"/>
                <w:color w:val="4472C4" w:themeColor="accent1"/>
                <w:sz w:val="16"/>
                <w:szCs w:val="16"/>
              </w:rPr>
            </w:pPr>
            <w:r w:rsidRPr="009807F2">
              <w:rPr>
                <w:rFonts w:ascii="Book Antiqua" w:hAnsi="Book Antiqua"/>
                <w:sz w:val="16"/>
                <w:szCs w:val="16"/>
              </w:rPr>
              <w:t>How To Cite:</w:t>
            </w:r>
            <w:r w:rsidR="00154A86" w:rsidRPr="009807F2">
              <w:rPr>
                <w:rFonts w:ascii="Book Antiqua" w:hAnsi="Book Antiqua"/>
                <w:sz w:val="16"/>
                <w:szCs w:val="16"/>
              </w:rPr>
              <w:t xml:space="preserve"> </w:t>
            </w:r>
            <w:r w:rsidR="00154A86" w:rsidRPr="009807F2">
              <w:rPr>
                <w:rFonts w:ascii="Book Antiqua" w:hAnsi="Book Antiqua" w:cstheme="majorHAnsi"/>
                <w:color w:val="000000" w:themeColor="text1"/>
                <w:sz w:val="16"/>
                <w:szCs w:val="16"/>
              </w:rPr>
              <w:t xml:space="preserve">Sarah </w:t>
            </w:r>
            <w:proofErr w:type="spellStart"/>
            <w:r w:rsidR="00154A86"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Muchtar </w:t>
            </w:r>
            <w:proofErr w:type="spellStart"/>
            <w:r w:rsidR="00154A86" w:rsidRPr="009807F2">
              <w:rPr>
                <w:rFonts w:ascii="Book Antiqua" w:hAnsi="Book Antiqua" w:cstheme="majorHAnsi"/>
                <w:color w:val="000000" w:themeColor="text1"/>
                <w:sz w:val="16"/>
                <w:szCs w:val="16"/>
              </w:rPr>
              <w:t>Anshary</w:t>
            </w:r>
            <w:proofErr w:type="spellEnd"/>
            <w:r w:rsidR="00154A86" w:rsidRPr="009807F2">
              <w:rPr>
                <w:rFonts w:ascii="Book Antiqua" w:hAnsi="Book Antiqua" w:cstheme="majorHAnsi"/>
                <w:color w:val="000000" w:themeColor="text1"/>
                <w:sz w:val="16"/>
                <w:szCs w:val="16"/>
              </w:rPr>
              <w:t xml:space="preserve"> Hamid </w:t>
            </w:r>
            <w:proofErr w:type="spellStart"/>
            <w:r w:rsidR="00154A86" w:rsidRPr="009807F2">
              <w:rPr>
                <w:rFonts w:ascii="Book Antiqua" w:hAnsi="Book Antiqua" w:cstheme="majorHAnsi"/>
                <w:color w:val="000000" w:themeColor="text1"/>
                <w:sz w:val="16"/>
                <w:szCs w:val="16"/>
              </w:rPr>
              <w:t>Labetubun</w:t>
            </w:r>
            <w:proofErr w:type="spellEnd"/>
            <w:r w:rsidR="005C01AB" w:rsidRPr="009807F2">
              <w:rPr>
                <w:rFonts w:ascii="Book Antiqua" w:hAnsi="Book Antiqua" w:cstheme="majorHAnsi"/>
                <w:color w:val="000000" w:themeColor="text1"/>
                <w:sz w:val="16"/>
                <w:szCs w:val="16"/>
              </w:rPr>
              <w:t xml:space="preserve">, </w:t>
            </w:r>
            <w:r w:rsidR="00154A86" w:rsidRPr="009807F2">
              <w:rPr>
                <w:rFonts w:ascii="Book Antiqua" w:hAnsi="Book Antiqua" w:cstheme="majorHAnsi"/>
                <w:color w:val="000000" w:themeColor="text1"/>
                <w:sz w:val="16"/>
                <w:szCs w:val="16"/>
              </w:rPr>
              <w:t xml:space="preserve">and Rory Jeff </w:t>
            </w:r>
            <w:proofErr w:type="spellStart"/>
            <w:r w:rsidR="00154A86" w:rsidRPr="009807F2">
              <w:rPr>
                <w:rFonts w:ascii="Book Antiqua" w:hAnsi="Book Antiqua" w:cstheme="majorHAnsi"/>
                <w:color w:val="000000" w:themeColor="text1"/>
                <w:sz w:val="16"/>
                <w:szCs w:val="16"/>
              </w:rPr>
              <w:t>Akyuwen</w:t>
            </w:r>
            <w:proofErr w:type="spellEnd"/>
            <w:r w:rsidR="00154A86"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A Legal Awareness of Copyright on Regional Song Creators</w:t>
            </w:r>
            <w:r w:rsidR="005C01AB" w:rsidRPr="009807F2">
              <w:rPr>
                <w:rFonts w:ascii="Book Antiqua" w:hAnsi="Book Antiqua" w:cstheme="majorHAnsi"/>
                <w:color w:val="000000" w:themeColor="text1"/>
                <w:sz w:val="16"/>
                <w:szCs w:val="16"/>
              </w:rPr>
              <w:t xml:space="preserve">.” </w:t>
            </w:r>
            <w:r w:rsidR="005C01AB" w:rsidRPr="009807F2">
              <w:rPr>
                <w:rFonts w:ascii="Book Antiqua" w:hAnsi="Book Antiqua" w:cstheme="majorHAnsi"/>
                <w:i/>
                <w:color w:val="000000" w:themeColor="text1"/>
                <w:sz w:val="16"/>
                <w:szCs w:val="16"/>
              </w:rPr>
              <w:t>SASI</w:t>
            </w:r>
            <w:r w:rsidR="005C01AB" w:rsidRPr="009807F2">
              <w:rPr>
                <w:rFonts w:ascii="Book Antiqua" w:hAnsi="Book Antiqua" w:cstheme="majorHAnsi"/>
                <w:color w:val="000000" w:themeColor="text1"/>
                <w:sz w:val="16"/>
                <w:szCs w:val="16"/>
              </w:rPr>
              <w:t xml:space="preserve"> 30 no. 1 (2024): XXX-</w:t>
            </w:r>
            <w:proofErr w:type="spellStart"/>
            <w:r w:rsidR="005C01AB" w:rsidRPr="009807F2">
              <w:rPr>
                <w:rFonts w:ascii="Book Antiqua" w:hAnsi="Book Antiqua" w:cstheme="majorHAnsi"/>
                <w:color w:val="000000" w:themeColor="text1"/>
                <w:sz w:val="16"/>
                <w:szCs w:val="16"/>
              </w:rPr>
              <w:t>XXX</w:t>
            </w:r>
            <w:r w:rsidR="00154A86" w:rsidRPr="009807F2">
              <w:rPr>
                <w:rFonts w:ascii="Book Antiqua" w:hAnsi="Book Antiqua" w:cstheme="majorHAnsi"/>
                <w:color w:val="000000" w:themeColor="text1"/>
                <w:sz w:val="16"/>
                <w:szCs w:val="16"/>
              </w:rPr>
              <w:t>.</w:t>
            </w:r>
            <w:r w:rsidR="00154A86" w:rsidRPr="009807F2">
              <w:rPr>
                <w:rFonts w:ascii="Book Antiqua" w:hAnsi="Book Antiqua"/>
                <w:noProof/>
                <w:sz w:val="16"/>
                <w:szCs w:val="16"/>
              </w:rPr>
              <w:t>https</w:t>
            </w:r>
            <w:proofErr w:type="spellEnd"/>
            <w:r w:rsidR="00154A86" w:rsidRPr="009807F2">
              <w:rPr>
                <w:rFonts w:ascii="Book Antiqua" w:hAnsi="Book Antiqua"/>
                <w:noProof/>
                <w:sz w:val="16"/>
                <w:szCs w:val="16"/>
              </w:rPr>
              <w:t>://doi.org/</w:t>
            </w:r>
            <w:hyperlink r:id="rId15" w:history="1">
              <w:r w:rsidR="00154A86" w:rsidRPr="009807F2">
                <w:rPr>
                  <w:rFonts w:ascii="Book Antiqua" w:hAnsi="Book Antiqua"/>
                  <w:color w:val="4472C4" w:themeColor="accent1"/>
                  <w:sz w:val="16"/>
                  <w:szCs w:val="16"/>
                </w:rPr>
                <w:t>10.47268/sasi.v30i1.XXXXX</w:t>
              </w:r>
              <w:r w:rsidR="005C01AB" w:rsidRPr="009807F2">
                <w:rPr>
                  <w:rFonts w:ascii="Book Antiqua" w:hAnsi="Book Antiqua"/>
                  <w:color w:val="4472C4" w:themeColor="accent1"/>
                  <w:sz w:val="16"/>
                  <w:szCs w:val="16"/>
                </w:rPr>
                <w:t xml:space="preserve"> </w:t>
              </w:r>
            </w:hyperlink>
          </w:p>
        </w:tc>
      </w:tr>
      <w:tr w:rsidR="009B3C8A" w14:paraId="34CDD33C" w14:textId="77777777" w:rsidTr="00404A63">
        <w:tc>
          <w:tcPr>
            <w:tcW w:w="2378" w:type="dxa"/>
            <w:tcBorders>
              <w:top w:val="single" w:sz="4" w:space="0" w:color="auto"/>
              <w:left w:val="nil"/>
              <w:bottom w:val="single" w:sz="4" w:space="0" w:color="auto"/>
              <w:right w:val="nil"/>
            </w:tcBorders>
            <w:shd w:val="clear" w:color="auto" w:fill="F2F2F2" w:themeFill="background1" w:themeFillShade="F2"/>
            <w:vAlign w:val="center"/>
          </w:tcPr>
          <w:p w14:paraId="173FDB31" w14:textId="77777777" w:rsidR="009B3C8A" w:rsidRPr="00DE1590" w:rsidRDefault="009B3C8A" w:rsidP="00696409">
            <w:pPr>
              <w:spacing w:before="120" w:after="0" w:line="240" w:lineRule="auto"/>
              <w:ind w:left="-108"/>
              <w:jc w:val="both"/>
              <w:rPr>
                <w:noProof/>
                <w:color w:val="4472C4" w:themeColor="accent1"/>
                <w:sz w:val="18"/>
                <w:szCs w:val="18"/>
                <w:lang w:bidi="ar-SA"/>
              </w:rPr>
            </w:pPr>
            <w:r w:rsidRPr="009B3C8A">
              <w:rPr>
                <w:rFonts w:ascii="Book Antiqua" w:hAnsi="Book Antiqua"/>
                <w:sz w:val="16"/>
                <w:szCs w:val="16"/>
              </w:rPr>
              <w:t>Copyright</w:t>
            </w:r>
            <w:r w:rsidRPr="009B3C8A">
              <w:rPr>
                <w:rFonts w:ascii="Book Antiqua" w:hAnsi="Book Antiqua"/>
                <w:sz w:val="18"/>
                <w:szCs w:val="16"/>
              </w:rPr>
              <w:t xml:space="preserve"> © 202</w:t>
            </w:r>
            <w:r w:rsidR="00696409">
              <w:rPr>
                <w:rFonts w:ascii="Book Antiqua" w:hAnsi="Book Antiqua"/>
                <w:sz w:val="18"/>
                <w:szCs w:val="16"/>
              </w:rPr>
              <w:t>4</w:t>
            </w:r>
            <w:r w:rsidRPr="009B3C8A">
              <w:rPr>
                <w:rFonts w:ascii="Book Antiqua" w:hAnsi="Book Antiqua"/>
                <w:sz w:val="18"/>
                <w:szCs w:val="16"/>
              </w:rPr>
              <w:t xml:space="preserve"> Author(s)</w:t>
            </w:r>
          </w:p>
        </w:tc>
        <w:tc>
          <w:tcPr>
            <w:tcW w:w="7261" w:type="dxa"/>
            <w:gridSpan w:val="3"/>
            <w:tcBorders>
              <w:top w:val="single" w:sz="4" w:space="0" w:color="auto"/>
              <w:left w:val="nil"/>
              <w:bottom w:val="single" w:sz="4" w:space="0" w:color="auto"/>
              <w:right w:val="nil"/>
            </w:tcBorders>
            <w:shd w:val="clear" w:color="auto" w:fill="F2F2F2" w:themeFill="background1" w:themeFillShade="F2"/>
            <w:vAlign w:val="center"/>
          </w:tcPr>
          <w:p w14:paraId="07C89376" w14:textId="77777777" w:rsidR="009B3C8A" w:rsidRPr="00DE1590" w:rsidRDefault="00E86094" w:rsidP="00E86094">
            <w:pPr>
              <w:spacing w:before="120" w:after="0" w:line="240" w:lineRule="auto"/>
              <w:ind w:left="491"/>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5104" behindDoc="0" locked="0" layoutInCell="1" allowOverlap="1" wp14:anchorId="7247B88D" wp14:editId="447FEB43">
                  <wp:simplePos x="0" y="0"/>
                  <wp:positionH relativeFrom="column">
                    <wp:posOffset>-144145</wp:posOffset>
                  </wp:positionH>
                  <wp:positionV relativeFrom="paragraph">
                    <wp:posOffset>15875</wp:posOffset>
                  </wp:positionV>
                  <wp:extent cx="424180" cy="211455"/>
                  <wp:effectExtent l="0" t="0" r="0" b="0"/>
                  <wp:wrapNone/>
                  <wp:docPr id="2" name="Picture 2"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9C7D1C" w:rsidRPr="007E1A77">
                <w:t xml:space="preserve"> </w:t>
              </w:r>
              <w:r w:rsidR="009C7D1C" w:rsidRPr="009C7D1C">
                <w:rPr>
                  <w:rStyle w:val="Hyperlink"/>
                  <w:rFonts w:ascii="Book Antiqua" w:hAnsi="Book Antiqua"/>
                  <w:color w:val="000000" w:themeColor="text1"/>
                  <w:sz w:val="18"/>
                  <w:szCs w:val="18"/>
                  <w:u w:val="none"/>
                </w:rPr>
                <w:t>Creative Commons Attribution-</w:t>
              </w:r>
              <w:proofErr w:type="spellStart"/>
              <w:r w:rsidR="009C7D1C" w:rsidRPr="009C7D1C">
                <w:rPr>
                  <w:rStyle w:val="Hyperlink"/>
                  <w:rFonts w:ascii="Book Antiqua" w:hAnsi="Book Antiqua"/>
                  <w:color w:val="000000" w:themeColor="text1"/>
                  <w:sz w:val="18"/>
                  <w:szCs w:val="18"/>
                  <w:u w:val="none"/>
                </w:rPr>
                <w:t>NonCommercial</w:t>
              </w:r>
              <w:proofErr w:type="spellEnd"/>
              <w:r w:rsidR="009C7D1C" w:rsidRPr="009C7D1C">
                <w:rPr>
                  <w:rStyle w:val="Hyperlink"/>
                  <w:rFonts w:ascii="Book Antiqua" w:hAnsi="Book Antiqua"/>
                  <w:color w:val="000000" w:themeColor="text1"/>
                  <w:sz w:val="18"/>
                  <w:szCs w:val="18"/>
                  <w:u w:val="none"/>
                </w:rPr>
                <w:t xml:space="preserve"> 4.0 </w:t>
              </w:r>
              <w:proofErr w:type="spellStart"/>
              <w:r w:rsidR="009C7D1C" w:rsidRPr="009C7D1C">
                <w:rPr>
                  <w:rStyle w:val="Hyperlink"/>
                  <w:rFonts w:ascii="Book Antiqua" w:hAnsi="Book Antiqua"/>
                  <w:color w:val="000000" w:themeColor="text1"/>
                  <w:sz w:val="18"/>
                  <w:szCs w:val="18"/>
                  <w:u w:val="none"/>
                </w:rPr>
                <w:t>Internasional</w:t>
              </w:r>
              <w:proofErr w:type="spellEnd"/>
              <w:r w:rsidR="009B3C8A" w:rsidRPr="00011808">
                <w:rPr>
                  <w:rStyle w:val="Hyperlink"/>
                  <w:rFonts w:ascii="Book Antiqua" w:hAnsi="Book Antiqua"/>
                  <w:color w:val="000000" w:themeColor="text1"/>
                  <w:sz w:val="18"/>
                  <w:szCs w:val="18"/>
                  <w:u w:val="none"/>
                </w:rPr>
                <w:t xml:space="preserve"> License</w:t>
              </w:r>
            </w:hyperlink>
          </w:p>
        </w:tc>
      </w:tr>
    </w:tbl>
    <w:p w14:paraId="572D7592"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0604348A" w14:textId="77777777" w:rsidR="004B1F20" w:rsidRPr="004B3AE2" w:rsidRDefault="00636FF5" w:rsidP="007E7FE4">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r w:rsidR="004B1F20" w:rsidRPr="00636FF5">
        <w:rPr>
          <w:rFonts w:ascii="Book Antiqua" w:hAnsi="Book Antiqua"/>
          <w:b/>
          <w:bCs/>
          <w:color w:val="4472C4" w:themeColor="accent1"/>
          <w:sz w:val="24"/>
          <w:szCs w:val="22"/>
          <w:lang w:val="id-ID"/>
        </w:rPr>
        <w:t xml:space="preserve"> </w:t>
      </w:r>
    </w:p>
    <w:p w14:paraId="4D7D173C" w14:textId="0841A5BA" w:rsidR="00636DD4" w:rsidRPr="00636DD4" w:rsidRDefault="00636DD4" w:rsidP="00636DD4">
      <w:pPr>
        <w:spacing w:after="120" w:line="240" w:lineRule="auto"/>
        <w:jc w:val="both"/>
        <w:rPr>
          <w:rFonts w:ascii="Book Antiqua" w:hAnsi="Book Antiqua" w:cstheme="majorHAnsi"/>
          <w:sz w:val="24"/>
          <w:szCs w:val="24"/>
          <w:lang w:val="en-GB"/>
        </w:rPr>
      </w:pPr>
      <w:r w:rsidRPr="00636DD4">
        <w:rPr>
          <w:rFonts w:ascii="Book Antiqua" w:hAnsi="Book Antiqua" w:cstheme="majorHAnsi"/>
          <w:sz w:val="24"/>
          <w:szCs w:val="24"/>
          <w:lang w:val="en-GB"/>
        </w:rPr>
        <w:t>The development of digital technology has transformed the global economic and financial landscape, including in the Middle East. Dubai has emerged as one of the leading nations in this transformation through the extensive adoption of blockchain technology and digital assets, such as cryptocurrency (crypto) and Non-Fungible Tokens (NFTs). Strategic policies like the Dubai Blockchain Strategy have positioned Dubai as a hub of digital innovation in the Middle East, where crypto and NFTs are legally recognized as valid assets.</w:t>
      </w:r>
      <w:r w:rsidR="006311CB">
        <w:rPr>
          <w:rStyle w:val="FootnoteReference"/>
          <w:rFonts w:ascii="Book Antiqua" w:hAnsi="Book Antiqua" w:cstheme="majorHAnsi"/>
          <w:sz w:val="24"/>
          <w:szCs w:val="24"/>
          <w:lang w:val="en-GB"/>
        </w:rPr>
        <w:footnoteReference w:id="1"/>
      </w:r>
      <w:r w:rsidRPr="00636DD4">
        <w:rPr>
          <w:rFonts w:ascii="Book Antiqua" w:hAnsi="Book Antiqua" w:cstheme="majorHAnsi"/>
          <w:sz w:val="24"/>
          <w:szCs w:val="24"/>
          <w:lang w:val="en-GB"/>
        </w:rPr>
        <w:t xml:space="preserve"> This phenomenon demonstrates that wealth is no longer confined to physical forms such as land and property but extends to the digital realm. However, this advancement poses new challenges in the application of Islamic law, particularly in inheritance distribution, necessitating the adaptation of </w:t>
      </w:r>
      <w:proofErr w:type="spellStart"/>
      <w:r w:rsidRPr="00636DD4">
        <w:rPr>
          <w:rFonts w:ascii="Book Antiqua" w:hAnsi="Book Antiqua" w:cstheme="majorHAnsi"/>
          <w:sz w:val="24"/>
          <w:szCs w:val="24"/>
          <w:lang w:val="en-GB"/>
        </w:rPr>
        <w:t>fiqh</w:t>
      </w:r>
      <w:proofErr w:type="spellEnd"/>
      <w:r w:rsidRPr="00636DD4">
        <w:rPr>
          <w:rFonts w:ascii="Book Antiqua" w:hAnsi="Book Antiqua" w:cstheme="majorHAnsi"/>
          <w:sz w:val="24"/>
          <w:szCs w:val="24"/>
          <w:lang w:val="en-GB"/>
        </w:rPr>
        <w:t xml:space="preserve"> (Islamic jurisprudence) to the unique characteristics of digital assets.</w:t>
      </w:r>
      <w:r w:rsidR="006311CB">
        <w:rPr>
          <w:rStyle w:val="FootnoteReference"/>
          <w:rFonts w:ascii="Book Antiqua" w:hAnsi="Book Antiqua" w:cstheme="majorHAnsi"/>
          <w:sz w:val="24"/>
          <w:szCs w:val="24"/>
          <w:lang w:val="en-GB"/>
        </w:rPr>
        <w:footnoteReference w:id="2"/>
      </w:r>
    </w:p>
    <w:p w14:paraId="52F13AA7" w14:textId="0AD17F5B" w:rsidR="00636DD4" w:rsidRPr="00636DD4" w:rsidRDefault="00636DD4" w:rsidP="00636DD4">
      <w:pPr>
        <w:spacing w:after="120" w:line="240" w:lineRule="auto"/>
        <w:jc w:val="both"/>
        <w:rPr>
          <w:rFonts w:ascii="Book Antiqua" w:hAnsi="Book Antiqua" w:cstheme="majorHAnsi"/>
          <w:sz w:val="24"/>
          <w:szCs w:val="24"/>
          <w:lang w:val="en-GB"/>
        </w:rPr>
      </w:pPr>
      <w:r w:rsidRPr="00636DD4">
        <w:rPr>
          <w:rFonts w:ascii="Book Antiqua" w:hAnsi="Book Antiqua" w:cstheme="majorHAnsi"/>
          <w:sz w:val="24"/>
          <w:szCs w:val="24"/>
          <w:lang w:val="en-GB"/>
        </w:rPr>
        <w:lastRenderedPageBreak/>
        <w:t>Inheritance distribution is strictly regulated based on the Qur’an and Hadith, which allocate a larger share to men compared to women due to the greater financial responsibilities placed upon men. However, the intangible nature of digital assets, such as crypto and NFTs, introduces new complexities.</w:t>
      </w:r>
      <w:r w:rsidR="006311CB">
        <w:rPr>
          <w:rStyle w:val="FootnoteReference"/>
          <w:rFonts w:ascii="Book Antiqua" w:hAnsi="Book Antiqua" w:cstheme="majorHAnsi"/>
          <w:sz w:val="24"/>
          <w:szCs w:val="24"/>
          <w:lang w:val="en-GB"/>
        </w:rPr>
        <w:footnoteReference w:id="3"/>
      </w:r>
      <w:r w:rsidRPr="00636DD4">
        <w:rPr>
          <w:rFonts w:ascii="Book Antiqua" w:hAnsi="Book Antiqua" w:cstheme="majorHAnsi"/>
          <w:sz w:val="24"/>
          <w:szCs w:val="24"/>
          <w:lang w:val="en-GB"/>
        </w:rPr>
        <w:t xml:space="preserve"> These assets can only be accessed using private keys or passwords, often known only to the owner. If the owner passes away without leaving access information, these assets risk being permanently lost. This condition complicates the inheritance process, especially for female heirs who, in many cases, face limited access to technological information. This challenge is further exacerbated by the male dominance in the ownership and management of digital assets in the Middle East, including Dubai.</w:t>
      </w:r>
      <w:r w:rsidR="006311CB">
        <w:rPr>
          <w:rStyle w:val="FootnoteReference"/>
          <w:rFonts w:ascii="Book Antiqua" w:hAnsi="Book Antiqua" w:cstheme="majorHAnsi"/>
          <w:sz w:val="24"/>
          <w:szCs w:val="24"/>
          <w:lang w:val="en-GB"/>
        </w:rPr>
        <w:footnoteReference w:id="4"/>
      </w:r>
    </w:p>
    <w:p w14:paraId="0B63FB0D" w14:textId="4703EAF3" w:rsidR="00636DD4" w:rsidRPr="00636DD4" w:rsidRDefault="00636DD4" w:rsidP="00636DD4">
      <w:pPr>
        <w:spacing w:after="120" w:line="240" w:lineRule="auto"/>
        <w:jc w:val="both"/>
        <w:rPr>
          <w:rFonts w:ascii="Book Antiqua" w:hAnsi="Book Antiqua" w:cstheme="majorHAnsi"/>
          <w:sz w:val="24"/>
          <w:szCs w:val="24"/>
          <w:lang w:val="en-GB"/>
        </w:rPr>
      </w:pPr>
      <w:r w:rsidRPr="00636DD4">
        <w:rPr>
          <w:rFonts w:ascii="Book Antiqua" w:hAnsi="Book Antiqua" w:cstheme="majorHAnsi"/>
          <w:sz w:val="24"/>
          <w:szCs w:val="24"/>
          <w:lang w:val="en-GB"/>
        </w:rPr>
        <w:t>Digital assets in the Middle East are no longer just a trend but have become primary investment instruments, especially among the younger generation. Data shows that more than 30% of crypto investors in the Middle East are based in Dubai, making it one of the largest markets for digital assets in the region.</w:t>
      </w:r>
      <w:r w:rsidR="006311CB">
        <w:rPr>
          <w:rStyle w:val="FootnoteReference"/>
          <w:rFonts w:ascii="Book Antiqua" w:hAnsi="Book Antiqua" w:cstheme="majorHAnsi"/>
          <w:sz w:val="24"/>
          <w:szCs w:val="24"/>
          <w:lang w:val="en-GB"/>
        </w:rPr>
        <w:footnoteReference w:id="5"/>
      </w:r>
      <w:r w:rsidRPr="00636DD4">
        <w:rPr>
          <w:rFonts w:ascii="Book Antiqua" w:hAnsi="Book Antiqua" w:cstheme="majorHAnsi"/>
          <w:sz w:val="24"/>
          <w:szCs w:val="24"/>
          <w:lang w:val="en-GB"/>
        </w:rPr>
        <w:t xml:space="preserve"> However, the ownership of these assets is still dominated by men, influenced by cultural factors and social norms that limit women’s active participation in technology-based financial management. Although Dubai has made progress in empowering women, the gender gap in access to technology remains a tangible barrier. In the context of digital inheritance,</w:t>
      </w:r>
      <w:r w:rsidR="006311CB">
        <w:rPr>
          <w:rStyle w:val="FootnoteReference"/>
          <w:rFonts w:ascii="Book Antiqua" w:hAnsi="Book Antiqua" w:cstheme="majorHAnsi"/>
          <w:sz w:val="24"/>
          <w:szCs w:val="24"/>
          <w:lang w:val="en-GB"/>
        </w:rPr>
        <w:footnoteReference w:id="6"/>
      </w:r>
      <w:r w:rsidRPr="00636DD4">
        <w:rPr>
          <w:rFonts w:ascii="Book Antiqua" w:hAnsi="Book Antiqua" w:cstheme="majorHAnsi"/>
          <w:sz w:val="24"/>
          <w:szCs w:val="24"/>
          <w:lang w:val="en-GB"/>
        </w:rPr>
        <w:t xml:space="preserve"> this gap risks exacerbating injustice, especially when women lack knowledge or access to the digital assets being inherited.</w:t>
      </w:r>
    </w:p>
    <w:p w14:paraId="15A2E828" w14:textId="086518C1" w:rsidR="00636DD4" w:rsidRPr="00636DD4" w:rsidRDefault="00636DD4" w:rsidP="00636DD4">
      <w:pPr>
        <w:spacing w:after="120" w:line="240" w:lineRule="auto"/>
        <w:jc w:val="both"/>
        <w:rPr>
          <w:rFonts w:ascii="Book Antiqua" w:hAnsi="Book Antiqua" w:cstheme="majorHAnsi"/>
          <w:sz w:val="24"/>
          <w:szCs w:val="24"/>
          <w:lang w:val="en-GB"/>
        </w:rPr>
      </w:pPr>
      <w:r w:rsidRPr="00636DD4">
        <w:rPr>
          <w:rFonts w:ascii="Book Antiqua" w:hAnsi="Book Antiqua" w:cstheme="majorHAnsi"/>
          <w:sz w:val="24"/>
          <w:szCs w:val="24"/>
          <w:lang w:val="en-GB"/>
        </w:rPr>
        <w:t xml:space="preserve">Islamic </w:t>
      </w:r>
      <w:proofErr w:type="spellStart"/>
      <w:r w:rsidRPr="00636DD4">
        <w:rPr>
          <w:rFonts w:ascii="Book Antiqua" w:hAnsi="Book Antiqua" w:cstheme="majorHAnsi"/>
          <w:sz w:val="24"/>
          <w:szCs w:val="24"/>
          <w:lang w:val="en-GB"/>
        </w:rPr>
        <w:t>fiqh</w:t>
      </w:r>
      <w:proofErr w:type="spellEnd"/>
      <w:r w:rsidRPr="00636DD4">
        <w:rPr>
          <w:rFonts w:ascii="Book Antiqua" w:hAnsi="Book Antiqua" w:cstheme="majorHAnsi"/>
          <w:sz w:val="24"/>
          <w:szCs w:val="24"/>
          <w:lang w:val="en-GB"/>
        </w:rPr>
        <w:t xml:space="preserve"> governing inheritance has a clear structure for managing traditional assets like property, cash, and gold. However, the unique characteristics of digital assets demand new interpretations in </w:t>
      </w:r>
      <w:proofErr w:type="spellStart"/>
      <w:r w:rsidRPr="00636DD4">
        <w:rPr>
          <w:rFonts w:ascii="Book Antiqua" w:hAnsi="Book Antiqua" w:cstheme="majorHAnsi"/>
          <w:sz w:val="24"/>
          <w:szCs w:val="24"/>
          <w:lang w:val="en-GB"/>
        </w:rPr>
        <w:t>fiqh</w:t>
      </w:r>
      <w:proofErr w:type="spellEnd"/>
      <w:r w:rsidRPr="00636DD4">
        <w:rPr>
          <w:rFonts w:ascii="Book Antiqua" w:hAnsi="Book Antiqua" w:cstheme="majorHAnsi"/>
          <w:sz w:val="24"/>
          <w:szCs w:val="24"/>
          <w:lang w:val="en-GB"/>
        </w:rPr>
        <w:t xml:space="preserve">. The anonymity and intangible nature of crypto and NFTs make them difficult to identify and divide. Moreover, the absence of specific regulations in traditional </w:t>
      </w:r>
      <w:proofErr w:type="spellStart"/>
      <w:r w:rsidRPr="00636DD4">
        <w:rPr>
          <w:rFonts w:ascii="Book Antiqua" w:hAnsi="Book Antiqua" w:cstheme="majorHAnsi"/>
          <w:sz w:val="24"/>
          <w:szCs w:val="24"/>
          <w:lang w:val="en-GB"/>
        </w:rPr>
        <w:t>fiqh</w:t>
      </w:r>
      <w:proofErr w:type="spellEnd"/>
      <w:r w:rsidRPr="00636DD4">
        <w:rPr>
          <w:rFonts w:ascii="Book Antiqua" w:hAnsi="Book Antiqua" w:cstheme="majorHAnsi"/>
          <w:sz w:val="24"/>
          <w:szCs w:val="24"/>
          <w:lang w:val="en-GB"/>
        </w:rPr>
        <w:t xml:space="preserve"> regarding digital assets creates a legal void requiring contemporary solutions.</w:t>
      </w:r>
      <w:r w:rsidR="006311CB">
        <w:rPr>
          <w:rStyle w:val="FootnoteReference"/>
          <w:rFonts w:ascii="Book Antiqua" w:hAnsi="Book Antiqua" w:cstheme="majorHAnsi"/>
          <w:sz w:val="24"/>
          <w:szCs w:val="24"/>
          <w:lang w:val="en-GB"/>
        </w:rPr>
        <w:footnoteReference w:id="7"/>
      </w:r>
      <w:r w:rsidRPr="00636DD4">
        <w:rPr>
          <w:rFonts w:ascii="Book Antiqua" w:hAnsi="Book Antiqua" w:cstheme="majorHAnsi"/>
          <w:sz w:val="24"/>
          <w:szCs w:val="24"/>
          <w:lang w:val="en-GB"/>
        </w:rPr>
        <w:t xml:space="preserve"> This challenge is compounded by a lack of technological understanding among heirs, particularly women, which can lead to the loss of high-value assets if not properly managed.</w:t>
      </w:r>
      <w:r w:rsidR="006311CB">
        <w:rPr>
          <w:rStyle w:val="FootnoteReference"/>
          <w:rFonts w:ascii="Book Antiqua" w:hAnsi="Book Antiqua" w:cstheme="majorHAnsi"/>
          <w:sz w:val="24"/>
          <w:szCs w:val="24"/>
          <w:lang w:val="en-GB"/>
        </w:rPr>
        <w:footnoteReference w:id="8"/>
      </w:r>
      <w:r w:rsidRPr="00636DD4">
        <w:rPr>
          <w:rFonts w:ascii="Book Antiqua" w:hAnsi="Book Antiqua" w:cstheme="majorHAnsi"/>
          <w:sz w:val="24"/>
          <w:szCs w:val="24"/>
          <w:lang w:val="en-GB"/>
        </w:rPr>
        <w:t xml:space="preserve"> Therefore, a new approach in </w:t>
      </w:r>
      <w:proofErr w:type="spellStart"/>
      <w:r w:rsidRPr="00636DD4">
        <w:rPr>
          <w:rFonts w:ascii="Book Antiqua" w:hAnsi="Book Antiqua" w:cstheme="majorHAnsi"/>
          <w:sz w:val="24"/>
          <w:szCs w:val="24"/>
          <w:lang w:val="en-GB"/>
        </w:rPr>
        <w:t>fiqh</w:t>
      </w:r>
      <w:proofErr w:type="spellEnd"/>
      <w:r w:rsidRPr="00636DD4">
        <w:rPr>
          <w:rFonts w:ascii="Book Antiqua" w:hAnsi="Book Antiqua" w:cstheme="majorHAnsi"/>
          <w:sz w:val="24"/>
          <w:szCs w:val="24"/>
          <w:lang w:val="en-GB"/>
        </w:rPr>
        <w:t xml:space="preserve"> is needed, one that not only accommodates the unique nature of digital assets but also ensures gender justice in inheritance distribution.</w:t>
      </w:r>
    </w:p>
    <w:p w14:paraId="25B1167B" w14:textId="29735D96" w:rsidR="00636DD4" w:rsidRPr="00636DD4" w:rsidRDefault="00636DD4" w:rsidP="00636DD4">
      <w:pPr>
        <w:spacing w:after="120" w:line="240" w:lineRule="auto"/>
        <w:jc w:val="both"/>
        <w:rPr>
          <w:rFonts w:ascii="Book Antiqua" w:hAnsi="Book Antiqua" w:cstheme="majorHAnsi"/>
          <w:sz w:val="24"/>
          <w:szCs w:val="24"/>
          <w:lang w:val="en-GB"/>
        </w:rPr>
      </w:pPr>
      <w:r w:rsidRPr="00636DD4">
        <w:rPr>
          <w:rFonts w:ascii="Book Antiqua" w:hAnsi="Book Antiqua" w:cstheme="majorHAnsi"/>
          <w:sz w:val="24"/>
          <w:szCs w:val="24"/>
          <w:lang w:val="en-GB"/>
        </w:rPr>
        <w:t>The issue of gender justice is becoming increasingly relevant in the distribution of digital inheritance.</w:t>
      </w:r>
      <w:r w:rsidR="006311CB">
        <w:rPr>
          <w:rStyle w:val="FootnoteReference"/>
          <w:rFonts w:ascii="Book Antiqua" w:hAnsi="Book Antiqua" w:cstheme="majorHAnsi"/>
          <w:sz w:val="24"/>
          <w:szCs w:val="24"/>
          <w:lang w:val="en-GB"/>
        </w:rPr>
        <w:footnoteReference w:id="9"/>
      </w:r>
      <w:r w:rsidRPr="00636DD4">
        <w:rPr>
          <w:rFonts w:ascii="Book Antiqua" w:hAnsi="Book Antiqua" w:cstheme="majorHAnsi"/>
          <w:sz w:val="24"/>
          <w:szCs w:val="24"/>
          <w:lang w:val="en-GB"/>
        </w:rPr>
        <w:t xml:space="preserve"> Traditionally, Islamic inheritance law provides a larger share to men due to their financial responsibilities within the family. However, in the modern context, women </w:t>
      </w:r>
      <w:r w:rsidRPr="00636DD4">
        <w:rPr>
          <w:rFonts w:ascii="Book Antiqua" w:hAnsi="Book Antiqua" w:cstheme="majorHAnsi"/>
          <w:sz w:val="24"/>
          <w:szCs w:val="24"/>
          <w:lang w:val="en-GB"/>
        </w:rPr>
        <w:lastRenderedPageBreak/>
        <w:t>in Dubai have played significant roles in the digital economy, both as business actors and investors. Unfortunately, in many cases, women still face limited access to technology and information about the digital assets owned by their families. This further reinforces gender inequality in inheritance distribution. This disparity not only violates the principles of justice in sharia but also contradicts the spirit of women’s empowerment being promoted in Dubai.</w:t>
      </w:r>
    </w:p>
    <w:p w14:paraId="15B83F42" w14:textId="49DA032E" w:rsidR="00636DD4" w:rsidRPr="00636DD4" w:rsidRDefault="00636DD4" w:rsidP="00636DD4">
      <w:pPr>
        <w:spacing w:after="120" w:line="240" w:lineRule="auto"/>
        <w:jc w:val="both"/>
        <w:rPr>
          <w:rFonts w:ascii="Book Antiqua" w:hAnsi="Book Antiqua" w:cstheme="majorHAnsi"/>
          <w:sz w:val="24"/>
          <w:szCs w:val="24"/>
          <w:lang w:val="en-GB"/>
        </w:rPr>
      </w:pPr>
      <w:r w:rsidRPr="00636DD4">
        <w:rPr>
          <w:rFonts w:ascii="Book Antiqua" w:hAnsi="Book Antiqua" w:cstheme="majorHAnsi"/>
          <w:sz w:val="24"/>
          <w:szCs w:val="24"/>
          <w:lang w:val="en-GB"/>
        </w:rPr>
        <w:t>As a digital technology hub, Dubai holds a significant responsibility in addressing these challenges. With its status as a progressive nation in adopting blockchain technology,</w:t>
      </w:r>
      <w:r w:rsidR="006311CB">
        <w:rPr>
          <w:rStyle w:val="FootnoteReference"/>
          <w:rFonts w:ascii="Book Antiqua" w:hAnsi="Book Antiqua" w:cstheme="majorHAnsi"/>
          <w:sz w:val="24"/>
          <w:szCs w:val="24"/>
          <w:lang w:val="en-GB"/>
        </w:rPr>
        <w:footnoteReference w:id="10"/>
      </w:r>
      <w:r w:rsidRPr="00636DD4">
        <w:rPr>
          <w:rFonts w:ascii="Book Antiqua" w:hAnsi="Book Antiqua" w:cstheme="majorHAnsi"/>
          <w:sz w:val="24"/>
          <w:szCs w:val="24"/>
          <w:lang w:val="en-GB"/>
        </w:rPr>
        <w:t xml:space="preserve"> Dubai can pioneer the development of sharia regulations relevant to the digital era. These regulations are not only essential for ensuring fairness in inheritance distribution but also for protecting women’s rights to access digital assets. Moreover, this initiative can serve as a reference for other Muslim countries facing similar challenges in integrating modern technology with Islamic law.</w:t>
      </w:r>
    </w:p>
    <w:p w14:paraId="585F80E5" w14:textId="0F29F9C6" w:rsidR="00636DD4" w:rsidRPr="00636DD4" w:rsidRDefault="00636DD4" w:rsidP="00636DD4">
      <w:pPr>
        <w:spacing w:after="120" w:line="240" w:lineRule="auto"/>
        <w:jc w:val="both"/>
        <w:rPr>
          <w:rFonts w:ascii="Book Antiqua" w:hAnsi="Book Antiqua" w:cstheme="majorHAnsi"/>
          <w:sz w:val="24"/>
          <w:szCs w:val="24"/>
          <w:lang w:val="en-GB"/>
        </w:rPr>
      </w:pPr>
      <w:r w:rsidRPr="00636DD4">
        <w:rPr>
          <w:rFonts w:ascii="Book Antiqua" w:hAnsi="Book Antiqua" w:cstheme="majorHAnsi"/>
          <w:sz w:val="24"/>
          <w:szCs w:val="24"/>
          <w:lang w:val="en-GB"/>
        </w:rPr>
        <w:t xml:space="preserve">The urgency of this research lies in the importance of developing contemporary </w:t>
      </w:r>
      <w:proofErr w:type="spellStart"/>
      <w:r w:rsidRPr="00636DD4">
        <w:rPr>
          <w:rFonts w:ascii="Book Antiqua" w:hAnsi="Book Antiqua" w:cstheme="majorHAnsi"/>
          <w:sz w:val="24"/>
          <w:szCs w:val="24"/>
          <w:lang w:val="en-GB"/>
        </w:rPr>
        <w:t>fiqh</w:t>
      </w:r>
      <w:proofErr w:type="spellEnd"/>
      <w:r w:rsidRPr="00636DD4">
        <w:rPr>
          <w:rFonts w:ascii="Book Antiqua" w:hAnsi="Book Antiqua" w:cstheme="majorHAnsi"/>
          <w:sz w:val="24"/>
          <w:szCs w:val="24"/>
          <w:lang w:val="en-GB"/>
        </w:rPr>
        <w:t xml:space="preserve"> that addresses the challenges of the digital era. Digital assets such as crypto and NFTs hold significant financial value, and losing access to them can harm heirs, both male and female. </w:t>
      </w:r>
      <w:r w:rsidR="006311CB">
        <w:rPr>
          <w:rStyle w:val="FootnoteReference"/>
          <w:rFonts w:ascii="Book Antiqua" w:hAnsi="Book Antiqua" w:cstheme="majorHAnsi"/>
          <w:sz w:val="24"/>
          <w:szCs w:val="24"/>
          <w:lang w:val="en-GB"/>
        </w:rPr>
        <w:footnoteReference w:id="11"/>
      </w:r>
      <w:r w:rsidRPr="00636DD4">
        <w:rPr>
          <w:rFonts w:ascii="Book Antiqua" w:hAnsi="Book Antiqua" w:cstheme="majorHAnsi"/>
          <w:sz w:val="24"/>
          <w:szCs w:val="24"/>
          <w:lang w:val="en-GB"/>
        </w:rPr>
        <w:t>Additionally, the gender gap in the management and distribution of digital assets risks worsening social injustice, especially in countries still grappling with cultural challenges in empowering women. By focusing on the issue of gender justice, this research aims to provide practical and theoretical guidance for Muslim communities in the Middle East,</w:t>
      </w:r>
      <w:r w:rsidR="006311CB">
        <w:rPr>
          <w:rStyle w:val="FootnoteReference"/>
          <w:rFonts w:ascii="Book Antiqua" w:hAnsi="Book Antiqua" w:cstheme="majorHAnsi"/>
          <w:sz w:val="24"/>
          <w:szCs w:val="24"/>
          <w:lang w:val="en-GB"/>
        </w:rPr>
        <w:footnoteReference w:id="12"/>
      </w:r>
      <w:r w:rsidRPr="00636DD4">
        <w:rPr>
          <w:rFonts w:ascii="Book Antiqua" w:hAnsi="Book Antiqua" w:cstheme="majorHAnsi"/>
          <w:sz w:val="24"/>
          <w:szCs w:val="24"/>
          <w:lang w:val="en-GB"/>
        </w:rPr>
        <w:t xml:space="preserve"> particularly in Dubai, to manage digital inheritance in accordance with sharia principles.</w:t>
      </w:r>
    </w:p>
    <w:p w14:paraId="62E0BAB0" w14:textId="77777777" w:rsidR="00636DD4" w:rsidRPr="00186D52" w:rsidRDefault="00636DD4" w:rsidP="00636DD4">
      <w:pPr>
        <w:pStyle w:val="BodyTextIndent"/>
        <w:tabs>
          <w:tab w:val="left" w:pos="24"/>
        </w:tabs>
        <w:adjustRightInd w:val="0"/>
        <w:snapToGrid w:val="0"/>
        <w:spacing w:before="120"/>
        <w:ind w:firstLine="244"/>
        <w:rPr>
          <w:szCs w:val="22"/>
        </w:rPr>
      </w:pPr>
    </w:p>
    <w:p w14:paraId="38EE463A" w14:textId="77777777" w:rsidR="004B1F20" w:rsidRPr="00436951" w:rsidRDefault="000C1C1E" w:rsidP="007E7FE4">
      <w:pPr>
        <w:spacing w:after="120" w:line="240" w:lineRule="auto"/>
        <w:rPr>
          <w:rFonts w:ascii="Book Antiqua" w:hAnsi="Book Antiqua"/>
          <w:b/>
          <w:bCs/>
          <w:color w:val="4472C4" w:themeColor="accent1"/>
          <w:sz w:val="28"/>
          <w:szCs w:val="22"/>
          <w:lang w:val="id-ID"/>
        </w:rPr>
      </w:pPr>
      <w:r w:rsidRPr="000C1C1E">
        <w:rPr>
          <w:rFonts w:ascii="Book Antiqua" w:hAnsi="Book Antiqua"/>
          <w:b/>
          <w:color w:val="4472C4" w:themeColor="accent1"/>
          <w:sz w:val="24"/>
          <w:szCs w:val="24"/>
        </w:rPr>
        <w:t>METHODS OF THE RESEARCH</w:t>
      </w:r>
    </w:p>
    <w:p w14:paraId="316C355D"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 xml:space="preserve">This study adopts a qualitative approach to explore gender justice in the distribution of digital inheritance in Dubai based on </w:t>
      </w:r>
      <w:proofErr w:type="spellStart"/>
      <w:r w:rsidRPr="00A2594E">
        <w:rPr>
          <w:rFonts w:ascii="Book Antiqua" w:hAnsi="Book Antiqua" w:cs="Calibri"/>
          <w:color w:val="000000" w:themeColor="text1"/>
          <w:sz w:val="24"/>
          <w:szCs w:val="24"/>
        </w:rPr>
        <w:t>fiqh</w:t>
      </w:r>
      <w:proofErr w:type="spellEnd"/>
      <w:r w:rsidRPr="00A2594E">
        <w:rPr>
          <w:rFonts w:ascii="Book Antiqua" w:hAnsi="Book Antiqua" w:cs="Calibri"/>
          <w:color w:val="000000" w:themeColor="text1"/>
          <w:sz w:val="24"/>
          <w:szCs w:val="24"/>
        </w:rPr>
        <w:t xml:space="preserve"> perspectives on crypto assets and NFTs. This approach is chosen for its ability to deeply investigate phenomena, including the views of Islamic scholars, technology experts, and the experiences of female heirs. Additionally, a normative approach is employed to analyze sharia texts and regulations in Dubai related to digital assets. Data is collected through document studies and case studies. The document study includes an analysis of classical and contemporary </w:t>
      </w:r>
      <w:proofErr w:type="spellStart"/>
      <w:r w:rsidRPr="00A2594E">
        <w:rPr>
          <w:rFonts w:ascii="Book Antiqua" w:hAnsi="Book Antiqua" w:cs="Calibri"/>
          <w:color w:val="000000" w:themeColor="text1"/>
          <w:sz w:val="24"/>
          <w:szCs w:val="24"/>
        </w:rPr>
        <w:t>fiqh</w:t>
      </w:r>
      <w:proofErr w:type="spellEnd"/>
      <w:r w:rsidRPr="00A2594E">
        <w:rPr>
          <w:rFonts w:ascii="Book Antiqua" w:hAnsi="Book Antiqua" w:cs="Calibri"/>
          <w:color w:val="000000" w:themeColor="text1"/>
          <w:sz w:val="24"/>
          <w:szCs w:val="24"/>
        </w:rPr>
        <w:t xml:space="preserve"> texts, fatwas issued by Islamic scholars, and relevant government regulations. Case studies are applied to real-life cases in Dubai to identify challenges and solutions in the distribution of digital inheritance.</w:t>
      </w:r>
    </w:p>
    <w:p w14:paraId="1F48096D"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 xml:space="preserve">Data analysis is conducted using content, comparative, and contextual analysis. Content analysis helps identify key themes in documents and interviews, such as </w:t>
      </w:r>
      <w:proofErr w:type="spellStart"/>
      <w:r w:rsidRPr="00A2594E">
        <w:rPr>
          <w:rFonts w:ascii="Book Antiqua" w:hAnsi="Book Antiqua" w:cs="Calibri"/>
          <w:color w:val="000000" w:themeColor="text1"/>
          <w:sz w:val="24"/>
          <w:szCs w:val="24"/>
        </w:rPr>
        <w:t>fiqh</w:t>
      </w:r>
      <w:proofErr w:type="spellEnd"/>
      <w:r w:rsidRPr="00A2594E">
        <w:rPr>
          <w:rFonts w:ascii="Book Antiqua" w:hAnsi="Book Antiqua" w:cs="Calibri"/>
          <w:color w:val="000000" w:themeColor="text1"/>
          <w:sz w:val="24"/>
          <w:szCs w:val="24"/>
        </w:rPr>
        <w:t xml:space="preserve"> provisions on digital assets and gender disparities. Comparative analysis examines the differences between classical and contemporary </w:t>
      </w:r>
      <w:proofErr w:type="spellStart"/>
      <w:r w:rsidRPr="00A2594E">
        <w:rPr>
          <w:rFonts w:ascii="Book Antiqua" w:hAnsi="Book Antiqua" w:cs="Calibri"/>
          <w:color w:val="000000" w:themeColor="text1"/>
          <w:sz w:val="24"/>
          <w:szCs w:val="24"/>
        </w:rPr>
        <w:t>fiqh</w:t>
      </w:r>
      <w:proofErr w:type="spellEnd"/>
      <w:r w:rsidRPr="00A2594E">
        <w:rPr>
          <w:rFonts w:ascii="Book Antiqua" w:hAnsi="Book Antiqua" w:cs="Calibri"/>
          <w:color w:val="000000" w:themeColor="text1"/>
          <w:sz w:val="24"/>
          <w:szCs w:val="24"/>
        </w:rPr>
        <w:t xml:space="preserve"> perspectives and compares Dubai’s practices with those of other countries. Contextual analysis links the findings to Dubai's social, cultural, and technological conditions, particularly regarding women’s access to digital assets. The </w:t>
      </w:r>
      <w:r w:rsidRPr="00A2594E">
        <w:rPr>
          <w:rFonts w:ascii="Book Antiqua" w:hAnsi="Book Antiqua" w:cs="Calibri"/>
          <w:color w:val="000000" w:themeColor="text1"/>
          <w:sz w:val="24"/>
          <w:szCs w:val="24"/>
        </w:rPr>
        <w:lastRenderedPageBreak/>
        <w:t xml:space="preserve">research is conducted in Dubai, with subjects including Islamic scholars, sharia law experts, blockchain practitioners, and female heirs. This study aims to produce relevant contemporary </w:t>
      </w:r>
      <w:proofErr w:type="spellStart"/>
      <w:r w:rsidRPr="00A2594E">
        <w:rPr>
          <w:rFonts w:ascii="Book Antiqua" w:hAnsi="Book Antiqua" w:cs="Calibri"/>
          <w:color w:val="000000" w:themeColor="text1"/>
          <w:sz w:val="24"/>
          <w:szCs w:val="24"/>
        </w:rPr>
        <w:t>fiqh</w:t>
      </w:r>
      <w:proofErr w:type="spellEnd"/>
      <w:r w:rsidRPr="00A2594E">
        <w:rPr>
          <w:rFonts w:ascii="Book Antiqua" w:hAnsi="Book Antiqua" w:cs="Calibri"/>
          <w:color w:val="000000" w:themeColor="text1"/>
          <w:sz w:val="24"/>
          <w:szCs w:val="24"/>
        </w:rPr>
        <w:t xml:space="preserve"> guidelines, policy recommendations, and strategies to ensure gender justice in the distribution of digital inheritance.</w:t>
      </w:r>
    </w:p>
    <w:p w14:paraId="6447CC0F" w14:textId="77777777" w:rsidR="00A2594E" w:rsidRPr="0090682F" w:rsidRDefault="00A2594E" w:rsidP="00AB192A">
      <w:pPr>
        <w:spacing w:after="120" w:line="240" w:lineRule="auto"/>
        <w:jc w:val="both"/>
        <w:rPr>
          <w:rFonts w:ascii="Book Antiqua" w:hAnsi="Book Antiqua" w:cs="Calibri"/>
          <w:color w:val="000000" w:themeColor="text1"/>
          <w:sz w:val="24"/>
          <w:szCs w:val="24"/>
        </w:rPr>
      </w:pPr>
    </w:p>
    <w:p w14:paraId="05E34CE5" w14:textId="77777777" w:rsidR="00D01DEE" w:rsidRDefault="004B1F20" w:rsidP="007E7FE4">
      <w:pPr>
        <w:spacing w:after="120" w:line="240" w:lineRule="auto"/>
        <w:rPr>
          <w:rFonts w:ascii="Book Antiqua" w:hAnsi="Book Antiqua"/>
          <w:b/>
          <w:color w:val="4472C4" w:themeColor="accent1"/>
          <w:sz w:val="24"/>
          <w:szCs w:val="24"/>
        </w:rPr>
      </w:pPr>
      <w:r w:rsidRPr="00636FF5">
        <w:rPr>
          <w:rFonts w:ascii="Book Antiqua" w:hAnsi="Book Antiqua"/>
          <w:b/>
          <w:color w:val="4472C4" w:themeColor="accent1"/>
          <w:sz w:val="24"/>
          <w:szCs w:val="24"/>
        </w:rPr>
        <w:t>RESULTS AND DISCUSSION</w:t>
      </w:r>
    </w:p>
    <w:p w14:paraId="760153C6" w14:textId="1CA94CED" w:rsidR="00A2594E" w:rsidRPr="00A2594E" w:rsidRDefault="00A2594E" w:rsidP="00A2594E">
      <w:pPr>
        <w:pStyle w:val="ListParagraph"/>
        <w:numPr>
          <w:ilvl w:val="0"/>
          <w:numId w:val="24"/>
        </w:numPr>
        <w:spacing w:after="120" w:line="240" w:lineRule="auto"/>
        <w:ind w:left="357" w:hanging="357"/>
        <w:jc w:val="both"/>
        <w:rPr>
          <w:rFonts w:ascii="Book Antiqua" w:hAnsi="Book Antiqua" w:cs="Calibri"/>
          <w:b/>
          <w:bCs/>
          <w:color w:val="000000" w:themeColor="text1"/>
          <w:sz w:val="24"/>
          <w:szCs w:val="24"/>
        </w:rPr>
      </w:pPr>
      <w:r w:rsidRPr="00A2594E">
        <w:rPr>
          <w:rFonts w:ascii="Book Antiqua" w:hAnsi="Book Antiqua" w:cs="Calibri"/>
          <w:b/>
          <w:bCs/>
          <w:color w:val="000000" w:themeColor="text1"/>
          <w:sz w:val="24"/>
          <w:szCs w:val="24"/>
        </w:rPr>
        <w:t>Implementation of Digital Inheritance Distribution in Dubai</w:t>
      </w:r>
    </w:p>
    <w:p w14:paraId="2BF7D921" w14:textId="585FDF7E"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Dubai government has integrated Sharia law into its modern legal system to regulate the distribution of digital inheritance. Digital assets are categorized and managed through Sharia courts based on their type and economic value.</w:t>
      </w:r>
      <w:r w:rsidR="006311CB">
        <w:rPr>
          <w:rStyle w:val="FootnoteReference"/>
          <w:rFonts w:ascii="Book Antiqua" w:hAnsi="Book Antiqua" w:cs="Calibri"/>
          <w:color w:val="000000" w:themeColor="text1"/>
          <w:sz w:val="24"/>
          <w:szCs w:val="24"/>
        </w:rPr>
        <w:footnoteReference w:id="13"/>
      </w:r>
      <w:r w:rsidRPr="00A2594E">
        <w:rPr>
          <w:rFonts w:ascii="Book Antiqua" w:hAnsi="Book Antiqua" w:cs="Calibri"/>
          <w:color w:val="000000" w:themeColor="text1"/>
          <w:sz w:val="24"/>
          <w:szCs w:val="24"/>
        </w:rPr>
        <w:t xml:space="preserve"> Asset owners have the ability to create digital wills in accordance with Islamic principles.</w:t>
      </w:r>
    </w:p>
    <w:p w14:paraId="5E5186C0" w14:textId="77777777" w:rsidR="00A2594E" w:rsidRPr="00A2594E" w:rsidRDefault="00A2594E" w:rsidP="00A2594E">
      <w:pPr>
        <w:pStyle w:val="ListParagraph"/>
        <w:numPr>
          <w:ilvl w:val="0"/>
          <w:numId w:val="25"/>
        </w:numPr>
        <w:spacing w:after="120" w:line="240" w:lineRule="auto"/>
        <w:ind w:left="357" w:hanging="357"/>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Registration of Digital Assets</w:t>
      </w:r>
    </w:p>
    <w:p w14:paraId="78AB63B1" w14:textId="710DD84F"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registration of digital assets in Dubai marks a significant step in adapting the legal system to accommodate the digital era while integrating Sharia law principles into the management of digital inheritance. As part of the UAE's commitment to digital transformation, Dubai has developed government online platforms for registering digital assets,</w:t>
      </w:r>
      <w:r w:rsidR="006311CB">
        <w:rPr>
          <w:rStyle w:val="FootnoteReference"/>
          <w:rFonts w:ascii="Book Antiqua" w:hAnsi="Book Antiqua" w:cs="Calibri"/>
          <w:color w:val="000000" w:themeColor="text1"/>
          <w:sz w:val="24"/>
          <w:szCs w:val="24"/>
        </w:rPr>
        <w:footnoteReference w:id="14"/>
      </w:r>
      <w:r w:rsidRPr="00A2594E">
        <w:rPr>
          <w:rFonts w:ascii="Book Antiqua" w:hAnsi="Book Antiqua" w:cs="Calibri"/>
          <w:color w:val="000000" w:themeColor="text1"/>
          <w:sz w:val="24"/>
          <w:szCs w:val="24"/>
        </w:rPr>
        <w:t xml:space="preserve"> including social media accounts, cryptocurrency wallets, and digital copyrights. This facilitates the management of these assets after the owner's death.</w:t>
      </w:r>
    </w:p>
    <w:p w14:paraId="621C6560" w14:textId="3B305259"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These platforms are designed to ensure transparency and efficiency in inheritance settlements, with digital assets recorded in a secure database accessible only to authorized individuals and heirs in accordance with legal provisions.</w:t>
      </w:r>
      <w:r w:rsidR="006311CB">
        <w:rPr>
          <w:rStyle w:val="FootnoteReference"/>
          <w:rFonts w:ascii="Book Antiqua" w:hAnsi="Book Antiqua" w:cs="Calibri"/>
          <w:color w:val="000000" w:themeColor="text1"/>
          <w:sz w:val="24"/>
          <w:szCs w:val="24"/>
        </w:rPr>
        <w:footnoteReference w:id="15"/>
      </w:r>
      <w:r w:rsidRPr="00A2594E">
        <w:rPr>
          <w:rFonts w:ascii="Book Antiqua" w:hAnsi="Book Antiqua" w:cs="Calibri"/>
          <w:color w:val="000000" w:themeColor="text1"/>
          <w:sz w:val="24"/>
          <w:szCs w:val="24"/>
        </w:rPr>
        <w:t xml:space="preserve"> The use of blockchain technology as the foundation of this registration system enhances data security and facilitates the verification and transfer of ownership of digital assets quickly and accurately, thanks to immutable timestamps on each entry.</w:t>
      </w:r>
    </w:p>
    <w:p w14:paraId="7669F940" w14:textId="47D3FFB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role of digital notaries is also crucial in verifying documents such as digital wills and ensuring their validity under Sharia law before the execution of inheritance.</w:t>
      </w:r>
      <w:r w:rsidR="006311CB">
        <w:rPr>
          <w:rStyle w:val="FootnoteReference"/>
          <w:rFonts w:ascii="Book Antiqua" w:hAnsi="Book Antiqua" w:cs="Calibri"/>
          <w:color w:val="000000" w:themeColor="text1"/>
          <w:sz w:val="24"/>
          <w:szCs w:val="24"/>
        </w:rPr>
        <w:footnoteReference w:id="16"/>
      </w:r>
      <w:r w:rsidRPr="00A2594E">
        <w:rPr>
          <w:rFonts w:ascii="Book Antiqua" w:hAnsi="Book Antiqua" w:cs="Calibri"/>
          <w:color w:val="000000" w:themeColor="text1"/>
          <w:sz w:val="24"/>
          <w:szCs w:val="24"/>
        </w:rPr>
        <w:t xml:space="preserve"> Collaboration with global technology companies strengthens the infrastructure for digital asset management and ensures that asset transfer processes comply with both the law and the asset owner's wishes. Additionally, the Dubai government educates the public on the importance of registering digital assets through regular public awareness campaigns, highlighting the process and significance of digital wills.</w:t>
      </w:r>
    </w:p>
    <w:p w14:paraId="5A8C033C" w14:textId="2B05F216"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Through digital courts,</w:t>
      </w:r>
      <w:r w:rsidR="006311CB">
        <w:rPr>
          <w:rStyle w:val="FootnoteReference"/>
          <w:rFonts w:ascii="Book Antiqua" w:hAnsi="Book Antiqua" w:cs="Calibri"/>
          <w:color w:val="000000" w:themeColor="text1"/>
          <w:sz w:val="24"/>
          <w:szCs w:val="24"/>
        </w:rPr>
        <w:footnoteReference w:id="17"/>
      </w:r>
      <w:r w:rsidRPr="00A2594E">
        <w:rPr>
          <w:rFonts w:ascii="Book Antiqua" w:hAnsi="Book Antiqua" w:cs="Calibri"/>
          <w:color w:val="000000" w:themeColor="text1"/>
          <w:sz w:val="24"/>
          <w:szCs w:val="24"/>
        </w:rPr>
        <w:t xml:space="preserve"> Dubai accelerates the resolution of digital inheritance disputes, leveraging technology to efficiently manage digital inheritance cases. This initiative not only strengthens the legal framework for inheritance in Dubai but also demonstrates the city's </w:t>
      </w:r>
      <w:r w:rsidRPr="00A2594E">
        <w:rPr>
          <w:rFonts w:ascii="Book Antiqua" w:hAnsi="Book Antiqua" w:cs="Calibri"/>
          <w:color w:val="000000" w:themeColor="text1"/>
          <w:sz w:val="24"/>
          <w:szCs w:val="24"/>
        </w:rPr>
        <w:lastRenderedPageBreak/>
        <w:t>commitment to innovation and digital security, setting new standards in digital asset management that can serve as a model for other jurisdictions in the future.</w:t>
      </w:r>
    </w:p>
    <w:p w14:paraId="4864FFB8" w14:textId="77777777" w:rsidR="00A2594E" w:rsidRPr="00A2594E" w:rsidRDefault="00A2594E" w:rsidP="00A2594E">
      <w:pPr>
        <w:pStyle w:val="ListParagraph"/>
        <w:numPr>
          <w:ilvl w:val="0"/>
          <w:numId w:val="25"/>
        </w:numPr>
        <w:spacing w:after="120" w:line="240" w:lineRule="auto"/>
        <w:ind w:left="357" w:hanging="357"/>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Blockchain Technology</w:t>
      </w:r>
    </w:p>
    <w:p w14:paraId="65B31766"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Dubai leverages blockchain technology for the validation and tracking of digital assets. This technology enables the recording of ownership data, secures access, and ensures the distribution of assets in accordance with applicable laws, while providing data security and minimizing the risk of manipulation.</w:t>
      </w:r>
    </w:p>
    <w:p w14:paraId="229590ED" w14:textId="1E251155"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Dubai has strategically utilized blockchain technology to regulate and safeguard digital assets, positioning itself as a pioneer in the governmental adoption of this technology. The implementation of blockchain in Dubai focuses on validating and tracking digital assets, enabling a transparent and secure system for recording ownership.</w:t>
      </w:r>
      <w:r w:rsidR="006311CB">
        <w:rPr>
          <w:rStyle w:val="FootnoteReference"/>
          <w:rFonts w:ascii="Book Antiqua" w:hAnsi="Book Antiqua" w:cs="Calibri"/>
          <w:color w:val="000000" w:themeColor="text1"/>
          <w:sz w:val="24"/>
          <w:szCs w:val="24"/>
        </w:rPr>
        <w:footnoteReference w:id="18"/>
      </w:r>
      <w:r w:rsidRPr="00A2594E">
        <w:rPr>
          <w:rFonts w:ascii="Book Antiqua" w:hAnsi="Book Antiqua" w:cs="Calibri"/>
          <w:color w:val="000000" w:themeColor="text1"/>
          <w:sz w:val="24"/>
          <w:szCs w:val="24"/>
        </w:rPr>
        <w:t xml:space="preserve"> This technology is critical for securing access, ensuring the lawful distribution of assets, and maintaining data integrity while mitigating the risk of manipulation.</w:t>
      </w:r>
    </w:p>
    <w:p w14:paraId="5EE5AB03"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Each transaction or change in ownership of digital assets is recorded in encrypted data blocks linked in chronological order. This creates a permanent record that is nearly impossible to alter without consensus within the network. In Dubai, this application not only strengthens the security of digital assets such as cryptocurrencies, copyright documents, and social media accounts but also facilitates the efficient settlement of digital inheritance in compliance with Sharia law.</w:t>
      </w:r>
    </w:p>
    <w:p w14:paraId="2BDE86E8"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use of blockchain accelerates the verification and transfer of assets, reducing the need for intermediaries and cutting administrative costs. These advantages align seamlessly with Dubai’s vision to become a smart city that operates efficiently with advanced technologies. This implementation also reflects Dubai’s commitment to enhancing transparency in public management and ensuring that digital property rights can be inherited by heirs in a fair and fraud-free manner, free from administrative errors.</w:t>
      </w:r>
    </w:p>
    <w:p w14:paraId="12EA2C94"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Dubai’s adoption of blockchain not only strengthens its digital security infrastructure but also establishes it as a global leader in technological innovation and digital asset management. This marks a significant step forward for Dubai in integrating this revolutionary technology into its legal and administrative systems, supporting the city’s efforts to maintain its position as a global hub for digital trade and investment.</w:t>
      </w:r>
    </w:p>
    <w:p w14:paraId="3CBCE961" w14:textId="77777777" w:rsidR="00A2594E" w:rsidRPr="00A2594E" w:rsidRDefault="00A2594E" w:rsidP="00A2594E">
      <w:pPr>
        <w:pStyle w:val="ListParagraph"/>
        <w:numPr>
          <w:ilvl w:val="0"/>
          <w:numId w:val="25"/>
        </w:numPr>
        <w:spacing w:after="120" w:line="240" w:lineRule="auto"/>
        <w:ind w:left="357" w:hanging="357"/>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Role of Digital Notaries</w:t>
      </w:r>
    </w:p>
    <w:p w14:paraId="3652103F" w14:textId="0F16AD78"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Digital notaries have been introduced as part of the digital inheritance management system to document and verify wills related to digital assets. This role is crucial in ensuring that the distribution of digital assets aligns with the original owner’s wishes and complies with applicable Sharia law.</w:t>
      </w:r>
      <w:r w:rsidR="006311CB">
        <w:rPr>
          <w:rStyle w:val="FootnoteReference"/>
          <w:rFonts w:ascii="Book Antiqua" w:hAnsi="Book Antiqua" w:cs="Calibri"/>
          <w:color w:val="000000" w:themeColor="text1"/>
          <w:sz w:val="24"/>
          <w:szCs w:val="24"/>
        </w:rPr>
        <w:footnoteReference w:id="19"/>
      </w:r>
      <w:r w:rsidRPr="00A2594E">
        <w:rPr>
          <w:rFonts w:ascii="Book Antiqua" w:hAnsi="Book Antiqua" w:cs="Calibri"/>
          <w:color w:val="000000" w:themeColor="text1"/>
          <w:sz w:val="24"/>
          <w:szCs w:val="24"/>
        </w:rPr>
        <w:t xml:space="preserve"> The verification process conducted by digital notaries enables the swift and efficient validation of essential documents, ensuring that all instructions in the will are executed without deviation.</w:t>
      </w:r>
    </w:p>
    <w:p w14:paraId="05460AD8" w14:textId="740981EC"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lastRenderedPageBreak/>
        <w:t>Digital notaries utilize advanced technology to manage and store documents digitally, providing both easy access and optimal data security. This includes the use of electronic signatures and data encryption to protect the integrity and confidentiality of the documents.</w:t>
      </w:r>
      <w:r w:rsidR="006311CB">
        <w:rPr>
          <w:rStyle w:val="FootnoteReference"/>
          <w:rFonts w:ascii="Book Antiqua" w:hAnsi="Book Antiqua" w:cs="Calibri"/>
          <w:color w:val="000000" w:themeColor="text1"/>
          <w:sz w:val="24"/>
          <w:szCs w:val="24"/>
        </w:rPr>
        <w:footnoteReference w:id="20"/>
      </w:r>
      <w:r w:rsidRPr="00A2594E">
        <w:rPr>
          <w:rFonts w:ascii="Book Antiqua" w:hAnsi="Book Antiqua" w:cs="Calibri"/>
          <w:color w:val="000000" w:themeColor="text1"/>
          <w:sz w:val="24"/>
          <w:szCs w:val="24"/>
        </w:rPr>
        <w:t xml:space="preserve"> With this technology, digital notaries can mitigate risks such as loss, theft, or manipulation of physical documents, which are common challenges in traditional notary systems.</w:t>
      </w:r>
    </w:p>
    <w:p w14:paraId="6B1ABEA8" w14:textId="2BCA36D1"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Digital notaries also expedite the inheritance settlement process, which is often time-consuming under conventional legal systems. By processing documents online,</w:t>
      </w:r>
      <w:r w:rsidR="006311CB">
        <w:rPr>
          <w:rStyle w:val="FootnoteReference"/>
          <w:rFonts w:ascii="Book Antiqua" w:hAnsi="Book Antiqua" w:cs="Calibri"/>
          <w:color w:val="000000" w:themeColor="text1"/>
          <w:sz w:val="24"/>
          <w:szCs w:val="24"/>
        </w:rPr>
        <w:footnoteReference w:id="21"/>
      </w:r>
      <w:r w:rsidRPr="00A2594E">
        <w:rPr>
          <w:rFonts w:ascii="Book Antiqua" w:hAnsi="Book Antiqua" w:cs="Calibri"/>
          <w:color w:val="000000" w:themeColor="text1"/>
          <w:sz w:val="24"/>
          <w:szCs w:val="24"/>
        </w:rPr>
        <w:t xml:space="preserve"> courts and authorities can resolve inheritance claims more quickly, allowing heirs to access their rights in a shorter timeframe. This is particularly beneficial in cases involving digital assets, such as cryptocurrency or digital media assets, which often require timely management to preserve their value or avoid technical complications.</w:t>
      </w:r>
    </w:p>
    <w:p w14:paraId="7C112A17"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Dubai’s adoption of digital notaries reflects its commitment to innovation and the integration of advanced technologies across all aspects of governance. This approach not only enhances efficiency in legal and administrative processes but also ensures adherence to Sharia principles, which underpin many aspects of life in the United Arab Emirates. It represents a significant step forward in harmonizing tradition with modernization while building public trust in the integrity of Dubai’s legal system.</w:t>
      </w:r>
    </w:p>
    <w:p w14:paraId="3988A652" w14:textId="77777777" w:rsidR="00A2594E" w:rsidRPr="00A2594E" w:rsidRDefault="00A2594E" w:rsidP="00A2594E">
      <w:pPr>
        <w:pStyle w:val="ListParagraph"/>
        <w:numPr>
          <w:ilvl w:val="0"/>
          <w:numId w:val="25"/>
        </w:numPr>
        <w:spacing w:after="120" w:line="240" w:lineRule="auto"/>
        <w:ind w:left="357" w:hanging="357"/>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Collaboration with Digital Service Providers</w:t>
      </w:r>
    </w:p>
    <w:p w14:paraId="4A617C45"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Dubai government has taken strategic steps in regulating digital inheritance by collaborating with global technology companies such as Google, Apple, and Facebook. This collaboration aims to manage access to the digital accounts of deceased individuals, enabling families and heirs to retrieve this information in accordance with legal permissions. This partnership is vital in ensuring that digital data and assets can be passed down in an orderly manner and in alignment with the previous owner’s wishes.</w:t>
      </w:r>
    </w:p>
    <w:p w14:paraId="18E92CCC"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Dubai underscores the importance of ensuring secure and controlled access to digital information for continuity. This includes photos, documents, emails, and social media content, which often hold significant sentimental value for families and heirs. The integration between technology companies and Dubai’s legal regulations ensures that access to this information is not abruptly terminated after a person’s death while maintaining robust security and privacy measures.</w:t>
      </w:r>
    </w:p>
    <w:p w14:paraId="44685DC2" w14:textId="07A5C1FA"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This process adheres to strict security and privacy standards, with technology companies facilitating data transfers only after adequate legal verification and official requests from Dubai’s authorities. This approach helps prevent misuse of personal data and safeguards the integrity of the information. Furthermore, with clear regulations in place,</w:t>
      </w:r>
      <w:r w:rsidR="006311CB">
        <w:rPr>
          <w:rStyle w:val="FootnoteReference"/>
          <w:rFonts w:ascii="Book Antiqua" w:hAnsi="Book Antiqua" w:cs="Calibri"/>
          <w:color w:val="000000" w:themeColor="text1"/>
          <w:sz w:val="24"/>
          <w:szCs w:val="24"/>
        </w:rPr>
        <w:footnoteReference w:id="22"/>
      </w:r>
      <w:r w:rsidRPr="00A2594E">
        <w:rPr>
          <w:rFonts w:ascii="Book Antiqua" w:hAnsi="Book Antiqua" w:cs="Calibri"/>
          <w:color w:val="000000" w:themeColor="text1"/>
          <w:sz w:val="24"/>
          <w:szCs w:val="24"/>
        </w:rPr>
        <w:t xml:space="preserve"> the digital inheritance process becomes more transparent and reliable, simplifying the management of inherited digital assets for families and heirs.</w:t>
      </w:r>
    </w:p>
    <w:p w14:paraId="72E1B889"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lastRenderedPageBreak/>
        <w:t>The strategic collaboration between the Dubai government and major technology companies not only strengthens policies for managing digital assets but also positions Dubai as a global leader in digital legal innovation and inheritance management. This initiative demonstrates how technology and international cooperation can be leveraged to address complex legal challenges, ensuring that digital inheritance is managed fairly and in accordance with applicable legal norms.</w:t>
      </w:r>
    </w:p>
    <w:p w14:paraId="58715089" w14:textId="77777777" w:rsidR="00A2594E" w:rsidRPr="00A2594E" w:rsidRDefault="00A2594E" w:rsidP="00A2594E">
      <w:pPr>
        <w:pStyle w:val="ListParagraph"/>
        <w:numPr>
          <w:ilvl w:val="0"/>
          <w:numId w:val="25"/>
        </w:numPr>
        <w:spacing w:after="120" w:line="240" w:lineRule="auto"/>
        <w:ind w:left="357" w:hanging="357"/>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E-Government and Digital Inheritance Portal</w:t>
      </w:r>
    </w:p>
    <w:p w14:paraId="0E2B7FD9"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digital inheritance portal has been integrated with Dubai’s e-Government system, making it easier for heirs to file claims on digital assets. This portal is designed to simplify the claims process by providing an online platform where heirs can upload required documents, such as death certificates and heir identification documents. This integration allows for the efficient and transparent management of digital assets, reducing the need for lengthy and complex administrative procedures often associated with traditional inheritance processes.</w:t>
      </w:r>
    </w:p>
    <w:p w14:paraId="35D466C6"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portal provides heirs with easy access to track the status of their claims, view registered digital assets, and receive notifications about any updates related to their claims. These features are designed to ensure full transparency and minimize the potential for inheritance disputes, ensuring that assets are distributed in accordance with applicable laws and the original owner's wishes. Data security is guaranteed through advanced encryption technology and stringent security protocols, protecting the personal and sensitive information of heirs from unauthorized access.</w:t>
      </w:r>
    </w:p>
    <w:p w14:paraId="30778396"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This facilitation not only increases trust in the digital inheritance management system but also highlights Dubai’s commitment to adopting advanced technological solutions to modernize and improve public services. The integration of the digital inheritance portal with Dubai’s e-Government system represents a significant step forward in optimizing legal and administrative processes, positioning Dubai as a model for other cities in digital asset management and e-Governance.</w:t>
      </w:r>
    </w:p>
    <w:p w14:paraId="73FFDA2B" w14:textId="77777777" w:rsidR="00A2594E" w:rsidRPr="00A2594E" w:rsidRDefault="00A2594E" w:rsidP="00A2594E">
      <w:pPr>
        <w:pStyle w:val="ListParagraph"/>
        <w:numPr>
          <w:ilvl w:val="0"/>
          <w:numId w:val="25"/>
        </w:numPr>
        <w:spacing w:after="120" w:line="240" w:lineRule="auto"/>
        <w:ind w:left="357" w:hanging="357"/>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Digital Court and Mediation Services</w:t>
      </w:r>
    </w:p>
    <w:p w14:paraId="3961AB2B"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Dubai has launched digital court services specifically designed to address disputes related to digital inheritance. These courts leverage advanced technology to expedite the resolution of cases involving digital assets, ensuring that asset distribution is fair and in compliance with applicable laws. This initiative is part of Dubai’s efforts to modernize its judicial system to better meet the demands of an increasingly digital era.</w:t>
      </w:r>
    </w:p>
    <w:p w14:paraId="72F05AB9"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The digital courts are equipped with technological tools that allow for more efficient case handling. For example, the use of electronic databases to store legal documents and digital evidence enables real-time access and management of information. Additionally, these courts facilitate virtual hearings, reducing the need for physical attendance that often delays judicial proceedings.</w:t>
      </w:r>
    </w:p>
    <w:p w14:paraId="09D55DB3"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Through digital courts, Dubai aims to significantly shorten the time required to resolve inheritance disputes, reducing the process from months or even years to just a few weeks or days. This not only enhances efficiency in dispute resolution but also ensures fairness and adherence to legal principles, particularly Sharia law, which serves as the foundation for many inheritance cases in Dubai.</w:t>
      </w:r>
    </w:p>
    <w:p w14:paraId="5978647B"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lastRenderedPageBreak/>
        <w:t>This service also reflects Dubai’s commitment to integrating technology into all aspects of governance, including its judicial system. By launching digital courts for digital inheritance, Dubai sets a new benchmark for digital asset management and judiciary processes, providing a model for other cities worldwide to address legal challenges arising from technological advancements.</w:t>
      </w:r>
    </w:p>
    <w:p w14:paraId="7AB3B552" w14:textId="77777777" w:rsidR="00A2594E" w:rsidRPr="00A2594E" w:rsidRDefault="00A2594E" w:rsidP="00A2594E">
      <w:pPr>
        <w:pStyle w:val="ListParagraph"/>
        <w:numPr>
          <w:ilvl w:val="0"/>
          <w:numId w:val="24"/>
        </w:numPr>
        <w:spacing w:after="120" w:line="240" w:lineRule="auto"/>
        <w:ind w:left="357" w:hanging="357"/>
        <w:jc w:val="both"/>
        <w:rPr>
          <w:rFonts w:ascii="Book Antiqua" w:hAnsi="Book Antiqua" w:cs="Calibri"/>
          <w:b/>
          <w:bCs/>
          <w:color w:val="000000" w:themeColor="text1"/>
          <w:sz w:val="24"/>
          <w:szCs w:val="24"/>
        </w:rPr>
      </w:pPr>
      <w:r w:rsidRPr="00A2594E">
        <w:rPr>
          <w:rFonts w:ascii="Book Antiqua" w:hAnsi="Book Antiqua" w:cs="Calibri"/>
          <w:b/>
          <w:bCs/>
          <w:color w:val="000000" w:themeColor="text1"/>
          <w:sz w:val="24"/>
          <w:szCs w:val="24"/>
        </w:rPr>
        <w:t>Gender Justice in the Distribution of Digital Inheritance: A Fiqh Perspective on Crypto Assets and NFTs a Study in Dubai</w:t>
      </w:r>
    </w:p>
    <w:p w14:paraId="5B40078B" w14:textId="7D0F4352"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 xml:space="preserve">Digital assets such as cryptocurrency and NFTs (Non-Fungible Tokens) have become part of the wealth that can be inherited. However, the distribution of such digital inheritance introduces new challenges from the perspective of </w:t>
      </w:r>
      <w:proofErr w:type="spellStart"/>
      <w:r w:rsidRPr="00A2594E">
        <w:rPr>
          <w:rFonts w:ascii="Book Antiqua" w:hAnsi="Book Antiqua" w:cs="Calibri"/>
          <w:color w:val="000000" w:themeColor="text1"/>
          <w:sz w:val="24"/>
          <w:szCs w:val="24"/>
        </w:rPr>
        <w:t>fiqh</w:t>
      </w:r>
      <w:proofErr w:type="spellEnd"/>
      <w:r w:rsidRPr="00A2594E">
        <w:rPr>
          <w:rFonts w:ascii="Book Antiqua" w:hAnsi="Book Antiqua" w:cs="Calibri"/>
          <w:color w:val="000000" w:themeColor="text1"/>
          <w:sz w:val="24"/>
          <w:szCs w:val="24"/>
        </w:rPr>
        <w:t>, particularly regarding gender justice.</w:t>
      </w:r>
      <w:r w:rsidR="006311CB">
        <w:rPr>
          <w:rStyle w:val="FootnoteReference"/>
          <w:rFonts w:ascii="Book Antiqua" w:hAnsi="Book Antiqua" w:cs="Calibri"/>
          <w:color w:val="000000" w:themeColor="text1"/>
          <w:sz w:val="24"/>
          <w:szCs w:val="24"/>
        </w:rPr>
        <w:footnoteReference w:id="23"/>
      </w:r>
      <w:r w:rsidRPr="00A2594E">
        <w:rPr>
          <w:rFonts w:ascii="Book Antiqua" w:hAnsi="Book Antiqua" w:cs="Calibri"/>
          <w:color w:val="000000" w:themeColor="text1"/>
          <w:sz w:val="24"/>
          <w:szCs w:val="24"/>
        </w:rPr>
        <w:t xml:space="preserve"> Islamic inheritance </w:t>
      </w:r>
      <w:proofErr w:type="spellStart"/>
      <w:r w:rsidRPr="00A2594E">
        <w:rPr>
          <w:rFonts w:ascii="Book Antiqua" w:hAnsi="Book Antiqua" w:cs="Calibri"/>
          <w:color w:val="000000" w:themeColor="text1"/>
          <w:sz w:val="24"/>
          <w:szCs w:val="24"/>
        </w:rPr>
        <w:t>fiqh</w:t>
      </w:r>
      <w:proofErr w:type="spellEnd"/>
      <w:r w:rsidRPr="00A2594E">
        <w:rPr>
          <w:rFonts w:ascii="Book Antiqua" w:hAnsi="Book Antiqua" w:cs="Calibri"/>
          <w:color w:val="000000" w:themeColor="text1"/>
          <w:sz w:val="24"/>
          <w:szCs w:val="24"/>
        </w:rPr>
        <w:t xml:space="preserve"> is founded on principles outlined in the Qur’an and Sunnah, as seen in Surah An-Nisa: 11-12, which states that "a male is entitled to twice the share of a female." This principle is often understood as a form of distributive justice that takes into account the economic responsibilities of men within the family.</w:t>
      </w:r>
    </w:p>
    <w:p w14:paraId="426E49F8" w14:textId="77777777" w:rsidR="00A2594E" w:rsidRPr="00A2594E" w:rsidRDefault="00A2594E" w:rsidP="00A2594E">
      <w:pPr>
        <w:spacing w:after="120" w:line="240" w:lineRule="auto"/>
        <w:jc w:val="both"/>
        <w:rPr>
          <w:rFonts w:ascii="Book Antiqua" w:hAnsi="Book Antiqua" w:cs="Calibri"/>
          <w:color w:val="000000" w:themeColor="text1"/>
          <w:sz w:val="24"/>
          <w:szCs w:val="24"/>
        </w:rPr>
      </w:pPr>
      <w:r w:rsidRPr="00A2594E">
        <w:rPr>
          <w:rFonts w:ascii="Book Antiqua" w:hAnsi="Book Antiqua" w:cs="Calibri"/>
          <w:color w:val="000000" w:themeColor="text1"/>
          <w:sz w:val="24"/>
          <w:szCs w:val="24"/>
        </w:rPr>
        <w:t>Inheritance distribution in Islam is based on clear legal foundations as prescribed in the Qur’an and Hadith. In the context of digital inheritance, such as cryptocurrency and NFT assets, these foundational principles remain relevant, even though the nature of these assets is relatively new. The following legal foundations serve as references:</w:t>
      </w:r>
    </w:p>
    <w:p w14:paraId="1C188D35" w14:textId="77777777" w:rsidR="00A2594E" w:rsidRPr="006311CB" w:rsidRDefault="00A2594E" w:rsidP="00A2594E">
      <w:pPr>
        <w:numPr>
          <w:ilvl w:val="0"/>
          <w:numId w:val="22"/>
        </w:numPr>
        <w:tabs>
          <w:tab w:val="clear" w:pos="720"/>
        </w:tabs>
        <w:spacing w:before="100" w:beforeAutospacing="1" w:after="100" w:afterAutospacing="1" w:line="240" w:lineRule="auto"/>
        <w:ind w:left="357" w:hanging="357"/>
        <w:rPr>
          <w:rFonts w:ascii="Book Antiqua" w:eastAsia="Times New Roman" w:hAnsi="Book Antiqua"/>
          <w:sz w:val="24"/>
          <w:szCs w:val="24"/>
          <w:lang w:val="id-ID" w:eastAsia="id-ID"/>
        </w:rPr>
      </w:pPr>
      <w:r w:rsidRPr="006311CB">
        <w:rPr>
          <w:rFonts w:ascii="Book Antiqua" w:hAnsi="Book Antiqua"/>
          <w:sz w:val="24"/>
          <w:szCs w:val="24"/>
        </w:rPr>
        <w:t>D</w:t>
      </w:r>
      <w:r w:rsidRPr="006311CB">
        <w:rPr>
          <w:rFonts w:ascii="Book Antiqua" w:eastAsia="Times New Roman" w:hAnsi="Book Antiqua"/>
          <w:sz w:val="24"/>
          <w:szCs w:val="24"/>
          <w:lang w:val="id-ID" w:eastAsia="id-ID"/>
        </w:rPr>
        <w:t>ivision of Inheritance in the Qur'an</w:t>
      </w:r>
    </w:p>
    <w:p w14:paraId="74EDE31F"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Allah says in Surah An-Nisa (4:11):</w:t>
      </w:r>
    </w:p>
    <w:p w14:paraId="652F174B" w14:textId="77777777" w:rsidR="00A2594E" w:rsidRDefault="00A2594E" w:rsidP="00A2594E">
      <w:pPr>
        <w:jc w:val="right"/>
        <w:rPr>
          <w:rFonts w:ascii="LPMQ Isep Misbah" w:hAnsi="LPMQ Isep Misbah" w:cs="LPMQ Isep Misbah"/>
          <w:sz w:val="24"/>
          <w:szCs w:val="24"/>
          <w:lang w:val="id-ID" w:eastAsia="id-ID"/>
        </w:rPr>
      </w:pPr>
      <w:r w:rsidRPr="00046DFE">
        <w:rPr>
          <w:rFonts w:ascii="LPMQ Isep Misbah" w:hAnsi="LPMQ Isep Misbah" w:cs="LPMQ Isep Misbah"/>
          <w:sz w:val="24"/>
          <w:szCs w:val="24"/>
          <w:lang w:val="id-ID" w:eastAsia="id-ID"/>
        </w:rPr>
        <w:t>يُوصِيكُمُ اللَّهُ فِي أَوْلَادِكُمْ ۖ لِلذَّكَرِ مِثْلُ حَظِّ الْأُنثَيَيْنِ ۚ</w:t>
      </w:r>
    </w:p>
    <w:p w14:paraId="5A9D7BF9"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Meaning: Allah has ordained for you regarding (the division of inheritance for) your children: the share of a male is equal to the share of two females.</w:t>
      </w:r>
    </w:p>
    <w:p w14:paraId="66A9F697"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This verse establishes that a male receives twice the share of a female, but the context is more about the economic responsibilities of men within the family, rather than gender discrimination.</w:t>
      </w:r>
    </w:p>
    <w:p w14:paraId="2165F7B8" w14:textId="77777777" w:rsidR="00A2594E" w:rsidRPr="006311CB" w:rsidRDefault="00A2594E" w:rsidP="00A2594E">
      <w:pPr>
        <w:numPr>
          <w:ilvl w:val="0"/>
          <w:numId w:val="22"/>
        </w:numPr>
        <w:tabs>
          <w:tab w:val="clear" w:pos="720"/>
        </w:tabs>
        <w:spacing w:before="100" w:beforeAutospacing="1" w:after="100" w:afterAutospacing="1" w:line="240" w:lineRule="auto"/>
        <w:ind w:left="357" w:hanging="357"/>
        <w:rPr>
          <w:rFonts w:ascii="Book Antiqua" w:eastAsia="Times New Roman" w:hAnsi="Book Antiqua"/>
          <w:sz w:val="24"/>
          <w:szCs w:val="24"/>
          <w:lang w:val="id-ID" w:eastAsia="id-ID"/>
        </w:rPr>
      </w:pPr>
      <w:r w:rsidRPr="006311CB">
        <w:rPr>
          <w:rFonts w:ascii="Book Antiqua" w:eastAsia="Times New Roman" w:hAnsi="Book Antiqua"/>
          <w:sz w:val="24"/>
          <w:szCs w:val="24"/>
          <w:lang w:val="id-ID" w:eastAsia="id-ID"/>
        </w:rPr>
        <w:t>Principle of Justice in Inheritance</w:t>
      </w:r>
    </w:p>
    <w:p w14:paraId="5FDD00CB"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Surah An-Nisa (4:135):</w:t>
      </w:r>
    </w:p>
    <w:p w14:paraId="3C74595E" w14:textId="77777777" w:rsidR="00A2594E" w:rsidRDefault="00A2594E" w:rsidP="00A2594E">
      <w:pPr>
        <w:jc w:val="right"/>
        <w:rPr>
          <w:rFonts w:eastAsia="Times New Roman"/>
          <w:b/>
          <w:bCs/>
          <w:sz w:val="24"/>
          <w:szCs w:val="24"/>
          <w:lang w:eastAsia="id-ID"/>
        </w:rPr>
      </w:pPr>
      <w:r w:rsidRPr="00046DFE">
        <w:rPr>
          <w:rFonts w:ascii="LPMQ Isep Misbah" w:hAnsi="LPMQ Isep Misbah" w:cs="LPMQ Isep Misbah"/>
          <w:sz w:val="24"/>
          <w:szCs w:val="24"/>
          <w:lang w:val="id-ID" w:eastAsia="id-ID"/>
        </w:rPr>
        <w:t>يَا أَيُّهَا الَّذِينَ آمَنُوا كُونُوا قَوَّامِينَ بِالْقِسْطِ شُهَدَاءَ لِلَّهِ وَلَوْ عَلَى أَنْفُسِكُمْ أَوِ الْوَالِدَيْنِ وَالْأَقْرَبِينَ ۚ</w:t>
      </w:r>
      <w:r>
        <w:rPr>
          <w:rFonts w:eastAsia="Times New Roman"/>
          <w:b/>
          <w:bCs/>
          <w:sz w:val="24"/>
          <w:szCs w:val="24"/>
          <w:lang w:eastAsia="id-ID"/>
        </w:rPr>
        <w:t xml:space="preserve"> </w:t>
      </w:r>
    </w:p>
    <w:p w14:paraId="56953B05"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Meaning: O you who believe! Stand firmly for justice, as witnesses for Allah, even if it is against yourselves, your parents, or your close relatives.</w:t>
      </w:r>
    </w:p>
    <w:p w14:paraId="360620C9"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This verse emphasizes the importance of justice in all aspects, including the distribution of digital inheritance, ensuring that the heirs' needs are considered proportionally.</w:t>
      </w:r>
    </w:p>
    <w:p w14:paraId="24247D10" w14:textId="77777777" w:rsidR="00A2594E" w:rsidRPr="006311CB" w:rsidRDefault="00A2594E" w:rsidP="00A2594E">
      <w:pPr>
        <w:numPr>
          <w:ilvl w:val="0"/>
          <w:numId w:val="22"/>
        </w:numPr>
        <w:tabs>
          <w:tab w:val="clear" w:pos="720"/>
        </w:tabs>
        <w:spacing w:before="100" w:beforeAutospacing="1" w:after="100" w:afterAutospacing="1" w:line="240" w:lineRule="auto"/>
        <w:ind w:left="357" w:hanging="357"/>
        <w:rPr>
          <w:rFonts w:ascii="Book Antiqua" w:eastAsia="Times New Roman" w:hAnsi="Book Antiqua"/>
          <w:sz w:val="24"/>
          <w:szCs w:val="24"/>
          <w:lang w:val="id-ID" w:eastAsia="id-ID"/>
        </w:rPr>
      </w:pPr>
      <w:r w:rsidRPr="006311CB">
        <w:rPr>
          <w:rFonts w:ascii="Book Antiqua" w:eastAsia="Times New Roman" w:hAnsi="Book Antiqua"/>
          <w:sz w:val="24"/>
          <w:szCs w:val="24"/>
          <w:lang w:val="id-ID" w:eastAsia="id-ID"/>
        </w:rPr>
        <w:lastRenderedPageBreak/>
        <w:t>Agreement in the Distribution of Inheritance</w:t>
      </w:r>
    </w:p>
    <w:p w14:paraId="26DE9193"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In a hadith, Prophet Muhammad (peace be upon him) said:</w:t>
      </w:r>
    </w:p>
    <w:p w14:paraId="4383882C" w14:textId="77777777" w:rsidR="00A2594E" w:rsidRDefault="00A2594E" w:rsidP="00A2594E">
      <w:pPr>
        <w:spacing w:before="100" w:beforeAutospacing="1" w:after="100" w:afterAutospacing="1"/>
        <w:ind w:left="720"/>
        <w:jc w:val="right"/>
        <w:rPr>
          <w:rFonts w:eastAsia="Times New Roman"/>
          <w:sz w:val="24"/>
          <w:szCs w:val="24"/>
          <w:lang w:val="id-ID" w:eastAsia="id-ID"/>
        </w:rPr>
      </w:pPr>
      <w:r w:rsidRPr="00046DFE">
        <w:rPr>
          <w:rFonts w:ascii="LPMQ Isep Misbah" w:eastAsia="Times New Roman" w:hAnsi="LPMQ Isep Misbah" w:cs="LPMQ Isep Misbah"/>
          <w:b/>
          <w:bCs/>
          <w:sz w:val="24"/>
          <w:szCs w:val="24"/>
          <w:lang w:val="id-ID" w:eastAsia="id-ID"/>
        </w:rPr>
        <w:t>الصُّلْحُ جَائِزٌ بَيْنَ الْمُسْلِمِينَ إِلَّا صُلْحًا حَرَّمَ حَلَالًا أَوْ أَحَلَّ حَرَامًا</w:t>
      </w:r>
    </w:p>
    <w:p w14:paraId="280BDCAC"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 xml:space="preserve">Meaning: Agreements are permissible among Muslims, except for agreements that legalize what is forbidden or forbid what is lawful. (Narrated by Abu Dawud and </w:t>
      </w:r>
      <w:proofErr w:type="spellStart"/>
      <w:r w:rsidRPr="006311CB">
        <w:rPr>
          <w:rFonts w:ascii="Book Antiqua" w:hAnsi="Book Antiqua" w:cs="Calibri"/>
          <w:color w:val="000000" w:themeColor="text1"/>
          <w:sz w:val="24"/>
          <w:szCs w:val="24"/>
        </w:rPr>
        <w:t>Tirmidhi</w:t>
      </w:r>
      <w:proofErr w:type="spellEnd"/>
      <w:r w:rsidRPr="006311CB">
        <w:rPr>
          <w:rFonts w:ascii="Book Antiqua" w:hAnsi="Book Antiqua" w:cs="Calibri"/>
          <w:color w:val="000000" w:themeColor="text1"/>
          <w:sz w:val="24"/>
          <w:szCs w:val="24"/>
        </w:rPr>
        <w:t>).</w:t>
      </w:r>
    </w:p>
    <w:p w14:paraId="6A1D8068"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This hadith serves as a foundation that the distribution of assets, including digital inheritance, can be carried out based on the agreement of the heirs to achieve a more contextual justice.</w:t>
      </w:r>
    </w:p>
    <w:p w14:paraId="08D41264" w14:textId="77777777" w:rsidR="00A2594E" w:rsidRPr="006311CB" w:rsidRDefault="00A2594E" w:rsidP="00A2594E">
      <w:pPr>
        <w:numPr>
          <w:ilvl w:val="0"/>
          <w:numId w:val="22"/>
        </w:numPr>
        <w:tabs>
          <w:tab w:val="clear" w:pos="720"/>
        </w:tabs>
        <w:spacing w:before="100" w:beforeAutospacing="1" w:after="100" w:afterAutospacing="1" w:line="240" w:lineRule="auto"/>
        <w:ind w:left="357" w:hanging="357"/>
        <w:rPr>
          <w:rFonts w:ascii="Book Antiqua" w:eastAsia="Times New Roman" w:hAnsi="Book Antiqua"/>
          <w:sz w:val="24"/>
          <w:szCs w:val="24"/>
          <w:lang w:val="id-ID" w:eastAsia="id-ID"/>
        </w:rPr>
      </w:pPr>
      <w:r w:rsidRPr="006311CB">
        <w:rPr>
          <w:rFonts w:ascii="Book Antiqua" w:eastAsia="Times New Roman" w:hAnsi="Book Antiqua"/>
          <w:sz w:val="24"/>
          <w:szCs w:val="24"/>
          <w:lang w:val="id-ID" w:eastAsia="id-ID"/>
        </w:rPr>
        <w:t>Management of Trust in Inheritance</w:t>
      </w:r>
    </w:p>
    <w:p w14:paraId="4AD23C6D"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Surah Al-Baqarah (2:282):</w:t>
      </w:r>
    </w:p>
    <w:p w14:paraId="7E6500FA" w14:textId="77777777" w:rsidR="00A2594E" w:rsidRPr="00186D52" w:rsidRDefault="00A2594E" w:rsidP="00A2594E">
      <w:pPr>
        <w:spacing w:before="100" w:beforeAutospacing="1" w:after="100" w:afterAutospacing="1"/>
        <w:ind w:left="720"/>
        <w:jc w:val="right"/>
        <w:rPr>
          <w:rFonts w:ascii="LPMQ Isep Misbah" w:eastAsia="Times New Roman" w:hAnsi="LPMQ Isep Misbah" w:cs="LPMQ Isep Misbah"/>
          <w:b/>
          <w:bCs/>
          <w:szCs w:val="22"/>
          <w:lang w:val="id-ID" w:eastAsia="id-ID"/>
        </w:rPr>
      </w:pPr>
      <w:r w:rsidRPr="00046DFE">
        <w:rPr>
          <w:rFonts w:ascii="LPMQ Isep Misbah" w:eastAsia="Times New Roman" w:hAnsi="LPMQ Isep Misbah" w:cs="LPMQ Isep Misbah"/>
          <w:b/>
          <w:bCs/>
          <w:sz w:val="24"/>
          <w:szCs w:val="24"/>
          <w:lang w:val="id-ID" w:eastAsia="id-ID"/>
        </w:rPr>
        <w:t>وَلَا تَكْتُمُوا الشَّهَادَةَ ۚ وَمَنْ يَكْتُمْهَا فَإِنَّهُ آثِمٌ قَلْبُهُ ۗ وَاللَّهُ بِمَا تَعْمَلُونَ عَلِيمٌ</w:t>
      </w:r>
    </w:p>
    <w:p w14:paraId="03E37FCB"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Meaning: "Do not conceal testimony, and whoever conceals it, his heart is indeed sinful."</w:t>
      </w:r>
    </w:p>
    <w:p w14:paraId="49AA43B8" w14:textId="77777777" w:rsidR="00A2594E" w:rsidRPr="006311CB" w:rsidRDefault="00A2594E" w:rsidP="006311CB">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This verse teaches the importance of transparency in inheritance management, including documenting digital assets such as cryptocurrencies and NFTs.</w:t>
      </w:r>
    </w:p>
    <w:p w14:paraId="23F4D3CB" w14:textId="77777777" w:rsidR="00A2594E" w:rsidRPr="006311CB" w:rsidRDefault="00A2594E" w:rsidP="006311CB">
      <w:pPr>
        <w:pStyle w:val="ListParagraph"/>
        <w:numPr>
          <w:ilvl w:val="0"/>
          <w:numId w:val="24"/>
        </w:numPr>
        <w:spacing w:after="120" w:line="240" w:lineRule="auto"/>
        <w:ind w:left="357" w:hanging="357"/>
        <w:jc w:val="both"/>
        <w:rPr>
          <w:rFonts w:ascii="Book Antiqua" w:hAnsi="Book Antiqua" w:cs="Calibri"/>
          <w:b/>
          <w:bCs/>
          <w:color w:val="000000" w:themeColor="text1"/>
          <w:sz w:val="24"/>
          <w:szCs w:val="24"/>
        </w:rPr>
      </w:pPr>
      <w:r w:rsidRPr="006311CB">
        <w:rPr>
          <w:rFonts w:ascii="Book Antiqua" w:hAnsi="Book Antiqua" w:cs="Calibri"/>
          <w:b/>
          <w:bCs/>
          <w:color w:val="000000" w:themeColor="text1"/>
          <w:sz w:val="24"/>
          <w:szCs w:val="24"/>
        </w:rPr>
        <w:t>Solutions in the Distribution of Digital Inheritance</w:t>
      </w:r>
    </w:p>
    <w:p w14:paraId="026DE672" w14:textId="4D96A723" w:rsidR="00A2594E" w:rsidRPr="006311CB" w:rsidRDefault="00A2594E" w:rsidP="00A2594E">
      <w:pPr>
        <w:spacing w:after="120" w:line="240" w:lineRule="auto"/>
        <w:jc w:val="both"/>
        <w:rPr>
          <w:rFonts w:ascii="Book Antiqua" w:hAnsi="Book Antiqua" w:cs="Calibri"/>
          <w:color w:val="000000" w:themeColor="text1"/>
          <w:sz w:val="24"/>
          <w:szCs w:val="24"/>
        </w:rPr>
      </w:pPr>
      <w:r w:rsidRPr="006311CB">
        <w:rPr>
          <w:rFonts w:ascii="Book Antiqua" w:hAnsi="Book Antiqua" w:cs="Calibri"/>
          <w:color w:val="000000" w:themeColor="text1"/>
          <w:sz w:val="24"/>
          <w:szCs w:val="24"/>
        </w:rPr>
        <w:t xml:space="preserve">Digital assets such as cryptocurrencies and NFTs represent a new form of wealth that must be recognized as mal </w:t>
      </w:r>
      <w:proofErr w:type="spellStart"/>
      <w:r w:rsidRPr="006311CB">
        <w:rPr>
          <w:rFonts w:ascii="Book Antiqua" w:hAnsi="Book Antiqua" w:cs="Calibri"/>
          <w:color w:val="000000" w:themeColor="text1"/>
          <w:sz w:val="24"/>
          <w:szCs w:val="24"/>
        </w:rPr>
        <w:t>mutaqawwam</w:t>
      </w:r>
      <w:proofErr w:type="spellEnd"/>
      <w:r w:rsidRPr="006311CB">
        <w:rPr>
          <w:rFonts w:ascii="Book Antiqua" w:hAnsi="Book Antiqua" w:cs="Calibri"/>
          <w:color w:val="000000" w:themeColor="text1"/>
          <w:sz w:val="24"/>
          <w:szCs w:val="24"/>
        </w:rPr>
        <w:t xml:space="preserve">, which refers to assets deemed valuable under Shariah law and can be legitimately traded. In Islam, these assets must meet halal requirements, meaning they should not involve elements of </w:t>
      </w:r>
      <w:proofErr w:type="spellStart"/>
      <w:r w:rsidRPr="006311CB">
        <w:rPr>
          <w:rFonts w:ascii="Book Antiqua" w:hAnsi="Book Antiqua" w:cs="Calibri"/>
          <w:color w:val="000000" w:themeColor="text1"/>
          <w:sz w:val="24"/>
          <w:szCs w:val="24"/>
        </w:rPr>
        <w:t>riba</w:t>
      </w:r>
      <w:proofErr w:type="spellEnd"/>
      <w:r w:rsidRPr="006311CB">
        <w:rPr>
          <w:rFonts w:ascii="Book Antiqua" w:hAnsi="Book Antiqua" w:cs="Calibri"/>
          <w:color w:val="000000" w:themeColor="text1"/>
          <w:sz w:val="24"/>
          <w:szCs w:val="24"/>
        </w:rPr>
        <w:t xml:space="preserve"> (usury), </w:t>
      </w:r>
      <w:proofErr w:type="spellStart"/>
      <w:r w:rsidRPr="006311CB">
        <w:rPr>
          <w:rFonts w:ascii="Book Antiqua" w:hAnsi="Book Antiqua" w:cs="Calibri"/>
          <w:color w:val="000000" w:themeColor="text1"/>
          <w:sz w:val="24"/>
          <w:szCs w:val="24"/>
        </w:rPr>
        <w:t>gharar</w:t>
      </w:r>
      <w:proofErr w:type="spellEnd"/>
      <w:r w:rsidRPr="006311CB">
        <w:rPr>
          <w:rFonts w:ascii="Book Antiqua" w:hAnsi="Book Antiqua" w:cs="Calibri"/>
          <w:color w:val="000000" w:themeColor="text1"/>
          <w:sz w:val="24"/>
          <w:szCs w:val="24"/>
        </w:rPr>
        <w:t xml:space="preserve"> (uncertainty), or excessive speculation. Recognizing these assets is crucial to include them in the category of legitimate wealth for inheritance.</w:t>
      </w:r>
      <w:r w:rsidR="006311CB" w:rsidRPr="006311CB">
        <w:rPr>
          <w:rFonts w:cs="Calibri"/>
          <w:color w:val="000000" w:themeColor="text1"/>
          <w:vertAlign w:val="superscript"/>
        </w:rPr>
        <w:footnoteReference w:id="24"/>
      </w:r>
      <w:r w:rsidRPr="006311CB">
        <w:rPr>
          <w:rFonts w:ascii="Book Antiqua" w:hAnsi="Book Antiqua" w:cs="Calibri"/>
          <w:color w:val="000000" w:themeColor="text1"/>
          <w:sz w:val="24"/>
          <w:szCs w:val="24"/>
        </w:rPr>
        <w:t xml:space="preserve"> As part of an inheritance, digital assets should be clearly identified, including their value and type, to facilitate the distribution process among heirs.</w:t>
      </w:r>
    </w:p>
    <w:p w14:paraId="4D2E52C5" w14:textId="2796B76B" w:rsidR="00A2594E" w:rsidRPr="00A2594E" w:rsidRDefault="00A2594E" w:rsidP="00A2594E">
      <w:pPr>
        <w:spacing w:after="120" w:line="240" w:lineRule="auto"/>
        <w:jc w:val="both"/>
        <w:rPr>
          <w:rFonts w:ascii="Book Antiqua" w:hAnsi="Book Antiqua"/>
          <w:sz w:val="24"/>
          <w:szCs w:val="24"/>
        </w:rPr>
      </w:pPr>
      <w:r w:rsidRPr="00A2594E">
        <w:rPr>
          <w:rFonts w:ascii="Book Antiqua" w:hAnsi="Book Antiqua"/>
          <w:sz w:val="24"/>
          <w:szCs w:val="24"/>
        </w:rPr>
        <w:t xml:space="preserve">The distribution of digital inheritance refers to Surah An-Nisa (4:11), which stipulates that the share of a male is twice that of a female. This principle is applied by considering the financial responsibilities of men within the family. For example, if the value of digital assets such as cryptocurrency or NFTs is determined to be IDR 30 million, the male heir would receive IDR 20 million, </w:t>
      </w:r>
      <w:r w:rsidR="006311CB">
        <w:rPr>
          <w:rStyle w:val="FootnoteReference"/>
          <w:rFonts w:ascii="Book Antiqua" w:hAnsi="Book Antiqua"/>
          <w:sz w:val="24"/>
          <w:szCs w:val="24"/>
        </w:rPr>
        <w:footnoteReference w:id="25"/>
      </w:r>
      <w:r w:rsidRPr="00A2594E">
        <w:rPr>
          <w:rFonts w:ascii="Book Antiqua" w:hAnsi="Book Antiqua"/>
          <w:sz w:val="24"/>
          <w:szCs w:val="24"/>
        </w:rPr>
        <w:t xml:space="preserve">while the female heir would receive IDR 10 million. This division is based on the principle of distributive justice in Islam, aiming to ensure that the needs of all heirs are met according to their respective responsibilities. However, in certain </w:t>
      </w:r>
      <w:r w:rsidRPr="00A2594E">
        <w:rPr>
          <w:rFonts w:ascii="Book Antiqua" w:hAnsi="Book Antiqua"/>
          <w:sz w:val="24"/>
          <w:szCs w:val="24"/>
        </w:rPr>
        <w:lastRenderedPageBreak/>
        <w:t>circumstances, Islamic jurisprudence provides flexibility to adjust inheritance distribution through a fair agreement among heirs.</w:t>
      </w:r>
    </w:p>
    <w:p w14:paraId="052A219F" w14:textId="77777777" w:rsidR="00A2594E" w:rsidRPr="00A2594E" w:rsidRDefault="00A2594E" w:rsidP="00A2594E">
      <w:pPr>
        <w:spacing w:after="120" w:line="240" w:lineRule="auto"/>
        <w:jc w:val="both"/>
        <w:rPr>
          <w:rFonts w:ascii="Book Antiqua" w:hAnsi="Book Antiqua"/>
          <w:sz w:val="24"/>
          <w:szCs w:val="24"/>
        </w:rPr>
      </w:pPr>
      <w:r w:rsidRPr="00A2594E">
        <w:rPr>
          <w:rFonts w:ascii="Book Antiqua" w:hAnsi="Book Antiqua"/>
          <w:sz w:val="24"/>
          <w:szCs w:val="24"/>
        </w:rPr>
        <w:t>The concept of ash-</w:t>
      </w:r>
      <w:proofErr w:type="spellStart"/>
      <w:r w:rsidRPr="00A2594E">
        <w:rPr>
          <w:rFonts w:ascii="Book Antiqua" w:hAnsi="Book Antiqua"/>
          <w:sz w:val="24"/>
          <w:szCs w:val="24"/>
        </w:rPr>
        <w:t>shulh</w:t>
      </w:r>
      <w:proofErr w:type="spellEnd"/>
      <w:r w:rsidRPr="00A2594E">
        <w:rPr>
          <w:rFonts w:ascii="Book Antiqua" w:hAnsi="Book Antiqua"/>
          <w:sz w:val="24"/>
          <w:szCs w:val="24"/>
        </w:rPr>
        <w:t xml:space="preserve"> (peaceful agreement) becomes an essential solution in inheritance distribution, particularly when special conditions affect the distribution proportions. For instance, if a female family member has significant economic responsibilities, the heirs may agree to allocate a larger share to her. Such agreements reflect not only fairness but also uphold the spirit of consultation (shura) and harmony in Islam. In modern contexts, this is also relevant when the value of digital assets fluctuates, requiring transparent discussions and agreements to prevent conflicts among heirs.</w:t>
      </w:r>
    </w:p>
    <w:p w14:paraId="3C5870E8" w14:textId="5C074535" w:rsidR="00A2594E" w:rsidRPr="00A2594E" w:rsidRDefault="00A2594E" w:rsidP="00A2594E">
      <w:pPr>
        <w:spacing w:after="120" w:line="240" w:lineRule="auto"/>
        <w:jc w:val="both"/>
        <w:rPr>
          <w:rFonts w:ascii="Book Antiqua" w:hAnsi="Book Antiqua"/>
          <w:sz w:val="24"/>
          <w:szCs w:val="24"/>
        </w:rPr>
      </w:pPr>
      <w:r w:rsidRPr="00A2594E">
        <w:rPr>
          <w:rFonts w:ascii="Book Antiqua" w:hAnsi="Book Antiqua"/>
          <w:sz w:val="24"/>
          <w:szCs w:val="24"/>
        </w:rPr>
        <w:t>To ensure a smooth and fair distribution process for digital assets, transparent documentation is crucial. Blockchain technology or digital wallets can be used to securely and verifiably record ownership of digital assets.</w:t>
      </w:r>
      <w:r w:rsidR="006311CB">
        <w:rPr>
          <w:rStyle w:val="FootnoteReference"/>
          <w:rFonts w:ascii="Book Antiqua" w:hAnsi="Book Antiqua"/>
          <w:sz w:val="24"/>
          <w:szCs w:val="24"/>
        </w:rPr>
        <w:footnoteReference w:id="26"/>
      </w:r>
      <w:r w:rsidRPr="00A2594E">
        <w:rPr>
          <w:rFonts w:ascii="Book Antiqua" w:hAnsi="Book Antiqua"/>
          <w:sz w:val="24"/>
          <w:szCs w:val="24"/>
        </w:rPr>
        <w:t xml:space="preserve"> This system enables all heirs to have equal access to information about the value and type of assets to be distributed. Through such technology, digital assets are not only clearly documented but are also protected from the possibility of being hidden or unfairly contested by certain parties. This aligns with Shariah principles that emphasize honesty and transparency in wealth management.</w:t>
      </w:r>
    </w:p>
    <w:p w14:paraId="27F04B33" w14:textId="1DF6EB15" w:rsidR="00A2594E" w:rsidRPr="00A2594E" w:rsidRDefault="00A2594E" w:rsidP="00A2594E">
      <w:pPr>
        <w:spacing w:after="120" w:line="240" w:lineRule="auto"/>
        <w:jc w:val="both"/>
        <w:rPr>
          <w:rFonts w:ascii="Book Antiqua" w:hAnsi="Book Antiqua"/>
          <w:sz w:val="24"/>
          <w:szCs w:val="24"/>
        </w:rPr>
      </w:pPr>
      <w:r w:rsidRPr="00A2594E">
        <w:rPr>
          <w:rFonts w:ascii="Book Antiqua" w:hAnsi="Book Antiqua"/>
          <w:sz w:val="24"/>
          <w:szCs w:val="24"/>
        </w:rPr>
        <w:t xml:space="preserve">If technical challenges arise in the distribution of digital assets, such as heirs lacking understanding of the technology or mechanisms behind these assets, the family may appoint a mediator. This mediator could be a judge, an expert in Islamic economics, or another party knowledgeable in managing digital assets. </w:t>
      </w:r>
      <w:r w:rsidR="006311CB">
        <w:rPr>
          <w:rStyle w:val="FootnoteReference"/>
          <w:rFonts w:ascii="Book Antiqua" w:hAnsi="Book Antiqua"/>
          <w:sz w:val="24"/>
          <w:szCs w:val="24"/>
        </w:rPr>
        <w:footnoteReference w:id="27"/>
      </w:r>
      <w:r w:rsidRPr="00A2594E">
        <w:rPr>
          <w:rFonts w:ascii="Book Antiqua" w:hAnsi="Book Antiqua"/>
          <w:sz w:val="24"/>
          <w:szCs w:val="24"/>
        </w:rPr>
        <w:t>The mediator's role is to provide guidance in accordance with Islamic law, ensuring that the inheritance process does not deviate from Shariah. This step is crucial to maintain justice and prevent potential disputes that could damage family relationships.</w:t>
      </w:r>
    </w:p>
    <w:p w14:paraId="4881B1FA" w14:textId="24A53C87" w:rsidR="00A2594E" w:rsidRPr="00A2594E" w:rsidRDefault="00A2594E" w:rsidP="00A2594E">
      <w:pPr>
        <w:spacing w:after="120" w:line="240" w:lineRule="auto"/>
        <w:jc w:val="both"/>
        <w:rPr>
          <w:rFonts w:ascii="Book Antiqua" w:hAnsi="Book Antiqua"/>
          <w:sz w:val="24"/>
          <w:szCs w:val="24"/>
        </w:rPr>
      </w:pPr>
      <w:r w:rsidRPr="00A2594E">
        <w:rPr>
          <w:rFonts w:ascii="Book Antiqua" w:hAnsi="Book Antiqua"/>
          <w:sz w:val="24"/>
          <w:szCs w:val="24"/>
        </w:rPr>
        <w:t>The use of modern technology such as blockchain can be an effective solution for ensuring fairness in the distribution of digital inheritance. With blockchain, digital assets can be directly transferred to each heir’s wallet in accordance with the portions determined by Shariah. This process not only avoids manual conflicts but also ensures that the distribution is accurate and efficient.</w:t>
      </w:r>
      <w:r w:rsidR="006311CB">
        <w:rPr>
          <w:rStyle w:val="FootnoteReference"/>
          <w:rFonts w:ascii="Book Antiqua" w:hAnsi="Book Antiqua"/>
          <w:sz w:val="24"/>
          <w:szCs w:val="24"/>
        </w:rPr>
        <w:footnoteReference w:id="28"/>
      </w:r>
      <w:r w:rsidRPr="00A2594E">
        <w:rPr>
          <w:rFonts w:ascii="Book Antiqua" w:hAnsi="Book Antiqua"/>
          <w:sz w:val="24"/>
          <w:szCs w:val="24"/>
        </w:rPr>
        <w:t xml:space="preserve"> Blockchain technology records every transaction permanently and immutably, providing a guarantee of fairness for all parties.</w:t>
      </w:r>
    </w:p>
    <w:p w14:paraId="3295A47B" w14:textId="1B3DF170" w:rsidR="00A2594E" w:rsidRPr="00A2594E" w:rsidRDefault="006311CB" w:rsidP="00A2594E">
      <w:pPr>
        <w:spacing w:after="120" w:line="240" w:lineRule="auto"/>
        <w:jc w:val="both"/>
        <w:rPr>
          <w:rFonts w:ascii="Book Antiqua" w:hAnsi="Book Antiqua"/>
          <w:sz w:val="24"/>
          <w:szCs w:val="24"/>
        </w:rPr>
      </w:pPr>
      <w:r>
        <w:rPr>
          <w:rFonts w:ascii="Book Antiqua" w:hAnsi="Book Antiqua"/>
          <w:sz w:val="24"/>
          <w:szCs w:val="24"/>
        </w:rPr>
        <w:t>T</w:t>
      </w:r>
      <w:r w:rsidR="00A2594E" w:rsidRPr="00A2594E">
        <w:rPr>
          <w:rFonts w:ascii="Book Antiqua" w:hAnsi="Book Antiqua"/>
          <w:sz w:val="24"/>
          <w:szCs w:val="24"/>
        </w:rPr>
        <w:t>he distribution of valuable digital assets, such as cryptocurrencies and NFTs, Islamic inheritance law can still be implemented with approaches that align with Shariah principles.</w:t>
      </w:r>
      <w:r>
        <w:rPr>
          <w:rStyle w:val="FootnoteReference"/>
          <w:rFonts w:ascii="Book Antiqua" w:hAnsi="Book Antiqua"/>
          <w:sz w:val="24"/>
          <w:szCs w:val="24"/>
        </w:rPr>
        <w:footnoteReference w:id="29"/>
      </w:r>
      <w:r w:rsidR="00A2594E" w:rsidRPr="00A2594E">
        <w:rPr>
          <w:rFonts w:ascii="Book Antiqua" w:hAnsi="Book Antiqua"/>
          <w:sz w:val="24"/>
          <w:szCs w:val="24"/>
        </w:rPr>
        <w:t xml:space="preserve"> Digital assets can be inherited by both males and females, referring to the Islamic inheritance principle of </w:t>
      </w:r>
      <w:proofErr w:type="spellStart"/>
      <w:r w:rsidR="00A2594E" w:rsidRPr="00A2594E">
        <w:rPr>
          <w:rFonts w:ascii="Book Antiqua" w:hAnsi="Book Antiqua"/>
          <w:sz w:val="24"/>
          <w:szCs w:val="24"/>
        </w:rPr>
        <w:t>lidz-dzakari</w:t>
      </w:r>
      <w:proofErr w:type="spellEnd"/>
      <w:r w:rsidR="00A2594E" w:rsidRPr="00A2594E">
        <w:rPr>
          <w:rFonts w:ascii="Book Antiqua" w:hAnsi="Book Antiqua"/>
          <w:sz w:val="24"/>
          <w:szCs w:val="24"/>
        </w:rPr>
        <w:t xml:space="preserve"> </w:t>
      </w:r>
      <w:proofErr w:type="spellStart"/>
      <w:r w:rsidR="00A2594E" w:rsidRPr="00A2594E">
        <w:rPr>
          <w:rFonts w:ascii="Book Antiqua" w:hAnsi="Book Antiqua"/>
          <w:sz w:val="24"/>
          <w:szCs w:val="24"/>
        </w:rPr>
        <w:t>mitslu</w:t>
      </w:r>
      <w:proofErr w:type="spellEnd"/>
      <w:r w:rsidR="00A2594E" w:rsidRPr="00A2594E">
        <w:rPr>
          <w:rFonts w:ascii="Book Antiqua" w:hAnsi="Book Antiqua"/>
          <w:sz w:val="24"/>
          <w:szCs w:val="24"/>
        </w:rPr>
        <w:t xml:space="preserve"> </w:t>
      </w:r>
      <w:proofErr w:type="spellStart"/>
      <w:r w:rsidR="00A2594E" w:rsidRPr="00A2594E">
        <w:rPr>
          <w:rFonts w:ascii="Book Antiqua" w:hAnsi="Book Antiqua"/>
          <w:sz w:val="24"/>
          <w:szCs w:val="24"/>
        </w:rPr>
        <w:t>hazhzil</w:t>
      </w:r>
      <w:proofErr w:type="spellEnd"/>
      <w:r w:rsidR="00A2594E" w:rsidRPr="00A2594E">
        <w:rPr>
          <w:rFonts w:ascii="Book Antiqua" w:hAnsi="Book Antiqua"/>
          <w:sz w:val="24"/>
          <w:szCs w:val="24"/>
        </w:rPr>
        <w:t xml:space="preserve"> </w:t>
      </w:r>
      <w:proofErr w:type="spellStart"/>
      <w:r w:rsidR="00A2594E" w:rsidRPr="00A2594E">
        <w:rPr>
          <w:rFonts w:ascii="Book Antiqua" w:hAnsi="Book Antiqua"/>
          <w:sz w:val="24"/>
          <w:szCs w:val="24"/>
        </w:rPr>
        <w:t>untsayayni</w:t>
      </w:r>
      <w:proofErr w:type="spellEnd"/>
      <w:r w:rsidR="00A2594E" w:rsidRPr="00A2594E">
        <w:rPr>
          <w:rFonts w:ascii="Book Antiqua" w:hAnsi="Book Antiqua"/>
          <w:sz w:val="24"/>
          <w:szCs w:val="24"/>
        </w:rPr>
        <w:t xml:space="preserve"> (the male receives </w:t>
      </w:r>
      <w:r w:rsidR="00A2594E" w:rsidRPr="00A2594E">
        <w:rPr>
          <w:rFonts w:ascii="Book Antiqua" w:hAnsi="Book Antiqua"/>
          <w:sz w:val="24"/>
          <w:szCs w:val="24"/>
        </w:rPr>
        <w:lastRenderedPageBreak/>
        <w:t>twice the share of the female).</w:t>
      </w:r>
      <w:r>
        <w:rPr>
          <w:rStyle w:val="FootnoteReference"/>
          <w:rFonts w:ascii="Book Antiqua" w:hAnsi="Book Antiqua"/>
          <w:sz w:val="24"/>
          <w:szCs w:val="24"/>
        </w:rPr>
        <w:footnoteReference w:id="30"/>
      </w:r>
      <w:r w:rsidR="00A2594E" w:rsidRPr="00A2594E">
        <w:rPr>
          <w:rFonts w:ascii="Book Antiqua" w:hAnsi="Book Antiqua"/>
          <w:sz w:val="24"/>
          <w:szCs w:val="24"/>
        </w:rPr>
        <w:t xml:space="preserve"> However, the flexibility of Shariah allows for more proportional agreements tailored to family needs, always prioritizing justice.</w:t>
      </w:r>
    </w:p>
    <w:p w14:paraId="5FA27C16" w14:textId="77777777" w:rsidR="00A2594E" w:rsidRPr="00325946" w:rsidRDefault="00A2594E" w:rsidP="00A2594E">
      <w:pPr>
        <w:spacing w:after="120" w:line="240" w:lineRule="auto"/>
        <w:jc w:val="both"/>
        <w:rPr>
          <w:rFonts w:ascii="Book Antiqua" w:hAnsi="Book Antiqua"/>
          <w:b/>
          <w:color w:val="2F5496" w:themeColor="accent1" w:themeShade="BF"/>
          <w:sz w:val="24"/>
          <w:szCs w:val="24"/>
        </w:rPr>
      </w:pPr>
    </w:p>
    <w:p w14:paraId="20D77BDE" w14:textId="77777777" w:rsidR="004B1F20" w:rsidRPr="00EE6288" w:rsidRDefault="00636FF5" w:rsidP="0090749C">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CONCLUSION</w:t>
      </w:r>
    </w:p>
    <w:p w14:paraId="42B4EDF3" w14:textId="77777777" w:rsidR="006311CB" w:rsidRPr="006311CB" w:rsidRDefault="006311CB" w:rsidP="006311CB">
      <w:pPr>
        <w:spacing w:after="120" w:line="240" w:lineRule="auto"/>
        <w:jc w:val="both"/>
        <w:rPr>
          <w:rFonts w:ascii="Book Antiqua" w:hAnsi="Book Antiqua"/>
          <w:sz w:val="24"/>
          <w:szCs w:val="24"/>
        </w:rPr>
      </w:pPr>
      <w:r w:rsidRPr="006311CB">
        <w:rPr>
          <w:rFonts w:ascii="Book Antiqua" w:hAnsi="Book Antiqua"/>
          <w:sz w:val="24"/>
          <w:szCs w:val="24"/>
        </w:rPr>
        <w:t xml:space="preserve">Digital assets such as cryptocurrencies and NFTs can be inherited by both males and females, referring to the Islamic inheritance principle of </w:t>
      </w:r>
      <w:proofErr w:type="spellStart"/>
      <w:r w:rsidRPr="006311CB">
        <w:rPr>
          <w:rFonts w:ascii="Book Antiqua" w:hAnsi="Book Antiqua"/>
          <w:i/>
          <w:iCs/>
          <w:sz w:val="24"/>
          <w:szCs w:val="24"/>
        </w:rPr>
        <w:t>lidz-dzakari</w:t>
      </w:r>
      <w:proofErr w:type="spellEnd"/>
      <w:r w:rsidRPr="006311CB">
        <w:rPr>
          <w:rFonts w:ascii="Book Antiqua" w:hAnsi="Book Antiqua"/>
          <w:i/>
          <w:iCs/>
          <w:sz w:val="24"/>
          <w:szCs w:val="24"/>
        </w:rPr>
        <w:t xml:space="preserve"> </w:t>
      </w:r>
      <w:proofErr w:type="spellStart"/>
      <w:r w:rsidRPr="006311CB">
        <w:rPr>
          <w:rFonts w:ascii="Book Antiqua" w:hAnsi="Book Antiqua"/>
          <w:i/>
          <w:iCs/>
          <w:sz w:val="24"/>
          <w:szCs w:val="24"/>
        </w:rPr>
        <w:t>mitslu</w:t>
      </w:r>
      <w:proofErr w:type="spellEnd"/>
      <w:r w:rsidRPr="006311CB">
        <w:rPr>
          <w:rFonts w:ascii="Book Antiqua" w:hAnsi="Book Antiqua"/>
          <w:i/>
          <w:iCs/>
          <w:sz w:val="24"/>
          <w:szCs w:val="24"/>
        </w:rPr>
        <w:t xml:space="preserve"> </w:t>
      </w:r>
      <w:proofErr w:type="spellStart"/>
      <w:r w:rsidRPr="006311CB">
        <w:rPr>
          <w:rFonts w:ascii="Book Antiqua" w:hAnsi="Book Antiqua"/>
          <w:i/>
          <w:iCs/>
          <w:sz w:val="24"/>
          <w:szCs w:val="24"/>
        </w:rPr>
        <w:t>hazhzil</w:t>
      </w:r>
      <w:proofErr w:type="spellEnd"/>
      <w:r w:rsidRPr="006311CB">
        <w:rPr>
          <w:rFonts w:ascii="Book Antiqua" w:hAnsi="Book Antiqua"/>
          <w:i/>
          <w:iCs/>
          <w:sz w:val="24"/>
          <w:szCs w:val="24"/>
        </w:rPr>
        <w:t xml:space="preserve"> </w:t>
      </w:r>
      <w:proofErr w:type="spellStart"/>
      <w:r w:rsidRPr="006311CB">
        <w:rPr>
          <w:rFonts w:ascii="Book Antiqua" w:hAnsi="Book Antiqua"/>
          <w:i/>
          <w:iCs/>
          <w:sz w:val="24"/>
          <w:szCs w:val="24"/>
        </w:rPr>
        <w:t>untsayayni</w:t>
      </w:r>
      <w:proofErr w:type="spellEnd"/>
      <w:r w:rsidRPr="006311CB">
        <w:rPr>
          <w:rFonts w:ascii="Book Antiqua" w:hAnsi="Book Antiqua"/>
          <w:sz w:val="24"/>
          <w:szCs w:val="24"/>
        </w:rPr>
        <w:t xml:space="preserve"> (a male receives twice the share of a female). The flexibility of Shariah allows for a more proportional agreement based on the family's needs while still prioritizing justice. With technology and transparency, the distribution of digital assets can be carried out efficiently and in accordance with </w:t>
      </w:r>
      <w:proofErr w:type="spellStart"/>
      <w:r w:rsidRPr="006311CB">
        <w:rPr>
          <w:rFonts w:ascii="Book Antiqua" w:hAnsi="Book Antiqua"/>
          <w:i/>
          <w:iCs/>
          <w:sz w:val="24"/>
          <w:szCs w:val="24"/>
        </w:rPr>
        <w:t>fiqh</w:t>
      </w:r>
      <w:proofErr w:type="spellEnd"/>
      <w:r w:rsidRPr="006311CB">
        <w:rPr>
          <w:rFonts w:ascii="Book Antiqua" w:hAnsi="Book Antiqua"/>
          <w:sz w:val="24"/>
          <w:szCs w:val="24"/>
        </w:rPr>
        <w:t xml:space="preserve"> principles.</w:t>
      </w:r>
    </w:p>
    <w:p w14:paraId="7090A899" w14:textId="77777777" w:rsidR="00746761" w:rsidRPr="00EE6288" w:rsidRDefault="00746761" w:rsidP="00AA1A42">
      <w:pPr>
        <w:spacing w:after="0" w:line="240" w:lineRule="auto"/>
        <w:jc w:val="both"/>
        <w:rPr>
          <w:rFonts w:ascii="Book Antiqua" w:hAnsi="Book Antiqua" w:cs="Calibri"/>
          <w:bCs/>
          <w:color w:val="333333"/>
        </w:rPr>
      </w:pPr>
    </w:p>
    <w:p w14:paraId="78A0F2EF" w14:textId="77777777" w:rsidR="004B1F20" w:rsidRPr="00EE6288" w:rsidRDefault="00636FF5" w:rsidP="009A3BE0">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p>
    <w:bookmarkEnd w:id="0"/>
    <w:bookmarkEnd w:id="1"/>
    <w:p w14:paraId="49E07F7E" w14:textId="03B387CA"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Pr>
          <w:rFonts w:ascii="Book Antiqua" w:hAnsi="Book Antiqua" w:cs="Calibri"/>
          <w:noProof/>
          <w:sz w:val="24"/>
          <w:szCs w:val="24"/>
        </w:rPr>
        <w:fldChar w:fldCharType="begin" w:fldLock="1"/>
      </w:r>
      <w:r>
        <w:rPr>
          <w:rFonts w:ascii="Book Antiqua" w:hAnsi="Book Antiqua" w:cs="Calibri"/>
          <w:noProof/>
          <w:sz w:val="24"/>
          <w:szCs w:val="24"/>
        </w:rPr>
        <w:instrText xml:space="preserve">ADDIN Mendeley Bibliography CSL_BIBLIOGRAPHY </w:instrText>
      </w:r>
      <w:r>
        <w:rPr>
          <w:rFonts w:ascii="Book Antiqua" w:hAnsi="Book Antiqua" w:cs="Calibri"/>
          <w:noProof/>
          <w:sz w:val="24"/>
          <w:szCs w:val="24"/>
        </w:rPr>
        <w:fldChar w:fldCharType="separate"/>
      </w:r>
      <w:r w:rsidRPr="006311CB">
        <w:rPr>
          <w:rFonts w:ascii="Book Antiqua" w:hAnsi="Book Antiqua"/>
          <w:noProof/>
          <w:sz w:val="24"/>
          <w:szCs w:val="24"/>
        </w:rPr>
        <w:t xml:space="preserve">“An Overview of Budget Jurisprudence (Fiqh) to Eradicate the Corruption in Indonesia.” </w:t>
      </w:r>
      <w:r w:rsidRPr="006311CB">
        <w:rPr>
          <w:rFonts w:ascii="Book Antiqua" w:hAnsi="Book Antiqua"/>
          <w:i/>
          <w:iCs/>
          <w:noProof/>
          <w:sz w:val="24"/>
          <w:szCs w:val="24"/>
        </w:rPr>
        <w:t>International Journal of Psychosocial Rehabilitation</w:t>
      </w:r>
      <w:r w:rsidRPr="006311CB">
        <w:rPr>
          <w:rFonts w:ascii="Book Antiqua" w:hAnsi="Book Antiqua"/>
          <w:noProof/>
          <w:sz w:val="24"/>
          <w:szCs w:val="24"/>
        </w:rPr>
        <w:t xml:space="preserve"> 24, no. 4 (2020): 5271–80. https://doi.org/10.37200/ijpr/v24i4/pr201625.</w:t>
      </w:r>
    </w:p>
    <w:p w14:paraId="4487F0E5"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ANGGRIYANI, and Rachmad Risqy Kurniawan. </w:t>
      </w:r>
      <w:r w:rsidRPr="006311CB">
        <w:rPr>
          <w:rFonts w:ascii="Book Antiqua" w:hAnsi="Book Antiqua"/>
          <w:i/>
          <w:iCs/>
          <w:noProof/>
          <w:sz w:val="24"/>
          <w:szCs w:val="24"/>
        </w:rPr>
        <w:t>Endorsement Dalam Perspektif Fiqh Kontemporer</w:t>
      </w:r>
      <w:r w:rsidRPr="006311CB">
        <w:rPr>
          <w:rFonts w:ascii="Book Antiqua" w:hAnsi="Book Antiqua"/>
          <w:noProof/>
          <w:sz w:val="24"/>
          <w:szCs w:val="24"/>
        </w:rPr>
        <w:t>. Center for Open Science, 2023. https://doi.org/10.31219/osf.io/524jc.</w:t>
      </w:r>
    </w:p>
    <w:p w14:paraId="2E315F27"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Anshari, Nur. “Inheritance Rights of Children from Sirri Marriages: An Analysis Based on Fiqh and Positive Law in Indonesia.” </w:t>
      </w:r>
      <w:r w:rsidRPr="006311CB">
        <w:rPr>
          <w:rFonts w:ascii="Book Antiqua" w:hAnsi="Book Antiqua"/>
          <w:i/>
          <w:iCs/>
          <w:noProof/>
          <w:sz w:val="24"/>
          <w:szCs w:val="24"/>
        </w:rPr>
        <w:t>International Journal of Sharia Studies</w:t>
      </w:r>
      <w:r w:rsidRPr="006311CB">
        <w:rPr>
          <w:rFonts w:ascii="Book Antiqua" w:hAnsi="Book Antiqua"/>
          <w:noProof/>
          <w:sz w:val="24"/>
          <w:szCs w:val="24"/>
        </w:rPr>
        <w:t xml:space="preserve"> 1, no. 1 (2023). https://doi.org/10.61810/ijss.v1i1.1.</w:t>
      </w:r>
    </w:p>
    <w:p w14:paraId="371C2C77"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Bahiyah, Silsilu Durrotil. “Assessing the Istislahiah Method in Islamic Law: Study of The Utilization of Science in Ushul Fiqh in The Context of Indonesian Fiqh.” </w:t>
      </w:r>
      <w:r w:rsidRPr="006311CB">
        <w:rPr>
          <w:rFonts w:ascii="Book Antiqua" w:hAnsi="Book Antiqua"/>
          <w:i/>
          <w:iCs/>
          <w:noProof/>
          <w:sz w:val="24"/>
          <w:szCs w:val="24"/>
        </w:rPr>
        <w:t>Indonesian Journal of Law and Islamic Law (IJLIL)</w:t>
      </w:r>
      <w:r w:rsidRPr="006311CB">
        <w:rPr>
          <w:rFonts w:ascii="Book Antiqua" w:hAnsi="Book Antiqua"/>
          <w:noProof/>
          <w:sz w:val="24"/>
          <w:szCs w:val="24"/>
        </w:rPr>
        <w:t xml:space="preserve"> 6, no. 1 (2024): 1–13. https://doi.org/10.35719/ijlil.v6i1.314.</w:t>
      </w:r>
    </w:p>
    <w:p w14:paraId="4EE2AE24"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Buang, Ahmad Hidayat. “Ulasan Buku: Fiqh of Contemporary Financial And Banking Transactions.” </w:t>
      </w:r>
      <w:r w:rsidRPr="006311CB">
        <w:rPr>
          <w:rFonts w:ascii="Book Antiqua" w:hAnsi="Book Antiqua"/>
          <w:i/>
          <w:iCs/>
          <w:noProof/>
          <w:sz w:val="24"/>
          <w:szCs w:val="24"/>
        </w:rPr>
        <w:t>Jurnal Fiqh</w:t>
      </w:r>
      <w:r w:rsidRPr="006311CB">
        <w:rPr>
          <w:rFonts w:ascii="Book Antiqua" w:hAnsi="Book Antiqua"/>
          <w:noProof/>
          <w:sz w:val="24"/>
          <w:szCs w:val="24"/>
        </w:rPr>
        <w:t xml:space="preserve"> 17, no. 2 (2020): 309–18. https://doi.org/10.22452/fiqh.vol17no2.4.</w:t>
      </w:r>
    </w:p>
    <w:p w14:paraId="693F7DE8"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Chasannudin, Arif, and Jamal Ma’mur Asmani. “Nationalist Pluralism in Fiqh Sosial: Ideas and Actions of KH. MA. Sahal Mahfudh.” </w:t>
      </w:r>
      <w:r w:rsidRPr="006311CB">
        <w:rPr>
          <w:rFonts w:ascii="Book Antiqua" w:hAnsi="Book Antiqua"/>
          <w:i/>
          <w:iCs/>
          <w:noProof/>
          <w:sz w:val="24"/>
          <w:szCs w:val="24"/>
        </w:rPr>
        <w:t>Santri: Journal of Pesantren and Fiqh Sosial</w:t>
      </w:r>
      <w:r w:rsidRPr="006311CB">
        <w:rPr>
          <w:rFonts w:ascii="Book Antiqua" w:hAnsi="Book Antiqua"/>
          <w:noProof/>
          <w:sz w:val="24"/>
          <w:szCs w:val="24"/>
        </w:rPr>
        <w:t xml:space="preserve"> 1, no. 2 (2020): 157–68. https://doi.org/10.35878/santri.v1i2.244.</w:t>
      </w:r>
    </w:p>
    <w:p w14:paraId="43CE1D86"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Citaningati, Putri Rizka, and Tri Alfianto. “Blue Economics in Islamic Economics Perspective: Fiqh Bi’ah Approach.” </w:t>
      </w:r>
      <w:r w:rsidRPr="006311CB">
        <w:rPr>
          <w:rFonts w:ascii="Book Antiqua" w:hAnsi="Book Antiqua"/>
          <w:i/>
          <w:iCs/>
          <w:noProof/>
          <w:sz w:val="24"/>
          <w:szCs w:val="24"/>
        </w:rPr>
        <w:t>Journal of Islamic Economic Laws</w:t>
      </w:r>
      <w:r w:rsidRPr="006311CB">
        <w:rPr>
          <w:rFonts w:ascii="Book Antiqua" w:hAnsi="Book Antiqua"/>
          <w:noProof/>
          <w:sz w:val="24"/>
          <w:szCs w:val="24"/>
        </w:rPr>
        <w:t xml:space="preserve"> 7, no. 2 (2024): 128–60. https://doi.org/10.23917/jisel.v7i02.5200.</w:t>
      </w:r>
    </w:p>
    <w:p w14:paraId="554F7B44"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Fikriyah, Khusnul. “Comparison of the Views of Classical Fiqh Ulama and Contemporary Fiqh Ulama on the Use of Zakat Maal for the Development of Educational and Da’wah Institutions.” </w:t>
      </w:r>
      <w:r w:rsidRPr="006311CB">
        <w:rPr>
          <w:rFonts w:ascii="Book Antiqua" w:hAnsi="Book Antiqua"/>
          <w:i/>
          <w:iCs/>
          <w:noProof/>
          <w:sz w:val="24"/>
          <w:szCs w:val="24"/>
        </w:rPr>
        <w:t>ZISWAF: JURNAL ZAKAT DAN WAKAF</w:t>
      </w:r>
      <w:r w:rsidRPr="006311CB">
        <w:rPr>
          <w:rFonts w:ascii="Book Antiqua" w:hAnsi="Book Antiqua"/>
          <w:noProof/>
          <w:sz w:val="24"/>
          <w:szCs w:val="24"/>
        </w:rPr>
        <w:t xml:space="preserve"> 8, no. 1 (2021): 34. https://doi.org/10.21043/ziswaf.v8i1.10519.</w:t>
      </w:r>
    </w:p>
    <w:p w14:paraId="6538B485"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Haggag, Mahmoud. </w:t>
      </w:r>
      <w:r w:rsidRPr="006311CB">
        <w:rPr>
          <w:rFonts w:ascii="Book Antiqua" w:hAnsi="Book Antiqua"/>
          <w:i/>
          <w:iCs/>
          <w:noProof/>
          <w:sz w:val="24"/>
          <w:szCs w:val="24"/>
        </w:rPr>
        <w:t>Fiqh Und Hermeneutik Im Klassischen Islam</w:t>
      </w:r>
      <w:r w:rsidRPr="006311CB">
        <w:rPr>
          <w:rFonts w:ascii="Book Antiqua" w:hAnsi="Book Antiqua"/>
          <w:noProof/>
          <w:sz w:val="24"/>
          <w:szCs w:val="24"/>
        </w:rPr>
        <w:t xml:space="preserve">. Peter Lang Verlag, 2024. </w:t>
      </w:r>
      <w:r w:rsidRPr="006311CB">
        <w:rPr>
          <w:rFonts w:ascii="Book Antiqua" w:hAnsi="Book Antiqua"/>
          <w:noProof/>
          <w:sz w:val="24"/>
          <w:szCs w:val="24"/>
        </w:rPr>
        <w:lastRenderedPageBreak/>
        <w:t>https://doi.org/10.3726/b22139.</w:t>
      </w:r>
    </w:p>
    <w:p w14:paraId="4B7243D5"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HAJJAR, Mohyedine. “‘Fiqh’ et ‘Ta</w:t>
      </w:r>
      <w:r w:rsidRPr="006311CB">
        <w:rPr>
          <w:rFonts w:ascii="Cambria" w:hAnsi="Cambria" w:cs="Cambria"/>
          <w:noProof/>
          <w:sz w:val="24"/>
          <w:szCs w:val="24"/>
        </w:rPr>
        <w:t>ṣ</w:t>
      </w:r>
      <w:r w:rsidRPr="006311CB">
        <w:rPr>
          <w:rFonts w:ascii="Book Antiqua" w:hAnsi="Book Antiqua"/>
          <w:noProof/>
          <w:sz w:val="24"/>
          <w:szCs w:val="24"/>
        </w:rPr>
        <w:t xml:space="preserve">awwuf.’” </w:t>
      </w:r>
      <w:r w:rsidRPr="006311CB">
        <w:rPr>
          <w:rFonts w:ascii="Book Antiqua" w:hAnsi="Book Antiqua"/>
          <w:i/>
          <w:iCs/>
          <w:noProof/>
          <w:sz w:val="24"/>
          <w:szCs w:val="24"/>
        </w:rPr>
        <w:t>Les Enjeux de l’écriture Mystique</w:t>
      </w:r>
      <w:r w:rsidRPr="006311CB">
        <w:rPr>
          <w:rFonts w:ascii="Book Antiqua" w:hAnsi="Book Antiqua"/>
          <w:noProof/>
          <w:sz w:val="24"/>
          <w:szCs w:val="24"/>
        </w:rPr>
        <w:t>, 2020, 83–94. https://doi.org/10.17184/eac.3661.</w:t>
      </w:r>
    </w:p>
    <w:p w14:paraId="79A12355"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Hasran, Hamdila, Cindy Firantika Nabila, Maya Fina, and Yanti Wahyuni. “Health Law in Islam (Study of Law About Organ Transplant Accoring to Fiqh).” </w:t>
      </w:r>
      <w:r w:rsidRPr="006311CB">
        <w:rPr>
          <w:rFonts w:ascii="Book Antiqua" w:hAnsi="Book Antiqua"/>
          <w:i/>
          <w:iCs/>
          <w:noProof/>
          <w:sz w:val="24"/>
          <w:szCs w:val="24"/>
        </w:rPr>
        <w:t>MILRev</w:t>
      </w:r>
      <w:r w:rsidRPr="006311CB">
        <w:rPr>
          <w:rFonts w:ascii="Times New Roman" w:hAnsi="Times New Roman"/>
          <w:i/>
          <w:iCs/>
          <w:noProof/>
          <w:sz w:val="24"/>
          <w:szCs w:val="24"/>
        </w:rPr>
        <w:t> </w:t>
      </w:r>
      <w:r w:rsidRPr="006311CB">
        <w:rPr>
          <w:rFonts w:ascii="Book Antiqua" w:hAnsi="Book Antiqua"/>
          <w:i/>
          <w:iCs/>
          <w:noProof/>
          <w:sz w:val="24"/>
          <w:szCs w:val="24"/>
        </w:rPr>
        <w:t>: Metro Islamic Law Review</w:t>
      </w:r>
      <w:r w:rsidRPr="006311CB">
        <w:rPr>
          <w:rFonts w:ascii="Book Antiqua" w:hAnsi="Book Antiqua"/>
          <w:noProof/>
          <w:sz w:val="24"/>
          <w:szCs w:val="24"/>
        </w:rPr>
        <w:t xml:space="preserve"> 1, no. 1 (2022): 147–63. https://doi.org/10.32332/milrev.v1i1.6196.</w:t>
      </w:r>
    </w:p>
    <w:p w14:paraId="35D575BB"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Hidayati, Alfi Nur, Dita Natasha Irviana, and Isnaini Wardatun Nafi’ah. “Marriage of Transgender Men and Women from the Perspective of Fiqh Munakahat.” </w:t>
      </w:r>
      <w:r w:rsidRPr="006311CB">
        <w:rPr>
          <w:rFonts w:ascii="Book Antiqua" w:hAnsi="Book Antiqua"/>
          <w:i/>
          <w:iCs/>
          <w:noProof/>
          <w:sz w:val="24"/>
          <w:szCs w:val="24"/>
        </w:rPr>
        <w:t>NALAR FIQH: Jurnal Hukum Islam</w:t>
      </w:r>
      <w:r w:rsidRPr="006311CB">
        <w:rPr>
          <w:rFonts w:ascii="Book Antiqua" w:hAnsi="Book Antiqua"/>
          <w:noProof/>
          <w:sz w:val="24"/>
          <w:szCs w:val="24"/>
        </w:rPr>
        <w:t xml:space="preserve"> 14, no. 2 (2024). https://doi.org/10.30631/nf.v14i2.1307.</w:t>
      </w:r>
    </w:p>
    <w:p w14:paraId="59125888"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Janah, Tutik Nurul, and Siti Nur Ami’in. “Fiqh Sosial Paradigm for Understanding Universal Values of Pancasila.” </w:t>
      </w:r>
      <w:r w:rsidRPr="006311CB">
        <w:rPr>
          <w:rFonts w:ascii="Book Antiqua" w:hAnsi="Book Antiqua"/>
          <w:i/>
          <w:iCs/>
          <w:noProof/>
          <w:sz w:val="24"/>
          <w:szCs w:val="24"/>
        </w:rPr>
        <w:t>Santri: Journal of Pesantren and Fiqh Sosial</w:t>
      </w:r>
      <w:r w:rsidRPr="006311CB">
        <w:rPr>
          <w:rFonts w:ascii="Book Antiqua" w:hAnsi="Book Antiqua"/>
          <w:noProof/>
          <w:sz w:val="24"/>
          <w:szCs w:val="24"/>
        </w:rPr>
        <w:t xml:space="preserve"> 4, no. 1 (2023): 83–100. https://doi.org/10.35878/santri.v4i1.810.</w:t>
      </w:r>
    </w:p>
    <w:p w14:paraId="2FDB2BD4"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Janah, Tutik Nurul, and Umdah El Baroroh. “Pluralism in the Fiqh Sosial’s Perspective.” </w:t>
      </w:r>
      <w:r w:rsidRPr="006311CB">
        <w:rPr>
          <w:rFonts w:ascii="Book Antiqua" w:hAnsi="Book Antiqua"/>
          <w:i/>
          <w:iCs/>
          <w:noProof/>
          <w:sz w:val="24"/>
          <w:szCs w:val="24"/>
        </w:rPr>
        <w:t>Santri: Journal of Pesantren and Fiqh Sosial</w:t>
      </w:r>
      <w:r w:rsidRPr="006311CB">
        <w:rPr>
          <w:rFonts w:ascii="Book Antiqua" w:hAnsi="Book Antiqua"/>
          <w:noProof/>
          <w:sz w:val="24"/>
          <w:szCs w:val="24"/>
        </w:rPr>
        <w:t xml:space="preserve"> 2, no. 1 (2021): 17–34. https://doi.org/10.35878/santri.v2i1.277.</w:t>
      </w:r>
    </w:p>
    <w:p w14:paraId="062D365E"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Khalil, Shahidra Abdul, and Nor Fahimah Mohd Razif (Author). “Pembelajaran Dan Penilaian Menggunakan E-Portfolio: Kajian Terhadap Penerimaan Pelajar Fiqh Al-Jinayat Dan Fiqh Al-Muamalat Learning and Assessment Using E-Portfolio: A Study on Students Acceptance in the Courses of Fiqh Al-Jinayat and Fiqh Al-Muamalat.” </w:t>
      </w:r>
      <w:r w:rsidRPr="006311CB">
        <w:rPr>
          <w:rFonts w:ascii="Book Antiqua" w:hAnsi="Book Antiqua"/>
          <w:i/>
          <w:iCs/>
          <w:noProof/>
          <w:sz w:val="24"/>
          <w:szCs w:val="24"/>
        </w:rPr>
        <w:t>Journal of Islamic Education</w:t>
      </w:r>
      <w:r w:rsidRPr="006311CB">
        <w:rPr>
          <w:rFonts w:ascii="Book Antiqua" w:hAnsi="Book Antiqua"/>
          <w:noProof/>
          <w:sz w:val="24"/>
          <w:szCs w:val="24"/>
        </w:rPr>
        <w:t xml:space="preserve"> 8, no. 2022 (2022): 13–24. https://doi.org/10.22452/jier.vol8no2022.2.</w:t>
      </w:r>
    </w:p>
    <w:p w14:paraId="0F8B592B"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Kuncoro, Anies T, and Muchamad Coirun Nizar. “The Epistemology of Fiqh-Science and Its Implementation in Contemporary Fiqh in Indonesia.” </w:t>
      </w:r>
      <w:r w:rsidRPr="006311CB">
        <w:rPr>
          <w:rFonts w:ascii="Book Antiqua" w:hAnsi="Book Antiqua"/>
          <w:i/>
          <w:iCs/>
          <w:noProof/>
          <w:sz w:val="24"/>
          <w:szCs w:val="24"/>
        </w:rPr>
        <w:t>Advances in Economics, Business and Management Research</w:t>
      </w:r>
      <w:r w:rsidRPr="006311CB">
        <w:rPr>
          <w:rFonts w:ascii="Book Antiqua" w:hAnsi="Book Antiqua"/>
          <w:noProof/>
          <w:sz w:val="24"/>
          <w:szCs w:val="24"/>
        </w:rPr>
        <w:t>, 2021. https://doi.org/10.2991/aebmr.k.210305.041.</w:t>
      </w:r>
    </w:p>
    <w:p w14:paraId="6FE86FC1"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Lestari, Puji, and Raodah Raodah. “Accessibility of Persons with Disabilities on the Review of Disability Fiqh.” </w:t>
      </w:r>
      <w:r w:rsidRPr="006311CB">
        <w:rPr>
          <w:rFonts w:ascii="Book Antiqua" w:hAnsi="Book Antiqua"/>
          <w:i/>
          <w:iCs/>
          <w:noProof/>
          <w:sz w:val="24"/>
          <w:szCs w:val="24"/>
        </w:rPr>
        <w:t>Santri: Journal of Pesantren and Fiqh Sosial</w:t>
      </w:r>
      <w:r w:rsidRPr="006311CB">
        <w:rPr>
          <w:rFonts w:ascii="Book Antiqua" w:hAnsi="Book Antiqua"/>
          <w:noProof/>
          <w:sz w:val="24"/>
          <w:szCs w:val="24"/>
        </w:rPr>
        <w:t xml:space="preserve"> 1, no. 2 (2020): 205–18. https://doi.org/10.35878/santri.v1i2.242.</w:t>
      </w:r>
    </w:p>
    <w:p w14:paraId="4314349A"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Ma’arif, Syamsul, and Muhammad Fazlurrahman Hadi. “Analysis of Fiqh Textbooks at Madrasah Tsanawiyah Class VII The Tasamuh Approach in the Perspective of Fiqh Wahbah Musthofa Al-Zuhaili.” </w:t>
      </w:r>
      <w:r w:rsidRPr="006311CB">
        <w:rPr>
          <w:rFonts w:ascii="Book Antiqua" w:hAnsi="Book Antiqua"/>
          <w:i/>
          <w:iCs/>
          <w:noProof/>
          <w:sz w:val="24"/>
          <w:szCs w:val="24"/>
        </w:rPr>
        <w:t>Halaqa: Islamic Education Journal</w:t>
      </w:r>
      <w:r w:rsidRPr="006311CB">
        <w:rPr>
          <w:rFonts w:ascii="Book Antiqua" w:hAnsi="Book Antiqua"/>
          <w:noProof/>
          <w:sz w:val="24"/>
          <w:szCs w:val="24"/>
        </w:rPr>
        <w:t xml:space="preserve"> 5, no. 2 (2021): 179–85. https://doi.org/10.21070/halaqa.v5i2.1575.</w:t>
      </w:r>
    </w:p>
    <w:p w14:paraId="7932CA97"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Mahmod, Zulzaidi, and Ahmad Hidayat Buang. “Penulisan Penghakiman Menurut Perspektif Fiqh Al-Qa</w:t>
      </w:r>
      <w:r w:rsidRPr="006311CB">
        <w:rPr>
          <w:rFonts w:ascii="Cambria" w:hAnsi="Cambria" w:cs="Cambria"/>
          <w:noProof/>
          <w:sz w:val="24"/>
          <w:szCs w:val="24"/>
        </w:rPr>
        <w:t>ḍ</w:t>
      </w:r>
      <w:r w:rsidRPr="006311CB">
        <w:rPr>
          <w:rFonts w:ascii="Book Antiqua" w:hAnsi="Book Antiqua"/>
          <w:noProof/>
          <w:sz w:val="24"/>
          <w:szCs w:val="24"/>
        </w:rPr>
        <w:t xml:space="preserve">ā’dan Aplikasi Mahkamah Syariah Di Malaysia.” </w:t>
      </w:r>
      <w:r w:rsidRPr="006311CB">
        <w:rPr>
          <w:rFonts w:ascii="Book Antiqua" w:hAnsi="Book Antiqua"/>
          <w:i/>
          <w:iCs/>
          <w:noProof/>
          <w:sz w:val="24"/>
          <w:szCs w:val="24"/>
        </w:rPr>
        <w:t>Jurnal Fiqh</w:t>
      </w:r>
      <w:r w:rsidRPr="006311CB">
        <w:rPr>
          <w:rFonts w:ascii="Book Antiqua" w:hAnsi="Book Antiqua"/>
          <w:noProof/>
          <w:sz w:val="24"/>
          <w:szCs w:val="24"/>
        </w:rPr>
        <w:t xml:space="preserve"> 18, no. 2 (2021): 377–408. https://doi.org/10.22452/fiqh.vol18no2.6.</w:t>
      </w:r>
    </w:p>
    <w:p w14:paraId="2C92EA1C"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Mustapha, Ariyanti, and Abdul Karim Ali. “Teori Evolutionism Dalam Epistemologi Usul Fiqh Dari Perspektif Barat [The Theory of Evolutionism in the Epistemology of Usul Fiqh From the Western Perspective].” </w:t>
      </w:r>
      <w:r w:rsidRPr="006311CB">
        <w:rPr>
          <w:rFonts w:ascii="Book Antiqua" w:hAnsi="Book Antiqua"/>
          <w:i/>
          <w:iCs/>
          <w:noProof/>
          <w:sz w:val="24"/>
          <w:szCs w:val="24"/>
        </w:rPr>
        <w:t>Jurnal Islam Dan Masyarakat Kontemporari</w:t>
      </w:r>
      <w:r w:rsidRPr="006311CB">
        <w:rPr>
          <w:rFonts w:ascii="Book Antiqua" w:hAnsi="Book Antiqua"/>
          <w:noProof/>
          <w:sz w:val="24"/>
          <w:szCs w:val="24"/>
        </w:rPr>
        <w:t xml:space="preserve"> 23, no. 3 (2022): 1–13. https://doi.org/10.37231/jimk.2022.23.3.692.</w:t>
      </w:r>
    </w:p>
    <w:p w14:paraId="1B2BF357"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MZ, Rafika Dwi Rahmah, Suyadi, and Zahrul Mufrodi. “Development of Learning Materials on Fiqh of Alcohol and Khamr in Islamic and Science Perspective.” </w:t>
      </w:r>
      <w:r w:rsidRPr="006311CB">
        <w:rPr>
          <w:rFonts w:ascii="Book Antiqua" w:hAnsi="Book Antiqua"/>
          <w:i/>
          <w:iCs/>
          <w:noProof/>
          <w:sz w:val="24"/>
          <w:szCs w:val="24"/>
        </w:rPr>
        <w:t>International Journal of Science and Society</w:t>
      </w:r>
      <w:r w:rsidRPr="006311CB">
        <w:rPr>
          <w:rFonts w:ascii="Book Antiqua" w:hAnsi="Book Antiqua"/>
          <w:noProof/>
          <w:sz w:val="24"/>
          <w:szCs w:val="24"/>
        </w:rPr>
        <w:t xml:space="preserve"> 2, no. 4 (2020): 363–74. https://doi.org/10.54783/ijsoc.v2i4.222.</w:t>
      </w:r>
    </w:p>
    <w:p w14:paraId="002308CE"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lastRenderedPageBreak/>
        <w:t xml:space="preserve">Nazar, Reza Fauzi, and Mohammad Fahmi Abdul Hamid. “Tracking the Genealogical Reasoning Reconstruction of Nahdlatul Ulama (NU) Fiqh: From ‘Social Fiqh’ to ‘Civilization Fiqh.’” </w:t>
      </w:r>
      <w:r w:rsidRPr="006311CB">
        <w:rPr>
          <w:rFonts w:ascii="Book Antiqua" w:hAnsi="Book Antiqua"/>
          <w:i/>
          <w:iCs/>
          <w:noProof/>
          <w:sz w:val="24"/>
          <w:szCs w:val="24"/>
        </w:rPr>
        <w:t>Tashwirul Afkar</w:t>
      </w:r>
      <w:r w:rsidRPr="006311CB">
        <w:rPr>
          <w:rFonts w:ascii="Book Antiqua" w:hAnsi="Book Antiqua"/>
          <w:noProof/>
          <w:sz w:val="24"/>
          <w:szCs w:val="24"/>
        </w:rPr>
        <w:t xml:space="preserve"> 41, no. 2 (2022): 137–62. https://doi.org/10.51716/ta.v41i2.74.</w:t>
      </w:r>
    </w:p>
    <w:p w14:paraId="5B158327"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Razali, Anisah, and Noornajihan Ja’afar. “Tinjauan Buku Fiqh Jenayah Orang Kelainan Upaya.” </w:t>
      </w:r>
      <w:r w:rsidRPr="006311CB">
        <w:rPr>
          <w:rFonts w:ascii="Book Antiqua" w:hAnsi="Book Antiqua"/>
          <w:i/>
          <w:iCs/>
          <w:noProof/>
          <w:sz w:val="24"/>
          <w:szCs w:val="24"/>
        </w:rPr>
        <w:t>Journal of Quran Sunnah Education \&amp;amp; Special Needs</w:t>
      </w:r>
      <w:r w:rsidRPr="006311CB">
        <w:rPr>
          <w:rFonts w:ascii="Book Antiqua" w:hAnsi="Book Antiqua"/>
          <w:noProof/>
          <w:sz w:val="24"/>
          <w:szCs w:val="24"/>
        </w:rPr>
        <w:t xml:space="preserve"> 6, no. 1 (2022): 121–25. https://doi.org/10.33102/jqss.vol6no1.154.</w:t>
      </w:r>
    </w:p>
    <w:p w14:paraId="63555179"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Rohman, Holilur. “Integrasi Fiqh Dan Usul Fiqh Dalam Kasus Batas Umur Pernikahan.” </w:t>
      </w:r>
      <w:r w:rsidRPr="006311CB">
        <w:rPr>
          <w:rFonts w:ascii="Book Antiqua" w:hAnsi="Book Antiqua"/>
          <w:i/>
          <w:iCs/>
          <w:noProof/>
          <w:sz w:val="24"/>
          <w:szCs w:val="24"/>
        </w:rPr>
        <w:t>AL-HUKAMA</w:t>
      </w:r>
      <w:r w:rsidRPr="006311CB">
        <w:rPr>
          <w:rFonts w:ascii="Book Antiqua" w:hAnsi="Book Antiqua"/>
          <w:noProof/>
          <w:sz w:val="24"/>
          <w:szCs w:val="24"/>
        </w:rPr>
        <w:t xml:space="preserve"> 5, no. 1 (2024): 50–80. https://doi.org/10.15642/al-hukama.2015.5.1.50-80.</w:t>
      </w:r>
    </w:p>
    <w:p w14:paraId="5B23832B"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Rois, Choirur, Agus Irfan, Moh Toyyib, and Mohammad Mahbubi Ali. “Recontextualization of Fiqh Al-Siyāsah from the Perspective of Fiqh Al-</w:t>
      </w:r>
      <w:r w:rsidRPr="006311CB">
        <w:rPr>
          <w:rFonts w:ascii="Cambria" w:hAnsi="Cambria" w:cs="Cambria"/>
          <w:noProof/>
          <w:sz w:val="24"/>
          <w:szCs w:val="24"/>
        </w:rPr>
        <w:t>Ḥ</w:t>
      </w:r>
      <w:r w:rsidRPr="006311CB">
        <w:rPr>
          <w:rFonts w:ascii="Book Antiqua" w:hAnsi="Book Antiqua"/>
          <w:noProof/>
          <w:sz w:val="24"/>
          <w:szCs w:val="24"/>
        </w:rPr>
        <w:t>a</w:t>
      </w:r>
      <w:r w:rsidRPr="006311CB">
        <w:rPr>
          <w:rFonts w:ascii="Cambria" w:hAnsi="Cambria" w:cs="Cambria"/>
          <w:noProof/>
          <w:sz w:val="24"/>
          <w:szCs w:val="24"/>
        </w:rPr>
        <w:t>ḍ</w:t>
      </w:r>
      <w:r w:rsidRPr="006311CB">
        <w:rPr>
          <w:rFonts w:ascii="Book Antiqua" w:hAnsi="Book Antiqua"/>
          <w:noProof/>
          <w:sz w:val="24"/>
          <w:szCs w:val="24"/>
        </w:rPr>
        <w:t xml:space="preserve">arah in Realizing World Peace.” </w:t>
      </w:r>
      <w:r w:rsidRPr="006311CB">
        <w:rPr>
          <w:rFonts w:ascii="Book Antiqua" w:hAnsi="Book Antiqua"/>
          <w:i/>
          <w:iCs/>
          <w:noProof/>
          <w:sz w:val="24"/>
          <w:szCs w:val="24"/>
        </w:rPr>
        <w:t>Journal of Islamic Thought and Civilization</w:t>
      </w:r>
      <w:r w:rsidRPr="006311CB">
        <w:rPr>
          <w:rFonts w:ascii="Book Antiqua" w:hAnsi="Book Antiqua"/>
          <w:noProof/>
          <w:sz w:val="24"/>
          <w:szCs w:val="24"/>
        </w:rPr>
        <w:t xml:space="preserve"> 14, no. 1 (2024): 335–51. https://doi.org/10.32350/jitc.141.20.</w:t>
      </w:r>
    </w:p>
    <w:p w14:paraId="7C6BFE41"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Sebri, Mohamad Ehsan, and Roshimah Shamsudin. “Manhaj Penulisan Hadith Dalam Fiqh Al-Sunnah Oleh Sayyid Sabiq.” </w:t>
      </w:r>
      <w:r w:rsidRPr="006311CB">
        <w:rPr>
          <w:rFonts w:ascii="Book Antiqua" w:hAnsi="Book Antiqua"/>
          <w:i/>
          <w:iCs/>
          <w:noProof/>
          <w:sz w:val="24"/>
          <w:szCs w:val="24"/>
        </w:rPr>
        <w:t>Journal Of Hadith Studies</w:t>
      </w:r>
      <w:r w:rsidRPr="006311CB">
        <w:rPr>
          <w:rFonts w:ascii="Book Antiqua" w:hAnsi="Book Antiqua"/>
          <w:noProof/>
          <w:sz w:val="24"/>
          <w:szCs w:val="24"/>
        </w:rPr>
        <w:t>, 2022, 94–104. https://doi.org/10.33102/johs.v7i2.207.</w:t>
      </w:r>
    </w:p>
    <w:p w14:paraId="56060A8F"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Seff, Syaugi. “The FIQH of Disaster: MUI’s Response to the COVID-19 Pandemic in Indonesia (Study Application Legal Maxims of FIQH).” </w:t>
      </w:r>
      <w:r w:rsidRPr="006311CB">
        <w:rPr>
          <w:rFonts w:ascii="Book Antiqua" w:hAnsi="Book Antiqua"/>
          <w:i/>
          <w:iCs/>
          <w:noProof/>
          <w:sz w:val="24"/>
          <w:szCs w:val="24"/>
        </w:rPr>
        <w:t>SSRN Electronic Journal</w:t>
      </w:r>
      <w:r w:rsidRPr="006311CB">
        <w:rPr>
          <w:rFonts w:ascii="Book Antiqua" w:hAnsi="Book Antiqua"/>
          <w:noProof/>
          <w:sz w:val="24"/>
          <w:szCs w:val="24"/>
        </w:rPr>
        <w:t>, 2021. https://doi.org/10.2139/ssrn.3978994.</w:t>
      </w:r>
    </w:p>
    <w:p w14:paraId="40CFEF09"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Setiawan, Adib Rifqi. </w:t>
      </w:r>
      <w:r w:rsidRPr="006311CB">
        <w:rPr>
          <w:rFonts w:ascii="Book Antiqua" w:hAnsi="Book Antiqua"/>
          <w:i/>
          <w:iCs/>
          <w:noProof/>
          <w:sz w:val="24"/>
          <w:szCs w:val="24"/>
        </w:rPr>
        <w:t>Instrumen Penilaian Literasi Finansial Melalui Pembelajaran Fiqh Mu’āmalāt</w:t>
      </w:r>
      <w:r w:rsidRPr="006311CB">
        <w:rPr>
          <w:rFonts w:ascii="Book Antiqua" w:hAnsi="Book Antiqua"/>
          <w:noProof/>
          <w:sz w:val="24"/>
          <w:szCs w:val="24"/>
        </w:rPr>
        <w:t>. Center for Open Science, 2022. https://doi.org/10.31237/osf.io/yuja3.</w:t>
      </w:r>
    </w:p>
    <w:p w14:paraId="0411F301"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szCs w:val="24"/>
        </w:rPr>
      </w:pPr>
      <w:r w:rsidRPr="006311CB">
        <w:rPr>
          <w:rFonts w:ascii="Book Antiqua" w:hAnsi="Book Antiqua"/>
          <w:noProof/>
          <w:sz w:val="24"/>
          <w:szCs w:val="24"/>
        </w:rPr>
        <w:t xml:space="preserve">———. </w:t>
      </w:r>
      <w:r w:rsidRPr="006311CB">
        <w:rPr>
          <w:rFonts w:ascii="Book Antiqua" w:hAnsi="Book Antiqua"/>
          <w:i/>
          <w:iCs/>
          <w:noProof/>
          <w:sz w:val="24"/>
          <w:szCs w:val="24"/>
        </w:rPr>
        <w:t>Mencapai Literasi Finansial Melalui Pembelajaran Fiqh Mu’āmalāt Berbasis Kitab Kuning</w:t>
      </w:r>
      <w:r w:rsidRPr="006311CB">
        <w:rPr>
          <w:rFonts w:ascii="Book Antiqua" w:hAnsi="Book Antiqua"/>
          <w:noProof/>
          <w:sz w:val="24"/>
          <w:szCs w:val="24"/>
        </w:rPr>
        <w:t>. Center for Open Science, 2020. https://doi.org/10.35542/osf.io/n9fbe.</w:t>
      </w:r>
    </w:p>
    <w:p w14:paraId="3FA432D2" w14:textId="77777777" w:rsidR="006311CB" w:rsidRPr="006311CB" w:rsidRDefault="006311CB" w:rsidP="006311CB">
      <w:pPr>
        <w:widowControl w:val="0"/>
        <w:autoSpaceDE w:val="0"/>
        <w:autoSpaceDN w:val="0"/>
        <w:adjustRightInd w:val="0"/>
        <w:spacing w:after="120" w:line="240" w:lineRule="auto"/>
        <w:ind w:left="480" w:hanging="480"/>
        <w:jc w:val="both"/>
        <w:rPr>
          <w:rFonts w:ascii="Book Antiqua" w:hAnsi="Book Antiqua"/>
          <w:noProof/>
          <w:sz w:val="24"/>
        </w:rPr>
      </w:pPr>
      <w:r w:rsidRPr="006311CB">
        <w:rPr>
          <w:rFonts w:ascii="Book Antiqua" w:hAnsi="Book Antiqua"/>
          <w:noProof/>
          <w:sz w:val="24"/>
          <w:szCs w:val="24"/>
        </w:rPr>
        <w:t xml:space="preserve">Solihin, Khabib, and Siti Asiyah. “Views of Fiqh Sosial on Cooperation in the Construction of Inter-Religious Houses of Worship.” </w:t>
      </w:r>
      <w:r w:rsidRPr="006311CB">
        <w:rPr>
          <w:rFonts w:ascii="Book Antiqua" w:hAnsi="Book Antiqua"/>
          <w:i/>
          <w:iCs/>
          <w:noProof/>
          <w:sz w:val="24"/>
          <w:szCs w:val="24"/>
        </w:rPr>
        <w:t>Santri: Journal of Pesantren and Fiqh Sosial</w:t>
      </w:r>
      <w:r w:rsidRPr="006311CB">
        <w:rPr>
          <w:rFonts w:ascii="Book Antiqua" w:hAnsi="Book Antiqua"/>
          <w:noProof/>
          <w:sz w:val="24"/>
          <w:szCs w:val="24"/>
        </w:rPr>
        <w:t xml:space="preserve"> 2, no. 1 (2021): 49–64. https://doi.org/10.35878/santri.v2i1.280.</w:t>
      </w:r>
    </w:p>
    <w:p w14:paraId="1B5E560F" w14:textId="0ACA0878" w:rsidR="00B36F1C" w:rsidRDefault="006311CB" w:rsidP="006311CB">
      <w:pPr>
        <w:pStyle w:val="ListParagraph"/>
        <w:spacing w:after="120" w:line="240" w:lineRule="auto"/>
        <w:ind w:left="567" w:hanging="567"/>
        <w:contextualSpacing w:val="0"/>
        <w:jc w:val="both"/>
        <w:rPr>
          <w:rFonts w:ascii="Book Antiqua" w:hAnsi="Book Antiqua" w:cs="Calibri"/>
          <w:noProof/>
          <w:sz w:val="24"/>
          <w:szCs w:val="24"/>
        </w:rPr>
      </w:pPr>
      <w:r>
        <w:rPr>
          <w:rFonts w:ascii="Book Antiqua" w:hAnsi="Book Antiqua" w:cs="Calibri"/>
          <w:noProof/>
          <w:sz w:val="24"/>
          <w:szCs w:val="24"/>
        </w:rPr>
        <w:fldChar w:fldCharType="end"/>
      </w:r>
    </w:p>
    <w:p w14:paraId="0D182E02" w14:textId="77777777" w:rsidR="00B36F1C"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73A9AACF" w14:textId="77777777" w:rsidR="00B36F1C"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4F0ACE38" w14:textId="77777777" w:rsidR="00B36F1C"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6C962078" w14:textId="77777777" w:rsidR="004A3361" w:rsidRDefault="004A3361" w:rsidP="004A3361">
      <w:pPr>
        <w:pStyle w:val="ListParagraph"/>
        <w:spacing w:after="120" w:line="240" w:lineRule="auto"/>
        <w:ind w:left="0"/>
        <w:contextualSpacing w:val="0"/>
        <w:jc w:val="both"/>
        <w:rPr>
          <w:rFonts w:ascii="Book Antiqua" w:hAnsi="Book Antiqua" w:cs="Calibri"/>
          <w:noProof/>
          <w:sz w:val="24"/>
          <w:szCs w:val="24"/>
        </w:rPr>
      </w:pPr>
    </w:p>
    <w:p w14:paraId="56688B89"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03BDEF00"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8867984"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49F07E5E"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A2CA594" w14:textId="77777777" w:rsidR="00B36F1C"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E05BD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DD8F8E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7D1A37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078D523"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56956F70"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DE0FFB8"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BBEFC20"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8DB3FFF"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E331AE3"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99B5CF7"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84A5C2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7BE17A4"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29DAF65"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65E6DBE"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FA4C068"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E7619F8"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03CEFDD0"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6EBC950"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0E96D71C"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BC706DE"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D5F473E"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B3CF223"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21EFAC"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CF473D9"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0D27EB" w14:textId="77777777" w:rsidR="00E05BDD" w:rsidRDefault="00A72281" w:rsidP="00F2670C">
      <w:pPr>
        <w:pStyle w:val="ListParagraph"/>
        <w:spacing w:after="120" w:line="240" w:lineRule="auto"/>
        <w:ind w:left="567" w:hanging="567"/>
        <w:contextualSpacing w:val="0"/>
        <w:jc w:val="both"/>
        <w:rPr>
          <w:rFonts w:ascii="Book Antiqua" w:hAnsi="Book Antiqua"/>
          <w:b/>
          <w:lang w:eastAsia="fi-FI" w:bidi="ar-SA"/>
        </w:rPr>
      </w:pPr>
      <w:r w:rsidRPr="00A72281">
        <w:rPr>
          <w:rFonts w:ascii="Book Antiqua" w:hAnsi="Book Antiqua"/>
          <w:b/>
          <w:noProof/>
          <w:lang w:bidi="ar-SA"/>
        </w:rPr>
        <w:drawing>
          <wp:anchor distT="0" distB="0" distL="114300" distR="114300" simplePos="0" relativeHeight="251696128" behindDoc="0" locked="0" layoutInCell="1" allowOverlap="1" wp14:anchorId="7A7154DC" wp14:editId="68D16EDC">
            <wp:simplePos x="0" y="0"/>
            <wp:positionH relativeFrom="column">
              <wp:posOffset>451485</wp:posOffset>
            </wp:positionH>
            <wp:positionV relativeFrom="paragraph">
              <wp:posOffset>213995</wp:posOffset>
            </wp:positionV>
            <wp:extent cx="5295900" cy="1352550"/>
            <wp:effectExtent l="0" t="0" r="0" b="0"/>
            <wp:wrapNone/>
            <wp:docPr id="6" name="Picture 6" descr="E:\FileKu\JURNAL FH UNPATTI\SASI\Conflict of Interest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SASI\Conflict of Interest 202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14547"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98B85A4"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892BE0B" w14:textId="7777777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sectPr w:rsidR="00E05BDD" w:rsidSect="000572B7">
      <w:footerReference w:type="even" r:id="rId19"/>
      <w:footerReference w:type="default" r:id="rId20"/>
      <w:headerReference w:type="first" r:id="rId21"/>
      <w:footerReference w:type="first" r:id="rId22"/>
      <w:pgSz w:w="11906" w:h="16838" w:code="9"/>
      <w:pgMar w:top="1134" w:right="1134" w:bottom="1134" w:left="1134" w:header="851"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6A6D" w14:textId="77777777" w:rsidR="008D4B2F" w:rsidRDefault="008D4B2F" w:rsidP="00934130">
      <w:pPr>
        <w:spacing w:after="0" w:line="240" w:lineRule="auto"/>
      </w:pPr>
      <w:r>
        <w:separator/>
      </w:r>
    </w:p>
  </w:endnote>
  <w:endnote w:type="continuationSeparator" w:id="0">
    <w:p w14:paraId="1090B04D" w14:textId="77777777" w:rsidR="008D4B2F" w:rsidRDefault="008D4B2F"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LPMQ Isep Misbah">
    <w:panose1 w:val="02000000000000000000"/>
    <w:charset w:val="00"/>
    <w:family w:val="auto"/>
    <w:pitch w:val="variable"/>
    <w:sig w:usb0="00002003" w:usb1="10000000" w:usb2="00000008" w:usb3="00000000" w:csb0="0000004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75166"/>
      <w:docPartObj>
        <w:docPartGallery w:val="Page Numbers (Bottom of Page)"/>
        <w:docPartUnique/>
      </w:docPartObj>
    </w:sdtPr>
    <w:sdtEndPr>
      <w:rPr>
        <w:color w:val="7F7F7F" w:themeColor="background1" w:themeShade="7F"/>
        <w:spacing w:val="60"/>
      </w:rPr>
    </w:sdtEndPr>
    <w:sdtContent>
      <w:p w14:paraId="681CD113"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sidR="00F11C7E">
          <w:rPr>
            <w:b/>
            <w:bCs/>
          </w:rPr>
          <w:t xml:space="preserve"> </w:t>
        </w:r>
        <w:r w:rsidR="00F11C7E">
          <w:rPr>
            <w:b/>
            <w:bCs/>
          </w:rPr>
          <w:tab/>
        </w:r>
        <w:proofErr w:type="gramEnd"/>
      </w:p>
    </w:sdtContent>
  </w:sdt>
  <w:p w14:paraId="348DA330"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348651"/>
      <w:docPartObj>
        <w:docPartGallery w:val="Page Numbers (Bottom of Page)"/>
        <w:docPartUnique/>
      </w:docPartObj>
    </w:sdtPr>
    <w:sdtEndPr>
      <w:rPr>
        <w:color w:val="7F7F7F" w:themeColor="background1" w:themeShade="7F"/>
        <w:spacing w:val="60"/>
      </w:rPr>
    </w:sdtEndPr>
    <w:sdtContent>
      <w:p w14:paraId="5D5F4606" w14:textId="77777777"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0C1C1E">
          <w:rPr>
            <w:rFonts w:ascii="Book Antiqua" w:hAnsi="Book Antiqua"/>
            <w:b/>
            <w:color w:val="FFFFFF" w:themeColor="background1"/>
            <w:sz w:val="26"/>
            <w:szCs w:val="26"/>
            <w:highlight w:val="black"/>
            <w:shd w:val="clear" w:color="auto" w:fill="FFFFFF" w:themeFill="background1"/>
          </w:rPr>
          <w:fldChar w:fldCharType="begin"/>
        </w:r>
        <w:r w:rsidRPr="000C1C1E">
          <w:rPr>
            <w:rFonts w:ascii="Book Antiqua" w:hAnsi="Book Antiqua"/>
            <w:b/>
            <w:color w:val="FFFFFF" w:themeColor="background1"/>
            <w:sz w:val="26"/>
            <w:szCs w:val="26"/>
            <w:highlight w:val="black"/>
            <w:shd w:val="clear" w:color="auto" w:fill="FFFFFF" w:themeFill="background1"/>
          </w:rPr>
          <w:instrText xml:space="preserve"> PAGE   \* MERGEFORMAT </w:instrText>
        </w:r>
        <w:r w:rsidRPr="000C1C1E">
          <w:rPr>
            <w:rFonts w:ascii="Book Antiqua" w:hAnsi="Book Antiqua"/>
            <w:b/>
            <w:color w:val="FFFFFF" w:themeColor="background1"/>
            <w:sz w:val="26"/>
            <w:szCs w:val="26"/>
            <w:highlight w:val="black"/>
            <w:shd w:val="clear" w:color="auto" w:fill="FFFFFF" w:themeFill="background1"/>
          </w:rPr>
          <w:fldChar w:fldCharType="separate"/>
        </w:r>
        <w:r w:rsidR="003D5875" w:rsidRPr="003D5875">
          <w:rPr>
            <w:rFonts w:ascii="Book Antiqua" w:hAnsi="Book Antiqua"/>
            <w:b/>
            <w:bCs/>
            <w:noProof/>
            <w:color w:val="FFFFFF" w:themeColor="background1"/>
            <w:sz w:val="26"/>
            <w:szCs w:val="26"/>
            <w:highlight w:val="black"/>
            <w:shd w:val="clear" w:color="auto" w:fill="FFFFFF" w:themeFill="background1"/>
          </w:rPr>
          <w:t>1</w:t>
        </w:r>
        <w:r w:rsidRPr="000C1C1E">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B550DD">
          <w:rPr>
            <w:b/>
            <w:bCs/>
          </w:rPr>
          <w:tab/>
        </w:r>
        <w:r w:rsidR="00164B5C" w:rsidRPr="009807F2">
          <w:rPr>
            <w:rFonts w:ascii="Book Antiqua" w:hAnsi="Book Antiqua" w:cstheme="majorHAnsi"/>
            <w:color w:val="000000" w:themeColor="text1"/>
            <w:sz w:val="16"/>
            <w:szCs w:val="16"/>
          </w:rPr>
          <w:t xml:space="preserve">Sarah </w:t>
        </w:r>
        <w:proofErr w:type="spellStart"/>
        <w:r w:rsidR="00164B5C" w:rsidRPr="009807F2">
          <w:rPr>
            <w:rFonts w:ascii="Book Antiqua" w:hAnsi="Book Antiqua" w:cstheme="majorHAnsi"/>
            <w:color w:val="000000" w:themeColor="text1"/>
            <w:sz w:val="16"/>
            <w:szCs w:val="16"/>
          </w:rPr>
          <w:t>Selvina</w:t>
        </w:r>
        <w:proofErr w:type="spellEnd"/>
        <w:r w:rsidR="00164B5C" w:rsidRPr="009807F2">
          <w:rPr>
            <w:rFonts w:ascii="Book Antiqua" w:hAnsi="Book Antiqua"/>
            <w:sz w:val="16"/>
            <w:szCs w:val="16"/>
          </w:rPr>
          <w:t xml:space="preserve"> </w:t>
        </w:r>
        <w:proofErr w:type="spellStart"/>
        <w:r w:rsidR="00164B5C" w:rsidRPr="009807F2">
          <w:rPr>
            <w:rFonts w:ascii="Book Antiqua" w:hAnsi="Book Antiqua"/>
            <w:sz w:val="16"/>
            <w:szCs w:val="16"/>
          </w:rPr>
          <w:t>Kuahaty</w:t>
        </w:r>
        <w:proofErr w:type="spellEnd"/>
        <w:r w:rsidR="00164B5C" w:rsidRPr="009807F2">
          <w:rPr>
            <w:rFonts w:ascii="Book Antiqua" w:hAnsi="Book Antiqua" w:cstheme="majorHAnsi"/>
            <w:color w:val="000000" w:themeColor="text1"/>
            <w:sz w:val="16"/>
            <w:szCs w:val="16"/>
          </w:rPr>
          <w:t>,</w:t>
        </w:r>
        <w:r w:rsidR="00164B5C">
          <w:rPr>
            <w:rFonts w:ascii="Book Antiqua" w:hAnsi="Book Antiqua" w:cstheme="majorHAnsi"/>
            <w:color w:val="000000" w:themeColor="text1"/>
            <w:sz w:val="16"/>
            <w:szCs w:val="16"/>
          </w:rPr>
          <w:t xml:space="preserve"> </w:t>
        </w:r>
        <w:r w:rsidR="00164B5C" w:rsidRPr="009807F2">
          <w:rPr>
            <w:rFonts w:ascii="Book Antiqua" w:hAnsi="Book Antiqua" w:cstheme="majorHAnsi"/>
            <w:color w:val="000000" w:themeColor="text1"/>
            <w:sz w:val="16"/>
            <w:szCs w:val="16"/>
          </w:rPr>
          <w:t xml:space="preserve">Muchtar </w:t>
        </w:r>
        <w:proofErr w:type="spellStart"/>
        <w:r w:rsidR="00164B5C" w:rsidRPr="009807F2">
          <w:rPr>
            <w:rFonts w:ascii="Book Antiqua" w:hAnsi="Book Antiqua" w:cstheme="majorHAnsi"/>
            <w:color w:val="000000" w:themeColor="text1"/>
            <w:sz w:val="16"/>
            <w:szCs w:val="16"/>
          </w:rPr>
          <w:t>Anshary</w:t>
        </w:r>
        <w:proofErr w:type="spellEnd"/>
        <w:r w:rsidR="00164B5C" w:rsidRPr="009807F2">
          <w:rPr>
            <w:rFonts w:ascii="Book Antiqua" w:hAnsi="Book Antiqua" w:cstheme="majorHAnsi"/>
            <w:color w:val="000000" w:themeColor="text1"/>
            <w:sz w:val="16"/>
            <w:szCs w:val="16"/>
          </w:rPr>
          <w:t xml:space="preserve"> Hamid </w:t>
        </w:r>
        <w:proofErr w:type="spellStart"/>
        <w:r w:rsidR="00164B5C" w:rsidRPr="009807F2">
          <w:rPr>
            <w:rFonts w:ascii="Book Antiqua" w:hAnsi="Book Antiqua" w:cstheme="majorHAnsi"/>
            <w:color w:val="000000" w:themeColor="text1"/>
            <w:sz w:val="16"/>
            <w:szCs w:val="16"/>
          </w:rPr>
          <w:t>Labetubun</w:t>
        </w:r>
        <w:proofErr w:type="spellEnd"/>
        <w:r w:rsidR="00164B5C" w:rsidRPr="009807F2">
          <w:rPr>
            <w:rFonts w:ascii="Book Antiqua" w:hAnsi="Book Antiqua" w:cstheme="majorHAnsi"/>
            <w:color w:val="000000" w:themeColor="text1"/>
            <w:sz w:val="16"/>
            <w:szCs w:val="16"/>
          </w:rPr>
          <w:t xml:space="preserve">, and Rory Jeff </w:t>
        </w:r>
        <w:proofErr w:type="spellStart"/>
        <w:r w:rsidR="00164B5C" w:rsidRPr="009807F2">
          <w:rPr>
            <w:rFonts w:ascii="Book Antiqua" w:hAnsi="Book Antiqua" w:cstheme="majorHAnsi"/>
            <w:color w:val="000000" w:themeColor="text1"/>
            <w:sz w:val="16"/>
            <w:szCs w:val="16"/>
          </w:rPr>
          <w:t>Akyuwen</w:t>
        </w:r>
        <w:proofErr w:type="spellEnd"/>
        <w:r w:rsidR="00164B5C" w:rsidRPr="009807F2">
          <w:rPr>
            <w:rFonts w:ascii="Book Antiqua" w:hAnsi="Book Antiqua" w:cstheme="majorHAnsi"/>
            <w:color w:val="000000" w:themeColor="text1"/>
            <w:sz w:val="16"/>
            <w:szCs w:val="16"/>
          </w:rPr>
          <w:t>. “</w:t>
        </w:r>
        <w:r w:rsidR="00164B5C" w:rsidRPr="00164B5C">
          <w:rPr>
            <w:rFonts w:ascii="Book Antiqua" w:hAnsi="Book Antiqua"/>
            <w:i/>
            <w:noProof/>
            <w:sz w:val="16"/>
            <w:szCs w:val="16"/>
          </w:rPr>
          <w:t>A Legal Awareness of Copyright on Regional Song Creators</w:t>
        </w:r>
        <w:r w:rsidR="00B550DD">
          <w:rPr>
            <w:rFonts w:ascii="Book Antiqua" w:hAnsi="Book Antiqua"/>
            <w:bCs/>
            <w:sz w:val="16"/>
            <w:szCs w:val="16"/>
          </w:rPr>
          <w:t>”</w:t>
        </w:r>
      </w:p>
      <w:p w14:paraId="2B0E33A4"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r w:rsidR="0071563E" w:rsidRPr="00E54AD5">
          <w:rPr>
            <w:rFonts w:ascii="Book Antiqua" w:hAnsi="Book Antiqua"/>
            <w:i/>
            <w:color w:val="000000" w:themeColor="text1"/>
            <w:sz w:val="16"/>
            <w:szCs w:val="16"/>
          </w:rPr>
          <w:t>SASI</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71563E" w:rsidRPr="00E54AD5">
          <w:rPr>
            <w:rFonts w:ascii="Book Antiqua" w:hAnsi="Book Antiqua"/>
            <w:color w:val="000000" w:themeColor="text1"/>
            <w:sz w:val="16"/>
            <w:szCs w:val="16"/>
          </w:rPr>
          <w:t>3</w:t>
        </w:r>
        <w:r w:rsidR="00F2670C" w:rsidRPr="00E54AD5">
          <w:rPr>
            <w:rFonts w:ascii="Book Antiqua" w:hAnsi="Book Antiqua"/>
            <w:color w:val="000000" w:themeColor="text1"/>
            <w:sz w:val="16"/>
            <w:szCs w:val="16"/>
          </w:rPr>
          <w:t>0</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(1)</w:t>
        </w:r>
        <w:r w:rsidR="00716F9B" w:rsidRPr="00E54AD5">
          <w:rPr>
            <w:rFonts w:ascii="Book Antiqua" w:hAnsi="Book Antiqua"/>
            <w:color w:val="000000" w:themeColor="text1"/>
            <w:sz w:val="16"/>
            <w:szCs w:val="16"/>
          </w:rPr>
          <w:t xml:space="preserve"> </w:t>
        </w:r>
        <w:r w:rsidR="00D016C2">
          <w:rPr>
            <w:rFonts w:ascii="Book Antiqua" w:hAnsi="Book Antiqua"/>
            <w:color w:val="000000" w:themeColor="text1"/>
            <w:sz w:val="16"/>
            <w:szCs w:val="16"/>
          </w:rPr>
          <w:t xml:space="preserve">March </w:t>
        </w:r>
        <w:r w:rsidR="00716F9B" w:rsidRPr="00E54AD5">
          <w:rPr>
            <w:rFonts w:ascii="Book Antiqua" w:hAnsi="Book Antiqua"/>
            <w:color w:val="000000" w:themeColor="text1"/>
            <w:sz w:val="16"/>
            <w:szCs w:val="16"/>
          </w:rPr>
          <w:t>2024</w:t>
        </w:r>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lang w:val="id-ID"/>
          </w:rPr>
          <w:t>-</w:t>
        </w:r>
        <w:r w:rsidR="00D016C2">
          <w:rPr>
            <w:rFonts w:ascii="Book Antiqua" w:hAnsi="Book Antiqua"/>
            <w:color w:val="000000" w:themeColor="text1"/>
            <w:sz w:val="16"/>
            <w:szCs w:val="16"/>
          </w:rPr>
          <w:t xml:space="preserve"> </w:t>
        </w:r>
        <w:r w:rsidR="00F2670C" w:rsidRPr="00E54AD5">
          <w:rPr>
            <w:rFonts w:ascii="Book Antiqua" w:hAnsi="Book Antiqua"/>
            <w:color w:val="000000" w:themeColor="text1"/>
            <w:sz w:val="16"/>
            <w:szCs w:val="16"/>
          </w:rPr>
          <w:t>XX</w:t>
        </w:r>
      </w:p>
      <w:p w14:paraId="5ADFDDCA" w14:textId="77777777" w:rsidR="0071563E" w:rsidRPr="00E54AD5"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E54AD5">
          <w:rPr>
            <w:rFonts w:ascii="Book Antiqua" w:hAnsi="Book Antiqua"/>
            <w:color w:val="000000" w:themeColor="text1"/>
            <w:sz w:val="16"/>
            <w:szCs w:val="16"/>
            <w:lang w:val="id-ID"/>
          </w:rPr>
          <w:t>P-ISSN: 1693-0061, E-ISSN: 2614-2961</w:t>
        </w:r>
      </w:p>
      <w:p w14:paraId="594C6599" w14:textId="77777777" w:rsidR="00D016C2" w:rsidRDefault="0071563E"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sidR="00243F40">
          <w:rPr>
            <w:rFonts w:ascii="Book Antiqua" w:hAnsi="Book Antiqua"/>
            <w:sz w:val="16"/>
          </w:rPr>
          <w:t>:</w:t>
        </w:r>
        <w:r w:rsidRPr="00E54AD5">
          <w:rPr>
            <w:rFonts w:ascii="Book Antiqua" w:hAnsi="Book Antiqua"/>
            <w:sz w:val="16"/>
          </w:rPr>
          <w:t xml:space="preserve"> Faculty of Law </w:t>
        </w:r>
        <w:r w:rsidR="00164B5C">
          <w:rPr>
            <w:rFonts w:ascii="Book Antiqua" w:hAnsi="Book Antiqua"/>
            <w:sz w:val="16"/>
          </w:rPr>
          <w:t xml:space="preserve">Universitas </w:t>
        </w:r>
        <w:proofErr w:type="spellStart"/>
        <w:r w:rsidR="00164B5C">
          <w:rPr>
            <w:rFonts w:ascii="Book Antiqua" w:hAnsi="Book Antiqua"/>
            <w:sz w:val="16"/>
          </w:rPr>
          <w:t>Pattimura</w:t>
        </w:r>
        <w:proofErr w:type="spellEnd"/>
      </w:p>
      <w:p w14:paraId="62E288E7" w14:textId="77777777" w:rsidR="004B3AE2" w:rsidRPr="00D016C2" w:rsidRDefault="00000000" w:rsidP="00D016C2">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4068"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3BB9ACC6"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5D25FD59"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7092" w14:textId="77777777" w:rsidR="008D4B2F" w:rsidRDefault="008D4B2F" w:rsidP="00934130">
      <w:pPr>
        <w:spacing w:after="0" w:line="240" w:lineRule="auto"/>
      </w:pPr>
      <w:r>
        <w:separator/>
      </w:r>
    </w:p>
  </w:footnote>
  <w:footnote w:type="continuationSeparator" w:id="0">
    <w:p w14:paraId="79F64269" w14:textId="77777777" w:rsidR="008D4B2F" w:rsidRDefault="008D4B2F" w:rsidP="00934130">
      <w:pPr>
        <w:spacing w:after="0" w:line="240" w:lineRule="auto"/>
      </w:pPr>
      <w:r>
        <w:continuationSeparator/>
      </w:r>
    </w:p>
  </w:footnote>
  <w:footnote w:id="1">
    <w:p w14:paraId="03BC2A41" w14:textId="7E5E11E1" w:rsidR="006311CB" w:rsidRDefault="006311CB">
      <w:pPr>
        <w:pStyle w:val="FootnoteText"/>
      </w:pPr>
      <w:r>
        <w:rPr>
          <w:rStyle w:val="FootnoteReference"/>
        </w:rPr>
        <w:footnoteRef/>
      </w:r>
      <w:r>
        <w:t xml:space="preserve"> </w:t>
      </w:r>
      <w:r>
        <w:fldChar w:fldCharType="begin" w:fldLock="1"/>
      </w:r>
      <w:r>
        <w:instrText>ADDIN CSL_CITATION {"citationItems":[{"id":"ITEM-1","itemData":{"DOI":"10.33102/jqss.vol6no1.154","ISSN":"2590-3799","abstract":"Islam is universal, Rabbani and perfect came to fill all areas of human life with its laws and teachings. All matters in the affairs of religion and the world are clearly explained either in a general or a detailed method. Islamic laws are higher than any rules and laws of human creation include criminal law. Islam views crime as an offence that should be punished because it violates the rights of God and human rights. Islam values ​​the glory of religion, life, intellect, property and dignity. Criminal offences in Islam need to examine properly. However, criminal offences are not specifically done by typical offenders but also against disabled offenders. Criminal jurisprudence prescribes appropriate punishment for offenders so that justice can be upheld without compromise. Although there is a lot of discussion in civil law regarding the criminal offenses of the disabled, it is given less attention in the discussion of Islamic law. Therefore, this article will analyse a book entitled Fiqh Jinayah of People with Disabilities. This book discusses the issue of crimes committed by the disabled person according to the Islamic perspective based on the actual situation in Malaysia followed by the history of the disabled in Islam. Hence, this book had discussed in detail the forms of criminal punishment and Islamic law against the disabled. This study aims to change the perspectives of some communities about this community. Therefore, it also can open the eyes of the community to how Islam is very kind and caring for the disabled community. Abstrak Islam adalah bersifat sejagat, Rabbani dan sempurna yang datang bagi memenuhi segala lapangan kehidupan manusia dengan hukum dan pengajaranya. Setiap perkara dalam urusan dunia dan agama diterangkan dengan jelas sama ada dalam kaedah yang umum atau hukm juz’i yang tafsil. Peraturan Islam bersifat lebih tinggi daripada peraturan dan undang-undang ciptaan manusia. Hal ini turut merangkumi hukum jenayah. Islam memandang jenayah sebagai satu kesalahan yang harus dihukum kerana ia melanggar hak Allah dan hak manusia. Memandang tinggi kemuliaan agama, nyawa, akal, harta dan maruah dengan meneliti kesalahan jenayah yang dilakukan adalah merupakan tujuan undang-undang Islam. Kesalahan jenayah ini bukan sahaja melibatkan golongan tipikal bahkan juga melibatkan Orang Kurang Upaya (OKU). Fiqh jenayah menetapkan hukuman setimpal bagi pesalah supaya keadilan dapat ditegakkan. Walaupun terdapat banyak perbincangan dalam undang-und…","author":[{"dropping-particle":"","family":"Razali","given":"Anisah","non-dropping-particle":"","parse-names":false,"suffix":""},{"dropping-particle":"","family":"Ja'afar","given":"Noornajihan","non-dropping-particle":"","parse-names":false,"suffix":""}],"container-title":"Journal of Quran Sunnah Education \\&amp;amp; Special Needs","id":"ITEM-1","issue":"1","issued":{"date-parts":[["2022"]]},"note":"Query date: 2024-12-20 14:52:27","page":"121-125","publisher":"Universiti Sains Islam Malaysia","title":"Tinjauan Buku Fiqh Jenayah Orang Kelainan Upaya","type":"article-journal","volume":"6"},"uris":["http://www.mendeley.com/documents/?uuid=6483ae4d-532d-4283-9171-1359f671e1a9"]}],"mendeley":{"formattedCitation":"Anisah Razali and Noornajihan Ja’afar, “Tinjauan Buku Fiqh Jenayah Orang Kelainan Upaya,” &lt;i&gt;Journal of Quran Sunnah Education \\&amp;amp; Special Needs&lt;/i&gt; 6, no. 1 (2022): 121–25, https://doi.org/10.33102/jqss.vol6no1.154.","plainTextFormattedCitation":"Anisah Razali and Noornajihan Ja’afar, “Tinjauan Buku Fiqh Jenayah Orang Kelainan Upaya,” Journal of Quran Sunnah Education \\&amp;amp; Special Needs 6, no. 1 (2022): 121–25, https://doi.org/10.33102/jqss.vol6no1.154.","previouslyFormattedCitation":"Anisah Razali and Noornajihan Ja’afar, “Tinjauan Buku Fiqh Jenayah Orang Kelainan Upaya,” &lt;i&gt;Journal of Quran Sunnah Education \\&amp;amp; Special Needs&lt;/i&gt; 6, no. 1 (2022): 121–25, https://doi.org/10.33102/jqss.vol6no1.154."},"properties":{"noteIndex":1},"schema":"https://github.com/citation-style-language/schema/raw/master/csl-citation.json"}</w:instrText>
      </w:r>
      <w:r>
        <w:fldChar w:fldCharType="separate"/>
      </w:r>
      <w:r w:rsidRPr="006311CB">
        <w:rPr>
          <w:noProof/>
        </w:rPr>
        <w:t xml:space="preserve">Anisah Razali and Noornajihan Ja’afar, “Tinjauan Buku Fiqh Jenayah Orang Kelainan Upaya,” </w:t>
      </w:r>
      <w:r w:rsidRPr="006311CB">
        <w:rPr>
          <w:i/>
          <w:noProof/>
        </w:rPr>
        <w:t>Journal of Quran Sunnah Education \&amp;amp; Special Needs</w:t>
      </w:r>
      <w:r w:rsidRPr="006311CB">
        <w:rPr>
          <w:noProof/>
        </w:rPr>
        <w:t xml:space="preserve"> 6, no. 1 (2022): 121–25, https://doi.org/10.33102/jqss.vol6no1.154.</w:t>
      </w:r>
      <w:r>
        <w:fldChar w:fldCharType="end"/>
      </w:r>
    </w:p>
  </w:footnote>
  <w:footnote w:id="2">
    <w:p w14:paraId="752CCCE5" w14:textId="6BDE5AEC" w:rsidR="006311CB" w:rsidRDefault="006311CB">
      <w:pPr>
        <w:pStyle w:val="FootnoteText"/>
      </w:pPr>
      <w:r>
        <w:rPr>
          <w:rStyle w:val="FootnoteReference"/>
        </w:rPr>
        <w:footnoteRef/>
      </w:r>
      <w:r>
        <w:t xml:space="preserve"> </w:t>
      </w:r>
      <w:r>
        <w:fldChar w:fldCharType="begin" w:fldLock="1"/>
      </w:r>
      <w:r>
        <w:instrText>ADDIN CSL_CITATION {"citationItems":[{"id":"ITEM-1","itemData":{"DOI":"10.35878/santri.v4i1.810","ISSN":"2722-8223","abstract":"This paper is the result of research on interpreting universal values ​​of Pancasila according to the paradigm of fiqh sosial. This research is a qualitative research. This research uses a descriptive method. The Fiqh Sosial paradigm refers to the thoughts of Kiai Sahal Mahfudh who believes that the purpose of human existence in this world is to get happiness in the world and heaven. This goal will be achieved if humans do not separate the implementation of the two functions. Namely the function ibadatullah and fungsi imaratul ardli. The first precept of Pancasila which contains religious values ​​is a function of ibadatullah which will always be connected with the other four precepts. The first precept of Pancasila, which is the spirit of the other precepts, also shows the compatibility of understanding that the function of ibadatullah is the basis for the important task of humans in caring for the universe (imaratul ardli). This study aims to provide insight to the public about the paradigm of social fiqh in interpreting the universal values of Pancasila.","author":[{"dropping-particle":"","family":"Janah","given":"Tutik Nurul","non-dropping-particle":"","parse-names":false,"suffix":""},{"dropping-particle":"","family":"Ami'in","given":"Siti Nur","non-dropping-particle":"","parse-names":false,"suffix":""}],"container-title":"Santri: Journal of Pesantren and Fiqh Sosial","id":"ITEM-1","issue":"1","issued":{"date-parts":[["2023"]]},"note":"Query date: 2024-12-20 14:52:27","page":"83-100","publisher":"Institut Pesantren Mathali ul Falah","title":"Fiqh Sosial Paradigm for Understanding Universal Values of Pancasila","type":"article-journal","volume":"4"},"uris":["http://www.mendeley.com/documents/?uuid=1e55480b-6256-4d05-b010-41efe637d3b8"]}],"mendeley":{"formattedCitation":"Tutik Nurul Janah and Siti Nur Ami’in, “Fiqh Sosial Paradigm for Understanding Universal Values of Pancasila,” &lt;i&gt;Santri: Journal of Pesantren and Fiqh Sosial&lt;/i&gt; 4, no. 1 (2023): 83–100, https://doi.org/10.35878/santri.v4i1.810.","plainTextFormattedCitation":"Tutik Nurul Janah and Siti Nur Ami’in, “Fiqh Sosial Paradigm for Understanding Universal Values of Pancasila,” Santri: Journal of Pesantren and Fiqh Sosial 4, no. 1 (2023): 83–100, https://doi.org/10.35878/santri.v4i1.810.","previouslyFormattedCitation":"Tutik Nurul Janah and Siti Nur Ami’in, “Fiqh Sosial Paradigm for Understanding Universal Values of Pancasila,” &lt;i&gt;Santri: Journal of Pesantren and Fiqh Sosial&lt;/i&gt; 4, no. 1 (2023): 83–100, https://doi.org/10.35878/santri.v4i1.810."},"properties":{"noteIndex":2},"schema":"https://github.com/citation-style-language/schema/raw/master/csl-citation.json"}</w:instrText>
      </w:r>
      <w:r>
        <w:fldChar w:fldCharType="separate"/>
      </w:r>
      <w:r w:rsidRPr="006311CB">
        <w:rPr>
          <w:noProof/>
        </w:rPr>
        <w:t xml:space="preserve">Tutik Nurul Janah and Siti Nur Ami’in, “Fiqh Sosial Paradigm for Understanding Universal Values of Pancasila,” </w:t>
      </w:r>
      <w:r w:rsidRPr="006311CB">
        <w:rPr>
          <w:i/>
          <w:noProof/>
        </w:rPr>
        <w:t>Santri: Journal of Pesantren and Fiqh Sosial</w:t>
      </w:r>
      <w:r w:rsidRPr="006311CB">
        <w:rPr>
          <w:noProof/>
        </w:rPr>
        <w:t xml:space="preserve"> 4, no. 1 (2023): 83–100, https://doi.org/10.35878/santri.v4i1.810.</w:t>
      </w:r>
      <w:r>
        <w:fldChar w:fldCharType="end"/>
      </w:r>
    </w:p>
  </w:footnote>
  <w:footnote w:id="3">
    <w:p w14:paraId="0686512C" w14:textId="5AB914A6" w:rsidR="006311CB" w:rsidRDefault="006311CB">
      <w:pPr>
        <w:pStyle w:val="FootnoteText"/>
      </w:pPr>
      <w:r>
        <w:rPr>
          <w:rStyle w:val="FootnoteReference"/>
        </w:rPr>
        <w:footnoteRef/>
      </w:r>
      <w:r>
        <w:t xml:space="preserve"> </w:t>
      </w:r>
      <w:r>
        <w:fldChar w:fldCharType="begin" w:fldLock="1"/>
      </w:r>
      <w:r>
        <w:instrText>ADDIN CSL_CITATION {"citationItems":[{"id":"ITEM-1","itemData":{"DOI":"10.35542/osf.io/n9fbe","abstract":"&lt;p&gt;Riset ini bertujuan mendapatkan desain program pembelajaran untuk membimbing siswa pondok pesantren dalam mencapai literasi finansial melalui pembelajaran fiqh mu'āmalāt berbasis kitab kuning. Kami menggunakan pendekatan R\\&amp;amp;amp;D model 4D yang direduksi menjadi tiga tahap: mendefinisikan, merancang, dan mengembangkan. Diperoleh hasil berupa silabus yang dilengkapi oleh rencana pembelajaran, lembar kerja siswa, dan instrumen penilaian, yang divalidasi oleh para pakar dan praktisi serta keandalan dihitung berdasarkan uji coba.&lt;/p&gt;","author":[{"dropping-particle":"","family":"Setiawan","given":"Adib Rifqi","non-dropping-particle":"","parse-names":false,"suffix":""}],"id":"ITEM-1","issued":{"date-parts":[["2020"]]},"note":"Query date: 2024-12-20 14:52:27","publisher":"Center for Open Science","title":"Mencapai Literasi Finansial Melalui Pembelajaran Fiqh Mu’āmalāt Berbasis Kitab Kuning","type":"book"},"uris":["http://www.mendeley.com/documents/?uuid=e971b164-133b-455e-9d03-db9c8c4f7c60"]}],"mendeley":{"formattedCitation":"Adib Rifqi Setiawan, &lt;i&gt;Mencapai Literasi Finansial Melalui Pembelajaran Fiqh Mu’āmalāt Berbasis Kitab Kuning&lt;/i&gt; (Center for Open Science, 2020), https://doi.org/10.35542/osf.io/n9fbe.","plainTextFormattedCitation":"Adib Rifqi Setiawan, Mencapai Literasi Finansial Melalui Pembelajaran Fiqh Mu’āmalāt Berbasis Kitab Kuning (Center for Open Science, 2020), https://doi.org/10.35542/osf.io/n9fbe.","previouslyFormattedCitation":"Adib Rifqi Setiawan, &lt;i&gt;Mencapai Literasi Finansial Melalui Pembelajaran Fiqh Mu’āmalāt Berbasis Kitab Kuning&lt;/i&gt; (Center for Open Science, 2020), https://doi.org/10.35542/osf.io/n9fbe."},"properties":{"noteIndex":3},"schema":"https://github.com/citation-style-language/schema/raw/master/csl-citation.json"}</w:instrText>
      </w:r>
      <w:r>
        <w:fldChar w:fldCharType="separate"/>
      </w:r>
      <w:r w:rsidRPr="006311CB">
        <w:rPr>
          <w:noProof/>
        </w:rPr>
        <w:t xml:space="preserve">Adib Rifqi Setiawan, </w:t>
      </w:r>
      <w:r w:rsidRPr="006311CB">
        <w:rPr>
          <w:i/>
          <w:noProof/>
        </w:rPr>
        <w:t>Mencapai Literasi Finansial Melalui Pembelajaran Fiqh Mu’āmalāt Berbasis Kitab Kuning</w:t>
      </w:r>
      <w:r w:rsidRPr="006311CB">
        <w:rPr>
          <w:noProof/>
        </w:rPr>
        <w:t xml:space="preserve"> (Center for Open Science, 2020), https://doi.org/10.35542/osf.io/n9fbe.</w:t>
      </w:r>
      <w:r>
        <w:fldChar w:fldCharType="end"/>
      </w:r>
    </w:p>
  </w:footnote>
  <w:footnote w:id="4">
    <w:p w14:paraId="57A505B9" w14:textId="6AB5CF62" w:rsidR="006311CB" w:rsidRDefault="006311CB">
      <w:pPr>
        <w:pStyle w:val="FootnoteText"/>
      </w:pPr>
      <w:r>
        <w:rPr>
          <w:rStyle w:val="FootnoteReference"/>
        </w:rPr>
        <w:footnoteRef/>
      </w:r>
      <w:r>
        <w:t xml:space="preserve"> </w:t>
      </w:r>
      <w:r>
        <w:fldChar w:fldCharType="begin" w:fldLock="1"/>
      </w:r>
      <w:r>
        <w:instrText>ADDIN CSL_CITATION {"citationItems":[{"id":"ITEM-1","itemData":{"DOI":"10.35878/santri.v2i1.280","ISSN":"2722-8223","abstract":"There is an interesting phenomenon that occurs in the Village of Tunahan, Keling, Jepara is a collaboration carried out by interfaith communities in building houses of worship. This phenomenon is very interesting to study using the point of view of Fiqh Sosial in accordance with the spirit of maqashid sharia and the benefit it carries in its methodology. This research is a qualitative research that leads to the study of a natural case that occurs in the community, namely the cooperation in the construction of places of worship between religions which is carried out alternately, the results of this research are carried out descriptively verification. From the results of the analysis carried out, this study produces several conclusions. First, the cooperation in building houses of worship between religions in Tunahan Village is a manifestation of human manifestation as social beings who have a natural need for each other. Second, in the concept of Fiqh Sosial, cooperation in the construction of places of worship between religions in Tunahan Village is a form of the implementation of human duties to prosper the earth which is oriented towards harmony and brotherhood so as to increase better religious activities. Third, seeing the many cases of religious intolerance that still occur in this country, religious harmony is one of the basic human needs (dharuriyyah) that must be realized through various actions.","author":[{"dropping-particle":"","family":"Solihin","given":"Khabib","non-dropping-particle":"","parse-names":false,"suffix":""},{"dropping-particle":"","family":"Asiyah","given":"Siti","non-dropping-particle":"","parse-names":false,"suffix":""}],"container-title":"Santri: Journal of Pesantren and Fiqh Sosial","id":"ITEM-1","issue":"1","issued":{"date-parts":[["2021"]]},"note":"Query date: 2024-12-20 14:52:27","page":"49-64","publisher":"Institut Pesantren Mathali ul Falah","title":"Views of Fiqh Sosial on Cooperation in the Construction of Inter-Religious Houses of Worship","type":"article-journal","volume":"2"},"uris":["http://www.mendeley.com/documents/?uuid=850d3a27-a9c2-488c-8bc3-d0e8a4e1480c"]}],"mendeley":{"formattedCitation":"Khabib Solihin and Siti Asiyah, “Views of Fiqh Sosial on Cooperation in the Construction of Inter-Religious Houses of Worship,” &lt;i&gt;Santri: Journal of Pesantren and Fiqh Sosial&lt;/i&gt; 2, no. 1 (2021): 49–64, https://doi.org/10.35878/santri.v2i1.280.","plainTextFormattedCitation":"Khabib Solihin and Siti Asiyah, “Views of Fiqh Sosial on Cooperation in the Construction of Inter-Religious Houses of Worship,” Santri: Journal of Pesantren and Fiqh Sosial 2, no. 1 (2021): 49–64, https://doi.org/10.35878/santri.v2i1.280.","previouslyFormattedCitation":"Khabib Solihin and Siti Asiyah, “Views of Fiqh Sosial on Cooperation in the Construction of Inter-Religious Houses of Worship,” &lt;i&gt;Santri: Journal of Pesantren and Fiqh Sosial&lt;/i&gt; 2, no. 1 (2021): 49–64, https://doi.org/10.35878/santri.v2i1.280."},"properties":{"noteIndex":4},"schema":"https://github.com/citation-style-language/schema/raw/master/csl-citation.json"}</w:instrText>
      </w:r>
      <w:r>
        <w:fldChar w:fldCharType="separate"/>
      </w:r>
      <w:r w:rsidRPr="006311CB">
        <w:rPr>
          <w:noProof/>
        </w:rPr>
        <w:t xml:space="preserve">Khabib Solihin and Siti Asiyah, “Views of Fiqh Sosial on Cooperation in the Construction of Inter-Religious Houses of Worship,” </w:t>
      </w:r>
      <w:r w:rsidRPr="006311CB">
        <w:rPr>
          <w:i/>
          <w:noProof/>
        </w:rPr>
        <w:t>Santri: Journal of Pesantren and Fiqh Sosial</w:t>
      </w:r>
      <w:r w:rsidRPr="006311CB">
        <w:rPr>
          <w:noProof/>
        </w:rPr>
        <w:t xml:space="preserve"> 2, no. 1 (2021): 49–64, https://doi.org/10.35878/santri.v2i1.280.</w:t>
      </w:r>
      <w:r>
        <w:fldChar w:fldCharType="end"/>
      </w:r>
    </w:p>
  </w:footnote>
  <w:footnote w:id="5">
    <w:p w14:paraId="76E55EE7" w14:textId="5243558C" w:rsidR="006311CB" w:rsidRDefault="006311CB">
      <w:pPr>
        <w:pStyle w:val="FootnoteText"/>
      </w:pPr>
      <w:r>
        <w:rPr>
          <w:rStyle w:val="FootnoteReference"/>
        </w:rPr>
        <w:footnoteRef/>
      </w:r>
      <w:r>
        <w:t xml:space="preserve"> </w:t>
      </w:r>
      <w:r>
        <w:fldChar w:fldCharType="begin" w:fldLock="1"/>
      </w:r>
      <w:r>
        <w:instrText>ADDIN CSL_CITATION {"citationItems":[{"id":"ITEM-1","itemData":{"DOI":"10.31237/osf.io/yuja3","abstract":"&lt;p&gt;Tujuan dari riset tipe cross-sectional survey ini ialah untuk menemukan keabsahan dan keandalan instrumen penilaian literasi finansial melalui pembelajaran fiqh mu’āmalāt untuk tingkat pendidikan menengah. Keabsahan diungkap berdasarkan penilaian pakar dan keandalan diukur menggunakan konsistensi internal. Diperoleh bahwa keabsahan 7 butir soal memenuhi kriteria sangat layak dan 5 butir soal memenuhi kriteria cukup layak dengan nilai keandalan sebesar 0,763. Temuan ini menunjukkan bahwa instrumen penilaian dapat digunakan untuk menganalisis kesulitan pelajar sebagai bahan merancang rencana pendidikan literasi finansial melalui pembelajaran fiqh mu’āmalāt berorientasi.&lt;/p&gt;","author":[{"dropping-particle":"","family":"Setiawan","given":"Adib Rifqi","non-dropping-particle":"","parse-names":false,"suffix":""}],"id":"ITEM-1","issued":{"date-parts":[["2022"]]},"note":"Query date: 2024-12-20 14:52:27","publisher":"Center for Open Science","title":"Instrumen Penilaian Literasi Finansial melalui Pembelajaran Fiqh Mu’āmalāt","type":"book"},"uris":["http://www.mendeley.com/documents/?uuid=64dadc64-0f46-4cda-a27b-9de8c9c78649"]}],"mendeley":{"formattedCitation":"Adib Rifqi Setiawan, &lt;i&gt;Instrumen Penilaian Literasi Finansial Melalui Pembelajaran Fiqh Mu’āmalāt&lt;/i&gt; (Center for Open Science, 2022), https://doi.org/10.31237/osf.io/yuja3.","plainTextFormattedCitation":"Adib Rifqi Setiawan, Instrumen Penilaian Literasi Finansial Melalui Pembelajaran Fiqh Mu’āmalāt (Center for Open Science, 2022), https://doi.org/10.31237/osf.io/yuja3.","previouslyFormattedCitation":"Adib Rifqi Setiawan, &lt;i&gt;Instrumen Penilaian Literasi Finansial Melalui Pembelajaran Fiqh Mu’āmalāt&lt;/i&gt; (Center for Open Science, 2022), https://doi.org/10.31237/osf.io/yuja3."},"properties":{"noteIndex":5},"schema":"https://github.com/citation-style-language/schema/raw/master/csl-citation.json"}</w:instrText>
      </w:r>
      <w:r>
        <w:fldChar w:fldCharType="separate"/>
      </w:r>
      <w:r w:rsidRPr="006311CB">
        <w:rPr>
          <w:noProof/>
        </w:rPr>
        <w:t xml:space="preserve">Adib Rifqi Setiawan, </w:t>
      </w:r>
      <w:r w:rsidRPr="006311CB">
        <w:rPr>
          <w:i/>
          <w:noProof/>
        </w:rPr>
        <w:t>Instrumen Penilaian Literasi Finansial Melalui Pembelajaran Fiqh Mu’āmalāt</w:t>
      </w:r>
      <w:r w:rsidRPr="006311CB">
        <w:rPr>
          <w:noProof/>
        </w:rPr>
        <w:t xml:space="preserve"> (Center for Open Science, 2022), https://doi.org/10.31237/osf.io/yuja3.</w:t>
      </w:r>
      <w:r>
        <w:fldChar w:fldCharType="end"/>
      </w:r>
    </w:p>
  </w:footnote>
  <w:footnote w:id="6">
    <w:p w14:paraId="330BD7CA" w14:textId="0F929890" w:rsidR="006311CB" w:rsidRDefault="006311CB">
      <w:pPr>
        <w:pStyle w:val="FootnoteText"/>
      </w:pPr>
      <w:r>
        <w:rPr>
          <w:rStyle w:val="FootnoteReference"/>
        </w:rPr>
        <w:footnoteRef/>
      </w:r>
      <w:r>
        <w:t xml:space="preserve"> </w:t>
      </w:r>
      <w:r>
        <w:fldChar w:fldCharType="begin" w:fldLock="1"/>
      </w:r>
      <w:r>
        <w:instrText>ADDIN CSL_CITATION {"citationItems":[{"id":"ITEM-1","itemData":{"DOI":"10.22452/jier.vol8no2022.2","ISSN":"0128-2069","abstract":"The Covid-19 pandemic has forced the world of education to take place virtually or entirely online. This situation demands the adaptation of teaching and learning activities to appropriate and effective methods. This article aims to discuss e-portfolio as a method of student-centered learning and assessment. Its application is discussed based on the authors’ experience in teaching Fiqh al-Jinayat and Fiqh al-Muamalat, both subjects offered at the Bachelor level at the Academy of Islamic Studies, University of Malaya. The study also aims to analyze the acceptance of students of both courses towards e-portfolio assignments. This study employs qualitative approach and data were obtained from students’ reported reflections and feedbacks in their e-portfolios. Data were analyzed thematically, and subsequent validation of findings was made using the method, time, and person triangulation. This study finds that students’ acceptance of e-portfolio assignments as a self-learning method and student-centered assessment method was positive. These findings are in line with the theory and result of previous literature. Thus, it is imperative to expand e-portfolio assignments in higher learning institutions with appropriate adjustments based on the goals and needs of the subjects offered. Its implementation is suitable not only in virtual learning mode but also in blended and hybrid learning mode.","author":[{"dropping-particle":"","family":"Khalil","given":"Shahidra Abdul","non-dropping-particle":"","parse-names":false,"suffix":""},{"dropping-particle":"","family":"(Author)","given":"Nor Fahimah Mohd Razif","non-dropping-particle":"","parse-names":false,"suffix":""}],"container-title":"Journal of Islamic Education","id":"ITEM-1","issue":"2022","issued":{"date-parts":[["2022"]]},"note":"Query date: 2024-12-20 14:52:27","page":"13-24","publisher":"Univ. of Malaya","title":"Pembelajaran dan Penilaian Menggunakan E-Portfolio: Kajian Terhadap Penerimaan Pelajar Fiqh al-Jinayat dan Fiqh al-Muamalat Learning and Assessment Using E-Portfolio: A Study on Students Acceptance in the Courses of Fiqh al-Jinayat and Fiqh al-Muamalat","type":"article-journal","volume":"8"},"uris":["http://www.mendeley.com/documents/?uuid=98cb39ed-446d-409c-8c16-31885397c35a"]}],"mendeley":{"formattedCitation":"Shahidra Abdul Khalil and Nor Fahimah Mohd Razif (Author), “Pembelajaran Dan Penilaian Menggunakan E-Portfolio: Kajian Terhadap Penerimaan Pelajar Fiqh Al-Jinayat Dan Fiqh Al-Muamalat Learning and Assessment Using E-Portfolio: A Study on Students Acceptance in the Courses of Fiqh Al-Jinayat and Fiqh Al-Muamalat,” &lt;i&gt;Journal of Islamic Education&lt;/i&gt; 8, no. 2022 (2022): 13–24, https://doi.org/10.22452/jier.vol8no2022.2.","plainTextFormattedCitation":"Shahidra Abdul Khalil and Nor Fahimah Mohd Razif (Author), “Pembelajaran Dan Penilaian Menggunakan E-Portfolio: Kajian Terhadap Penerimaan Pelajar Fiqh Al-Jinayat Dan Fiqh Al-Muamalat Learning and Assessment Using E-Portfolio: A Study on Students Acceptance in the Courses of Fiqh Al-Jinayat and Fiqh Al-Muamalat,” Journal of Islamic Education 8, no. 2022 (2022): 13–24, https://doi.org/10.22452/jier.vol8no2022.2.","previouslyFormattedCitation":"Shahidra Abdul Khalil and Nor Fahimah Mohd Razif (Author), “Pembelajaran Dan Penilaian Menggunakan E-Portfolio: Kajian Terhadap Penerimaan Pelajar Fiqh Al-Jinayat Dan Fiqh Al-Muamalat Learning and Assessment Using E-Portfolio: A Study on Students Acceptance in the Courses of Fiqh Al-Jinayat and Fiqh Al-Muamalat,” &lt;i&gt;Journal of Islamic Education&lt;/i&gt; 8, no. 2022 (2022): 13–24, https://doi.org/10.22452/jier.vol8no2022.2."},"properties":{"noteIndex":6},"schema":"https://github.com/citation-style-language/schema/raw/master/csl-citation.json"}</w:instrText>
      </w:r>
      <w:r>
        <w:fldChar w:fldCharType="separate"/>
      </w:r>
      <w:r w:rsidRPr="006311CB">
        <w:rPr>
          <w:noProof/>
        </w:rPr>
        <w:t xml:space="preserve">Shahidra Abdul Khalil and Nor Fahimah Mohd Razif (Author), “Pembelajaran Dan Penilaian Menggunakan E-Portfolio: Kajian Terhadap Penerimaan Pelajar Fiqh Al-Jinayat Dan Fiqh Al-Muamalat Learning and Assessment Using E-Portfolio: A Study on Students Acceptance in the Courses of Fiqh Al-Jinayat and Fiqh Al-Muamalat,” </w:t>
      </w:r>
      <w:r w:rsidRPr="006311CB">
        <w:rPr>
          <w:i/>
          <w:noProof/>
        </w:rPr>
        <w:t>Journal of Islamic Education</w:t>
      </w:r>
      <w:r w:rsidRPr="006311CB">
        <w:rPr>
          <w:noProof/>
        </w:rPr>
        <w:t xml:space="preserve"> 8, no. 2022 (2022): 13–24, https://doi.org/10.22452/jier.vol8no2022.2.</w:t>
      </w:r>
      <w:r>
        <w:fldChar w:fldCharType="end"/>
      </w:r>
    </w:p>
  </w:footnote>
  <w:footnote w:id="7">
    <w:p w14:paraId="41B8FC01" w14:textId="51C392AD" w:rsidR="006311CB" w:rsidRDefault="006311CB">
      <w:pPr>
        <w:pStyle w:val="FootnoteText"/>
      </w:pPr>
      <w:r>
        <w:rPr>
          <w:rStyle w:val="FootnoteReference"/>
        </w:rPr>
        <w:footnoteRef/>
      </w:r>
      <w:r>
        <w:t xml:space="preserve"> </w:t>
      </w:r>
      <w:r>
        <w:fldChar w:fldCharType="begin" w:fldLock="1"/>
      </w:r>
      <w:r>
        <w:instrText>ADDIN CSL_CITATION {"citationItems":[{"id":"ITEM-1","itemData":{"DOI":"10.30631/nf.v14i2.1307","ISSN":"2964-6189","abstract":"Marriage in Islam is an agreement that binds two people, namely a man and a woman, both parties have fulfilled the prerequisites according to applicable regulations based on willingness and preference to live together in a family, to receive peace and happiness both physically and spiritually. Islam has regulated legal and lawful biological relationships through marriage, but deviations can still occur, whether in the form of adultery, homosexuals, lesbians, bisexuals, and transgenders. In the midst of an increasingly diverse society, the question will inevitably arise about transgender marriage laws in Islam. This the paper uses a qualitative descriptive approach with the library research method. With this research, it aims to find out the marriage law of transgender surgery actors from the perspective of Islamic law. The results of the study show that someone who performs transgender surgery is included in actions that are prohibited or unlawful according to Islam. Meanwhile, when a person performs transgender surgery because they have abnormalities in their genitals, it is permissible to carry out the operation. So when a transgender operation actor wants to carry out a marriage, he uses his status before becoming transgender. For example, his initial status is male, he must marry a woman if he wants his marriage to be valid in the eyes of law and religion.","author":[{"dropping-particle":"","family":"Hidayati","given":"Alfi Nur","non-dropping-particle":"","parse-names":false,"suffix":""},{"dropping-particle":"","family":"Irviana","given":"Dita Natasha","non-dropping-particle":"","parse-names":false,"suffix":""},{"dropping-particle":"","family":"Nafi’ah","given":"Isnaini Wardatun","non-dropping-particle":"","parse-names":false,"suffix":""}],"container-title":"NALAR FIQH: Jurnal Hukum Islam","id":"ITEM-1","issue":"2","issued":{"date-parts":[["2024"]]},"note":"Query date: 2024-12-20 14:52:27","publisher":"Universitas Islam Negeri (UIN) Sultan Thaha Saifuddin Jambi","title":"Marriage of Transgender Men and Women from the Perspective of Fiqh Munakahat","type":"article-journal","volume":"14"},"uris":["http://www.mendeley.com/documents/?uuid=e49f62bf-2cf7-4f5f-b9ab-90cf24b2d35d"]}],"mendeley":{"formattedCitation":"Alfi Nur Hidayati, Dita Natasha Irviana, and Isnaini Wardatun Nafi’ah, “Marriage of Transgender Men and Women from the Perspective of Fiqh Munakahat,” &lt;i&gt;NALAR FIQH: Jurnal Hukum Islam&lt;/i&gt; 14, no. 2 (2024), https://doi.org/10.30631/nf.v14i2.1307.","plainTextFormattedCitation":"Alfi Nur Hidayati, Dita Natasha Irviana, and Isnaini Wardatun Nafi’ah, “Marriage of Transgender Men and Women from the Perspective of Fiqh Munakahat,” NALAR FIQH: Jurnal Hukum Islam 14, no. 2 (2024), https://doi.org/10.30631/nf.v14i2.1307.","previouslyFormattedCitation":"Alfi Nur Hidayati, Dita Natasha Irviana, and Isnaini Wardatun Nafi’ah, “Marriage of Transgender Men and Women from the Perspective of Fiqh Munakahat,” &lt;i&gt;NALAR FIQH: Jurnal Hukum Islam&lt;/i&gt; 14, no. 2 (2024), https://doi.org/10.30631/nf.v14i2.1307."},"properties":{"noteIndex":7},"schema":"https://github.com/citation-style-language/schema/raw/master/csl-citation.json"}</w:instrText>
      </w:r>
      <w:r>
        <w:fldChar w:fldCharType="separate"/>
      </w:r>
      <w:r w:rsidRPr="006311CB">
        <w:rPr>
          <w:noProof/>
        </w:rPr>
        <w:t xml:space="preserve">Alfi Nur Hidayati, Dita Natasha Irviana, and Isnaini Wardatun Nafi’ah, “Marriage of Transgender Men and Women from the Perspective of Fiqh Munakahat,” </w:t>
      </w:r>
      <w:r w:rsidRPr="006311CB">
        <w:rPr>
          <w:i/>
          <w:noProof/>
        </w:rPr>
        <w:t>NALAR FIQH: Jurnal Hukum Islam</w:t>
      </w:r>
      <w:r w:rsidRPr="006311CB">
        <w:rPr>
          <w:noProof/>
        </w:rPr>
        <w:t xml:space="preserve"> 14, no. 2 (2024), https://doi.org/10.30631/nf.v14i2.1307.</w:t>
      </w:r>
      <w:r>
        <w:fldChar w:fldCharType="end"/>
      </w:r>
    </w:p>
  </w:footnote>
  <w:footnote w:id="8">
    <w:p w14:paraId="687DFC0A" w14:textId="1F2A873D" w:rsidR="006311CB" w:rsidRDefault="006311CB">
      <w:pPr>
        <w:pStyle w:val="FootnoteText"/>
      </w:pPr>
      <w:r>
        <w:rPr>
          <w:rStyle w:val="FootnoteReference"/>
        </w:rPr>
        <w:footnoteRef/>
      </w:r>
      <w:r>
        <w:t xml:space="preserve"> </w:t>
      </w:r>
      <w:r>
        <w:fldChar w:fldCharType="begin" w:fldLock="1"/>
      </w:r>
      <w:r>
        <w:instrText>ADDIN CSL_CITATION {"citationItems":[{"id":"ITEM-1","itemData":{"DOI":"10.54783/ijsoc.v2i4.222","ISSN":"2715-8780","abstract":"The law of alcohol and khamr are often equated in Islamic fiqh, even though they are both different in terms of substance and character. The purpose of this study was to test the scientific experimental approach between alcohol and khamr in Islamic religious education learning at the Junior High School 6 PGRI Denpasar, Bali. This experiment will have implications for changing students' perspectives on alcohol which has two fiqh laws, while khamr is certainly haram even though the substance contained in khamr is not alcohol. This study used an experiment with a comparison between the science experimental method class and the control class using the lecture method. The results of the validation of media experts, materials and teachers were 93% with perfect criteria. The pretest in the experimental class has a percentage of 72.5% and the experimental class is 68.5% in the control class. Postest in the experimental class percentage of 87.25% of great criteria, while in the control class the value was not much different from the presentation in the experimental class 73. The difference between postest in the experimental class and control class is 14.25%. Based on the results of the validation and pretest-posttest comparisons between classes, the experimental method is well applied to Islamic Religious Education learning.","author":[{"dropping-particle":"","family":"MZ","given":"Rafika Dwi Rahmah","non-dropping-particle":"","parse-names":false,"suffix":""},{"dropping-particle":"","family":"Suyadi","given":"","non-dropping-particle":"","parse-names":false,"suffix":""},{"dropping-particle":"","family":"Mufrodi","given":"Zahrul","non-dropping-particle":"","parse-names":false,"suffix":""}],"container-title":"International Journal of Science and Society","id":"ITEM-1","issue":"4","issued":{"date-parts":[["2020"]]},"note":"Query date: 2024-12-20 14:52:27","page":"363-374","publisher":"Goacademica Research and Publishing","title":"Development of Learning Materials on Fiqh of Alcohol and Khamr in Islamic and Science Perspective","type":"article-journal","volume":"2"},"uris":["http://www.mendeley.com/documents/?uuid=36d2b6b3-5cbf-497e-849a-24921428f533"]}],"mendeley":{"formattedCitation":"Rafika Dwi Rahmah MZ, Suyadi, and Zahrul Mufrodi, “Development of Learning Materials on Fiqh of Alcohol and Khamr in Islamic and Science Perspective,” &lt;i&gt;International Journal of Science and Society&lt;/i&gt; 2, no. 4 (2020): 363–74, https://doi.org/10.54783/ijsoc.v2i4.222.","plainTextFormattedCitation":"Rafika Dwi Rahmah MZ, Suyadi, and Zahrul Mufrodi, “Development of Learning Materials on Fiqh of Alcohol and Khamr in Islamic and Science Perspective,” International Journal of Science and Society 2, no. 4 (2020): 363–74, https://doi.org/10.54783/ijsoc.v2i4.222.","previouslyFormattedCitation":"Rafika Dwi Rahmah MZ, Suyadi, and Zahrul Mufrodi, “Development of Learning Materials on Fiqh of Alcohol and Khamr in Islamic and Science Perspective,” &lt;i&gt;International Journal of Science and Society&lt;/i&gt; 2, no. 4 (2020): 363–74, https://doi.org/10.54783/ijsoc.v2i4.222."},"properties":{"noteIndex":8},"schema":"https://github.com/citation-style-language/schema/raw/master/csl-citation.json"}</w:instrText>
      </w:r>
      <w:r>
        <w:fldChar w:fldCharType="separate"/>
      </w:r>
      <w:r w:rsidRPr="006311CB">
        <w:rPr>
          <w:noProof/>
        </w:rPr>
        <w:t xml:space="preserve">Rafika Dwi Rahmah MZ, Suyadi, and Zahrul Mufrodi, “Development of Learning Materials on Fiqh of Alcohol and Khamr in Islamic and Science Perspective,” </w:t>
      </w:r>
      <w:r w:rsidRPr="006311CB">
        <w:rPr>
          <w:i/>
          <w:noProof/>
        </w:rPr>
        <w:t>International Journal of Science and Society</w:t>
      </w:r>
      <w:r w:rsidRPr="006311CB">
        <w:rPr>
          <w:noProof/>
        </w:rPr>
        <w:t xml:space="preserve"> 2, no. 4 (2020): 363–74, https://doi.org/10.54783/ijsoc.v2i4.222.</w:t>
      </w:r>
      <w:r>
        <w:fldChar w:fldCharType="end"/>
      </w:r>
    </w:p>
  </w:footnote>
  <w:footnote w:id="9">
    <w:p w14:paraId="13A8E7AE" w14:textId="399444D7" w:rsidR="006311CB" w:rsidRDefault="006311CB">
      <w:pPr>
        <w:pStyle w:val="FootnoteText"/>
      </w:pPr>
      <w:r>
        <w:rPr>
          <w:rStyle w:val="FootnoteReference"/>
        </w:rPr>
        <w:footnoteRef/>
      </w:r>
      <w:r>
        <w:t xml:space="preserve"> </w:t>
      </w:r>
      <w:r>
        <w:fldChar w:fldCharType="begin" w:fldLock="1"/>
      </w:r>
      <w:r>
        <w:instrText>ADDIN CSL_CITATION {"citationItems":[{"id":"ITEM-1","itemData":{"DOI":"10.17184/eac.3661","abstract":"La relation entre _fiqh_ et _taṣawwuf_ demeure extrêmement sensible en raison de la potentielle altération des règles juridiques à l’aune de l’influence des dispositions spirituelles et inversement. L’analyse croisée de leurs définitions respectives nous montre que les deux disciplines ont des objets distincts : le _fiqh_ se limite aux actes « pratiques » tandis que le _taṣawwuf_ se limite aux actes ésotériques. Cependant, elles disposent d’une finalité identique et concordante : la recherche de la satisfaction divine. L’indépendance des objets ne signifie pas une indépendance des thèmes, l’influence entre les deux disciplines est une relation de complémentarité. Le _taṣawwuf_ concerne les actes ésotériques (intérieurs) constituant le début de la validité des actes exotériques, et le _fiqh_ permet d’encadrer et de déterminer les actes ésotériques en concordance avec les dispositions juridiques établies par la Législation divine dans sa dimension exotérique. Cette analyse est corroborée par des exemples de l’influence réciproque entre les deux disciplines.","author":[{"dropping-particle":"","family":"HAJJAR","given":"Mohyedine","non-dropping-particle":"","parse-names":false,"suffix":""}],"container-title":"Les enjeux de l’écriture mystique","id":"ITEM-1","issued":{"date-parts":[["2020"]]},"note":"Query date: 2024-12-20 14:52:27","page":"83-94","publisher":"Editions des archives contemporaines","title":"\"Fiqh\" et \"Taṣawwuf\"","type":"article-journal"},"uris":["http://www.mendeley.com/documents/?uuid=08502ec2-1056-4301-8137-8bf90faa1e2f"]}],"mendeley":{"formattedCitation":"Mohyedine HAJJAR, “‘Fiqh’ et ‘Taṣawwuf,’” &lt;i&gt;Les Enjeux de l’écriture Mystique&lt;/i&gt;, 2020, 83–94, https://doi.org/10.17184/eac.3661.","plainTextFormattedCitation":"Mohyedine HAJJAR, “‘Fiqh’ et ‘Taṣawwuf,’” Les Enjeux de l’écriture Mystique, 2020, 83–94, https://doi.org/10.17184/eac.3661.","previouslyFormattedCitation":"Mohyedine HAJJAR, “‘Fiqh’ et ‘Taṣawwuf,’” &lt;i&gt;Les Enjeux de l’écriture Mystique&lt;/i&gt;, 2020, 83–94, https://doi.org/10.17184/eac.3661."},"properties":{"noteIndex":9},"schema":"https://github.com/citation-style-language/schema/raw/master/csl-citation.json"}</w:instrText>
      </w:r>
      <w:r>
        <w:fldChar w:fldCharType="separate"/>
      </w:r>
      <w:r w:rsidRPr="006311CB">
        <w:rPr>
          <w:noProof/>
        </w:rPr>
        <w:t xml:space="preserve">Mohyedine HAJJAR, “‘Fiqh’ et ‘Taṣawwuf,’” </w:t>
      </w:r>
      <w:r w:rsidRPr="006311CB">
        <w:rPr>
          <w:i/>
          <w:noProof/>
        </w:rPr>
        <w:t>Les Enjeux de l’écriture Mystique</w:t>
      </w:r>
      <w:r w:rsidRPr="006311CB">
        <w:rPr>
          <w:noProof/>
        </w:rPr>
        <w:t>, 2020, 83–94, https://doi.org/10.17184/eac.3661.</w:t>
      </w:r>
      <w:r>
        <w:fldChar w:fldCharType="end"/>
      </w:r>
    </w:p>
  </w:footnote>
  <w:footnote w:id="10">
    <w:p w14:paraId="10FB7B86" w14:textId="0A101FA3" w:rsidR="006311CB" w:rsidRDefault="006311CB">
      <w:pPr>
        <w:pStyle w:val="FootnoteText"/>
      </w:pPr>
      <w:r>
        <w:rPr>
          <w:rStyle w:val="FootnoteReference"/>
        </w:rPr>
        <w:footnoteRef/>
      </w:r>
      <w:r>
        <w:t xml:space="preserve"> </w:t>
      </w:r>
      <w:r>
        <w:fldChar w:fldCharType="begin" w:fldLock="1"/>
      </w:r>
      <w:r>
        <w:instrText>ADDIN CSL_CITATION {"citationItems":[{"id":"ITEM-1","itemData":{"DOI":"10.35878/santri.v2i1.277","ISSN":"2722-8223","abstract":"Methodologically, Fiqh Sosial encourages the resolution of people's problems by using the qauli and manhaji schools of thought. The qauli school of choice takes precedence. If the qauli school is unable to provide a solution to the problems at hand, then the manhaji school of thought is used. Basically, the qauli school of thought is sufficient if it is used in solving basic pluralism problems. However, if the issue of pluralism has entered a more complicated domain, and the qauli school of thought is no longer sufficient, then the manhaji school of thought can be used. The implementation of the methodology of Fiqh Sosial in the issue of pluralism can be seen from the consistency of Kiai Sahal in harmonizing his thoughts and his daily life. Kiai Sahal shows an open mind in building relationships and collaborating with many people from various ethnic, religious and professional backgrounds. This paper is the result of research on pluralism in the perspective of Fiqh Sosial. This study aims to determine the concept of Fiqh Sosial regarding pluralism and the application of Fiqh Sosial methodology in responding to pluralism issues. This research is a qualitative research. This research is a literature study using descriptive methods.","author":[{"dropping-particle":"","family":"Janah","given":"Tutik Nurul","non-dropping-particle":"","parse-names":false,"suffix":""},{"dropping-particle":"El","family":"Baroroh","given":"Umdah","non-dropping-particle":"","parse-names":false,"suffix":""}],"container-title":"Santri: Journal of Pesantren and Fiqh Sosial","id":"ITEM-1","issue":"1","issued":{"date-parts":[["2021"]]},"note":"Query date: 2024-12-20 14:52:27","page":"17-34","publisher":"Institut Pesantren Mathali ul Falah","title":"Pluralism in the Fiqh Sosial’s Perspective","type":"article-journal","volume":"2"},"uris":["http://www.mendeley.com/documents/?uuid=bc8c5542-0215-4963-aa06-3bdc86022eaf"]}],"mendeley":{"formattedCitation":"Tutik Nurul Janah and Umdah El Baroroh, “Pluralism in the Fiqh Sosial’s Perspective,” &lt;i&gt;Santri: Journal of Pesantren and Fiqh Sosial&lt;/i&gt; 2, no. 1 (2021): 17–34, https://doi.org/10.35878/santri.v2i1.277.","plainTextFormattedCitation":"Tutik Nurul Janah and Umdah El Baroroh, “Pluralism in the Fiqh Sosial’s Perspective,” Santri: Journal of Pesantren and Fiqh Sosial 2, no. 1 (2021): 17–34, https://doi.org/10.35878/santri.v2i1.277.","previouslyFormattedCitation":"Tutik Nurul Janah and Umdah El Baroroh, “Pluralism in the Fiqh Sosial’s Perspective,” &lt;i&gt;Santri: Journal of Pesantren and Fiqh Sosial&lt;/i&gt; 2, no. 1 (2021): 17–34, https://doi.org/10.35878/santri.v2i1.277."},"properties":{"noteIndex":10},"schema":"https://github.com/citation-style-language/schema/raw/master/csl-citation.json"}</w:instrText>
      </w:r>
      <w:r>
        <w:fldChar w:fldCharType="separate"/>
      </w:r>
      <w:r w:rsidRPr="006311CB">
        <w:rPr>
          <w:noProof/>
        </w:rPr>
        <w:t xml:space="preserve">Tutik Nurul Janah and Umdah El Baroroh, “Pluralism in the Fiqh Sosial’s Perspective,” </w:t>
      </w:r>
      <w:r w:rsidRPr="006311CB">
        <w:rPr>
          <w:i/>
          <w:noProof/>
        </w:rPr>
        <w:t>Santri: Journal of Pesantren and Fiqh Sosial</w:t>
      </w:r>
      <w:r w:rsidRPr="006311CB">
        <w:rPr>
          <w:noProof/>
        </w:rPr>
        <w:t xml:space="preserve"> 2, no. 1 (2021): 17–34, https://doi.org/10.35878/santri.v2i1.277.</w:t>
      </w:r>
      <w:r>
        <w:fldChar w:fldCharType="end"/>
      </w:r>
    </w:p>
  </w:footnote>
  <w:footnote w:id="11">
    <w:p w14:paraId="223133F4" w14:textId="09F8859D" w:rsidR="006311CB" w:rsidRDefault="006311CB">
      <w:pPr>
        <w:pStyle w:val="FootnoteText"/>
      </w:pPr>
      <w:r>
        <w:rPr>
          <w:rStyle w:val="FootnoteReference"/>
        </w:rPr>
        <w:footnoteRef/>
      </w:r>
      <w:r>
        <w:t xml:space="preserve"> </w:t>
      </w:r>
      <w:r>
        <w:fldChar w:fldCharType="begin" w:fldLock="1"/>
      </w:r>
      <w:r>
        <w:instrText>ADDIN CSL_CITATION {"citationItems":[{"id":"ITEM-1","itemData":{"DOI":"10.3726/b22139","abstract":"Die Verbindung von Sprache und fiqh zeigt sich insofern klar, als die Normen (aḥkām) im theologisch-rechtlichen Kontext u.a. direkt von den arabischen Überlieferungstexten des Koran und der Sunna ergründet werden. Die Lehren tafsīr, fiqh bzw. uṣūl al-fiqh spielen hier eine wichtige Rolle. Im vorliegenden Buch wird das Thema fiqh und Hermeneutik im klassischen Islam thematisiert, indem das Spannungsfeld von Normenlehre und Sprache anhand der Werke des Universalgelehrten Ibn Qutaiba (gest. 276/899) erforscht wird. In seinem Konzept zur Texthermeneutik, vor allem in Bezug auf die schwerverständlichen Texte des Koran und der Sunna, betont Ibn Qutaiba das Verhältnis von Sprache, adab und fiqh und appelliert für einen interdisziplinären sprachlich-theologisch Zugang. In diesem Konzept konzentriert er sich auf den Umgang mit der textuellen Ambiguität als Herausforderung der uṣūl-Lehre und legt Wert auf die Lehren ġarīb, muškil und muḫtalif, die im islamisch-rechtlichen Diskurs auf das Verstehen schwerverständlicher und scheinbar widersprüchlicher Passagen abzielen.","author":[{"dropping-particle":"","family":"Haggag","given":"Mahmoud","non-dropping-particle":"","parse-names":false,"suffix":""}],"id":"ITEM-1","issued":{"date-parts":[["2024"]]},"note":"Query date: 2024-12-20 14:52:27","publisher":"Peter Lang Verlag","title":"Fiqh und Hermeneutik im klassischen Islam","type":"book"},"uris":["http://www.mendeley.com/documents/?uuid=6dadfa6c-5fed-4b99-8d83-031b1723db83"]}],"mendeley":{"formattedCitation":"Mahmoud Haggag, &lt;i&gt;Fiqh Und Hermeneutik Im Klassischen Islam&lt;/i&gt; (Peter Lang Verlag, 2024), https://doi.org/10.3726/b22139.","plainTextFormattedCitation":"Mahmoud Haggag, Fiqh Und Hermeneutik Im Klassischen Islam (Peter Lang Verlag, 2024), https://doi.org/10.3726/b22139.","previouslyFormattedCitation":"Mahmoud Haggag, &lt;i&gt;Fiqh Und Hermeneutik Im Klassischen Islam&lt;/i&gt; (Peter Lang Verlag, 2024), https://doi.org/10.3726/b22139."},"properties":{"noteIndex":11},"schema":"https://github.com/citation-style-language/schema/raw/master/csl-citation.json"}</w:instrText>
      </w:r>
      <w:r>
        <w:fldChar w:fldCharType="separate"/>
      </w:r>
      <w:r w:rsidRPr="006311CB">
        <w:rPr>
          <w:noProof/>
        </w:rPr>
        <w:t xml:space="preserve">Mahmoud Haggag, </w:t>
      </w:r>
      <w:r w:rsidRPr="006311CB">
        <w:rPr>
          <w:i/>
          <w:noProof/>
        </w:rPr>
        <w:t>Fiqh Und Hermeneutik Im Klassischen Islam</w:t>
      </w:r>
      <w:r w:rsidRPr="006311CB">
        <w:rPr>
          <w:noProof/>
        </w:rPr>
        <w:t xml:space="preserve"> (Peter Lang Verlag, 2024), https://doi.org/10.3726/b22139.</w:t>
      </w:r>
      <w:r>
        <w:fldChar w:fldCharType="end"/>
      </w:r>
    </w:p>
  </w:footnote>
  <w:footnote w:id="12">
    <w:p w14:paraId="68D3506B" w14:textId="2E29658E" w:rsidR="006311CB" w:rsidRDefault="006311CB">
      <w:pPr>
        <w:pStyle w:val="FootnoteText"/>
      </w:pPr>
      <w:r>
        <w:rPr>
          <w:rStyle w:val="FootnoteReference"/>
        </w:rPr>
        <w:footnoteRef/>
      </w:r>
      <w:r>
        <w:t xml:space="preserve"> </w:t>
      </w:r>
      <w:r>
        <w:fldChar w:fldCharType="begin" w:fldLock="1"/>
      </w:r>
      <w:r>
        <w:instrText>ADDIN CSL_CITATION {"citationItems":[{"id":"ITEM-1","itemData":{"DOI":"10.32350/jitc.141.20","ISSN":"2520-0313","abstract":"The objective of this research article is to investigate Nahdlatul Ulama's perspectives on the discourse of Fiqh Al-Ḥaḍarah, also known as \"Fiqh of Civilization,\" within the context of contextualizing Islamic political thought toward the concept of global peace. Sociological disparities in national and state dynamics, keeping in view the intensity of conflict at the global level, demand the attention of the leaders from all across the world . Fiqh Al-Ḥaḍarah through the discourse of Fiqh Al-Siyāsah, advocates that the idea of peace contained in the UN charter has a strong basis in Islamic Sharia. All Muslims must campaign peace as a form of adherence to the Sharia. Therefore, the notions in classical Fiqh Al-Siyāsah must be interpreted and recontextualized as theyaim to straighten the view that politics in Islam is an intermediary for realizing prosperity through peace. This study used an annotated bibliography and descriptive qualitative method, while data was collected by using the desk research method. The approaches used included the textual-contextual approach, sociological approach to Islamic law, and critical theory. The results showed that Fiqh Al-Ḥaḍarah can be used to recontextualize Fiqh Al-Siyāsah in an ideal direction according to the needs and demands of the contemporary times. Similarly, Fiqh Al-Ḥaḍarah can present Islamic thought as a solution to establish peace and allow the emergence of a better civilization in the future. ","author":[{"dropping-particle":"","family":"Rois","given":"Choirur","non-dropping-particle":"","parse-names":false,"suffix":""},{"dropping-particle":"","family":"Irfan","given":"Agus","non-dropping-particle":"","parse-names":false,"suffix":""},{"dropping-particle":"","family":"Toyyib","given":"Moh","non-dropping-particle":"","parse-names":false,"suffix":""},{"dropping-particle":"","family":"Ali","given":"Mohammad Mahbubi","non-dropping-particle":"","parse-names":false,"suffix":""}],"container-title":"Journal of Islamic Thought and Civilization","id":"ITEM-1","issue":"1","issued":{"date-parts":[["2024"]]},"note":"Query date: 2024-12-20 14:52:27","page":"335-351","publisher":"University of Management and Technology","title":"Recontextualization of Fiqh Al-Siyāsah from the Perspective of Fiqh Al-Ḥaḍarah in Realizing World Peace","type":"article-journal","volume":"14"},"uris":["http://www.mendeley.com/documents/?uuid=66c2917d-ce63-484e-b944-4e99017b9a11"]}],"mendeley":{"formattedCitation":"Choirur Rois et al., “Recontextualization of Fiqh Al-Siyāsah from the Perspective of Fiqh Al-Ḥaḍarah in Realizing World Peace,” &lt;i&gt;Journal of Islamic Thought and Civilization&lt;/i&gt; 14, no. 1 (2024): 335–51, https://doi.org/10.32350/jitc.141.20.","plainTextFormattedCitation":"Choirur Rois et al., “Recontextualization of Fiqh Al-Siyāsah from the Perspective of Fiqh Al-Ḥaḍarah in Realizing World Peace,” Journal of Islamic Thought and Civilization 14, no. 1 (2024): 335–51, https://doi.org/10.32350/jitc.141.20.","previouslyFormattedCitation":"Choirur Rois et al., “Recontextualization of Fiqh Al-Siyāsah from the Perspective of Fiqh Al-Ḥaḍarah in Realizing World Peace,” &lt;i&gt;Journal of Islamic Thought and Civilization&lt;/i&gt; 14, no. 1 (2024): 335–51, https://doi.org/10.32350/jitc.141.20."},"properties":{"noteIndex":12},"schema":"https://github.com/citation-style-language/schema/raw/master/csl-citation.json"}</w:instrText>
      </w:r>
      <w:r>
        <w:fldChar w:fldCharType="separate"/>
      </w:r>
      <w:r w:rsidRPr="006311CB">
        <w:rPr>
          <w:noProof/>
        </w:rPr>
        <w:t xml:space="preserve">Choirur Rois et al., “Recontextualization of Fiqh Al-Siyāsah from the Perspective of Fiqh Al-Ḥaḍarah in Realizing World Peace,” </w:t>
      </w:r>
      <w:r w:rsidRPr="006311CB">
        <w:rPr>
          <w:i/>
          <w:noProof/>
        </w:rPr>
        <w:t>Journal of Islamic Thought and Civilization</w:t>
      </w:r>
      <w:r w:rsidRPr="006311CB">
        <w:rPr>
          <w:noProof/>
        </w:rPr>
        <w:t xml:space="preserve"> 14, no. 1 (2024): 335–51, https://doi.org/10.32350/jitc.141.20.</w:t>
      </w:r>
      <w:r>
        <w:fldChar w:fldCharType="end"/>
      </w:r>
    </w:p>
  </w:footnote>
  <w:footnote w:id="13">
    <w:p w14:paraId="2490008E" w14:textId="6C144543" w:rsidR="006311CB" w:rsidRDefault="006311CB">
      <w:pPr>
        <w:pStyle w:val="FootnoteText"/>
      </w:pPr>
      <w:r>
        <w:rPr>
          <w:rStyle w:val="FootnoteReference"/>
        </w:rPr>
        <w:footnoteRef/>
      </w:r>
      <w:r>
        <w:t xml:space="preserve"> </w:t>
      </w:r>
      <w:r>
        <w:fldChar w:fldCharType="begin" w:fldLock="1"/>
      </w:r>
      <w:r>
        <w:instrText>ADDIN CSL_CITATION {"citationItems":[{"id":"ITEM-1","itemData":{"DOI":"10.15642/al-hukama.2015.5.1.50-80","ISSN":"2548-8147","abstract":"The universal and integral understanding of the Islamic law need an integrative effort between jurisprudence (fiqh) and legal maxim (usul fiqh) in an applicable form. Both have a close relationship in building the foundation and overall material of jurisprudence. Theoretically, legal maxim is an Islamic legal reasoning method that would later raise the jurisprudential material. Therefore, to understand and respond the social problem of Islamic law, the integration between jurisprudence and legal maxim is absolutely needed. The only partial understanding of Islamic law by simply studying its product as written in some classical books of fiqh will certainly make it uprooted from its own historical aspect. While implementing Islamic law merely rooted from its methodology cannot comprehensively catch the chain of Islamic legal thought. It is, therefore, a necessary to integrate between fiqh and usul fiqh to have an integral understanding of Islamic law. This study focuses to realize such effort with a specific discussion on the case of marriage age limit under the maslahah mursalah perspective. The result of the integration of fiqh and usul fiqh is that the minimum age of conducting marital contract based on Islamic law in Indonesia is sixteen years old for woman and nineteen years old for man. [Memahami hukum Islam secara universal integral memerlukan upaya integrasi antara fiqh dan ushul fiqh dalam bentuk aplikatif. Keduanya memiliki korelasi erat dalam membangun aturan formil dan materil hukum Islam. Secara teoritis, ushul fiqh merupakan metode penalaran hukum Islam yang kemudian akan melahirkan fiqh. Oleh karena itu, untuk memahami dan menanggapi masalah sosial hukum Islam, integrasi antara ushul fiqh dan fiqh mutlak diperlukan. Mempelajari hukum Islam dengan hanya bermodal pemahaman fiqh seperti yang ditulis dalam beberapa buku klasik fiqh tentu akan membuatnya tercerabut dari aspek historis sendiri. Sementara menerapkan hukum Islam hanya berakar dari metodologinya tidak dapat secara komprehensif menangkap rantai pemikiran hukum Islam. Oleh karena itu, diperlukan upaya mengintegrasikan antara fiqh dan ushul fiqh agar memiliki pemahaman integral dari hukum Islam. Penelitian ini berfokus untuk mewujudkan upaya tersebut dengan pembahasan khusus pada kasus batas usia perkawinan di bawah perspektif maslahah mursalah. Hasil integrasi fiqh dan ushul fiqh yang dilakukan menghasilakan kesimpulan bahwa usia minimal melakukan perkawinan berdasarkan hukum Islam di…","author":[{"dropping-particle":"","family":"Rohman","given":"Holilur","non-dropping-particle":"","parse-names":false,"suffix":""}],"container-title":"AL-HUKAMA","id":"ITEM-1","issue":"1","issued":{"date-parts":[["2024"]]},"note":"Query date: 2024-12-20 14:52:27","page":"50-80","publisher":"State Islamic University (UIN) of Sunan Ampel","title":"Integrasi Fiqh dan Usul Fiqh dalam Kasus Batas Umur Pernikahan","type":"article-journal","volume":"5"},"uris":["http://www.mendeley.com/documents/?uuid=e6bc1466-7141-40fd-b8b2-dd9cc4963f74"]}],"mendeley":{"formattedCitation":"Holilur Rohman, “Integrasi Fiqh Dan Usul Fiqh Dalam Kasus Batas Umur Pernikahan,” &lt;i&gt;AL-HUKAMA&lt;/i&gt; 5, no. 1 (2024): 50–80, https://doi.org/10.15642/al-hukama.2015.5.1.50-80.","plainTextFormattedCitation":"Holilur Rohman, “Integrasi Fiqh Dan Usul Fiqh Dalam Kasus Batas Umur Pernikahan,” AL-HUKAMA 5, no. 1 (2024): 50–80, https://doi.org/10.15642/al-hukama.2015.5.1.50-80.","previouslyFormattedCitation":"Holilur Rohman, “Integrasi Fiqh Dan Usul Fiqh Dalam Kasus Batas Umur Pernikahan,” &lt;i&gt;AL-HUKAMA&lt;/i&gt; 5, no. 1 (2024): 50–80, https://doi.org/10.15642/al-hukama.2015.5.1.50-80."},"properties":{"noteIndex":13},"schema":"https://github.com/citation-style-language/schema/raw/master/csl-citation.json"}</w:instrText>
      </w:r>
      <w:r>
        <w:fldChar w:fldCharType="separate"/>
      </w:r>
      <w:r w:rsidRPr="006311CB">
        <w:rPr>
          <w:noProof/>
        </w:rPr>
        <w:t xml:space="preserve">Holilur Rohman, “Integrasi Fiqh Dan Usul Fiqh Dalam Kasus Batas Umur Pernikahan,” </w:t>
      </w:r>
      <w:r w:rsidRPr="006311CB">
        <w:rPr>
          <w:i/>
          <w:noProof/>
        </w:rPr>
        <w:t>AL-HUKAMA</w:t>
      </w:r>
      <w:r w:rsidRPr="006311CB">
        <w:rPr>
          <w:noProof/>
        </w:rPr>
        <w:t xml:space="preserve"> 5, no. 1 (2024): 50–80, https://doi.org/10.15642/al-hukama.2015.5.1.50-80.</w:t>
      </w:r>
      <w:r>
        <w:fldChar w:fldCharType="end"/>
      </w:r>
    </w:p>
  </w:footnote>
  <w:footnote w:id="14">
    <w:p w14:paraId="681AF3A2" w14:textId="1B3326F2" w:rsidR="006311CB" w:rsidRDefault="006311CB">
      <w:pPr>
        <w:pStyle w:val="FootnoteText"/>
      </w:pPr>
      <w:r>
        <w:rPr>
          <w:rStyle w:val="FootnoteReference"/>
        </w:rPr>
        <w:footnoteRef/>
      </w:r>
      <w:r>
        <w:t xml:space="preserve"> </w:t>
      </w:r>
      <w:r>
        <w:fldChar w:fldCharType="begin" w:fldLock="1"/>
      </w:r>
      <w:r>
        <w:instrText>ADDIN CSL_CITATION {"citationItems":[{"id":"ITEM-1","itemData":{"DOI":"10.2139/ssrn.3978994","ISSN":"1556-5068","author":[{"dropping-particle":"","family":"Seff","given":"Syaugi","non-dropping-particle":"","parse-names":false,"suffix":""}],"container-title":"SSRN Electronic Journal","id":"ITEM-1","issued":{"date-parts":[["2021"]]},"note":"Query date: 2024-12-20 14:52:27","publisher":"Elsevier BV","title":"The FIQH of Disaster: MUI's Response to the COVID-19 Pandemic in Indonesia (Study Application Legal Maxims of FIQH)","type":"article-journal"},"uris":["http://www.mendeley.com/documents/?uuid=456e7536-061a-4b4c-b2bf-cc218545f9d9"]}],"mendeley":{"formattedCitation":"Syaugi Seff, “The FIQH of Disaster: MUI’s Response to the COVID-19 Pandemic in Indonesia (Study Application Legal Maxims of FIQH),” &lt;i&gt;SSRN Electronic Journal&lt;/i&gt;, 2021, https://doi.org/10.2139/ssrn.3978994.","plainTextFormattedCitation":"Syaugi Seff, “The FIQH of Disaster: MUI’s Response to the COVID-19 Pandemic in Indonesia (Study Application Legal Maxims of FIQH),” SSRN Electronic Journal, 2021, https://doi.org/10.2139/ssrn.3978994.","previouslyFormattedCitation":"Syaugi Seff, “The FIQH of Disaster: MUI’s Response to the COVID-19 Pandemic in Indonesia (Study Application Legal Maxims of FIQH),” &lt;i&gt;SSRN Electronic Journal&lt;/i&gt;, 2021, https://doi.org/10.2139/ssrn.3978994."},"properties":{"noteIndex":14},"schema":"https://github.com/citation-style-language/schema/raw/master/csl-citation.json"}</w:instrText>
      </w:r>
      <w:r>
        <w:fldChar w:fldCharType="separate"/>
      </w:r>
      <w:r w:rsidRPr="006311CB">
        <w:rPr>
          <w:noProof/>
        </w:rPr>
        <w:t xml:space="preserve">Syaugi Seff, “The FIQH of Disaster: MUI’s Response to the COVID-19 Pandemic in Indonesia (Study Application Legal Maxims of FIQH),” </w:t>
      </w:r>
      <w:r w:rsidRPr="006311CB">
        <w:rPr>
          <w:i/>
          <w:noProof/>
        </w:rPr>
        <w:t>SSRN Electronic Journal</w:t>
      </w:r>
      <w:r w:rsidRPr="006311CB">
        <w:rPr>
          <w:noProof/>
        </w:rPr>
        <w:t>, 2021, https://doi.org/10.2139/ssrn.3978994.</w:t>
      </w:r>
      <w:r>
        <w:fldChar w:fldCharType="end"/>
      </w:r>
    </w:p>
  </w:footnote>
  <w:footnote w:id="15">
    <w:p w14:paraId="4F794D22" w14:textId="104DC4DD" w:rsidR="006311CB" w:rsidRDefault="006311CB">
      <w:pPr>
        <w:pStyle w:val="FootnoteText"/>
      </w:pPr>
      <w:r>
        <w:rPr>
          <w:rStyle w:val="FootnoteReference"/>
        </w:rPr>
        <w:footnoteRef/>
      </w:r>
      <w:r>
        <w:t xml:space="preserve"> </w:t>
      </w:r>
      <w:r>
        <w:fldChar w:fldCharType="begin" w:fldLock="1"/>
      </w:r>
      <w:r>
        <w:instrText>ADDIN CSL_CITATION {"citationItems":[{"id":"ITEM-1","itemData":{"DOI":"10.35878/santri.v1i2.244","ISSN":"2722-8223","abstract":"This study explores the ideas and actions of KH. MA Sahal Mahfudh's pluralism as a role model for society. This qualitative descriptive research used fiqh sosial as a tool of analysis. The data is derived from the different works of Kiai Sahal and other supporting works are complemented by interviews with figures who understand the thinking of Kiai Sahal. The results of research on the thoughts and practices of Kiai Sahal on pluralism are fiqh ikhtilaf, the basic principle of pluralism that promotes tolerance, and the state does not need to be labeled Islam. Meanwhile, Kiai Sahal's pluralism practices include accepting Pancasila, fighting for non-Muslim burials, allowing non-Muslims to teach in pesantren, engaging in interfaith cooperation, prohibiting hostility to non-Muslims, and differentiating between religious areas and mu'amalah. Kiai Sahal's contribution to the aspect of thinking is to open up the inclusiveness of thought while in fact, it can enhance the diversity of the country. Based on this research, Kiai Sahal Mahfudh's pluralism style is nationalist pluralism.","author":[{"dropping-particle":"","family":"Chasannudin","given":"Arif","non-dropping-particle":"","parse-names":false,"suffix":""},{"dropping-particle":"","family":"Asmani","given":"Jamal Ma'mur","non-dropping-particle":"","parse-names":false,"suffix":""}],"container-title":"Santri: Journal of Pesantren and Fiqh Sosial","id":"ITEM-1","issue":"2","issued":{"date-parts":[["2020"]]},"note":"Query date: 2024-12-20 14:52:27","page":"157-168","publisher":"Institut Pesantren Mathali ul Falah","title":"Nationalist Pluralism in Fiqh Sosial: Ideas and Actions of KH. MA. Sahal Mahfudh","type":"article-journal","volume":"1"},"uris":["http://www.mendeley.com/documents/?uuid=4d115d8d-31f8-4e36-8872-76dfcb9ace61"]}],"mendeley":{"formattedCitation":"Arif Chasannudin and Jamal Ma’mur Asmani, “Nationalist Pluralism in Fiqh Sosial: Ideas and Actions of KH. MA. Sahal Mahfudh,” &lt;i&gt;Santri: Journal of Pesantren and Fiqh Sosial&lt;/i&gt; 1, no. 2 (2020): 157–68, https://doi.org/10.35878/santri.v1i2.244.","plainTextFormattedCitation":"Arif Chasannudin and Jamal Ma’mur Asmani, “Nationalist Pluralism in Fiqh Sosial: Ideas and Actions of KH. MA. Sahal Mahfudh,” Santri: Journal of Pesantren and Fiqh Sosial 1, no. 2 (2020): 157–68, https://doi.org/10.35878/santri.v1i2.244.","previouslyFormattedCitation":"Arif Chasannudin and Jamal Ma’mur Asmani, “Nationalist Pluralism in Fiqh Sosial: Ideas and Actions of KH. MA. Sahal Mahfudh,” &lt;i&gt;Santri: Journal of Pesantren and Fiqh Sosial&lt;/i&gt; 1, no. 2 (2020): 157–68, https://doi.org/10.35878/santri.v1i2.244."},"properties":{"noteIndex":15},"schema":"https://github.com/citation-style-language/schema/raw/master/csl-citation.json"}</w:instrText>
      </w:r>
      <w:r>
        <w:fldChar w:fldCharType="separate"/>
      </w:r>
      <w:r w:rsidRPr="006311CB">
        <w:rPr>
          <w:noProof/>
        </w:rPr>
        <w:t xml:space="preserve">Arif Chasannudin and Jamal Ma’mur Asmani, “Nationalist Pluralism in Fiqh Sosial: Ideas and Actions of KH. MA. Sahal Mahfudh,” </w:t>
      </w:r>
      <w:r w:rsidRPr="006311CB">
        <w:rPr>
          <w:i/>
          <w:noProof/>
        </w:rPr>
        <w:t>Santri: Journal of Pesantren and Fiqh Sosial</w:t>
      </w:r>
      <w:r w:rsidRPr="006311CB">
        <w:rPr>
          <w:noProof/>
        </w:rPr>
        <w:t xml:space="preserve"> 1, no. 2 (2020): 157–68, https://doi.org/10.35878/santri.v1i2.244.</w:t>
      </w:r>
      <w:r>
        <w:fldChar w:fldCharType="end"/>
      </w:r>
    </w:p>
  </w:footnote>
  <w:footnote w:id="16">
    <w:p w14:paraId="7CC6DFA3" w14:textId="54D75897" w:rsidR="006311CB" w:rsidRDefault="006311CB">
      <w:pPr>
        <w:pStyle w:val="FootnoteText"/>
      </w:pPr>
      <w:r>
        <w:rPr>
          <w:rStyle w:val="FootnoteReference"/>
        </w:rPr>
        <w:footnoteRef/>
      </w:r>
      <w:r>
        <w:t xml:space="preserve"> </w:t>
      </w:r>
      <w:r>
        <w:fldChar w:fldCharType="begin" w:fldLock="1"/>
      </w:r>
      <w:r>
        <w:instrText>ADDIN CSL_CITATION {"citationItems":[{"id":"ITEM-1","itemData":{"DOI":"10.23917/jisel.v7i02.5200","ISSN":"2655-9617","abstract":"This research explores the implementation of the blue economy in various Islamic countries, focusing on marine resource production and environmental conservation efforts. Conceptually, the blue economy aligns with the principles of fiqh bi'ah, which emphasize preserving natural resources while ensuring their sustainable use. The study employs an exploratory qualitative approach, using a comprehensive literature review of sources from predominantly Muslim countries such as Indonesia, Pakistan, Bangladesh, Iran, and the Maldives. Sources were selected based on their relevance to blue economy practices, Islamic environmental ethics, and sustainable development in fisheries and aquaculture. The findings indicate that the fisheries sector significantly contributes to economic growth but needs to be balanced with marine ecosystem conservation. Both capture fisheries and aquaculture production have the potential to enhance economic growth, while improvements in international fisheries trade are also crucial. By applying the principles of fiqh bi'ah, these countries can balance economic growth while ensuring marine environmental sustainability and compliance with Islamic values. The study concludes that integrating Islamic environmental principles into blue economy strategies can support long-term sustainability while fostering economic resilience.","author":[{"dropping-particle":"","family":"Citaningati","given":"Putri Rizka","non-dropping-particle":"","parse-names":false,"suffix":""},{"dropping-particle":"","family":"Alfianto","given":"Tri","non-dropping-particle":"","parse-names":false,"suffix":""}],"container-title":"Journal of Islamic Economic Laws","id":"ITEM-1","issue":"2","issued":{"date-parts":[["2024"]]},"note":"Query date: 2024-12-20 14:52:27","page":"128-160","publisher":"Universitas Muhammadiyah Surakarta","title":"Blue Economics in Islamic Economics Perspective: Fiqh Bi’ah Approach","type":"article-journal","volume":"7"},"uris":["http://www.mendeley.com/documents/?uuid=9d362351-4de6-4e28-84b3-f54c536279a0"]}],"mendeley":{"formattedCitation":"Putri Rizka Citaningati and Tri Alfianto, “Blue Economics in Islamic Economics Perspective: Fiqh Bi’ah Approach,” &lt;i&gt;Journal of Islamic Economic Laws&lt;/i&gt; 7, no. 2 (2024): 128–60, https://doi.org/10.23917/jisel.v7i02.5200.","plainTextFormattedCitation":"Putri Rizka Citaningati and Tri Alfianto, “Blue Economics in Islamic Economics Perspective: Fiqh Bi’ah Approach,” Journal of Islamic Economic Laws 7, no. 2 (2024): 128–60, https://doi.org/10.23917/jisel.v7i02.5200.","previouslyFormattedCitation":"Putri Rizka Citaningati and Tri Alfianto, “Blue Economics in Islamic Economics Perspective: Fiqh Bi’ah Approach,” &lt;i&gt;Journal of Islamic Economic Laws&lt;/i&gt; 7, no. 2 (2024): 128–60, https://doi.org/10.23917/jisel.v7i02.5200."},"properties":{"noteIndex":16},"schema":"https://github.com/citation-style-language/schema/raw/master/csl-citation.json"}</w:instrText>
      </w:r>
      <w:r>
        <w:fldChar w:fldCharType="separate"/>
      </w:r>
      <w:r w:rsidRPr="006311CB">
        <w:rPr>
          <w:noProof/>
        </w:rPr>
        <w:t xml:space="preserve">Putri Rizka Citaningati and Tri Alfianto, “Blue Economics in Islamic Economics Perspective: Fiqh Bi’ah Approach,” </w:t>
      </w:r>
      <w:r w:rsidRPr="006311CB">
        <w:rPr>
          <w:i/>
          <w:noProof/>
        </w:rPr>
        <w:t>Journal of Islamic Economic Laws</w:t>
      </w:r>
      <w:r w:rsidRPr="006311CB">
        <w:rPr>
          <w:noProof/>
        </w:rPr>
        <w:t xml:space="preserve"> 7, no. 2 (2024): 128–60, https://doi.org/10.23917/jisel.v7i02.5200.</w:t>
      </w:r>
      <w:r>
        <w:fldChar w:fldCharType="end"/>
      </w:r>
    </w:p>
  </w:footnote>
  <w:footnote w:id="17">
    <w:p w14:paraId="496AB5D8" w14:textId="1FA64FB0" w:rsidR="006311CB" w:rsidRDefault="006311CB">
      <w:pPr>
        <w:pStyle w:val="FootnoteText"/>
      </w:pPr>
      <w:r>
        <w:rPr>
          <w:rStyle w:val="FootnoteReference"/>
        </w:rPr>
        <w:footnoteRef/>
      </w:r>
      <w:r>
        <w:t xml:space="preserve"> </w:t>
      </w:r>
      <w:r>
        <w:fldChar w:fldCharType="begin" w:fldLock="1"/>
      </w:r>
      <w:r>
        <w:instrText>ADDIN CSL_CITATION {"citationItems":[{"id":"ITEM-1","itemData":{"DOI":"10.32332/milrev.v1i1.6196","ISSN":"2986-528X","abstract":"Health is an important factor in human life because in healthy conditions, humans can carry out activities comfortably and do a lot of good by providing benefits to others. Everyone always strives for various ways and efforts that are considered good to support health. Transplantation is one of the many ways to cure disease that can be done using technology. Transplantation is a problem that falls within the scope of Islamic law which is not only a classical problem but has also entered the scope of contemporary problems. In looking at a legal phenomenon that occurs, Islamic legal experts analyze legal cases by looking at what has been determined by the Al-Quran and Hadith. The response of Islamic law to the emergence of the phenomenon of organ transplantation is proof of the relevance of Islamic law in covering problems in the health sector. Therefore, this research will discuss the concept of health in Islamic law through an analysis of the law on organ transplantation. Regarding organ transplants, Islam highly respects the glory of humans, both living and dead. Humans are blessed with a perfect body shape, intelligent mind and the ability to regulate this universe. So it is natural that God glorifies humans above other creatures. That's why we are prohibited from trampling on other people's dignity. One must not destroy one's soul, self-esteem, feelings, even towards a corpse.","author":[{"dropping-particle":"","family":"Hasran","given":"Hamdila","non-dropping-particle":"","parse-names":false,"suffix":""},{"dropping-particle":"","family":"Nabila","given":"Cindy Firantika","non-dropping-particle":"","parse-names":false,"suffix":""},{"dropping-particle":"","family":"Fina","given":"Maya","non-dropping-particle":"","parse-names":false,"suffix":""},{"dropping-particle":"","family":"Wahyuni","given":"Yanti","non-dropping-particle":"","parse-names":false,"suffix":""}],"container-title":"MILRev : Metro Islamic Law Review","id":"ITEM-1","issue":"1","issued":{"date-parts":[["2022"]]},"note":"Query date: 2024-12-20 14:52:27","page":"147-163","publisher":"IAIN Metro Lampung","title":"Health Law in Islam (Study of Law About Organ Transplant Accoring to Fiqh)","type":"article-journal","volume":"1"},"uris":["http://www.mendeley.com/documents/?uuid=0daa3f86-9eb0-42af-984a-df45948b48c0"]}],"mendeley":{"formattedCitation":"Hamdila Hasran et al., “Health Law in Islam (Study of Law About Organ Transplant Accoring to Fiqh),” &lt;i&gt;MILRev : Metro Islamic Law Review&lt;/i&gt; 1, no. 1 (2022): 147–63, https://doi.org/10.32332/milrev.v1i1.6196.","plainTextFormattedCitation":"Hamdila Hasran et al., “Health Law in Islam (Study of Law About Organ Transplant Accoring to Fiqh),” MILRev : Metro Islamic Law Review 1, no. 1 (2022): 147–63, https://doi.org/10.32332/milrev.v1i1.6196.","previouslyFormattedCitation":"Hamdila Hasran et al., “Health Law in Islam (Study of Law About Organ Transplant Accoring to Fiqh),” &lt;i&gt;MILRev : Metro Islamic Law Review&lt;/i&gt; 1, no. 1 (2022): 147–63, https://doi.org/10.32332/milrev.v1i1.6196."},"properties":{"noteIndex":17},"schema":"https://github.com/citation-style-language/schema/raw/master/csl-citation.json"}</w:instrText>
      </w:r>
      <w:r>
        <w:fldChar w:fldCharType="separate"/>
      </w:r>
      <w:r w:rsidRPr="006311CB">
        <w:rPr>
          <w:noProof/>
        </w:rPr>
        <w:t xml:space="preserve">Hamdila Hasran et al., “Health Law in Islam (Study of Law About Organ Transplant Accoring to Fiqh),” </w:t>
      </w:r>
      <w:r w:rsidRPr="006311CB">
        <w:rPr>
          <w:i/>
          <w:noProof/>
        </w:rPr>
        <w:t>MILRev : Metro Islamic Law Review</w:t>
      </w:r>
      <w:r w:rsidRPr="006311CB">
        <w:rPr>
          <w:noProof/>
        </w:rPr>
        <w:t xml:space="preserve"> 1, no. 1 (2022): 147–63, https://doi.org/10.32332/milrev.v1i1.6196.</w:t>
      </w:r>
      <w:r>
        <w:fldChar w:fldCharType="end"/>
      </w:r>
    </w:p>
  </w:footnote>
  <w:footnote w:id="18">
    <w:p w14:paraId="023E8956" w14:textId="49C3B044" w:rsidR="006311CB" w:rsidRDefault="006311CB">
      <w:pPr>
        <w:pStyle w:val="FootnoteText"/>
      </w:pPr>
      <w:r>
        <w:rPr>
          <w:rStyle w:val="FootnoteReference"/>
        </w:rPr>
        <w:footnoteRef/>
      </w:r>
      <w:r>
        <w:t xml:space="preserve"> </w:t>
      </w:r>
      <w:r>
        <w:fldChar w:fldCharType="begin" w:fldLock="1"/>
      </w:r>
      <w:r>
        <w:instrText>ADDIN CSL_CITATION {"citationItems":[{"id":"ITEM-1","itemData":{"DOI":"10.35878/santri.v1i2.242","ISSN":"2722-8223","abstract":"Accessibility is a form of sympathy and empathy to provide convenience to persons with disabilities by providing friendly public facilities. This study aims to explain how the physical facilities provided by the Pesantren Institute Mathali'ul Falah (IPMAFA) Pati in accommodating people with disabilities in learning and the application of religious fiqh with disabilities. This research is focused on physical facilities in the form of stairs, ramps, doors, classrooms, chairs, tables, laboratories, libraries, toilets, showers, and mosques. This research is qualitative research with descriptive analysis, data collection using observation, interviews, and documentation. Data analysis was carried out by comparing the results of field data with the standards for accessibility of public facilities set by the Ministry of Public Works and disability fiqh. From the results of this study, it was found that IPMAFA had prepared friendly facilities for persons with disabilities however accessibility of facilities is not yet fully adequate and disability-friendly for disabled people who use canes, crutches, and wheelchairs. Facilities that are classified as disability-friendly include stairs, doors, classrooms, tables and chairs, libraries, and laboratories. In the disability fiqh review, the accessibility of taharah, wudhu, and prayer facilities at the IPMAFA is not yet suitable for people with disabilities, whether users of sticks, crutches, or wheelchairs. The results of this study can be a reference for the IPMAFA campus in realizing a disability-friendly campus.","author":[{"dropping-particle":"","family":"Lestari","given":"Puji","non-dropping-particle":"","parse-names":false,"suffix":""},{"dropping-particle":"","family":"Raodah","given":"Raodah","non-dropping-particle":"","parse-names":false,"suffix":""}],"container-title":"Santri: Journal of Pesantren and Fiqh Sosial","id":"ITEM-1","issue":"2","issued":{"date-parts":[["2020"]]},"note":"Query date: 2024-12-20 14:52:27","page":"205-218","publisher":"Institut Pesantren Mathali ul Falah","title":"Accessibility of Persons with Disabilities on the Review of Disability Fiqh","type":"article-journal","volume":"1"},"uris":["http://www.mendeley.com/documents/?uuid=9885a7bf-e4e7-4578-9c70-92a87eb1368e"]}],"mendeley":{"formattedCitation":"Puji Lestari and Raodah Raodah, “Accessibility of Persons with Disabilities on the Review of Disability Fiqh,” &lt;i&gt;Santri: Journal of Pesantren and Fiqh Sosial&lt;/i&gt; 1, no. 2 (2020): 205–18, https://doi.org/10.35878/santri.v1i2.242.","plainTextFormattedCitation":"Puji Lestari and Raodah Raodah, “Accessibility of Persons with Disabilities on the Review of Disability Fiqh,” Santri: Journal of Pesantren and Fiqh Sosial 1, no. 2 (2020): 205–18, https://doi.org/10.35878/santri.v1i2.242.","previouslyFormattedCitation":"Puji Lestari and Raodah Raodah, “Accessibility of Persons with Disabilities on the Review of Disability Fiqh,” &lt;i&gt;Santri: Journal of Pesantren and Fiqh Sosial&lt;/i&gt; 1, no. 2 (2020): 205–18, https://doi.org/10.35878/santri.v1i2.242."},"properties":{"noteIndex":18},"schema":"https://github.com/citation-style-language/schema/raw/master/csl-citation.json"}</w:instrText>
      </w:r>
      <w:r>
        <w:fldChar w:fldCharType="separate"/>
      </w:r>
      <w:r w:rsidRPr="006311CB">
        <w:rPr>
          <w:noProof/>
        </w:rPr>
        <w:t xml:space="preserve">Puji Lestari and Raodah Raodah, “Accessibility of Persons with Disabilities on the Review of Disability Fiqh,” </w:t>
      </w:r>
      <w:r w:rsidRPr="006311CB">
        <w:rPr>
          <w:i/>
          <w:noProof/>
        </w:rPr>
        <w:t>Santri: Journal of Pesantren and Fiqh Sosial</w:t>
      </w:r>
      <w:r w:rsidRPr="006311CB">
        <w:rPr>
          <w:noProof/>
        </w:rPr>
        <w:t xml:space="preserve"> 1, no. 2 (2020): 205–18, https://doi.org/10.35878/santri.v1i2.242.</w:t>
      </w:r>
      <w:r>
        <w:fldChar w:fldCharType="end"/>
      </w:r>
    </w:p>
  </w:footnote>
  <w:footnote w:id="19">
    <w:p w14:paraId="75816310" w14:textId="0CC4517A" w:rsidR="006311CB" w:rsidRDefault="006311CB">
      <w:pPr>
        <w:pStyle w:val="FootnoteText"/>
      </w:pPr>
      <w:r>
        <w:rPr>
          <w:rStyle w:val="FootnoteReference"/>
        </w:rPr>
        <w:footnoteRef/>
      </w:r>
      <w:r>
        <w:t xml:space="preserve"> </w:t>
      </w:r>
      <w:r>
        <w:fldChar w:fldCharType="begin" w:fldLock="1"/>
      </w:r>
      <w:r>
        <w:instrText>ADDIN CSL_CITATION {"citationItems":[{"id":"ITEM-1","itemData":{"DOI":"10.22452/fiqh.vol18no2.6","ISSN":"2289-7518","abstract":"Islamic management strongly emphasizes the method of writing such as the writing of wills, debts, agreements and judgments. Judgment writing is an important aspect of the justice process. The writing of judgments is emphasized by the majority of fuqaha’ to ensure transparency in judicial proceedings. The purpose of writing this article to view at the approach outlined by Fiqh al-Qaḍā regarding the writing of judgments and applications of Syariah Courts in Malaysia based on the provisions of laws and the application of Practice Direction in Syariah Courts. The writing of this manuscript has revealed that Islamic scholars have outlined the concepts of al-Sijjilāt, al-Maḥaḍar and Kitāb al-Qaḍī ilā al-Qaḍī as a process of judicial writing. Notes of proceedings and records of cases in respect of judgments are kept for the purpose of appeal and execution of judgments. This matter is also applied in the Syariah Courts in Malaysia through the approach outlined by the laws and the practice directions of the Syariah Courts. The implementation of judgment writing by Syariah Judges in Malaysia has been transformed through the e-Bicara application of the e-Syariah system and it is in line with the Fiqh al-Qaḍā ’approach.","author":[{"dropping-particle":"","family":"Mahmod","given":"Zulzaidi","non-dropping-particle":"","parse-names":false,"suffix":""},{"dropping-particle":"","family":"Buang","given":"Ahmad Hidayat","non-dropping-particle":"","parse-names":false,"suffix":""}],"container-title":"Jurnal Fiqh","id":"ITEM-1","issue":"2","issued":{"date-parts":[["2021"]]},"note":"Query date: 2024-12-20 14:52:27","page":"377-408","publisher":"Univ. of Malaya","title":"Penulisan Penghakiman Menurut Perspektif Fiqh Al-Qaḍā’dan Aplikasi Mahkamah Syariah Di Malaysia","type":"article-journal","volume":"18"},"uris":["http://www.mendeley.com/documents/?uuid=0d07bcd9-79af-4b4c-8c9c-248240bb152a"]}],"mendeley":{"formattedCitation":"Zulzaidi Mahmod and Ahmad Hidayat Buang, “Penulisan Penghakiman Menurut Perspektif Fiqh Al-Qaḍā’dan Aplikasi Mahkamah Syariah Di Malaysia,” &lt;i&gt;Jurnal Fiqh&lt;/i&gt; 18, no. 2 (2021): 377–408, https://doi.org/10.22452/fiqh.vol18no2.6.","plainTextFormattedCitation":"Zulzaidi Mahmod and Ahmad Hidayat Buang, “Penulisan Penghakiman Menurut Perspektif Fiqh Al-Qaḍā’dan Aplikasi Mahkamah Syariah Di Malaysia,” Jurnal Fiqh 18, no. 2 (2021): 377–408, https://doi.org/10.22452/fiqh.vol18no2.6.","previouslyFormattedCitation":"Zulzaidi Mahmod and Ahmad Hidayat Buang, “Penulisan Penghakiman Menurut Perspektif Fiqh Al-Qaḍā’dan Aplikasi Mahkamah Syariah Di Malaysia,” &lt;i&gt;Jurnal Fiqh&lt;/i&gt; 18, no. 2 (2021): 377–408, https://doi.org/10.22452/fiqh.vol18no2.6."},"properties":{"noteIndex":19},"schema":"https://github.com/citation-style-language/schema/raw/master/csl-citation.json"}</w:instrText>
      </w:r>
      <w:r>
        <w:fldChar w:fldCharType="separate"/>
      </w:r>
      <w:r w:rsidRPr="006311CB">
        <w:rPr>
          <w:noProof/>
        </w:rPr>
        <w:t xml:space="preserve">Zulzaidi Mahmod and Ahmad Hidayat Buang, “Penulisan Penghakiman Menurut Perspektif Fiqh Al-Qaḍā’dan Aplikasi Mahkamah Syariah Di Malaysia,” </w:t>
      </w:r>
      <w:r w:rsidRPr="006311CB">
        <w:rPr>
          <w:i/>
          <w:noProof/>
        </w:rPr>
        <w:t>Jurnal Fiqh</w:t>
      </w:r>
      <w:r w:rsidRPr="006311CB">
        <w:rPr>
          <w:noProof/>
        </w:rPr>
        <w:t xml:space="preserve"> 18, no. 2 (2021): 377–408, https://doi.org/10.22452/fiqh.vol18no2.6.</w:t>
      </w:r>
      <w:r>
        <w:fldChar w:fldCharType="end"/>
      </w:r>
    </w:p>
  </w:footnote>
  <w:footnote w:id="20">
    <w:p w14:paraId="6079DFCA" w14:textId="1BB15B21" w:rsidR="006311CB" w:rsidRDefault="006311CB">
      <w:pPr>
        <w:pStyle w:val="FootnoteText"/>
      </w:pPr>
      <w:r>
        <w:rPr>
          <w:rStyle w:val="FootnoteReference"/>
        </w:rPr>
        <w:footnoteRef/>
      </w:r>
      <w:r>
        <w:t xml:space="preserve"> </w:t>
      </w:r>
      <w:r>
        <w:fldChar w:fldCharType="begin" w:fldLock="1"/>
      </w:r>
      <w:r>
        <w:instrText>ADDIN CSL_CITATION {"citationItems":[{"id":"ITEM-1","itemData":{"DOI":"10.37231/jimk.2022.23.3.692","ISSN":"2289-6325","abstract":"Perkembangan hukum Islam yang mencapai kemuncak kegemilangan pada zaman kerajaan Abasiyyah telah menarik perhatian sarjana Barat dalam menghasilkan pelbagai kajian dan teori terhadap Zaman Keemasan hukum Islam atau The Golden Age of Islamic Jurisprudence. Penglibatan Ignaz Goldziher, Joseph Schacht, David Powers dan Wael Hallaq telah menghasilkan pelbagai kajian terhadap perkembangan usul fiqh dan sebahagian daripada karya mereka telah mendapat pengiktirafan daripada sarjana Barat sebagai The Sacred Book of Islamic Law, dan The Father of Islamic Studies. Teori Evolutionism merupakan rumusan pemahaman Barat yang merupakan garapan pemahaman umum orientalis Barat terhadap Zaman Kegemilangan hukum Islam yang didakwa terhasil akibat wujudnya elemen asing (Foreign Elements). Artikel ini dihasilkan untuk menganalisis karya penulisan Goldziher, Joseph Schacht, Wael Hallaq dan beberapa pandangan daripada orientalis kontemporari dalam menilai variasi pandangan mereka terhadap perkembangan hukum Islam yang didakwa berasaskan dogma daripada Barat. Kajian ini berasaskan kajian kualitatif dan penganalisisan data menggunakan metodologi historis dan komparatif. Hasil penganalisisan dapat dirumuskan bahawa dakwaan Goldziher dan Schacht terhadap epistemologi usul fiqh yang berasaskan dogma Barat adalah tidak tepat dan ia menafikan Teori Evolutionism dan teori The Legal Transplant yang telah diperkenalkan oleh orientalis Barat terhadap epistemologi usul fiqh. The development of Islamic Law during the Abbasid period, known as The Golden Age of Islamic Jurisprudence has attracted the attention of western scholars and their contribution in Islamic Law. Many books and articles on usul fiqh written by Ignaz Goldziher, Joseph Schacht, David Powers, and Wael Hallaq were acknowledged by the Westerners and some of their contributions were known as The Sacred Book of Islamic Law and The Father of Islamic Studies. The Theory of Evolutionism was a stigmatism of Orientalists writing on the zenith of Islamic law during the third century, which derived from foreign elements. This article is to analyze the writing of Goldziher, Joseph Schacht, Wael Hallaq, and other Orientalists on their assumption of western dogma in Islamic Jurisprudence. This study used qualitative, historic, and comparative methodologies. The findings verified the invalidation in Schacht and Goldziher allegation on the foreign elements in usul fiqh. Thus, the Legal Transplant and the Theory of Evolutionism evolved by…","author":[{"dropping-particle":"","family":"Mustapha","given":"Ariyanti","non-dropping-particle":"","parse-names":false,"suffix":""},{"dropping-particle":"","family":"Ali","given":"Abdul Karim","non-dropping-particle":"","parse-names":false,"suffix":""}],"container-title":"Jurnal Islam dan Masyarakat Kontemporari","id":"ITEM-1","issue":"3","issued":{"date-parts":[["2022"]]},"note":"Query date: 2024-12-20 14:52:27","page":"1-13","publisher":"Universiti Sultan Zainal Abidin","title":"Teori Evolutionism dalam Epistemologi Usul Fiqh dari Perspektif Barat [The Theory of Evolutionism in the Epistemology of Usul Fiqh From the Western Perspective]","type":"article-journal","volume":"23"},"uris":["http://www.mendeley.com/documents/?uuid=d5d12d83-ce4d-458f-9793-6e12583af1a9"]}],"mendeley":{"formattedCitation":"Ariyanti Mustapha and Abdul Karim Ali, “Teori Evolutionism Dalam Epistemologi Usul Fiqh Dari Perspektif Barat [The Theory of Evolutionism in the Epistemology of Usul Fiqh From the Western Perspective],” &lt;i&gt;Jurnal Islam Dan Masyarakat Kontemporari&lt;/i&gt; 23, no. 3 (2022): 1–13, https://doi.org/10.37231/jimk.2022.23.3.692.","plainTextFormattedCitation":"Ariyanti Mustapha and Abdul Karim Ali, “Teori Evolutionism Dalam Epistemologi Usul Fiqh Dari Perspektif Barat [The Theory of Evolutionism in the Epistemology of Usul Fiqh From the Western Perspective],” Jurnal Islam Dan Masyarakat Kontemporari 23, no. 3 (2022): 1–13, https://doi.org/10.37231/jimk.2022.23.3.692.","previouslyFormattedCitation":"Ariyanti Mustapha and Abdul Karim Ali, “Teori Evolutionism Dalam Epistemologi Usul Fiqh Dari Perspektif Barat [The Theory of Evolutionism in the Epistemology of Usul Fiqh From the Western Perspective],” &lt;i&gt;Jurnal Islam Dan Masyarakat Kontemporari&lt;/i&gt; 23, no. 3 (2022): 1–13, https://doi.org/10.37231/jimk.2022.23.3.692."},"properties":{"noteIndex":20},"schema":"https://github.com/citation-style-language/schema/raw/master/csl-citation.json"}</w:instrText>
      </w:r>
      <w:r>
        <w:fldChar w:fldCharType="separate"/>
      </w:r>
      <w:r w:rsidRPr="006311CB">
        <w:rPr>
          <w:noProof/>
        </w:rPr>
        <w:t xml:space="preserve">Ariyanti Mustapha and Abdul Karim Ali, “Teori Evolutionism Dalam Epistemologi Usul Fiqh Dari Perspektif Barat [The Theory of Evolutionism in the Epistemology of Usul Fiqh From the Western Perspective],” </w:t>
      </w:r>
      <w:r w:rsidRPr="006311CB">
        <w:rPr>
          <w:i/>
          <w:noProof/>
        </w:rPr>
        <w:t>Jurnal Islam Dan Masyarakat Kontemporari</w:t>
      </w:r>
      <w:r w:rsidRPr="006311CB">
        <w:rPr>
          <w:noProof/>
        </w:rPr>
        <w:t xml:space="preserve"> 23, no. 3 (2022): 1–13, https://doi.org/10.37231/jimk.2022.23.3.692.</w:t>
      </w:r>
      <w:r>
        <w:fldChar w:fldCharType="end"/>
      </w:r>
    </w:p>
  </w:footnote>
  <w:footnote w:id="21">
    <w:p w14:paraId="0A27E4EE" w14:textId="3ABCADA2" w:rsidR="006311CB" w:rsidRDefault="006311CB">
      <w:pPr>
        <w:pStyle w:val="FootnoteText"/>
      </w:pPr>
      <w:r>
        <w:rPr>
          <w:rStyle w:val="FootnoteReference"/>
        </w:rPr>
        <w:footnoteRef/>
      </w:r>
      <w:r>
        <w:t xml:space="preserve"> </w:t>
      </w:r>
      <w:r>
        <w:fldChar w:fldCharType="begin" w:fldLock="1"/>
      </w:r>
      <w:r>
        <w:instrText>ADDIN CSL_CITATION {"citationItems":[{"id":"ITEM-1","itemData":{"DOI":"10.22452/fiqh.vol17no2.4","ISSN":"2289-7518","author":[{"dropping-particle":"","family":"Buang","given":"Ahmad Hidayat","non-dropping-particle":"","parse-names":false,"suffix":""}],"container-title":"Jurnal Fiqh","id":"ITEM-1","issue":"2","issued":{"date-parts":[["2020"]]},"note":"Query date: 2024-12-20 14:52:27","page":"309-318","publisher":"Univ. of Malaya","title":"Ulasan Buku: Fiqh of Contemporary Financial And Banking Transactions","type":"article-journal","volume":"17"},"uris":["http://www.mendeley.com/documents/?uuid=f9c100ad-7d1b-44b8-8b21-e2565f286382"]}],"mendeley":{"formattedCitation":"Ahmad Hidayat Buang, “Ulasan Buku: Fiqh of Contemporary Financial And Banking Transactions,” &lt;i&gt;Jurnal Fiqh&lt;/i&gt; 17, no. 2 (2020): 309–18, https://doi.org/10.22452/fiqh.vol17no2.4.","plainTextFormattedCitation":"Ahmad Hidayat Buang, “Ulasan Buku: Fiqh of Contemporary Financial And Banking Transactions,” Jurnal Fiqh 17, no. 2 (2020): 309–18, https://doi.org/10.22452/fiqh.vol17no2.4.","previouslyFormattedCitation":"Ahmad Hidayat Buang, “Ulasan Buku: Fiqh of Contemporary Financial And Banking Transactions,” &lt;i&gt;Jurnal Fiqh&lt;/i&gt; 17, no. 2 (2020): 309–18, https://doi.org/10.22452/fiqh.vol17no2.4."},"properties":{"noteIndex":21},"schema":"https://github.com/citation-style-language/schema/raw/master/csl-citation.json"}</w:instrText>
      </w:r>
      <w:r>
        <w:fldChar w:fldCharType="separate"/>
      </w:r>
      <w:r w:rsidRPr="006311CB">
        <w:rPr>
          <w:noProof/>
        </w:rPr>
        <w:t xml:space="preserve">Ahmad Hidayat Buang, “Ulasan Buku: Fiqh of Contemporary Financial And Banking Transactions,” </w:t>
      </w:r>
      <w:r w:rsidRPr="006311CB">
        <w:rPr>
          <w:i/>
          <w:noProof/>
        </w:rPr>
        <w:t>Jurnal Fiqh</w:t>
      </w:r>
      <w:r w:rsidRPr="006311CB">
        <w:rPr>
          <w:noProof/>
        </w:rPr>
        <w:t xml:space="preserve"> 17, no. 2 (2020): 309–18, https://doi.org/10.22452/fiqh.vol17no2.4.</w:t>
      </w:r>
      <w:r>
        <w:fldChar w:fldCharType="end"/>
      </w:r>
    </w:p>
  </w:footnote>
  <w:footnote w:id="22">
    <w:p w14:paraId="196E1CA7" w14:textId="11D8EABC" w:rsidR="006311CB" w:rsidRDefault="006311CB">
      <w:pPr>
        <w:pStyle w:val="FootnoteText"/>
      </w:pPr>
      <w:r>
        <w:rPr>
          <w:rStyle w:val="FootnoteReference"/>
        </w:rPr>
        <w:footnoteRef/>
      </w:r>
      <w:r>
        <w:t xml:space="preserve"> </w:t>
      </w:r>
      <w:r>
        <w:fldChar w:fldCharType="begin" w:fldLock="1"/>
      </w:r>
      <w:r>
        <w:instrText>ADDIN CSL_CITATION {"citationItems":[{"id":"ITEM-1","itemData":{"DOI":"10.35719/ijlil.v6i1.314","ISSN":"2775-460X","abstract":"Traditional Islamic law is often seen as being based on textual sources, such as the Qur'an and Sunnah. However, a closer look reveals that scholars have a long history of incorporating scientific advancements into legal reasoning. This paper explores the istislahiah method, which uses scientific knowledge to formulate Islamic legal rulings in the context of contemporary Indonesia. The paper begins by examining the concept and authority of the istislahiah method. It traces its historical roots to the early days of Islam, and discusses the theoretical underpinnings of the method. The paper also explores the debates surrounding the validity of istislahiah in Islamic legal discourse. The paper then turns to the practical application of istislahiah. It analyzes how scientific knowledge can be integrated into legal reasoning to address pressing social issues faced by Indonesia. The paper provides examples of how istislahiah has been used to address issues such as public health, environmental protection, and gender equality. Finally, the paper explores how the istislahiah method can enhance Islamic law for the future. It argues that istislahiah can help to bridge the gap between traditional Islamic legal principles and the evolving realities of the modern world. By demonstrating the compatibility of science and Islamic law, istislahiah can pave the way for a more nuanced and adaptable approach to legal decision-making in Indonesia. This study offers a fresh perspective on the potential of the istislahiah method to address the challenges of the modern world. By demonstrating how scientific knowledge can be used to formulate Islamic legal rulings, this research paves the way for a more dynamic and contextually relevant Islamic legal framework for Indonesia.","author":[{"dropping-particle":"","family":"Bahiyah","given":"Silsilu Durrotil","non-dropping-particle":"","parse-names":false,"suffix":""}],"container-title":"Indonesian Journal of Law and Islamic Law (IJLIL)","id":"ITEM-1","issue":"1","issued":{"date-parts":[["2024"]]},"note":"Query date: 2024-12-20 14:52:27","page":"1-13","publisher":"IAIN Jember","title":"Assessing the Istislahiah Method in Islamic law: Study of The Utilization of Science in Ushul Fiqh in The Context of Indonesian Fiqh","type":"article-journal","volume":"6"},"uris":["http://www.mendeley.com/documents/?uuid=3203e079-c276-4556-ac81-766c1ab8e0cd"]}],"mendeley":{"formattedCitation":"Silsilu Durrotil Bahiyah, “Assessing the Istislahiah Method in Islamic Law: Study of The Utilization of Science in Ushul Fiqh in The Context of Indonesian Fiqh,” &lt;i&gt;Indonesian Journal of Law and Islamic Law (IJLIL)&lt;/i&gt; 6, no. 1 (2024): 1–13, https://doi.org/10.35719/ijlil.v6i1.314.","plainTextFormattedCitation":"Silsilu Durrotil Bahiyah, “Assessing the Istislahiah Method in Islamic Law: Study of The Utilization of Science in Ushul Fiqh in The Context of Indonesian Fiqh,” Indonesian Journal of Law and Islamic Law (IJLIL) 6, no. 1 (2024): 1–13, https://doi.org/10.35719/ijlil.v6i1.314.","previouslyFormattedCitation":"Silsilu Durrotil Bahiyah, “Assessing the Istislahiah Method in Islamic Law: Study of The Utilization of Science in Ushul Fiqh in The Context of Indonesian Fiqh,” &lt;i&gt;Indonesian Journal of Law and Islamic Law (IJLIL)&lt;/i&gt; 6, no. 1 (2024): 1–13, https://doi.org/10.35719/ijlil.v6i1.314."},"properties":{"noteIndex":22},"schema":"https://github.com/citation-style-language/schema/raw/master/csl-citation.json"}</w:instrText>
      </w:r>
      <w:r>
        <w:fldChar w:fldCharType="separate"/>
      </w:r>
      <w:r w:rsidRPr="006311CB">
        <w:rPr>
          <w:noProof/>
        </w:rPr>
        <w:t xml:space="preserve">Silsilu Durrotil Bahiyah, “Assessing the Istislahiah Method in Islamic Law: Study of The Utilization of Science in Ushul Fiqh in The Context of Indonesian Fiqh,” </w:t>
      </w:r>
      <w:r w:rsidRPr="006311CB">
        <w:rPr>
          <w:i/>
          <w:noProof/>
        </w:rPr>
        <w:t>Indonesian Journal of Law and Islamic Law (IJLIL)</w:t>
      </w:r>
      <w:r w:rsidRPr="006311CB">
        <w:rPr>
          <w:noProof/>
        </w:rPr>
        <w:t xml:space="preserve"> 6, no. 1 (2024): 1–13, https://doi.org/10.35719/ijlil.v6i1.314.</w:t>
      </w:r>
      <w:r>
        <w:fldChar w:fldCharType="end"/>
      </w:r>
    </w:p>
  </w:footnote>
  <w:footnote w:id="23">
    <w:p w14:paraId="49189997" w14:textId="717EE07A" w:rsidR="006311CB" w:rsidRDefault="006311CB">
      <w:pPr>
        <w:pStyle w:val="FootnoteText"/>
      </w:pPr>
      <w:r>
        <w:rPr>
          <w:rStyle w:val="FootnoteReference"/>
        </w:rPr>
        <w:footnoteRef/>
      </w:r>
      <w:r>
        <w:t xml:space="preserve"> </w:t>
      </w:r>
      <w:r>
        <w:fldChar w:fldCharType="begin" w:fldLock="1"/>
      </w:r>
      <w:r>
        <w:instrText>ADDIN CSL_CITATION {"citationItems":[{"id":"ITEM-1","itemData":{"DOI":"10.31219/osf.io/524jc","abstract":"&lt;p&gt;Endorsements are an advertising method or marketing strategy promoted by several well-known celebrities or other public figures which can have a big influence on consumers becoming interested in the products being offered. However, in practice, it often does not match the criteria for the goods being promoted. Apart from that, this endorsement system does not meet face to face, which ultimately creates gharar (unclarity) regarding the goods. Therefore, this discussion aims to provide a broader understanding of the concept of endorsement according to contemporary fiqh views and to find out how the marketing system uses endorsement strategies and the ethics in the endorsement system. This writing method uses the Legal Istinbat Method which is sourced from the Qur'an and Hadith. Based on the results obtained from the arguments of the Koran and Hadith, it can be concluded that this endorsement marketing strategy is included in the ijarah contract. Where the rental object is in the form of other people's services who will later be compensated for their services. Then in practice, it turns out that it contains elements of gharar where the celebrity explain it online exaggerates the criteria for the product offered and does not match reality&lt;/p&gt;","author":[{"dropping-particle":"","family":"ANGGRIYANI","given":"","non-dropping-particle":"","parse-names":false,"suffix":""},{"dropping-particle":"","family":"Kurniawan","given":"Rachmad Risqy","non-dropping-particle":"","parse-names":false,"suffix":""}],"id":"ITEM-1","issued":{"date-parts":[["2023"]]},"note":"Query date: 2024-12-20 14:52:27","publisher":"Center for Open Science","title":"Endorsement Dalam Perspektif Fiqh Kontemporer","type":"book"},"uris":["http://www.mendeley.com/documents/?uuid=91da8a76-3f68-41bb-b360-ec7fbaf91c61"]}],"mendeley":{"formattedCitation":"ANGGRIYANI and Rachmad Risqy Kurniawan, &lt;i&gt;Endorsement Dalam Perspektif Fiqh Kontemporer&lt;/i&gt; (Center for Open Science, 2023), https://doi.org/10.31219/osf.io/524jc.","plainTextFormattedCitation":"ANGGRIYANI and Rachmad Risqy Kurniawan, Endorsement Dalam Perspektif Fiqh Kontemporer (Center for Open Science, 2023), https://doi.org/10.31219/osf.io/524jc.","previouslyFormattedCitation":"ANGGRIYANI and Rachmad Risqy Kurniawan, &lt;i&gt;Endorsement Dalam Perspektif Fiqh Kontemporer&lt;/i&gt; (Center for Open Science, 2023), https://doi.org/10.31219/osf.io/524jc."},"properties":{"noteIndex":23},"schema":"https://github.com/citation-style-language/schema/raw/master/csl-citation.json"}</w:instrText>
      </w:r>
      <w:r>
        <w:fldChar w:fldCharType="separate"/>
      </w:r>
      <w:r w:rsidRPr="006311CB">
        <w:rPr>
          <w:noProof/>
        </w:rPr>
        <w:t xml:space="preserve">ANGGRIYANI and Rachmad Risqy Kurniawan, </w:t>
      </w:r>
      <w:r w:rsidRPr="006311CB">
        <w:rPr>
          <w:i/>
          <w:noProof/>
        </w:rPr>
        <w:t>Endorsement Dalam Perspektif Fiqh Kontemporer</w:t>
      </w:r>
      <w:r w:rsidRPr="006311CB">
        <w:rPr>
          <w:noProof/>
        </w:rPr>
        <w:t xml:space="preserve"> (Center for Open Science, 2023), https://doi.org/10.31219/osf.io/524jc.</w:t>
      </w:r>
      <w:r>
        <w:fldChar w:fldCharType="end"/>
      </w:r>
    </w:p>
  </w:footnote>
  <w:footnote w:id="24">
    <w:p w14:paraId="58CD36D1" w14:textId="683750AA" w:rsidR="006311CB" w:rsidRDefault="006311CB">
      <w:pPr>
        <w:pStyle w:val="FootnoteText"/>
      </w:pPr>
      <w:r>
        <w:rPr>
          <w:rStyle w:val="FootnoteReference"/>
        </w:rPr>
        <w:footnoteRef/>
      </w:r>
      <w:r>
        <w:t xml:space="preserve"> </w:t>
      </w:r>
      <w:r>
        <w:fldChar w:fldCharType="begin" w:fldLock="1"/>
      </w:r>
      <w:r>
        <w:instrText>ADDIN CSL_CITATION {"citationItems":[{"id":"ITEM-1","itemData":{"DOI":"10.2991/aebmr.k.210305.041","ISSN":"2352-5428","author":[{"dropping-particle":"","family":"Kuncoro","given":"Anies T","non-dropping-particle":"","parse-names":false,"suffix":""},{"dropping-particle":"","family":"Nizar","given":"Muchamad Coirun","non-dropping-particle":"","parse-names":false,"suffix":""}],"container-title":"Advances in Economics, Business and Management Research","id":"ITEM-1","issued":{"date-parts":[["2021"]]},"note":"Query date: 2024-12-20 14:52:27","publisher":"Atlantis Press","title":"The Epistemology of Fiqh-Science and Its Implementation in Contemporary Fiqh in Indonesia","type":"article-journal"},"uris":["http://www.mendeley.com/documents/?uuid=8834c954-d117-4905-a1e8-852b9ac418bb"]}],"mendeley":{"formattedCitation":"Anies T Kuncoro and Muchamad Coirun Nizar, “The Epistemology of Fiqh-Science and Its Implementation in Contemporary Fiqh in Indonesia,” &lt;i&gt;Advances in Economics, Business and Management Research&lt;/i&gt;, 2021, https://doi.org/10.2991/aebmr.k.210305.041.","plainTextFormattedCitation":"Anies T Kuncoro and Muchamad Coirun Nizar, “The Epistemology of Fiqh-Science and Its Implementation in Contemporary Fiqh in Indonesia,” Advances in Economics, Business and Management Research, 2021, https://doi.org/10.2991/aebmr.k.210305.041.","previouslyFormattedCitation":"Anies T Kuncoro and Muchamad Coirun Nizar, “The Epistemology of Fiqh-Science and Its Implementation in Contemporary Fiqh in Indonesia,” &lt;i&gt;Advances in Economics, Business and Management Research&lt;/i&gt;, 2021, https://doi.org/10.2991/aebmr.k.210305.041."},"properties":{"noteIndex":24},"schema":"https://github.com/citation-style-language/schema/raw/master/csl-citation.json"}</w:instrText>
      </w:r>
      <w:r>
        <w:fldChar w:fldCharType="separate"/>
      </w:r>
      <w:r w:rsidRPr="006311CB">
        <w:rPr>
          <w:noProof/>
        </w:rPr>
        <w:t xml:space="preserve">Anies T Kuncoro and Muchamad Coirun Nizar, “The Epistemology of Fiqh-Science and Its Implementation in Contemporary Fiqh in Indonesia,” </w:t>
      </w:r>
      <w:r w:rsidRPr="006311CB">
        <w:rPr>
          <w:i/>
          <w:noProof/>
        </w:rPr>
        <w:t>Advances in Economics, Business and Management Research</w:t>
      </w:r>
      <w:r w:rsidRPr="006311CB">
        <w:rPr>
          <w:noProof/>
        </w:rPr>
        <w:t>, 2021, https://doi.org/10.2991/aebmr.k.210305.041.</w:t>
      </w:r>
      <w:r>
        <w:fldChar w:fldCharType="end"/>
      </w:r>
    </w:p>
  </w:footnote>
  <w:footnote w:id="25">
    <w:p w14:paraId="43DB413C" w14:textId="411AD9B7" w:rsidR="006311CB" w:rsidRDefault="006311CB">
      <w:pPr>
        <w:pStyle w:val="FootnoteText"/>
      </w:pPr>
      <w:r>
        <w:rPr>
          <w:rStyle w:val="FootnoteReference"/>
        </w:rPr>
        <w:footnoteRef/>
      </w:r>
      <w:r>
        <w:t xml:space="preserve"> </w:t>
      </w:r>
      <w:r>
        <w:fldChar w:fldCharType="begin" w:fldLock="1"/>
      </w:r>
      <w:r>
        <w:instrText>ADDIN CSL_CITATION {"citationItems":[{"id":"ITEM-1","itemData":{"DOI":"10.51716/ta.v41i2.74","ISSN":"2655-7401","abstract":"Fiqh, or in another term were called as Islamic jurisprudence, are the conceptions which are required by the Muslims to organize their interests in all aspects of life, provide the basics of the system of worship, administration, commerce, politics, social, and civilization. This article aims to trace and elaborate on the term \"Civilization Fiqh.,\" or known as “Fiqh Peradaban”. It was initiated by Nahdlatul Ulama (NU) towards its one-century birth. By exploring and unraveling the genealogy of substantive thinking on the countenance of NU Fiqh as the epistemological basis for the ideas of “Civilization Fiqh”. The library method is used in writing this article. This article uses a descriptive-analytic approach; it tries to explain in an analytical-consistent manner through rigorous reading to unravel the transmission of the NU Fiqh reasoning constructions to obtain a fresh and modern formulation of \"Civilization Fiqh.” The results of the discussion of this article include 1) It needs reading and interpretation of the reasoning of the Pesantren tradition to redefine the Islamic scientific tradition, which is seen as less adaptive to the changing realities of the new world order but has not lost its identity by the currents of modernity; 2) NU needs to expand the discussion of “Civilization Fiqh” not only on political issues and the nation-state. This genealogically was carried about simultaneously by NU activists, academics, ulama, even PBNU itself (2000-2019). Issues related to human rights (labor fiqh), injustice, gender (women fiqh), extraordinary crime (anti-corruption fiqh), and environmental destruction (energy fiqh, waste management fiqh). So it is no exaggeration if “Civilization Fiqh\" in the future can discuss the reality of 21st-century society: free economy, internet technology society of think, building the smallest nation element: family with counter-discourse which capture the trending issue of childfree, demography fiqh, etc.","author":[{"dropping-particle":"","family":"Nazar","given":"Reza Fauzi","non-dropping-particle":"","parse-names":false,"suffix":""},{"dropping-particle":"","family":"Hamid","given":"Mohammad Fahmi Abdul","non-dropping-particle":"","parse-names":false,"suffix":""}],"container-title":"Tashwirul Afkar","id":"ITEM-1","issue":"2","issued":{"date-parts":[["2022"]]},"note":"Query date: 2024-12-20 14:52:27","page":"137-162","publisher":"Tashwirul Afkar, Lembaga Kajian dan Pengembangan Sumberdaya Manusia, Pengurus Besar Nahdlatul Ulama","title":"Tracking the Genealogical Reasoning Reconstruction of Nahdlatul Ulama (NU) Fiqh: From ‘Social Fiqh’ to ‘Civilization Fiqh’","type":"article-journal","volume":"41"},"uris":["http://www.mendeley.com/documents/?uuid=205fca81-07f7-4415-b322-09000c119bc4"]}],"mendeley":{"formattedCitation":"Reza Fauzi Nazar and Mohammad Fahmi Abdul Hamid, “Tracking the Genealogical Reasoning Reconstruction of Nahdlatul Ulama (NU) Fiqh: From ‘Social Fiqh’ to ‘Civilization Fiqh,’” &lt;i&gt;Tashwirul Afkar&lt;/i&gt; 41, no. 2 (2022): 137–62, https://doi.org/10.51716/ta.v41i2.74.","plainTextFormattedCitation":"Reza Fauzi Nazar and Mohammad Fahmi Abdul Hamid, “Tracking the Genealogical Reasoning Reconstruction of Nahdlatul Ulama (NU) Fiqh: From ‘Social Fiqh’ to ‘Civilization Fiqh,’” Tashwirul Afkar 41, no. 2 (2022): 137–62, https://doi.org/10.51716/ta.v41i2.74.","previouslyFormattedCitation":"Reza Fauzi Nazar and Mohammad Fahmi Abdul Hamid, “Tracking the Genealogical Reasoning Reconstruction of Nahdlatul Ulama (NU) Fiqh: From ‘Social Fiqh’ to ‘Civilization Fiqh,’” &lt;i&gt;Tashwirul Afkar&lt;/i&gt; 41, no. 2 (2022): 137–62, https://doi.org/10.51716/ta.v41i2.74."},"properties":{"noteIndex":25},"schema":"https://github.com/citation-style-language/schema/raw/master/csl-citation.json"}</w:instrText>
      </w:r>
      <w:r>
        <w:fldChar w:fldCharType="separate"/>
      </w:r>
      <w:r w:rsidRPr="006311CB">
        <w:rPr>
          <w:noProof/>
        </w:rPr>
        <w:t xml:space="preserve">Reza Fauzi Nazar and Mohammad Fahmi Abdul Hamid, “Tracking the Genealogical Reasoning Reconstruction of Nahdlatul Ulama (NU) Fiqh: From ‘Social Fiqh’ to ‘Civilization Fiqh,’” </w:t>
      </w:r>
      <w:r w:rsidRPr="006311CB">
        <w:rPr>
          <w:i/>
          <w:noProof/>
        </w:rPr>
        <w:t>Tashwirul Afkar</w:t>
      </w:r>
      <w:r w:rsidRPr="006311CB">
        <w:rPr>
          <w:noProof/>
        </w:rPr>
        <w:t xml:space="preserve"> 41, no. 2 (2022): 137–62, https://doi.org/10.51716/ta.v41i2.74.</w:t>
      </w:r>
      <w:r>
        <w:fldChar w:fldCharType="end"/>
      </w:r>
    </w:p>
  </w:footnote>
  <w:footnote w:id="26">
    <w:p w14:paraId="441F57FB" w14:textId="7864B629" w:rsidR="006311CB" w:rsidRDefault="006311CB">
      <w:pPr>
        <w:pStyle w:val="FootnoteText"/>
      </w:pPr>
      <w:r>
        <w:rPr>
          <w:rStyle w:val="FootnoteReference"/>
        </w:rPr>
        <w:footnoteRef/>
      </w:r>
      <w:r>
        <w:t xml:space="preserve"> </w:t>
      </w:r>
      <w:r>
        <w:fldChar w:fldCharType="begin" w:fldLock="1"/>
      </w:r>
      <w:r>
        <w:instrText>ADDIN CSL_CITATION {"citationItems":[{"id":"ITEM-1","itemData":{"DOI":"10.33102/johs.v7i2.207","ISSN":"2550-1488","abstract":"The fame achieved by Sayyid Sabiq as a renowned Muslim scholar is undisputed. However, he is not spared from criticism. In his work entitled Fiqh al-Sunnah, he is said to have no method in applying hadith to substantiate rules that it entails several contradictions against the aspects affecting the disciplines of hadith. This study therefore intends to investigate the method of hadith writing by Sayyid Sabiq in Fiqh al-Sunnah. To achieve the purpose, qualitative research is conducted through the content analysis method in examining textual contents in Fiqh al-Sunnah. The study finds that Sayyid Sabiq does have his own method in the writing of hadith. Among the approaches he employs is shortening the chain of transmitters, clarifying the status of some hadith and providing comments on the hadith transmitters. Further, this study discovers that the hadiths of which status he does not clarify come under criticism by the scholars who evaluate the same as weak hadith. The criticism however does not impair his credibility as a figure who contributes in elevating hadith as a primary reference in the discourse of fiqh.","author":[{"dropping-particle":"","family":"Sebri","given":"Mohamad Ehsan","non-dropping-particle":"","parse-names":false,"suffix":""},{"dropping-particle":"","family":"Shamsudin","given":"Roshimah","non-dropping-particle":"","parse-names":false,"suffix":""}],"container-title":"Journal Of Hadith Studies","id":"ITEM-1","issued":{"date-parts":[["2022"]]},"note":"Query date: 2024-12-20 14:52:27","page":"94-104","publisher":"Universiti Sains Islam Malaysia","title":"Manhaj Penulisan Hadith Dalam Fiqh Al-Sunnah Oleh Sayyid Sabiq","type":"article-journal"},"uris":["http://www.mendeley.com/documents/?uuid=6f668f5f-120d-45e7-a7f5-49678c7be18e"]}],"mendeley":{"formattedCitation":"Mohamad Ehsan Sebri and Roshimah Shamsudin, “Manhaj Penulisan Hadith Dalam Fiqh Al-Sunnah Oleh Sayyid Sabiq,” &lt;i&gt;Journal Of Hadith Studies&lt;/i&gt;, 2022, 94–104, https://doi.org/10.33102/johs.v7i2.207.","plainTextFormattedCitation":"Mohamad Ehsan Sebri and Roshimah Shamsudin, “Manhaj Penulisan Hadith Dalam Fiqh Al-Sunnah Oleh Sayyid Sabiq,” Journal Of Hadith Studies, 2022, 94–104, https://doi.org/10.33102/johs.v7i2.207.","previouslyFormattedCitation":"Mohamad Ehsan Sebri and Roshimah Shamsudin, “Manhaj Penulisan Hadith Dalam Fiqh Al-Sunnah Oleh Sayyid Sabiq,” &lt;i&gt;Journal Of Hadith Studies&lt;/i&gt;, 2022, 94–104, https://doi.org/10.33102/johs.v7i2.207."},"properties":{"noteIndex":26},"schema":"https://github.com/citation-style-language/schema/raw/master/csl-citation.json"}</w:instrText>
      </w:r>
      <w:r>
        <w:fldChar w:fldCharType="separate"/>
      </w:r>
      <w:r w:rsidRPr="006311CB">
        <w:rPr>
          <w:noProof/>
        </w:rPr>
        <w:t xml:space="preserve">Mohamad Ehsan Sebri and Roshimah Shamsudin, “Manhaj Penulisan Hadith Dalam Fiqh Al-Sunnah Oleh Sayyid Sabiq,” </w:t>
      </w:r>
      <w:r w:rsidRPr="006311CB">
        <w:rPr>
          <w:i/>
          <w:noProof/>
        </w:rPr>
        <w:t>Journal Of Hadith Studies</w:t>
      </w:r>
      <w:r w:rsidRPr="006311CB">
        <w:rPr>
          <w:noProof/>
        </w:rPr>
        <w:t>, 2022, 94–104, https://doi.org/10.33102/johs.v7i2.207.</w:t>
      </w:r>
      <w:r>
        <w:fldChar w:fldCharType="end"/>
      </w:r>
    </w:p>
  </w:footnote>
  <w:footnote w:id="27">
    <w:p w14:paraId="7F783F37" w14:textId="66D8A038" w:rsidR="006311CB" w:rsidRDefault="006311CB">
      <w:pPr>
        <w:pStyle w:val="FootnoteText"/>
      </w:pPr>
      <w:r>
        <w:rPr>
          <w:rStyle w:val="FootnoteReference"/>
        </w:rPr>
        <w:footnoteRef/>
      </w:r>
      <w:r>
        <w:t xml:space="preserve"> </w:t>
      </w:r>
      <w:r>
        <w:fldChar w:fldCharType="begin" w:fldLock="1"/>
      </w:r>
      <w:r>
        <w:instrText>ADDIN CSL_CITATION {"citationItems":[{"id":"ITEM-1","itemData":{"DOI":"10.37200/ijpr/v24i4/pr201625","ISSN":"1475-7192","container-title":"International Journal of Psychosocial Rehabilitation","id":"ITEM-1","issue":"4","issued":{"date-parts":[["2020"]]},"note":"Query date: 2024-12-20 14:52:27","page":"5271-5280","publisher":"Hampstead Psychological Associates","title":"An Overview of Budget Jurisprudence (Fiqh) to Eradicate the Corruption in Indonesia","type":"article-journal","volume":"24"},"uris":["http://www.mendeley.com/documents/?uuid=7fbac270-cf7d-4aed-95be-073457253ae8"]}],"mendeley":{"formattedCitation":"“An Overview of Budget Jurisprudence (Fiqh) to Eradicate the Corruption in Indonesia,” &lt;i&gt;International Journal of Psychosocial Rehabilitation&lt;/i&gt; 24, no. 4 (2020): 5271–80, https://doi.org/10.37200/ijpr/v24i4/pr201625.","plainTextFormattedCitation":"“An Overview of Budget Jurisprudence (Fiqh) to Eradicate the Corruption in Indonesia,” International Journal of Psychosocial Rehabilitation 24, no. 4 (2020): 5271–80, https://doi.org/10.37200/ijpr/v24i4/pr201625.","previouslyFormattedCitation":"“An Overview of Budget Jurisprudence (Fiqh) to Eradicate the Corruption in Indonesia,” &lt;i&gt;International Journal of Psychosocial Rehabilitation&lt;/i&gt; 24, no. 4 (2020): 5271–80, https://doi.org/10.37200/ijpr/v24i4/pr201625."},"properties":{"noteIndex":27},"schema":"https://github.com/citation-style-language/schema/raw/master/csl-citation.json"}</w:instrText>
      </w:r>
      <w:r>
        <w:fldChar w:fldCharType="separate"/>
      </w:r>
      <w:r w:rsidRPr="006311CB">
        <w:rPr>
          <w:noProof/>
        </w:rPr>
        <w:t xml:space="preserve">“An Overview of Budget Jurisprudence (Fiqh) to Eradicate the Corruption in Indonesia,” </w:t>
      </w:r>
      <w:r w:rsidRPr="006311CB">
        <w:rPr>
          <w:i/>
          <w:noProof/>
        </w:rPr>
        <w:t>International Journal of Psychosocial Rehabilitation</w:t>
      </w:r>
      <w:r w:rsidRPr="006311CB">
        <w:rPr>
          <w:noProof/>
        </w:rPr>
        <w:t xml:space="preserve"> 24, no. 4 (2020): 5271–80, https://doi.org/10.37200/ijpr/v24i4/pr201625.</w:t>
      </w:r>
      <w:r>
        <w:fldChar w:fldCharType="end"/>
      </w:r>
    </w:p>
  </w:footnote>
  <w:footnote w:id="28">
    <w:p w14:paraId="0F93A6EF" w14:textId="36A72204" w:rsidR="006311CB" w:rsidRDefault="006311CB">
      <w:pPr>
        <w:pStyle w:val="FootnoteText"/>
      </w:pPr>
      <w:r>
        <w:rPr>
          <w:rStyle w:val="FootnoteReference"/>
        </w:rPr>
        <w:footnoteRef/>
      </w:r>
      <w:r>
        <w:t xml:space="preserve"> </w:t>
      </w:r>
      <w:r>
        <w:fldChar w:fldCharType="begin" w:fldLock="1"/>
      </w:r>
      <w:r>
        <w:instrText>ADDIN CSL_CITATION {"citationItems":[{"id":"ITEM-1","itemData":{"DOI":"10.21043/ziswaf.v8i1.10519","ISSN":"2477-5347","author":[{"dropping-particle":"","family":"Fikriyah","given":"Khusnul","non-dropping-particle":"","parse-names":false,"suffix":""}],"container-title":"ZISWAF: JURNAL ZAKAT DAN WAKAF","id":"ITEM-1","issue":"1","issued":{"date-parts":[["2021"]]},"note":"Query date: 2024-12-20 14:52:27","page":"34","publisher":"State Islamic College of Kudus","title":"Comparison of the Views of Classical Fiqh Ulama and Contemporary Fiqh Ulama on the Use of Zakat Maal for the Development of Educational and Da'wah Institutions","type":"article-journal","volume":"8"},"uris":["http://www.mendeley.com/documents/?uuid=41415364-77de-4159-ab39-57e84e90e727"]}],"mendeley":{"formattedCitation":"Khusnul Fikriyah, “Comparison of the Views of Classical Fiqh Ulama and Contemporary Fiqh Ulama on the Use of Zakat Maal for the Development of Educational and Da’wah Institutions,” &lt;i&gt;ZISWAF: JURNAL ZAKAT DAN WAKAF&lt;/i&gt; 8, no. 1 (2021): 34, https://doi.org/10.21043/ziswaf.v8i1.10519.","plainTextFormattedCitation":"Khusnul Fikriyah, “Comparison of the Views of Classical Fiqh Ulama and Contemporary Fiqh Ulama on the Use of Zakat Maal for the Development of Educational and Da’wah Institutions,” ZISWAF: JURNAL ZAKAT DAN WAKAF 8, no. 1 (2021): 34, https://doi.org/10.21043/ziswaf.v8i1.10519.","previouslyFormattedCitation":"Khusnul Fikriyah, “Comparison of the Views of Classical Fiqh Ulama and Contemporary Fiqh Ulama on the Use of Zakat Maal for the Development of Educational and Da’wah Institutions,” &lt;i&gt;ZISWAF: JURNAL ZAKAT DAN WAKAF&lt;/i&gt; 8, no. 1 (2021): 34, https://doi.org/10.21043/ziswaf.v8i1.10519."},"properties":{"noteIndex":28},"schema":"https://github.com/citation-style-language/schema/raw/master/csl-citation.json"}</w:instrText>
      </w:r>
      <w:r>
        <w:fldChar w:fldCharType="separate"/>
      </w:r>
      <w:r w:rsidRPr="006311CB">
        <w:rPr>
          <w:noProof/>
        </w:rPr>
        <w:t xml:space="preserve">Khusnul Fikriyah, “Comparison of the Views of Classical Fiqh Ulama and Contemporary Fiqh Ulama on the Use of Zakat Maal for the Development of Educational and Da’wah Institutions,” </w:t>
      </w:r>
      <w:r w:rsidRPr="006311CB">
        <w:rPr>
          <w:i/>
          <w:noProof/>
        </w:rPr>
        <w:t>ZISWAF: JURNAL ZAKAT DAN WAKAF</w:t>
      </w:r>
      <w:r w:rsidRPr="006311CB">
        <w:rPr>
          <w:noProof/>
        </w:rPr>
        <w:t xml:space="preserve"> 8, no. 1 (2021): 34, https://doi.org/10.21043/ziswaf.v8i1.10519.</w:t>
      </w:r>
      <w:r>
        <w:fldChar w:fldCharType="end"/>
      </w:r>
    </w:p>
  </w:footnote>
  <w:footnote w:id="29">
    <w:p w14:paraId="2E2C89C8" w14:textId="37F9271C" w:rsidR="006311CB" w:rsidRDefault="006311CB">
      <w:pPr>
        <w:pStyle w:val="FootnoteText"/>
      </w:pPr>
      <w:r>
        <w:rPr>
          <w:rStyle w:val="FootnoteReference"/>
        </w:rPr>
        <w:footnoteRef/>
      </w:r>
      <w:r>
        <w:t xml:space="preserve"> </w:t>
      </w:r>
      <w:r>
        <w:fldChar w:fldCharType="begin" w:fldLock="1"/>
      </w:r>
      <w:r>
        <w:instrText>ADDIN CSL_CITATION {"citationItems":[{"id":"ITEM-1","itemData":{"DOI":"10.61810/ijss.v1i1.1","ISSN":"3026-2208","abstract":"Sirri marriage or marriage under the hand is a marriage that is kept secret and not registered and not recorded based on applicable regulations. The validity of marriage under sirri according to fiqh and positive law conflicts with opinion. This article reviews these provisions based on the views of the scholars of the madhab (fiqh) and the provisions of positive law based on Law Number 1 of 1974 concerning marriage and its derivative regulations, as well as the Compilation of Islamic Law. According to fiqh law, marriage is still valid as long as it fulfils the pillars and conditions of marriage according to Islamic law. Meanwhile, according to positive law, the sirri marriage is not recognized. It will have adverse effects on children born, namely not getting legal protection for children’s rights, including the right to inheritance from their biological father and mother. However, when viewed through the lens of fiqh law, children who are born are considered to still get their rights from their father and mother, including being able to inherit property from both parents.","author":[{"dropping-particle":"","family":"Anshari","given":"Nur","non-dropping-particle":"","parse-names":false,"suffix":""}],"container-title":"International Journal of Sharia Studies","id":"ITEM-1","issue":"1","issued":{"date-parts":[["2023"]]},"note":"Query date: 2024-09-04 15:01:15","publisher":"Tunas Institute","title":"Inheritance rights of children from sirri marriages: An analysis based on fiqh and positive law in Indonesia","type":"article-journal","volume":"1"},"uris":["http://www.mendeley.com/documents/?uuid=ed222ce6-b24e-4e0d-a783-81080d49aa62"]}],"mendeley":{"formattedCitation":"Nur Anshari, “Inheritance Rights of Children from Sirri Marriages: An Analysis Based on Fiqh and Positive Law in Indonesia,” &lt;i&gt;International Journal of Sharia Studies&lt;/i&gt; 1, no. 1 (2023), https://doi.org/10.61810/ijss.v1i1.1.","plainTextFormattedCitation":"Nur Anshari, “Inheritance Rights of Children from Sirri Marriages: An Analysis Based on Fiqh and Positive Law in Indonesia,” International Journal of Sharia Studies 1, no. 1 (2023), https://doi.org/10.61810/ijss.v1i1.1.","previouslyFormattedCitation":"Nur Anshari, “Inheritance Rights of Children from Sirri Marriages: An Analysis Based on Fiqh and Positive Law in Indonesia,” &lt;i&gt;International Journal of Sharia Studies&lt;/i&gt; 1, no. 1 (2023), https://doi.org/10.61810/ijss.v1i1.1."},"properties":{"noteIndex":29},"schema":"https://github.com/citation-style-language/schema/raw/master/csl-citation.json"}</w:instrText>
      </w:r>
      <w:r>
        <w:fldChar w:fldCharType="separate"/>
      </w:r>
      <w:r w:rsidRPr="006311CB">
        <w:rPr>
          <w:noProof/>
        </w:rPr>
        <w:t xml:space="preserve">Nur Anshari, “Inheritance Rights of Children from Sirri Marriages: An Analysis Based on Fiqh and Positive Law in Indonesia,” </w:t>
      </w:r>
      <w:r w:rsidRPr="006311CB">
        <w:rPr>
          <w:i/>
          <w:noProof/>
        </w:rPr>
        <w:t>International Journal of Sharia Studies</w:t>
      </w:r>
      <w:r w:rsidRPr="006311CB">
        <w:rPr>
          <w:noProof/>
        </w:rPr>
        <w:t xml:space="preserve"> 1, no. 1 (2023), https://doi.org/10.61810/ijss.v1i1.1.</w:t>
      </w:r>
      <w:r>
        <w:fldChar w:fldCharType="end"/>
      </w:r>
    </w:p>
  </w:footnote>
  <w:footnote w:id="30">
    <w:p w14:paraId="02756055" w14:textId="4301D594" w:rsidR="006311CB" w:rsidRDefault="006311CB">
      <w:pPr>
        <w:pStyle w:val="FootnoteText"/>
      </w:pPr>
      <w:r>
        <w:rPr>
          <w:rStyle w:val="FootnoteReference"/>
        </w:rPr>
        <w:footnoteRef/>
      </w:r>
      <w:r>
        <w:t xml:space="preserve"> </w:t>
      </w:r>
      <w:r>
        <w:fldChar w:fldCharType="begin" w:fldLock="1"/>
      </w:r>
      <w:r>
        <w:instrText>ADDIN CSL_CITATION {"citationItems":[{"id":"ITEM-1","itemData":{"DOI":"10.21070/halaqa.v5i2.1575","ISSN":"2503-5045","abstract":"This research is motivated by the increasing fanaticism of the Fiqh school among students, and it's still found that fiqh books are too exclusive to discuss one particular school, without explaining the meaning of other schools. From this background, several questions arise, including what the attitude of tolerance in the Fiqh textbooks for class VII MTs? What is the concept of tolerance in the Tasamuh approach from the perspective of Fiqh Wahbah Musthofa al-Zuhaili? And what is the relevance of the tolerance attitude of Tasamuh's approach in the perspective of Fiqh Wahbah Musthofa al-Zuhaili in the seventh-grade Islamic Jurisprudence textbook? The purpose of this research is to be a reference for the government and other academics on how fiqh textbooks become more inclusive of differences. This type of research uses a literature study with a qualitative descriptive research approach, while the method of analysis is in the form of content analysis. From this research, it can be concluded: First, that not all Wasatiyah Islamic values are explained in Fiqh textbooks. Second, this part of the Fiqh textbook has accommodated different understandings of Islam well. However, it turns out that many parts of the textbook present one interpretation without including a different interpretation. Third, from several research results that researchers have examined that there is a link between intolerance that occurs in Indonesia and the concept of tolerance in textbooks. The researcher also found that most PAI and Tsanawiyah teachers stated that the Fiqh textbooks used in schools did not contain differences and tended to contain only one understanding of Islamic groups.","author":[{"dropping-particle":"","family":"Ma'arif","given":"Syamsul","non-dropping-particle":"","parse-names":false,"suffix":""},{"dropping-particle":"","family":"Hadi","given":"Muhammad Fazlurrahman","non-dropping-particle":"","parse-names":false,"suffix":""}],"container-title":"Halaqa: Islamic Education Journal","id":"ITEM-1","issue":"2","issued":{"date-parts":[["2021"]]},"note":"Query date: 2024-12-20 14:52:27","page":"179-185","publisher":"Universitas Muhammadiyah Sidoarjo","title":"Analysis of Fiqh Textbooks at Madrasah Tsanawiyah Class VII The Tasamuh Approach in the Perspective of Fiqh Wahbah Musthofa Al-Zuhaili","type":"article-journal","volume":"5"},"uris":["http://www.mendeley.com/documents/?uuid=efa4a71d-c461-4d39-b78e-1c0951241911"]}],"mendeley":{"formattedCitation":"Syamsul Ma’arif and Muhammad Fazlurrahman Hadi, “Analysis of Fiqh Textbooks at Madrasah Tsanawiyah Class VII The Tasamuh Approach in the Perspective of Fiqh Wahbah Musthofa Al-Zuhaili,” &lt;i&gt;Halaqa: Islamic Education Journal&lt;/i&gt; 5, no. 2 (2021): 179–85, https://doi.org/10.21070/halaqa.v5i2.1575.","plainTextFormattedCitation":"Syamsul Ma’arif and Muhammad Fazlurrahman Hadi, “Analysis of Fiqh Textbooks at Madrasah Tsanawiyah Class VII The Tasamuh Approach in the Perspective of Fiqh Wahbah Musthofa Al-Zuhaili,” Halaqa: Islamic Education Journal 5, no. 2 (2021): 179–85, https://doi.org/10.21070/halaqa.v5i2.1575.","previouslyFormattedCitation":"Syamsul Ma’arif and Muhammad Fazlurrahman Hadi, “Analysis of Fiqh Textbooks at Madrasah Tsanawiyah Class VII The Tasamuh Approach in the Perspective of Fiqh Wahbah Musthofa Al-Zuhaili,” &lt;i&gt;Halaqa: Islamic Education Journal&lt;/i&gt; 5, no. 2 (2021): 179–85, https://doi.org/10.21070/halaqa.v5i2.1575."},"properties":{"noteIndex":30},"schema":"https://github.com/citation-style-language/schema/raw/master/csl-citation.json"}</w:instrText>
      </w:r>
      <w:r>
        <w:fldChar w:fldCharType="separate"/>
      </w:r>
      <w:r w:rsidRPr="006311CB">
        <w:rPr>
          <w:noProof/>
        </w:rPr>
        <w:t xml:space="preserve">Syamsul Ma’arif and Muhammad Fazlurrahman Hadi, “Analysis of Fiqh Textbooks at Madrasah Tsanawiyah Class VII The Tasamuh Approach in the Perspective of Fiqh Wahbah Musthofa Al-Zuhaili,” </w:t>
      </w:r>
      <w:r w:rsidRPr="006311CB">
        <w:rPr>
          <w:i/>
          <w:noProof/>
        </w:rPr>
        <w:t>Halaqa: Islamic Education Journal</w:t>
      </w:r>
      <w:r w:rsidRPr="006311CB">
        <w:rPr>
          <w:noProof/>
        </w:rPr>
        <w:t xml:space="preserve"> 5, no. 2 (2021): 179–85, https://doi.org/10.21070/halaqa.v5i2.1575.</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D59D"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2" w:name="_Hlk490921290"/>
    <w:bookmarkStart w:id="3" w:name="_Hlk490921291"/>
    <w:bookmarkStart w:id="4" w:name="_Hlk490921292"/>
  </w:p>
  <w:p w14:paraId="5946E251"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6.5pt;height:14pt;visibility:visible" o:bullet="t">
        <v:imagedata r:id="rId1" o:title="1200px-DOI_logo"/>
      </v:shape>
    </w:pic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09498D"/>
    <w:multiLevelType w:val="multilevel"/>
    <w:tmpl w:val="542C896E"/>
    <w:lvl w:ilvl="0">
      <w:start w:val="1"/>
      <w:numFmt w:val="decimal"/>
      <w:lvlText w:val="%1."/>
      <w:lvlJc w:val="left"/>
      <w:pPr>
        <w:ind w:left="720" w:hanging="360"/>
      </w:pPr>
      <w:rPr>
        <w:rFonts w:hint="default"/>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lvlText w:val="3.%3"/>
      <w:lvlJc w:val="left"/>
      <w:pPr>
        <w:ind w:left="1080" w:hanging="720"/>
      </w:pPr>
      <w:rPr>
        <w:rFonts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15:restartNumberingAfterBreak="0">
    <w:nsid w:val="16F1523C"/>
    <w:multiLevelType w:val="hybridMultilevel"/>
    <w:tmpl w:val="1C5EC2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D7E2B27"/>
    <w:multiLevelType w:val="multilevel"/>
    <w:tmpl w:val="7C0E83E4"/>
    <w:lvl w:ilvl="0">
      <w:start w:val="1"/>
      <w:numFmt w:val="decimal"/>
      <w:lvlText w:val="%1"/>
      <w:lvlJc w:val="left"/>
      <w:pPr>
        <w:ind w:left="360" w:hanging="360"/>
      </w:pPr>
      <w:rPr>
        <w:rFonts w:cstheme="majorHAnsi" w:hint="default"/>
        <w:b/>
        <w:color w:val="000000" w:themeColor="text1"/>
      </w:rPr>
    </w:lvl>
    <w:lvl w:ilvl="1">
      <w:start w:val="1"/>
      <w:numFmt w:val="decimal"/>
      <w:lvlText w:val="%1.%2"/>
      <w:lvlJc w:val="left"/>
      <w:pPr>
        <w:ind w:left="1440" w:hanging="360"/>
      </w:pPr>
      <w:rPr>
        <w:rFonts w:cstheme="majorHAnsi" w:hint="default"/>
        <w:b/>
        <w:color w:val="000000" w:themeColor="text1"/>
      </w:rPr>
    </w:lvl>
    <w:lvl w:ilvl="2">
      <w:start w:val="1"/>
      <w:numFmt w:val="decimal"/>
      <w:lvlText w:val="%1.%2.%3"/>
      <w:lvlJc w:val="left"/>
      <w:pPr>
        <w:ind w:left="2880" w:hanging="720"/>
      </w:pPr>
      <w:rPr>
        <w:rFonts w:cstheme="majorHAnsi" w:hint="default"/>
        <w:b/>
        <w:color w:val="000000" w:themeColor="text1"/>
      </w:rPr>
    </w:lvl>
    <w:lvl w:ilvl="3">
      <w:start w:val="1"/>
      <w:numFmt w:val="decimal"/>
      <w:lvlText w:val="%1.%2.%3.%4"/>
      <w:lvlJc w:val="left"/>
      <w:pPr>
        <w:ind w:left="4320" w:hanging="1080"/>
      </w:pPr>
      <w:rPr>
        <w:rFonts w:cstheme="majorHAnsi" w:hint="default"/>
        <w:b/>
        <w:color w:val="000000" w:themeColor="text1"/>
      </w:rPr>
    </w:lvl>
    <w:lvl w:ilvl="4">
      <w:start w:val="1"/>
      <w:numFmt w:val="decimal"/>
      <w:lvlText w:val="%1.%2.%3.%4.%5"/>
      <w:lvlJc w:val="left"/>
      <w:pPr>
        <w:ind w:left="5400" w:hanging="1080"/>
      </w:pPr>
      <w:rPr>
        <w:rFonts w:cstheme="majorHAnsi" w:hint="default"/>
        <w:b/>
        <w:color w:val="000000" w:themeColor="text1"/>
      </w:rPr>
    </w:lvl>
    <w:lvl w:ilvl="5">
      <w:start w:val="1"/>
      <w:numFmt w:val="decimal"/>
      <w:lvlText w:val="%1.%2.%3.%4.%5.%6"/>
      <w:lvlJc w:val="left"/>
      <w:pPr>
        <w:ind w:left="6840" w:hanging="1440"/>
      </w:pPr>
      <w:rPr>
        <w:rFonts w:cstheme="majorHAnsi" w:hint="default"/>
        <w:b/>
        <w:color w:val="000000" w:themeColor="text1"/>
      </w:rPr>
    </w:lvl>
    <w:lvl w:ilvl="6">
      <w:start w:val="1"/>
      <w:numFmt w:val="decimal"/>
      <w:lvlText w:val="%1.%2.%3.%4.%5.%6.%7"/>
      <w:lvlJc w:val="left"/>
      <w:pPr>
        <w:ind w:left="7920" w:hanging="1440"/>
      </w:pPr>
      <w:rPr>
        <w:rFonts w:cstheme="majorHAnsi" w:hint="default"/>
        <w:b/>
        <w:color w:val="000000" w:themeColor="text1"/>
      </w:rPr>
    </w:lvl>
    <w:lvl w:ilvl="7">
      <w:start w:val="1"/>
      <w:numFmt w:val="decimal"/>
      <w:lvlText w:val="%1.%2.%3.%4.%5.%6.%7.%8"/>
      <w:lvlJc w:val="left"/>
      <w:pPr>
        <w:ind w:left="9360" w:hanging="1800"/>
      </w:pPr>
      <w:rPr>
        <w:rFonts w:cstheme="majorHAnsi" w:hint="default"/>
        <w:b/>
        <w:color w:val="000000" w:themeColor="text1"/>
      </w:rPr>
    </w:lvl>
    <w:lvl w:ilvl="8">
      <w:start w:val="1"/>
      <w:numFmt w:val="decimal"/>
      <w:lvlText w:val="%1.%2.%3.%4.%5.%6.%7.%8.%9"/>
      <w:lvlJc w:val="left"/>
      <w:pPr>
        <w:ind w:left="10440" w:hanging="1800"/>
      </w:pPr>
      <w:rPr>
        <w:rFonts w:cstheme="majorHAnsi" w:hint="default"/>
        <w:b/>
        <w:color w:val="000000" w:themeColor="text1"/>
      </w:rPr>
    </w:lvl>
  </w:abstractNum>
  <w:abstractNum w:abstractNumId="11" w15:restartNumberingAfterBreak="0">
    <w:nsid w:val="22C92603"/>
    <w:multiLevelType w:val="multilevel"/>
    <w:tmpl w:val="01F6BA06"/>
    <w:lvl w:ilvl="0">
      <w:start w:val="2"/>
      <w:numFmt w:val="decimal"/>
      <w:lvlText w:val="%1"/>
      <w:lvlJc w:val="left"/>
      <w:pPr>
        <w:ind w:left="360" w:hanging="360"/>
      </w:pPr>
      <w:rPr>
        <w:rFonts w:cstheme="majorHAnsi" w:hint="default"/>
        <w:b/>
        <w:sz w:val="24"/>
      </w:rPr>
    </w:lvl>
    <w:lvl w:ilvl="1">
      <w:start w:val="1"/>
      <w:numFmt w:val="decimal"/>
      <w:lvlText w:val="%1.%2"/>
      <w:lvlJc w:val="left"/>
      <w:pPr>
        <w:ind w:left="927" w:hanging="360"/>
      </w:pPr>
      <w:rPr>
        <w:rFonts w:cstheme="majorHAnsi" w:hint="default"/>
        <w:b/>
        <w:sz w:val="24"/>
      </w:rPr>
    </w:lvl>
    <w:lvl w:ilvl="2">
      <w:start w:val="1"/>
      <w:numFmt w:val="decimal"/>
      <w:lvlText w:val="%1.%2.%3"/>
      <w:lvlJc w:val="left"/>
      <w:pPr>
        <w:ind w:left="1854" w:hanging="720"/>
      </w:pPr>
      <w:rPr>
        <w:rFonts w:cstheme="majorHAnsi" w:hint="default"/>
        <w:b/>
        <w:sz w:val="24"/>
      </w:rPr>
    </w:lvl>
    <w:lvl w:ilvl="3">
      <w:start w:val="1"/>
      <w:numFmt w:val="decimal"/>
      <w:lvlText w:val="%1.%2.%3.%4"/>
      <w:lvlJc w:val="left"/>
      <w:pPr>
        <w:ind w:left="2421" w:hanging="720"/>
      </w:pPr>
      <w:rPr>
        <w:rFonts w:cstheme="majorHAnsi" w:hint="default"/>
        <w:b/>
        <w:sz w:val="24"/>
      </w:rPr>
    </w:lvl>
    <w:lvl w:ilvl="4">
      <w:start w:val="1"/>
      <w:numFmt w:val="decimal"/>
      <w:lvlText w:val="%1.%2.%3.%4.%5"/>
      <w:lvlJc w:val="left"/>
      <w:pPr>
        <w:ind w:left="3348" w:hanging="1080"/>
      </w:pPr>
      <w:rPr>
        <w:rFonts w:cstheme="majorHAnsi" w:hint="default"/>
        <w:b/>
        <w:sz w:val="24"/>
      </w:rPr>
    </w:lvl>
    <w:lvl w:ilvl="5">
      <w:start w:val="1"/>
      <w:numFmt w:val="decimal"/>
      <w:lvlText w:val="%1.%2.%3.%4.%5.%6"/>
      <w:lvlJc w:val="left"/>
      <w:pPr>
        <w:ind w:left="3915" w:hanging="1080"/>
      </w:pPr>
      <w:rPr>
        <w:rFonts w:cstheme="majorHAnsi" w:hint="default"/>
        <w:b/>
        <w:sz w:val="24"/>
      </w:rPr>
    </w:lvl>
    <w:lvl w:ilvl="6">
      <w:start w:val="1"/>
      <w:numFmt w:val="decimal"/>
      <w:lvlText w:val="%1.%2.%3.%4.%5.%6.%7"/>
      <w:lvlJc w:val="left"/>
      <w:pPr>
        <w:ind w:left="4842" w:hanging="1440"/>
      </w:pPr>
      <w:rPr>
        <w:rFonts w:cstheme="majorHAnsi" w:hint="default"/>
        <w:b/>
        <w:sz w:val="24"/>
      </w:rPr>
    </w:lvl>
    <w:lvl w:ilvl="7">
      <w:start w:val="1"/>
      <w:numFmt w:val="decimal"/>
      <w:lvlText w:val="%1.%2.%3.%4.%5.%6.%7.%8"/>
      <w:lvlJc w:val="left"/>
      <w:pPr>
        <w:ind w:left="5769" w:hanging="1800"/>
      </w:pPr>
      <w:rPr>
        <w:rFonts w:cstheme="majorHAnsi" w:hint="default"/>
        <w:b/>
        <w:sz w:val="24"/>
      </w:rPr>
    </w:lvl>
    <w:lvl w:ilvl="8">
      <w:start w:val="1"/>
      <w:numFmt w:val="decimal"/>
      <w:lvlText w:val="%1.%2.%3.%4.%5.%6.%7.%8.%9"/>
      <w:lvlJc w:val="left"/>
      <w:pPr>
        <w:ind w:left="6336" w:hanging="1800"/>
      </w:pPr>
      <w:rPr>
        <w:rFonts w:cstheme="majorHAnsi" w:hint="default"/>
        <w:b/>
        <w:sz w:val="24"/>
      </w:rPr>
    </w:lvl>
  </w:abstractNum>
  <w:abstractNum w:abstractNumId="12"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4"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9E53F1"/>
    <w:multiLevelType w:val="hybridMultilevel"/>
    <w:tmpl w:val="37FAC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0808EA"/>
    <w:multiLevelType w:val="multilevel"/>
    <w:tmpl w:val="EA8A6BAA"/>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0"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1"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9D0A0E"/>
    <w:multiLevelType w:val="hybridMultilevel"/>
    <w:tmpl w:val="6D3ABB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38195205">
    <w:abstractNumId w:val="18"/>
  </w:num>
  <w:num w:numId="2" w16cid:durableId="786629272">
    <w:abstractNumId w:val="19"/>
  </w:num>
  <w:num w:numId="3" w16cid:durableId="225334767">
    <w:abstractNumId w:val="7"/>
  </w:num>
  <w:num w:numId="4" w16cid:durableId="478308815">
    <w:abstractNumId w:val="13"/>
  </w:num>
  <w:num w:numId="5" w16cid:durableId="1844857486">
    <w:abstractNumId w:val="20"/>
  </w:num>
  <w:num w:numId="6" w16cid:durableId="931740727">
    <w:abstractNumId w:val="0"/>
  </w:num>
  <w:num w:numId="7" w16cid:durableId="847251310">
    <w:abstractNumId w:val="4"/>
  </w:num>
  <w:num w:numId="8" w16cid:durableId="1822888173">
    <w:abstractNumId w:val="3"/>
  </w:num>
  <w:num w:numId="9" w16cid:durableId="2586545">
    <w:abstractNumId w:val="2"/>
  </w:num>
  <w:num w:numId="10" w16cid:durableId="1251086308">
    <w:abstractNumId w:val="1"/>
  </w:num>
  <w:num w:numId="11" w16cid:durableId="1125736509">
    <w:abstractNumId w:val="6"/>
  </w:num>
  <w:num w:numId="12" w16cid:durableId="1481383967">
    <w:abstractNumId w:val="14"/>
  </w:num>
  <w:num w:numId="13" w16cid:durableId="653334622">
    <w:abstractNumId w:val="22"/>
  </w:num>
  <w:num w:numId="14" w16cid:durableId="1672216638">
    <w:abstractNumId w:val="21"/>
  </w:num>
  <w:num w:numId="15" w16cid:durableId="1561864900">
    <w:abstractNumId w:val="12"/>
  </w:num>
  <w:num w:numId="16" w16cid:durableId="150172145">
    <w:abstractNumId w:val="17"/>
  </w:num>
  <w:num w:numId="17" w16cid:durableId="779758092">
    <w:abstractNumId w:val="5"/>
  </w:num>
  <w:num w:numId="18" w16cid:durableId="1682321032">
    <w:abstractNumId w:val="8"/>
  </w:num>
  <w:num w:numId="19" w16cid:durableId="1762798302">
    <w:abstractNumId w:val="23"/>
  </w:num>
  <w:num w:numId="20" w16cid:durableId="1620061493">
    <w:abstractNumId w:val="10"/>
  </w:num>
  <w:num w:numId="21" w16cid:durableId="1800411611">
    <w:abstractNumId w:val="11"/>
  </w:num>
  <w:num w:numId="22" w16cid:durableId="620769198">
    <w:abstractNumId w:val="16"/>
  </w:num>
  <w:num w:numId="23" w16cid:durableId="280235010">
    <w:abstractNumId w:val="15"/>
  </w:num>
  <w:num w:numId="24" w16cid:durableId="1673678597">
    <w:abstractNumId w:val="24"/>
  </w:num>
  <w:num w:numId="25" w16cid:durableId="1011688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20DD"/>
    <w:rsid w:val="00003122"/>
    <w:rsid w:val="00003C43"/>
    <w:rsid w:val="00005A2E"/>
    <w:rsid w:val="0001120B"/>
    <w:rsid w:val="00011808"/>
    <w:rsid w:val="00014A2C"/>
    <w:rsid w:val="00015ABE"/>
    <w:rsid w:val="00023880"/>
    <w:rsid w:val="00023DA6"/>
    <w:rsid w:val="000327A9"/>
    <w:rsid w:val="00044116"/>
    <w:rsid w:val="00046A90"/>
    <w:rsid w:val="00046AF5"/>
    <w:rsid w:val="00050546"/>
    <w:rsid w:val="0005128B"/>
    <w:rsid w:val="00052E06"/>
    <w:rsid w:val="000554A5"/>
    <w:rsid w:val="000572B7"/>
    <w:rsid w:val="00063C82"/>
    <w:rsid w:val="00065E48"/>
    <w:rsid w:val="000715EA"/>
    <w:rsid w:val="000775E8"/>
    <w:rsid w:val="000822BD"/>
    <w:rsid w:val="00087494"/>
    <w:rsid w:val="00087E31"/>
    <w:rsid w:val="0009619F"/>
    <w:rsid w:val="0009788A"/>
    <w:rsid w:val="000A05AE"/>
    <w:rsid w:val="000A091C"/>
    <w:rsid w:val="000A5878"/>
    <w:rsid w:val="000B09AB"/>
    <w:rsid w:val="000B14BF"/>
    <w:rsid w:val="000B1CE8"/>
    <w:rsid w:val="000B3752"/>
    <w:rsid w:val="000B5F04"/>
    <w:rsid w:val="000C1C1E"/>
    <w:rsid w:val="000C5F58"/>
    <w:rsid w:val="000C62F7"/>
    <w:rsid w:val="000D29BA"/>
    <w:rsid w:val="000D3C3E"/>
    <w:rsid w:val="000D41BE"/>
    <w:rsid w:val="000D479C"/>
    <w:rsid w:val="000D6448"/>
    <w:rsid w:val="000E018D"/>
    <w:rsid w:val="000E48CB"/>
    <w:rsid w:val="000E6D81"/>
    <w:rsid w:val="000F3B4F"/>
    <w:rsid w:val="000F4488"/>
    <w:rsid w:val="000F7008"/>
    <w:rsid w:val="000F7C86"/>
    <w:rsid w:val="001049C6"/>
    <w:rsid w:val="0010788E"/>
    <w:rsid w:val="001161B0"/>
    <w:rsid w:val="00116CDD"/>
    <w:rsid w:val="00122497"/>
    <w:rsid w:val="00123CDB"/>
    <w:rsid w:val="001242D9"/>
    <w:rsid w:val="00124D8C"/>
    <w:rsid w:val="00136A1D"/>
    <w:rsid w:val="00141AEB"/>
    <w:rsid w:val="00141B61"/>
    <w:rsid w:val="00145BAE"/>
    <w:rsid w:val="0014772F"/>
    <w:rsid w:val="00151C3E"/>
    <w:rsid w:val="001520B9"/>
    <w:rsid w:val="001539AC"/>
    <w:rsid w:val="00154A86"/>
    <w:rsid w:val="001610A2"/>
    <w:rsid w:val="00163F20"/>
    <w:rsid w:val="00164424"/>
    <w:rsid w:val="00164B5C"/>
    <w:rsid w:val="00167CC3"/>
    <w:rsid w:val="00170E34"/>
    <w:rsid w:val="001720AE"/>
    <w:rsid w:val="00176767"/>
    <w:rsid w:val="00177044"/>
    <w:rsid w:val="00183EBA"/>
    <w:rsid w:val="00184949"/>
    <w:rsid w:val="00185CD9"/>
    <w:rsid w:val="001862CD"/>
    <w:rsid w:val="001A42EB"/>
    <w:rsid w:val="001A55CA"/>
    <w:rsid w:val="001A5B3C"/>
    <w:rsid w:val="001A6FE1"/>
    <w:rsid w:val="001B027D"/>
    <w:rsid w:val="001B16F3"/>
    <w:rsid w:val="001B212E"/>
    <w:rsid w:val="001B3470"/>
    <w:rsid w:val="001B4FFE"/>
    <w:rsid w:val="001B73CF"/>
    <w:rsid w:val="001B7BE7"/>
    <w:rsid w:val="001C13EC"/>
    <w:rsid w:val="001C2D0B"/>
    <w:rsid w:val="001D204F"/>
    <w:rsid w:val="001E0B40"/>
    <w:rsid w:val="001F2BA3"/>
    <w:rsid w:val="001F5296"/>
    <w:rsid w:val="001F73E9"/>
    <w:rsid w:val="00200DA7"/>
    <w:rsid w:val="00201A60"/>
    <w:rsid w:val="002022E7"/>
    <w:rsid w:val="00203F76"/>
    <w:rsid w:val="00204D8C"/>
    <w:rsid w:val="0020773C"/>
    <w:rsid w:val="002119FE"/>
    <w:rsid w:val="00213935"/>
    <w:rsid w:val="00215AA9"/>
    <w:rsid w:val="00215FF0"/>
    <w:rsid w:val="00222ABB"/>
    <w:rsid w:val="0022358B"/>
    <w:rsid w:val="00223602"/>
    <w:rsid w:val="00224963"/>
    <w:rsid w:val="0023165A"/>
    <w:rsid w:val="00243F40"/>
    <w:rsid w:val="00244694"/>
    <w:rsid w:val="00247B6A"/>
    <w:rsid w:val="0025070C"/>
    <w:rsid w:val="00251F9C"/>
    <w:rsid w:val="00256527"/>
    <w:rsid w:val="0025739B"/>
    <w:rsid w:val="0026676C"/>
    <w:rsid w:val="002810B7"/>
    <w:rsid w:val="00284DA6"/>
    <w:rsid w:val="00285C8E"/>
    <w:rsid w:val="002903F0"/>
    <w:rsid w:val="00292DF3"/>
    <w:rsid w:val="0029509B"/>
    <w:rsid w:val="00297E00"/>
    <w:rsid w:val="002A0E6C"/>
    <w:rsid w:val="002A48D9"/>
    <w:rsid w:val="002B0C1A"/>
    <w:rsid w:val="002B6553"/>
    <w:rsid w:val="002C01AB"/>
    <w:rsid w:val="002C02F0"/>
    <w:rsid w:val="002C09E4"/>
    <w:rsid w:val="002C65DB"/>
    <w:rsid w:val="002D01BC"/>
    <w:rsid w:val="002D252C"/>
    <w:rsid w:val="002D7889"/>
    <w:rsid w:val="002E0D04"/>
    <w:rsid w:val="002E2156"/>
    <w:rsid w:val="002E3324"/>
    <w:rsid w:val="002E4144"/>
    <w:rsid w:val="002F15D6"/>
    <w:rsid w:val="002F2A28"/>
    <w:rsid w:val="002F4EAC"/>
    <w:rsid w:val="002F7873"/>
    <w:rsid w:val="003023F8"/>
    <w:rsid w:val="003028A1"/>
    <w:rsid w:val="00302AAA"/>
    <w:rsid w:val="00303BA8"/>
    <w:rsid w:val="003045E4"/>
    <w:rsid w:val="00307758"/>
    <w:rsid w:val="00311B81"/>
    <w:rsid w:val="0031227B"/>
    <w:rsid w:val="00322CC7"/>
    <w:rsid w:val="00323887"/>
    <w:rsid w:val="00323A6E"/>
    <w:rsid w:val="00325946"/>
    <w:rsid w:val="0032739E"/>
    <w:rsid w:val="003317B7"/>
    <w:rsid w:val="00332B9B"/>
    <w:rsid w:val="00332D4B"/>
    <w:rsid w:val="00334F9D"/>
    <w:rsid w:val="00337CB5"/>
    <w:rsid w:val="00337E1A"/>
    <w:rsid w:val="00342C78"/>
    <w:rsid w:val="00343F50"/>
    <w:rsid w:val="00351324"/>
    <w:rsid w:val="0035446F"/>
    <w:rsid w:val="0035562C"/>
    <w:rsid w:val="00363A61"/>
    <w:rsid w:val="0036504F"/>
    <w:rsid w:val="00365E13"/>
    <w:rsid w:val="00374F43"/>
    <w:rsid w:val="00375FE4"/>
    <w:rsid w:val="00381694"/>
    <w:rsid w:val="00381D74"/>
    <w:rsid w:val="0038264A"/>
    <w:rsid w:val="00383CB7"/>
    <w:rsid w:val="003844F8"/>
    <w:rsid w:val="00384A23"/>
    <w:rsid w:val="00385250"/>
    <w:rsid w:val="00385623"/>
    <w:rsid w:val="00385B3D"/>
    <w:rsid w:val="00394924"/>
    <w:rsid w:val="003962B0"/>
    <w:rsid w:val="003A0113"/>
    <w:rsid w:val="003A0FB5"/>
    <w:rsid w:val="003A7091"/>
    <w:rsid w:val="003B1A7B"/>
    <w:rsid w:val="003B3B74"/>
    <w:rsid w:val="003B6B36"/>
    <w:rsid w:val="003B7F17"/>
    <w:rsid w:val="003C34DF"/>
    <w:rsid w:val="003C532A"/>
    <w:rsid w:val="003C6CE2"/>
    <w:rsid w:val="003D1CB2"/>
    <w:rsid w:val="003D3F19"/>
    <w:rsid w:val="003D5875"/>
    <w:rsid w:val="003D70E2"/>
    <w:rsid w:val="003E1887"/>
    <w:rsid w:val="003E5D47"/>
    <w:rsid w:val="003E62C7"/>
    <w:rsid w:val="003F1E5D"/>
    <w:rsid w:val="003F35CB"/>
    <w:rsid w:val="003F3EE6"/>
    <w:rsid w:val="0040054B"/>
    <w:rsid w:val="004021A6"/>
    <w:rsid w:val="00404A63"/>
    <w:rsid w:val="00405FC2"/>
    <w:rsid w:val="00410C32"/>
    <w:rsid w:val="00411302"/>
    <w:rsid w:val="0041394B"/>
    <w:rsid w:val="0041449D"/>
    <w:rsid w:val="00414A05"/>
    <w:rsid w:val="00420F09"/>
    <w:rsid w:val="004218C6"/>
    <w:rsid w:val="00424F59"/>
    <w:rsid w:val="004254E6"/>
    <w:rsid w:val="0042782F"/>
    <w:rsid w:val="004316F0"/>
    <w:rsid w:val="004344BE"/>
    <w:rsid w:val="004369F4"/>
    <w:rsid w:val="00440F28"/>
    <w:rsid w:val="00446AFC"/>
    <w:rsid w:val="00450DBC"/>
    <w:rsid w:val="0045607A"/>
    <w:rsid w:val="0046034D"/>
    <w:rsid w:val="00461F3D"/>
    <w:rsid w:val="00465420"/>
    <w:rsid w:val="00465841"/>
    <w:rsid w:val="00473181"/>
    <w:rsid w:val="0047374A"/>
    <w:rsid w:val="00473C8D"/>
    <w:rsid w:val="0047619A"/>
    <w:rsid w:val="0048351B"/>
    <w:rsid w:val="00484C66"/>
    <w:rsid w:val="00487496"/>
    <w:rsid w:val="004902FB"/>
    <w:rsid w:val="004960B9"/>
    <w:rsid w:val="00497C2E"/>
    <w:rsid w:val="004A0A02"/>
    <w:rsid w:val="004A3361"/>
    <w:rsid w:val="004A66B4"/>
    <w:rsid w:val="004A74CE"/>
    <w:rsid w:val="004B0527"/>
    <w:rsid w:val="004B0D01"/>
    <w:rsid w:val="004B1F20"/>
    <w:rsid w:val="004B33A5"/>
    <w:rsid w:val="004B3AE2"/>
    <w:rsid w:val="004C1521"/>
    <w:rsid w:val="004C1DE7"/>
    <w:rsid w:val="004C26B9"/>
    <w:rsid w:val="004D0B7B"/>
    <w:rsid w:val="004D3400"/>
    <w:rsid w:val="004D6FAE"/>
    <w:rsid w:val="00501798"/>
    <w:rsid w:val="0050336D"/>
    <w:rsid w:val="00503FAE"/>
    <w:rsid w:val="005105AC"/>
    <w:rsid w:val="0051379F"/>
    <w:rsid w:val="00516895"/>
    <w:rsid w:val="00521EA6"/>
    <w:rsid w:val="005242C5"/>
    <w:rsid w:val="00526541"/>
    <w:rsid w:val="005270E6"/>
    <w:rsid w:val="0053356F"/>
    <w:rsid w:val="005425A6"/>
    <w:rsid w:val="00544531"/>
    <w:rsid w:val="005458E3"/>
    <w:rsid w:val="005569BB"/>
    <w:rsid w:val="00560BF3"/>
    <w:rsid w:val="00565AF9"/>
    <w:rsid w:val="00566C4D"/>
    <w:rsid w:val="00567FAC"/>
    <w:rsid w:val="00570E3D"/>
    <w:rsid w:val="005767DA"/>
    <w:rsid w:val="0058474D"/>
    <w:rsid w:val="00585EE9"/>
    <w:rsid w:val="005878E8"/>
    <w:rsid w:val="00591AE2"/>
    <w:rsid w:val="00594198"/>
    <w:rsid w:val="00597B07"/>
    <w:rsid w:val="005A08C9"/>
    <w:rsid w:val="005A6549"/>
    <w:rsid w:val="005B42F8"/>
    <w:rsid w:val="005B5408"/>
    <w:rsid w:val="005B7C97"/>
    <w:rsid w:val="005C01AB"/>
    <w:rsid w:val="005C5C9C"/>
    <w:rsid w:val="005D205A"/>
    <w:rsid w:val="005D316F"/>
    <w:rsid w:val="005D44C0"/>
    <w:rsid w:val="005D6A36"/>
    <w:rsid w:val="005E4573"/>
    <w:rsid w:val="005E53BC"/>
    <w:rsid w:val="005F2A78"/>
    <w:rsid w:val="005F5543"/>
    <w:rsid w:val="00600021"/>
    <w:rsid w:val="00601209"/>
    <w:rsid w:val="00602006"/>
    <w:rsid w:val="0060246F"/>
    <w:rsid w:val="00606089"/>
    <w:rsid w:val="00613923"/>
    <w:rsid w:val="00613B80"/>
    <w:rsid w:val="00620ABC"/>
    <w:rsid w:val="0062202D"/>
    <w:rsid w:val="00622843"/>
    <w:rsid w:val="00622AEE"/>
    <w:rsid w:val="00624D16"/>
    <w:rsid w:val="0063023C"/>
    <w:rsid w:val="00630AD4"/>
    <w:rsid w:val="006311CB"/>
    <w:rsid w:val="00636DD4"/>
    <w:rsid w:val="00636FF5"/>
    <w:rsid w:val="006417AE"/>
    <w:rsid w:val="00643BF3"/>
    <w:rsid w:val="00645A53"/>
    <w:rsid w:val="006520AB"/>
    <w:rsid w:val="006527AF"/>
    <w:rsid w:val="00654158"/>
    <w:rsid w:val="00655D40"/>
    <w:rsid w:val="006629B3"/>
    <w:rsid w:val="00663DC7"/>
    <w:rsid w:val="00667E24"/>
    <w:rsid w:val="00680AA0"/>
    <w:rsid w:val="00683BB0"/>
    <w:rsid w:val="00685074"/>
    <w:rsid w:val="0068730A"/>
    <w:rsid w:val="00693A54"/>
    <w:rsid w:val="006940A8"/>
    <w:rsid w:val="00694633"/>
    <w:rsid w:val="00696409"/>
    <w:rsid w:val="006A0280"/>
    <w:rsid w:val="006A4B4C"/>
    <w:rsid w:val="006A5313"/>
    <w:rsid w:val="006A639D"/>
    <w:rsid w:val="006A66E6"/>
    <w:rsid w:val="006A7CFB"/>
    <w:rsid w:val="006B11D6"/>
    <w:rsid w:val="006B5E6A"/>
    <w:rsid w:val="006B7DF4"/>
    <w:rsid w:val="006C41A2"/>
    <w:rsid w:val="006C4CB2"/>
    <w:rsid w:val="006C56C8"/>
    <w:rsid w:val="006C7375"/>
    <w:rsid w:val="006D0D57"/>
    <w:rsid w:val="006D2787"/>
    <w:rsid w:val="006D3AF0"/>
    <w:rsid w:val="006E0F53"/>
    <w:rsid w:val="006E4CA1"/>
    <w:rsid w:val="006E6514"/>
    <w:rsid w:val="006E718A"/>
    <w:rsid w:val="006F24E2"/>
    <w:rsid w:val="00702E17"/>
    <w:rsid w:val="00705CA5"/>
    <w:rsid w:val="00713165"/>
    <w:rsid w:val="0071563E"/>
    <w:rsid w:val="0071604D"/>
    <w:rsid w:val="00716F9B"/>
    <w:rsid w:val="00717018"/>
    <w:rsid w:val="00717391"/>
    <w:rsid w:val="00723814"/>
    <w:rsid w:val="00726EE8"/>
    <w:rsid w:val="00727419"/>
    <w:rsid w:val="00730927"/>
    <w:rsid w:val="007326F3"/>
    <w:rsid w:val="0073460D"/>
    <w:rsid w:val="00740136"/>
    <w:rsid w:val="0074339B"/>
    <w:rsid w:val="00746761"/>
    <w:rsid w:val="00752701"/>
    <w:rsid w:val="0075523B"/>
    <w:rsid w:val="00763315"/>
    <w:rsid w:val="00764503"/>
    <w:rsid w:val="00770909"/>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E7FE4"/>
    <w:rsid w:val="007F1550"/>
    <w:rsid w:val="007F5BFF"/>
    <w:rsid w:val="008045E5"/>
    <w:rsid w:val="00807993"/>
    <w:rsid w:val="008134DE"/>
    <w:rsid w:val="00820DAF"/>
    <w:rsid w:val="008231E2"/>
    <w:rsid w:val="008315D7"/>
    <w:rsid w:val="00831ECC"/>
    <w:rsid w:val="00832D3F"/>
    <w:rsid w:val="00840805"/>
    <w:rsid w:val="0084140D"/>
    <w:rsid w:val="008425BD"/>
    <w:rsid w:val="008445CA"/>
    <w:rsid w:val="00846CB2"/>
    <w:rsid w:val="00853D94"/>
    <w:rsid w:val="0085433C"/>
    <w:rsid w:val="0085517E"/>
    <w:rsid w:val="0085741A"/>
    <w:rsid w:val="00862B71"/>
    <w:rsid w:val="00864789"/>
    <w:rsid w:val="00867951"/>
    <w:rsid w:val="00873B54"/>
    <w:rsid w:val="00881666"/>
    <w:rsid w:val="00884C1F"/>
    <w:rsid w:val="00886166"/>
    <w:rsid w:val="008936AE"/>
    <w:rsid w:val="00893C20"/>
    <w:rsid w:val="0089533E"/>
    <w:rsid w:val="008A0E02"/>
    <w:rsid w:val="008A35A3"/>
    <w:rsid w:val="008A673A"/>
    <w:rsid w:val="008B5150"/>
    <w:rsid w:val="008B55B8"/>
    <w:rsid w:val="008B6079"/>
    <w:rsid w:val="008C42E8"/>
    <w:rsid w:val="008D2F11"/>
    <w:rsid w:val="008D4B2F"/>
    <w:rsid w:val="008E4953"/>
    <w:rsid w:val="008E5645"/>
    <w:rsid w:val="008E6270"/>
    <w:rsid w:val="008E7385"/>
    <w:rsid w:val="008E7C43"/>
    <w:rsid w:val="008F1860"/>
    <w:rsid w:val="008F2DE5"/>
    <w:rsid w:val="008F5045"/>
    <w:rsid w:val="008F6AD8"/>
    <w:rsid w:val="008F7EA2"/>
    <w:rsid w:val="009001C8"/>
    <w:rsid w:val="00900C57"/>
    <w:rsid w:val="009037E4"/>
    <w:rsid w:val="0090682F"/>
    <w:rsid w:val="0090749C"/>
    <w:rsid w:val="00907AF6"/>
    <w:rsid w:val="00911ABD"/>
    <w:rsid w:val="00916825"/>
    <w:rsid w:val="00923DF9"/>
    <w:rsid w:val="00925A65"/>
    <w:rsid w:val="00925D4D"/>
    <w:rsid w:val="00927804"/>
    <w:rsid w:val="00931BAC"/>
    <w:rsid w:val="00932498"/>
    <w:rsid w:val="0093286C"/>
    <w:rsid w:val="00934130"/>
    <w:rsid w:val="00934385"/>
    <w:rsid w:val="00935655"/>
    <w:rsid w:val="00946D79"/>
    <w:rsid w:val="009538EB"/>
    <w:rsid w:val="00954C5B"/>
    <w:rsid w:val="00954CC1"/>
    <w:rsid w:val="00956651"/>
    <w:rsid w:val="0096447F"/>
    <w:rsid w:val="009649F5"/>
    <w:rsid w:val="00965143"/>
    <w:rsid w:val="00971E13"/>
    <w:rsid w:val="00972AB1"/>
    <w:rsid w:val="00972E25"/>
    <w:rsid w:val="009807F2"/>
    <w:rsid w:val="00983212"/>
    <w:rsid w:val="009840F8"/>
    <w:rsid w:val="00990023"/>
    <w:rsid w:val="009900A2"/>
    <w:rsid w:val="00991217"/>
    <w:rsid w:val="00994A9F"/>
    <w:rsid w:val="00996760"/>
    <w:rsid w:val="009A2E58"/>
    <w:rsid w:val="009A3BE0"/>
    <w:rsid w:val="009B07E0"/>
    <w:rsid w:val="009B0E19"/>
    <w:rsid w:val="009B3C8A"/>
    <w:rsid w:val="009B586D"/>
    <w:rsid w:val="009C00D6"/>
    <w:rsid w:val="009C756F"/>
    <w:rsid w:val="009C7D1C"/>
    <w:rsid w:val="009D187D"/>
    <w:rsid w:val="009D5489"/>
    <w:rsid w:val="009E1086"/>
    <w:rsid w:val="009E6FFA"/>
    <w:rsid w:val="009F0E45"/>
    <w:rsid w:val="009F25DA"/>
    <w:rsid w:val="009F4E05"/>
    <w:rsid w:val="009F589D"/>
    <w:rsid w:val="00A00C6D"/>
    <w:rsid w:val="00A018D9"/>
    <w:rsid w:val="00A07F33"/>
    <w:rsid w:val="00A12DDC"/>
    <w:rsid w:val="00A15029"/>
    <w:rsid w:val="00A1685E"/>
    <w:rsid w:val="00A20BBB"/>
    <w:rsid w:val="00A2185A"/>
    <w:rsid w:val="00A2594E"/>
    <w:rsid w:val="00A27DF6"/>
    <w:rsid w:val="00A30694"/>
    <w:rsid w:val="00A341DC"/>
    <w:rsid w:val="00A34FD4"/>
    <w:rsid w:val="00A350E6"/>
    <w:rsid w:val="00A355A1"/>
    <w:rsid w:val="00A35CDB"/>
    <w:rsid w:val="00A4291B"/>
    <w:rsid w:val="00A45402"/>
    <w:rsid w:val="00A57BBC"/>
    <w:rsid w:val="00A601F0"/>
    <w:rsid w:val="00A64982"/>
    <w:rsid w:val="00A70EF8"/>
    <w:rsid w:val="00A72281"/>
    <w:rsid w:val="00A81BFA"/>
    <w:rsid w:val="00A84BDE"/>
    <w:rsid w:val="00A85FBA"/>
    <w:rsid w:val="00A93A6E"/>
    <w:rsid w:val="00A94285"/>
    <w:rsid w:val="00A946D2"/>
    <w:rsid w:val="00A947DF"/>
    <w:rsid w:val="00AA17B4"/>
    <w:rsid w:val="00AA1A42"/>
    <w:rsid w:val="00AA4EBA"/>
    <w:rsid w:val="00AA71C4"/>
    <w:rsid w:val="00AB192A"/>
    <w:rsid w:val="00AB395C"/>
    <w:rsid w:val="00AB3E19"/>
    <w:rsid w:val="00AB5DAE"/>
    <w:rsid w:val="00AB6E89"/>
    <w:rsid w:val="00AC017F"/>
    <w:rsid w:val="00AC6E2E"/>
    <w:rsid w:val="00AE0369"/>
    <w:rsid w:val="00AE0A5E"/>
    <w:rsid w:val="00AE4065"/>
    <w:rsid w:val="00AE4439"/>
    <w:rsid w:val="00AE44B2"/>
    <w:rsid w:val="00AE44ED"/>
    <w:rsid w:val="00AE5193"/>
    <w:rsid w:val="00AF1307"/>
    <w:rsid w:val="00AF20D0"/>
    <w:rsid w:val="00AF2E6D"/>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1F1E"/>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07D9"/>
    <w:rsid w:val="00B81674"/>
    <w:rsid w:val="00B85F52"/>
    <w:rsid w:val="00B940BC"/>
    <w:rsid w:val="00B96F32"/>
    <w:rsid w:val="00BA66CC"/>
    <w:rsid w:val="00BA6870"/>
    <w:rsid w:val="00BA7FA9"/>
    <w:rsid w:val="00BC1226"/>
    <w:rsid w:val="00BC3AF0"/>
    <w:rsid w:val="00BC46E1"/>
    <w:rsid w:val="00BE156A"/>
    <w:rsid w:val="00BF340E"/>
    <w:rsid w:val="00BF366D"/>
    <w:rsid w:val="00BF4739"/>
    <w:rsid w:val="00C0529B"/>
    <w:rsid w:val="00C05EEA"/>
    <w:rsid w:val="00C0667C"/>
    <w:rsid w:val="00C1367B"/>
    <w:rsid w:val="00C14BB6"/>
    <w:rsid w:val="00C20BBE"/>
    <w:rsid w:val="00C223DA"/>
    <w:rsid w:val="00C30873"/>
    <w:rsid w:val="00C34485"/>
    <w:rsid w:val="00C37A21"/>
    <w:rsid w:val="00C37AC1"/>
    <w:rsid w:val="00C43AB2"/>
    <w:rsid w:val="00C50B71"/>
    <w:rsid w:val="00C50E91"/>
    <w:rsid w:val="00C527F5"/>
    <w:rsid w:val="00C6023D"/>
    <w:rsid w:val="00C626DB"/>
    <w:rsid w:val="00C63A86"/>
    <w:rsid w:val="00C71B1D"/>
    <w:rsid w:val="00C72977"/>
    <w:rsid w:val="00C76AB6"/>
    <w:rsid w:val="00C771EA"/>
    <w:rsid w:val="00C77B9B"/>
    <w:rsid w:val="00C848CC"/>
    <w:rsid w:val="00C85CDA"/>
    <w:rsid w:val="00C879E7"/>
    <w:rsid w:val="00C90B9E"/>
    <w:rsid w:val="00C90F41"/>
    <w:rsid w:val="00C92ADD"/>
    <w:rsid w:val="00C95FDD"/>
    <w:rsid w:val="00C96BD0"/>
    <w:rsid w:val="00CA3468"/>
    <w:rsid w:val="00CA47C1"/>
    <w:rsid w:val="00CA64E6"/>
    <w:rsid w:val="00CB19BE"/>
    <w:rsid w:val="00CB2FD2"/>
    <w:rsid w:val="00CB3F24"/>
    <w:rsid w:val="00CB5F2C"/>
    <w:rsid w:val="00CB7B3F"/>
    <w:rsid w:val="00CC2C92"/>
    <w:rsid w:val="00CE1163"/>
    <w:rsid w:val="00CE3571"/>
    <w:rsid w:val="00CF1AB1"/>
    <w:rsid w:val="00D002CF"/>
    <w:rsid w:val="00D016C2"/>
    <w:rsid w:val="00D01DEE"/>
    <w:rsid w:val="00D02095"/>
    <w:rsid w:val="00D021FB"/>
    <w:rsid w:val="00D067DD"/>
    <w:rsid w:val="00D14CE1"/>
    <w:rsid w:val="00D26AC0"/>
    <w:rsid w:val="00D30F0A"/>
    <w:rsid w:val="00D3422B"/>
    <w:rsid w:val="00D34927"/>
    <w:rsid w:val="00D34C69"/>
    <w:rsid w:val="00D35BE1"/>
    <w:rsid w:val="00D35CCA"/>
    <w:rsid w:val="00D372C4"/>
    <w:rsid w:val="00D41AF6"/>
    <w:rsid w:val="00D44E17"/>
    <w:rsid w:val="00D50F76"/>
    <w:rsid w:val="00D5381E"/>
    <w:rsid w:val="00D571BD"/>
    <w:rsid w:val="00D57DFC"/>
    <w:rsid w:val="00D7018B"/>
    <w:rsid w:val="00D7217F"/>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1590"/>
    <w:rsid w:val="00DE233D"/>
    <w:rsid w:val="00DE2DB3"/>
    <w:rsid w:val="00DE3CDB"/>
    <w:rsid w:val="00DF0E65"/>
    <w:rsid w:val="00DF126A"/>
    <w:rsid w:val="00DF7785"/>
    <w:rsid w:val="00E0061D"/>
    <w:rsid w:val="00E05A73"/>
    <w:rsid w:val="00E05BDD"/>
    <w:rsid w:val="00E067BD"/>
    <w:rsid w:val="00E07E37"/>
    <w:rsid w:val="00E17D65"/>
    <w:rsid w:val="00E2583E"/>
    <w:rsid w:val="00E34FAC"/>
    <w:rsid w:val="00E35133"/>
    <w:rsid w:val="00E37C5D"/>
    <w:rsid w:val="00E42395"/>
    <w:rsid w:val="00E54694"/>
    <w:rsid w:val="00E54AD5"/>
    <w:rsid w:val="00E54E28"/>
    <w:rsid w:val="00E55074"/>
    <w:rsid w:val="00E56FA1"/>
    <w:rsid w:val="00E71049"/>
    <w:rsid w:val="00E72F6A"/>
    <w:rsid w:val="00E754EB"/>
    <w:rsid w:val="00E76685"/>
    <w:rsid w:val="00E77F00"/>
    <w:rsid w:val="00E822E0"/>
    <w:rsid w:val="00E86094"/>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0816"/>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4693"/>
    <w:rsid w:val="00F7535E"/>
    <w:rsid w:val="00F774C4"/>
    <w:rsid w:val="00F808B8"/>
    <w:rsid w:val="00F84226"/>
    <w:rsid w:val="00FA0B62"/>
    <w:rsid w:val="00FA1981"/>
    <w:rsid w:val="00FA77AA"/>
    <w:rsid w:val="00FB3E87"/>
    <w:rsid w:val="00FC3C56"/>
    <w:rsid w:val="00FC5CD6"/>
    <w:rsid w:val="00FC68CF"/>
    <w:rsid w:val="00FC7368"/>
    <w:rsid w:val="00FC7AE1"/>
    <w:rsid w:val="00FD0140"/>
    <w:rsid w:val="00FD223B"/>
    <w:rsid w:val="00FE00F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075F"/>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 w:type="character" w:styleId="UnresolvedMention">
    <w:name w:val="Unresolved Mention"/>
    <w:basedOn w:val="DefaultParagraphFont"/>
    <w:uiPriority w:val="99"/>
    <w:semiHidden/>
    <w:unhideWhenUsed/>
    <w:rsid w:val="00636DD4"/>
    <w:rPr>
      <w:color w:val="605E5C"/>
      <w:shd w:val="clear" w:color="auto" w:fill="E1DFDD"/>
    </w:rPr>
  </w:style>
  <w:style w:type="paragraph" w:styleId="BodyTextIndent">
    <w:name w:val="Body Text Indent"/>
    <w:basedOn w:val="Normal"/>
    <w:link w:val="BodyTextIndentChar"/>
    <w:uiPriority w:val="99"/>
    <w:semiHidden/>
    <w:unhideWhenUsed/>
    <w:rsid w:val="00636DD4"/>
    <w:pPr>
      <w:spacing w:after="120"/>
      <w:ind w:left="283"/>
    </w:pPr>
  </w:style>
  <w:style w:type="character" w:customStyle="1" w:styleId="BodyTextIndentChar">
    <w:name w:val="Body Text Indent Char"/>
    <w:basedOn w:val="DefaultParagraphFont"/>
    <w:link w:val="BodyTextIndent"/>
    <w:uiPriority w:val="99"/>
    <w:semiHidden/>
    <w:rsid w:val="00636DD4"/>
    <w:rPr>
      <w:sz w:val="22"/>
      <w:szCs w:val="28"/>
      <w:lang w:val="en-US" w:bidi="bn-IN"/>
    </w:rPr>
  </w:style>
  <w:style w:type="character" w:styleId="Strong">
    <w:name w:val="Strong"/>
    <w:uiPriority w:val="22"/>
    <w:qFormat/>
    <w:rsid w:val="00A25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292173725">
      <w:bodyDiv w:val="1"/>
      <w:marLeft w:val="0"/>
      <w:marRight w:val="0"/>
      <w:marTop w:val="0"/>
      <w:marBottom w:val="0"/>
      <w:divBdr>
        <w:top w:val="none" w:sz="0" w:space="0" w:color="auto"/>
        <w:left w:val="none" w:sz="0" w:space="0" w:color="auto"/>
        <w:bottom w:val="none" w:sz="0" w:space="0" w:color="auto"/>
        <w:right w:val="none" w:sz="0" w:space="0" w:color="auto"/>
      </w:divBdr>
      <w:divsChild>
        <w:div w:id="624776143">
          <w:marLeft w:val="0"/>
          <w:marRight w:val="0"/>
          <w:marTop w:val="0"/>
          <w:marBottom w:val="0"/>
          <w:divBdr>
            <w:top w:val="none" w:sz="0" w:space="0" w:color="auto"/>
            <w:left w:val="none" w:sz="0" w:space="0" w:color="auto"/>
            <w:bottom w:val="none" w:sz="0" w:space="0" w:color="auto"/>
            <w:right w:val="none" w:sz="0" w:space="0" w:color="auto"/>
          </w:divBdr>
        </w:div>
        <w:div w:id="1194533467">
          <w:marLeft w:val="0"/>
          <w:marRight w:val="0"/>
          <w:marTop w:val="0"/>
          <w:marBottom w:val="0"/>
          <w:divBdr>
            <w:top w:val="none" w:sz="0" w:space="0" w:color="auto"/>
            <w:left w:val="none" w:sz="0" w:space="0" w:color="auto"/>
            <w:bottom w:val="none" w:sz="0" w:space="0" w:color="auto"/>
            <w:right w:val="none" w:sz="0" w:space="0" w:color="auto"/>
          </w:divBdr>
        </w:div>
        <w:div w:id="150953105">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ossmark.crossref.org/dialog/?doi=10.47268/sasi.v26i3.247&amp;domai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47268/sasi.v30i1.XXXXX" TargetMode="External"/><Relationship Id="rId23" Type="http://schemas.openxmlformats.org/officeDocument/2006/relationships/fontTable" Target="fontTable.xml"/><Relationship Id="rId10" Type="http://schemas.openxmlformats.org/officeDocument/2006/relationships/hyperlink" Target="https://fhukum.unpatti.ac.id/jurnal/sa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umi.husnul@iiq.ac.id"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E0CA28CA-2883-44E0-ACCE-2A7A24E4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TotalTime>
  <Pages>14</Pages>
  <Words>5417</Words>
  <Characters>30878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36223</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Agus Irawan</cp:lastModifiedBy>
  <cp:revision>2</cp:revision>
  <cp:lastPrinted>2024-01-08T16:00:00Z</cp:lastPrinted>
  <dcterms:created xsi:type="dcterms:W3CDTF">2025-03-06T10:34:00Z</dcterms:created>
  <dcterms:modified xsi:type="dcterms:W3CDTF">2025-03-06T10:34:00Z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2597e77e-f28c-3deb-a2ed-be262f4cd289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http://www.zotero.org/styles/turabian-fullnote-bibliography-8th-edition</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http://www.zotero.org/styles/turabian-fullnote-bibliography-no-ibid</vt:lpwstr>
  </property>
  <property fmtid="{D5CDD505-2E9C-101B-9397-08002B2CF9AE}" pid="22" name="Mendeley Recent Style Name 8_1">
    <vt:lpwstr>Turabian 8th edition (full note, no ibid)</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