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CF3"/>
  <w:body>
    <w:p w14:paraId="04A18E6E" w14:textId="77777777" w:rsidR="00D34C69" w:rsidRPr="00EB46BA" w:rsidRDefault="00164B5C" w:rsidP="00AE5193">
      <w:pPr>
        <w:pStyle w:val="Header"/>
        <w:tabs>
          <w:tab w:val="clear" w:pos="9360"/>
          <w:tab w:val="left" w:pos="825"/>
          <w:tab w:val="right" w:pos="9781"/>
        </w:tabs>
        <w:spacing w:before="120"/>
        <w:jc w:val="right"/>
        <w:rPr>
          <w:rFonts w:ascii="Book Antiqua" w:hAnsi="Book Antiqua" w:cstheme="majorHAnsi"/>
          <w:color w:val="000000" w:themeColor="text1"/>
          <w:sz w:val="20"/>
          <w:szCs w:val="20"/>
        </w:rPr>
      </w:pPr>
      <w:bookmarkStart w:id="0" w:name="_Toc292564709"/>
      <w:bookmarkStart w:id="1" w:name="_Toc1"/>
      <w:r w:rsidRPr="0096447F">
        <w:rPr>
          <w:rFonts w:ascii="Book Antiqua" w:hAnsi="Book Antiqua" w:cstheme="majorHAnsi"/>
          <w:noProof/>
          <w:color w:val="000000" w:themeColor="text1"/>
          <w:sz w:val="20"/>
          <w:szCs w:val="20"/>
          <w:lang w:bidi="ar-SA"/>
        </w:rPr>
        <w:drawing>
          <wp:anchor distT="0" distB="0" distL="114300" distR="114300" simplePos="0" relativeHeight="251685888" behindDoc="0" locked="0" layoutInCell="1" allowOverlap="1" wp14:anchorId="70918130" wp14:editId="1915FC6F">
            <wp:simplePos x="0" y="0"/>
            <wp:positionH relativeFrom="column">
              <wp:posOffset>-920115</wp:posOffset>
            </wp:positionH>
            <wp:positionV relativeFrom="paragraph">
              <wp:posOffset>-405765</wp:posOffset>
            </wp:positionV>
            <wp:extent cx="7791450" cy="415925"/>
            <wp:effectExtent l="0" t="0" r="0" b="3175"/>
            <wp:wrapNone/>
            <wp:docPr id="3" name="Picture 3" descr="E:\FileKu\JURNAL FH UNPATTI\SASI\Cover Template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ver Template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5A">
        <w:rPr>
          <w:rFonts w:ascii="Book Antiqua" w:hAnsi="Book Antiqua" w:cstheme="majorHAnsi"/>
          <w:color w:val="000000" w:themeColor="text1"/>
          <w:sz w:val="20"/>
          <w:szCs w:val="20"/>
        </w:rPr>
        <w:t xml:space="preserve">Volume </w:t>
      </w:r>
      <w:r w:rsidR="00F2670C">
        <w:rPr>
          <w:rFonts w:ascii="Book Antiqua" w:hAnsi="Book Antiqua" w:cstheme="majorHAnsi"/>
          <w:color w:val="000000" w:themeColor="text1"/>
          <w:sz w:val="20"/>
          <w:szCs w:val="20"/>
        </w:rPr>
        <w:t>30</w:t>
      </w:r>
      <w:r w:rsidR="001C2D0B">
        <w:rPr>
          <w:rFonts w:ascii="Book Antiqua" w:hAnsi="Book Antiqua" w:cstheme="majorHAnsi"/>
          <w:color w:val="000000" w:themeColor="text1"/>
          <w:sz w:val="20"/>
          <w:szCs w:val="20"/>
        </w:rPr>
        <w:t xml:space="preserve"> Issue</w:t>
      </w:r>
      <w:r w:rsidR="00F2670C">
        <w:rPr>
          <w:rFonts w:ascii="Book Antiqua" w:hAnsi="Book Antiqua" w:cstheme="majorHAnsi"/>
          <w:color w:val="000000" w:themeColor="text1"/>
          <w:sz w:val="20"/>
          <w:szCs w:val="20"/>
        </w:rPr>
        <w:t xml:space="preserve"> 1, March 2024</w:t>
      </w:r>
      <w:r w:rsidR="00A2185A">
        <w:rPr>
          <w:rFonts w:ascii="Book Antiqua" w:hAnsi="Book Antiqua" w:cstheme="majorHAnsi"/>
          <w:color w:val="000000" w:themeColor="text1"/>
          <w:sz w:val="20"/>
          <w:szCs w:val="20"/>
        </w:rPr>
        <w:t>: p. XX-XX</w:t>
      </w:r>
    </w:p>
    <w:p w14:paraId="44E1C523" w14:textId="77777777" w:rsidR="00D34C69" w:rsidRPr="00215FF0" w:rsidRDefault="0073460D" w:rsidP="0073460D">
      <w:pPr>
        <w:pStyle w:val="Header"/>
        <w:tabs>
          <w:tab w:val="clear" w:pos="9360"/>
          <w:tab w:val="left" w:pos="825"/>
          <w:tab w:val="right" w:pos="9781"/>
        </w:tabs>
        <w:rPr>
          <w:rFonts w:ascii="Book Antiqua" w:hAnsi="Book Antiqua" w:cstheme="majorHAnsi"/>
          <w:color w:val="000000" w:themeColor="text1"/>
          <w:sz w:val="20"/>
          <w:szCs w:val="20"/>
          <w:lang w:val="da-DK"/>
        </w:rPr>
      </w:pP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sidR="00A2185A" w:rsidRPr="00A2185A">
        <w:rPr>
          <w:rFonts w:ascii="Book Antiqua" w:hAnsi="Book Antiqua" w:cstheme="majorHAnsi"/>
          <w:color w:val="000000" w:themeColor="text1"/>
          <w:sz w:val="20"/>
          <w:szCs w:val="20"/>
        </w:rPr>
        <w:t xml:space="preserve"> </w:t>
      </w:r>
      <w:r w:rsidR="00A2185A" w:rsidRPr="00215FF0">
        <w:rPr>
          <w:rFonts w:ascii="Book Antiqua" w:hAnsi="Book Antiqua" w:cstheme="majorHAnsi"/>
          <w:color w:val="000000" w:themeColor="text1"/>
          <w:sz w:val="20"/>
          <w:szCs w:val="20"/>
          <w:lang w:val="da-DK"/>
        </w:rPr>
        <w:t>P-ISSN: 1693-0061, E-I</w:t>
      </w:r>
      <w:r w:rsidR="0096447F" w:rsidRPr="0096447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A2185A" w:rsidRPr="00215FF0">
        <w:rPr>
          <w:rFonts w:ascii="Book Antiqua" w:hAnsi="Book Antiqua" w:cstheme="majorHAnsi"/>
          <w:color w:val="000000" w:themeColor="text1"/>
          <w:sz w:val="20"/>
          <w:szCs w:val="20"/>
          <w:lang w:val="da-DK"/>
        </w:rPr>
        <w:t>SSN: 2614-2961</w:t>
      </w:r>
    </w:p>
    <w:p w14:paraId="2454ABE1" w14:textId="77777777" w:rsidR="00DE2DB3" w:rsidRPr="00215FF0" w:rsidRDefault="003B1A7B" w:rsidP="00DE1590">
      <w:pPr>
        <w:pStyle w:val="Header"/>
        <w:tabs>
          <w:tab w:val="clear" w:pos="9360"/>
          <w:tab w:val="left" w:pos="615"/>
          <w:tab w:val="left" w:pos="825"/>
          <w:tab w:val="right" w:pos="9781"/>
        </w:tabs>
        <w:spacing w:after="40"/>
        <w:rPr>
          <w:rStyle w:val="Hyperlink"/>
          <w:rFonts w:ascii="Book Antiqua" w:hAnsi="Book Antiqua" w:cstheme="majorHAnsi"/>
          <w:sz w:val="18"/>
          <w:szCs w:val="18"/>
          <w:lang w:val="da-DK"/>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98176" behindDoc="0" locked="0" layoutInCell="1" allowOverlap="1" wp14:anchorId="7B81FAAC" wp14:editId="447A9C35">
                <wp:simplePos x="0" y="0"/>
                <wp:positionH relativeFrom="column">
                  <wp:posOffset>-90805</wp:posOffset>
                </wp:positionH>
                <wp:positionV relativeFrom="paragraph">
                  <wp:posOffset>50165</wp:posOffset>
                </wp:positionV>
                <wp:extent cx="933450" cy="428625"/>
                <wp:effectExtent l="0" t="0" r="0" b="0"/>
                <wp:wrapNone/>
                <wp:docPr id="16" name="Rectangle 16"/>
                <wp:cNvGraphicFramePr/>
                <a:graphic xmlns:a="http://schemas.openxmlformats.org/drawingml/2006/main">
                  <a:graphicData uri="http://schemas.microsoft.com/office/word/2010/wordprocessingShape">
                    <wps:wsp>
                      <wps:cNvSpPr/>
                      <wps:spPr>
                        <a:xfrm>
                          <a:off x="0" y="0"/>
                          <a:ext cx="9334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FAAC" id="Rectangle 16" o:spid="_x0000_s1026" style="position:absolute;margin-left:-7.15pt;margin-top:3.95pt;width:73.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" filled="f" stroked="f" strokeweight="1pt">
                <v:textbo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v:textbox>
              </v:rect>
            </w:pict>
          </mc:Fallback>
        </mc:AlternateContent>
      </w:r>
      <w:r w:rsidR="00DE1590" w:rsidRPr="00011808">
        <w:rPr>
          <w:rFonts w:ascii="Book Antiqua" w:hAnsi="Book Antiqua"/>
          <w:noProof/>
          <w:sz w:val="18"/>
          <w:szCs w:val="18"/>
          <w:lang w:bidi="ar-SA"/>
        </w:rPr>
        <w:drawing>
          <wp:anchor distT="0" distB="0" distL="114300" distR="114300" simplePos="0" relativeHeight="251669504" behindDoc="0" locked="0" layoutInCell="1" allowOverlap="1" wp14:anchorId="2EC783AF" wp14:editId="37138FAA">
            <wp:simplePos x="0" y="0"/>
            <wp:positionH relativeFrom="column">
              <wp:posOffset>4448810</wp:posOffset>
            </wp:positionH>
            <wp:positionV relativeFrom="paragraph">
              <wp:posOffset>139065</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hyperlink r:id="rId10" w:history="1">
        <w:r w:rsidR="00DE2DB3" w:rsidRPr="00215FF0">
          <w:rPr>
            <w:rStyle w:val="Hyperlink"/>
            <w:rFonts w:ascii="Book Antiqua" w:hAnsi="Book Antiqua" w:cstheme="majorHAnsi"/>
            <w:sz w:val="18"/>
            <w:szCs w:val="18"/>
            <w:lang w:val="da-DK"/>
          </w:rPr>
          <w:t>https://fhukum.unpatti.ac.id/jurnal/sasi</w:t>
        </w:r>
      </w:hyperlink>
    </w:p>
    <w:p w14:paraId="5F529A3F" w14:textId="77777777" w:rsidR="00D34C69" w:rsidRPr="00B96E8B" w:rsidRDefault="00A27DF6" w:rsidP="00E86094">
      <w:pPr>
        <w:pStyle w:val="Header"/>
        <w:tabs>
          <w:tab w:val="clear" w:pos="9360"/>
          <w:tab w:val="left" w:pos="615"/>
          <w:tab w:val="left" w:pos="825"/>
          <w:tab w:val="right" w:pos="9781"/>
        </w:tabs>
        <w:spacing w:after="80"/>
        <w:jc w:val="right"/>
        <w:rPr>
          <w:rFonts w:ascii="Book Antiqua" w:hAnsi="Book Antiqua" w:cstheme="majorHAnsi"/>
          <w:color w:val="000000" w:themeColor="text1"/>
          <w:sz w:val="18"/>
          <w:szCs w:val="18"/>
          <w:lang w:val="da-DK"/>
        </w:rPr>
      </w:pPr>
      <w:r>
        <w:rPr>
          <w:noProof/>
          <w:lang w:bidi="ar-SA"/>
        </w:rPr>
        <mc:AlternateContent>
          <mc:Choice Requires="wps">
            <w:drawing>
              <wp:anchor distT="0" distB="0" distL="114300" distR="114300" simplePos="0" relativeHeight="251679744" behindDoc="0" locked="0" layoutInCell="1" allowOverlap="1" wp14:anchorId="047B445A" wp14:editId="07F9F123">
                <wp:simplePos x="0" y="0"/>
                <wp:positionH relativeFrom="column">
                  <wp:posOffset>-9525</wp:posOffset>
                </wp:positionH>
                <wp:positionV relativeFrom="paragraph">
                  <wp:posOffset>201295</wp:posOffset>
                </wp:positionV>
                <wp:extent cx="615569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569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B4EC7"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85pt" to="48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" strokecolor="#aeaaaa [2414]" strokeweight="6pt">
                <v:stroke linestyle="thinThin" joinstyle="miter"/>
              </v:line>
            </w:pict>
          </mc:Fallback>
        </mc:AlternateContent>
      </w:r>
      <w:r w:rsidR="00DE1590" w:rsidRPr="00B96E8B">
        <w:rPr>
          <w:rStyle w:val="Hyperlink"/>
          <w:rFonts w:ascii="Book Antiqua" w:hAnsi="Book Antiqua" w:cstheme="majorHAnsi"/>
          <w:color w:val="4472C4" w:themeColor="accent1"/>
          <w:sz w:val="18"/>
          <w:szCs w:val="18"/>
          <w:u w:val="none"/>
          <w:lang w:val="da-DK"/>
        </w:rPr>
        <w:t xml:space="preserve">: </w:t>
      </w:r>
      <w:hyperlink r:id="rId11" w:history="1">
        <w:r w:rsidR="00DE1590" w:rsidRPr="00B96E8B">
          <w:rPr>
            <w:rStyle w:val="Hyperlink"/>
            <w:rFonts w:ascii="Book Antiqua" w:hAnsi="Book Antiqua" w:cstheme="majorHAnsi"/>
            <w:sz w:val="18"/>
            <w:szCs w:val="18"/>
            <w:u w:val="none"/>
            <w:lang w:val="da-DK"/>
          </w:rPr>
          <w:t>10.47268/sasi.v30i1.XXXXX</w:t>
        </w:r>
      </w:hyperlink>
    </w:p>
    <w:p w14:paraId="7EF455F9" w14:textId="77777777" w:rsidR="0071563E" w:rsidRPr="00B96E8B" w:rsidRDefault="0071563E" w:rsidP="0071563E">
      <w:pPr>
        <w:pStyle w:val="ListParagraph"/>
        <w:spacing w:after="0" w:line="240" w:lineRule="auto"/>
        <w:ind w:left="0"/>
        <w:contextualSpacing w:val="0"/>
        <w:rPr>
          <w:rFonts w:ascii="Book Antiqua" w:hAnsi="Book Antiqua" w:cs="Calibri"/>
          <w:b/>
          <w:iCs/>
          <w:color w:val="000000" w:themeColor="text1"/>
          <w:sz w:val="32"/>
          <w:lang w:val="da-DK"/>
        </w:rPr>
      </w:pPr>
    </w:p>
    <w:p w14:paraId="17677303" w14:textId="1F37E627" w:rsidR="00F86319" w:rsidRPr="00F86319" w:rsidRDefault="00F86319" w:rsidP="00F86319">
      <w:pPr>
        <w:pStyle w:val="ListParagraph"/>
        <w:spacing w:after="120" w:line="240" w:lineRule="auto"/>
        <w:ind w:left="0"/>
        <w:contextualSpacing w:val="0"/>
        <w:rPr>
          <w:rFonts w:ascii="Book Antiqua" w:hAnsi="Book Antiqua" w:cs="Calibri"/>
          <w:b/>
          <w:iCs/>
          <w:color w:val="000000" w:themeColor="text1"/>
          <w:sz w:val="32"/>
        </w:rPr>
      </w:pPr>
      <w:r w:rsidRPr="00F86319">
        <w:rPr>
          <w:rFonts w:ascii="Book Antiqua" w:hAnsi="Book Antiqua" w:cs="Calibri"/>
          <w:b/>
          <w:iCs/>
          <w:color w:val="000000" w:themeColor="text1"/>
          <w:sz w:val="32"/>
        </w:rPr>
        <w:t>Civil Litigation in Education Contract Disputes in Islamic Boarding Schools: A Comparative Perspective on Thailand's Bromsgrove International School Model</w:t>
      </w:r>
    </w:p>
    <w:p w14:paraId="408ABAAB" w14:textId="77777777" w:rsidR="00463AE2" w:rsidRDefault="00463AE2" w:rsidP="00463AE2">
      <w:pPr>
        <w:spacing w:after="120" w:line="240" w:lineRule="auto"/>
        <w:rPr>
          <w:rFonts w:ascii="Book Antiqua" w:hAnsi="Book Antiqua"/>
          <w:b/>
          <w:bCs/>
          <w:color w:val="000000" w:themeColor="text1"/>
          <w:sz w:val="24"/>
          <w:szCs w:val="24"/>
        </w:rPr>
      </w:pPr>
    </w:p>
    <w:p w14:paraId="65F4D0E0" w14:textId="15E3824E" w:rsidR="00463AE2" w:rsidRPr="00463AE2" w:rsidRDefault="00463AE2" w:rsidP="00463AE2">
      <w:pPr>
        <w:spacing w:after="120" w:line="240" w:lineRule="auto"/>
        <w:rPr>
          <w:rFonts w:ascii="Book Antiqua" w:hAnsi="Book Antiqua"/>
          <w:b/>
          <w:bCs/>
          <w:color w:val="FF0000"/>
          <w:sz w:val="24"/>
          <w:szCs w:val="24"/>
        </w:rPr>
      </w:pPr>
      <w:r w:rsidRPr="00463AE2">
        <w:rPr>
          <w:rFonts w:ascii="Book Antiqua" w:hAnsi="Book Antiqua"/>
          <w:b/>
          <w:bCs/>
          <w:color w:val="000000" w:themeColor="text1"/>
          <w:sz w:val="24"/>
          <w:szCs w:val="24"/>
        </w:rPr>
        <w:t>Dewi Arnita Sari</w:t>
      </w:r>
      <w:r w:rsidRPr="00463AE2">
        <w:rPr>
          <w:rFonts w:ascii="Book Antiqua" w:hAnsi="Book Antiqua"/>
          <w:b/>
          <w:bCs/>
          <w:color w:val="000000" w:themeColor="text1"/>
          <w:sz w:val="24"/>
          <w:szCs w:val="24"/>
          <w:vertAlign w:val="superscript"/>
        </w:rPr>
        <w:t>1*</w:t>
      </w:r>
      <w:r w:rsidRPr="00463AE2">
        <w:rPr>
          <w:rFonts w:ascii="Book Antiqua" w:hAnsi="Book Antiqua"/>
          <w:b/>
          <w:bCs/>
          <w:color w:val="000000" w:themeColor="text1"/>
          <w:sz w:val="24"/>
          <w:szCs w:val="24"/>
        </w:rPr>
        <w:t>, Hasbullah</w:t>
      </w:r>
      <w:r w:rsidRPr="00463AE2">
        <w:rPr>
          <w:rFonts w:ascii="Book Antiqua" w:hAnsi="Book Antiqua"/>
          <w:b/>
          <w:bCs/>
          <w:color w:val="000000" w:themeColor="text1"/>
          <w:sz w:val="24"/>
          <w:szCs w:val="24"/>
          <w:vertAlign w:val="superscript"/>
        </w:rPr>
        <w:t>2</w:t>
      </w:r>
      <w:r w:rsidRPr="00463AE2">
        <w:rPr>
          <w:rFonts w:ascii="Book Antiqua" w:hAnsi="Book Antiqua"/>
          <w:b/>
          <w:bCs/>
          <w:color w:val="000000" w:themeColor="text1"/>
          <w:sz w:val="24"/>
          <w:szCs w:val="24"/>
        </w:rPr>
        <w:t>, Saharudin</w:t>
      </w:r>
      <w:r w:rsidRPr="00463AE2">
        <w:rPr>
          <w:rFonts w:ascii="Book Antiqua" w:hAnsi="Book Antiqua"/>
          <w:b/>
          <w:bCs/>
          <w:color w:val="000000" w:themeColor="text1"/>
          <w:sz w:val="24"/>
          <w:szCs w:val="24"/>
          <w:vertAlign w:val="superscript"/>
        </w:rPr>
        <w:t>3</w:t>
      </w:r>
      <w:r w:rsidR="000A6424">
        <w:rPr>
          <w:rFonts w:ascii="Book Antiqua" w:hAnsi="Book Antiqua"/>
          <w:b/>
          <w:bCs/>
          <w:color w:val="000000" w:themeColor="text1"/>
          <w:sz w:val="24"/>
          <w:szCs w:val="24"/>
        </w:rPr>
        <w:t xml:space="preserve">, </w:t>
      </w:r>
      <w:r w:rsidR="00024380">
        <w:rPr>
          <w:rFonts w:ascii="Book Antiqua" w:hAnsi="Book Antiqua"/>
          <w:b/>
          <w:bCs/>
          <w:color w:val="000000" w:themeColor="text1"/>
          <w:sz w:val="24"/>
          <w:szCs w:val="24"/>
        </w:rPr>
        <w:t>Islahuddin</w:t>
      </w:r>
      <w:r w:rsidR="00024380" w:rsidRPr="00024380">
        <w:rPr>
          <w:rFonts w:ascii="Book Antiqua" w:hAnsi="Book Antiqua"/>
          <w:b/>
          <w:bCs/>
          <w:color w:val="000000" w:themeColor="text1"/>
          <w:sz w:val="24"/>
          <w:szCs w:val="24"/>
          <w:vertAlign w:val="superscript"/>
        </w:rPr>
        <w:t>4</w:t>
      </w:r>
      <w:r w:rsidR="000A6424">
        <w:rPr>
          <w:rFonts w:ascii="Book Antiqua" w:hAnsi="Book Antiqua"/>
          <w:b/>
          <w:bCs/>
          <w:color w:val="000000" w:themeColor="text1"/>
          <w:sz w:val="24"/>
          <w:szCs w:val="24"/>
        </w:rPr>
        <w:t xml:space="preserve"> </w:t>
      </w:r>
    </w:p>
    <w:p w14:paraId="7BFE0626" w14:textId="0C6FA360" w:rsidR="00463AE2" w:rsidRDefault="00463AE2" w:rsidP="00463AE2">
      <w:pPr>
        <w:spacing w:after="120" w:line="240" w:lineRule="auto"/>
        <w:rPr>
          <w:rFonts w:ascii="Book Antiqua" w:hAnsi="Book Antiqua"/>
          <w:b/>
          <w:bCs/>
          <w:color w:val="000000" w:themeColor="text1"/>
          <w:sz w:val="24"/>
          <w:szCs w:val="24"/>
        </w:rPr>
      </w:pPr>
      <w:r w:rsidRPr="00463AE2">
        <w:rPr>
          <w:rFonts w:ascii="Book Antiqua" w:hAnsi="Book Antiqua"/>
          <w:b/>
          <w:bCs/>
          <w:color w:val="000000" w:themeColor="text1"/>
          <w:sz w:val="24"/>
          <w:szCs w:val="24"/>
          <w:vertAlign w:val="superscript"/>
        </w:rPr>
        <w:t>1,2,</w:t>
      </w:r>
      <w:r w:rsidR="00024380">
        <w:rPr>
          <w:rFonts w:ascii="Book Antiqua" w:hAnsi="Book Antiqua"/>
          <w:b/>
          <w:bCs/>
          <w:color w:val="000000" w:themeColor="text1"/>
          <w:sz w:val="24"/>
          <w:szCs w:val="24"/>
          <w:vertAlign w:val="superscript"/>
        </w:rPr>
        <w:t>3</w:t>
      </w:r>
      <w:r w:rsidRPr="00463AE2">
        <w:rPr>
          <w:rFonts w:ascii="Book Antiqua" w:hAnsi="Book Antiqua"/>
          <w:b/>
          <w:bCs/>
          <w:color w:val="000000" w:themeColor="text1"/>
          <w:sz w:val="24"/>
          <w:szCs w:val="24"/>
        </w:rPr>
        <w:t>Faculty of Law, Institute Agama Islam Negeri Bone, Bone, Indonesia.</w:t>
      </w:r>
    </w:p>
    <w:p w14:paraId="07396F98" w14:textId="6C301A58" w:rsidR="000A6424" w:rsidRPr="00463AE2" w:rsidRDefault="00024380" w:rsidP="00463AE2">
      <w:pPr>
        <w:spacing w:after="120" w:line="240" w:lineRule="auto"/>
        <w:rPr>
          <w:rFonts w:ascii="Book Antiqua" w:hAnsi="Book Antiqua"/>
          <w:b/>
          <w:bCs/>
          <w:color w:val="000000" w:themeColor="text1"/>
          <w:sz w:val="24"/>
          <w:szCs w:val="24"/>
        </w:rPr>
      </w:pPr>
      <w:r>
        <w:rPr>
          <w:rFonts w:ascii="Book Antiqua" w:hAnsi="Book Antiqua"/>
          <w:b/>
          <w:bCs/>
          <w:color w:val="000000" w:themeColor="text1"/>
          <w:sz w:val="24"/>
          <w:szCs w:val="24"/>
          <w:vertAlign w:val="superscript"/>
        </w:rPr>
        <w:t>4</w:t>
      </w:r>
      <w:r>
        <w:rPr>
          <w:rFonts w:ascii="Book Antiqua" w:hAnsi="Book Antiqua"/>
          <w:b/>
          <w:bCs/>
          <w:color w:val="000000" w:themeColor="text1"/>
          <w:sz w:val="24"/>
          <w:szCs w:val="24"/>
        </w:rPr>
        <w:t xml:space="preserve">Fatony University, Pattani, Thailand </w:t>
      </w:r>
    </w:p>
    <w:p w14:paraId="5B3EEBC5" w14:textId="5A3CF2BE" w:rsidR="00463AE2" w:rsidRPr="00463AE2" w:rsidRDefault="00463AE2" w:rsidP="00463AE2">
      <w:pPr>
        <w:spacing w:after="0" w:line="240" w:lineRule="auto"/>
        <w:rPr>
          <w:rFonts w:ascii="Book Antiqua" w:hAnsi="Book Antiqua"/>
          <w:b/>
          <w:bCs/>
          <w:color w:val="000000" w:themeColor="text1"/>
          <w:sz w:val="24"/>
          <w:szCs w:val="24"/>
          <w:u w:val="single"/>
        </w:rPr>
      </w:pPr>
      <w:r w:rsidRPr="00463AE2">
        <w:rPr>
          <w:rFonts w:ascii="Book Antiqua" w:hAnsi="Book Antiqua"/>
          <w:b/>
          <w:bCs/>
          <w:i/>
          <w:iCs/>
          <w:noProof/>
          <w:color w:val="000000" w:themeColor="text1"/>
          <w:sz w:val="24"/>
          <w:szCs w:val="24"/>
        </w:rPr>
        <w:drawing>
          <wp:anchor distT="0" distB="0" distL="114300" distR="114300" simplePos="0" relativeHeight="251703296" behindDoc="1" locked="0" layoutInCell="1" allowOverlap="1" wp14:anchorId="3240D948" wp14:editId="18C55B1C">
            <wp:simplePos x="0" y="0"/>
            <wp:positionH relativeFrom="margin">
              <wp:posOffset>5818505</wp:posOffset>
            </wp:positionH>
            <wp:positionV relativeFrom="paragraph">
              <wp:posOffset>13970</wp:posOffset>
            </wp:positionV>
            <wp:extent cx="324000" cy="338727"/>
            <wp:effectExtent l="0" t="0" r="0" b="4445"/>
            <wp:wrapNone/>
            <wp:docPr id="1668308035" name="Picture 1668308035" descr="A logo on a white background&#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08035" name="Picture 1668308035" descr="A logo on a white background&#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Pr="00463AE2">
        <w:rPr>
          <w:rFonts w:ascii="Book Antiqua" w:hAnsi="Book Antiqua"/>
          <w:b/>
          <w:bCs/>
          <w:color w:val="000000" w:themeColor="text1"/>
          <w:sz w:val="24"/>
          <w:szCs w:val="24"/>
        </w:rPr>
        <w:t xml:space="preserve"> </w:t>
      </w:r>
      <w:r w:rsidRPr="00463AE2">
        <w:rPr>
          <w:rFonts w:ascii="Book Antiqua" w:hAnsi="Book Antiqua"/>
          <w:b/>
          <w:bCs/>
          <w:i/>
          <w:iCs/>
          <w:noProof/>
          <w:color w:val="000000" w:themeColor="text1"/>
          <w:sz w:val="24"/>
          <w:szCs w:val="24"/>
        </w:rPr>
        <w:drawing>
          <wp:anchor distT="0" distB="0" distL="114300" distR="114300" simplePos="0" relativeHeight="251704320" behindDoc="0" locked="0" layoutInCell="1" allowOverlap="1" wp14:anchorId="2CAE1344" wp14:editId="2D25D72B">
            <wp:simplePos x="0" y="0"/>
            <wp:positionH relativeFrom="column">
              <wp:posOffset>0</wp:posOffset>
            </wp:positionH>
            <wp:positionV relativeFrom="paragraph">
              <wp:posOffset>0</wp:posOffset>
            </wp:positionV>
            <wp:extent cx="208169" cy="144000"/>
            <wp:effectExtent l="0" t="0" r="1905" b="8890"/>
            <wp:wrapNone/>
            <wp:docPr id="1836055850" name="Picture 183605585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E2">
        <w:rPr>
          <w:rFonts w:ascii="Book Antiqua" w:hAnsi="Book Antiqua"/>
          <w:b/>
          <w:bCs/>
          <w:color w:val="000000" w:themeColor="text1"/>
          <w:sz w:val="24"/>
          <w:szCs w:val="24"/>
        </w:rPr>
        <w:t xml:space="preserve">       :</w:t>
      </w:r>
      <w:r w:rsidRPr="00463AE2">
        <w:rPr>
          <w:rFonts w:ascii="Book Antiqua" w:hAnsi="Book Antiqua"/>
          <w:b/>
          <w:bCs/>
          <w:color w:val="000000" w:themeColor="text1"/>
          <w:sz w:val="24"/>
          <w:szCs w:val="24"/>
          <w:vertAlign w:val="superscript"/>
        </w:rPr>
        <w:t xml:space="preserve"> </w:t>
      </w:r>
      <w:r w:rsidRPr="00463AE2">
        <w:rPr>
          <w:rStyle w:val="Hyperlink"/>
          <w:rFonts w:ascii="Book Antiqua" w:hAnsi="Book Antiqua"/>
          <w:b/>
          <w:bCs/>
          <w:color w:val="000000" w:themeColor="text1"/>
          <w:sz w:val="20"/>
          <w:u w:val="none"/>
        </w:rPr>
        <w:t>dewiarnitasari13@gmail.com</w:t>
      </w:r>
    </w:p>
    <w:p w14:paraId="02B072A3" w14:textId="62D2AE4F" w:rsidR="00023DA6" w:rsidRPr="00463AE2" w:rsidRDefault="00463AE2" w:rsidP="00463AE2">
      <w:pPr>
        <w:spacing w:after="0" w:line="240" w:lineRule="auto"/>
        <w:rPr>
          <w:rFonts w:ascii="Book Antiqua" w:hAnsi="Book Antiqua"/>
          <w:b/>
          <w:bCs/>
          <w:color w:val="000000" w:themeColor="text1"/>
          <w:sz w:val="20"/>
          <w:szCs w:val="20"/>
          <w:vertAlign w:val="superscript"/>
        </w:rPr>
      </w:pPr>
      <w:r w:rsidRPr="00463AE2">
        <w:rPr>
          <w:rFonts w:ascii="Book Antiqua" w:hAnsi="Book Antiqua"/>
          <w:b/>
          <w:bCs/>
          <w:color w:val="000000" w:themeColor="text1"/>
          <w:sz w:val="20"/>
          <w:szCs w:val="20"/>
        </w:rPr>
        <w:t>Corresponding Author</w:t>
      </w:r>
      <w:r w:rsidRPr="00463AE2">
        <w:rPr>
          <w:rFonts w:ascii="Book Antiqua" w:hAnsi="Book Antiqua"/>
          <w:b/>
          <w:bCs/>
          <w:color w:val="000000" w:themeColor="text1"/>
          <w:sz w:val="20"/>
          <w:szCs w:val="20"/>
          <w:vertAlign w:val="superscript"/>
        </w:rPr>
        <w:t>*</w:t>
      </w:r>
    </w:p>
    <w:tbl>
      <w:tblPr>
        <w:tblStyle w:val="TableGrid"/>
        <w:tblW w:w="9639" w:type="dxa"/>
        <w:tblLayout w:type="fixed"/>
        <w:tblLook w:val="04A0" w:firstRow="1" w:lastRow="0" w:firstColumn="1" w:lastColumn="0" w:noHBand="0" w:noVBand="1"/>
      </w:tblPr>
      <w:tblGrid>
        <w:gridCol w:w="2378"/>
        <w:gridCol w:w="2300"/>
        <w:gridCol w:w="2410"/>
        <w:gridCol w:w="2551"/>
      </w:tblGrid>
      <w:tr w:rsidR="00A2185A" w14:paraId="6BAC9C3A" w14:textId="77777777" w:rsidTr="00E86094">
        <w:tc>
          <w:tcPr>
            <w:tcW w:w="9639" w:type="dxa"/>
            <w:gridSpan w:val="4"/>
            <w:tcBorders>
              <w:top w:val="single" w:sz="4" w:space="0" w:color="auto"/>
              <w:left w:val="nil"/>
              <w:bottom w:val="nil"/>
              <w:right w:val="nil"/>
            </w:tcBorders>
            <w:shd w:val="clear" w:color="auto" w:fill="D9E2F3" w:themeFill="accent1" w:themeFillTint="33"/>
            <w:vAlign w:val="center"/>
          </w:tcPr>
          <w:p w14:paraId="462A9BED" w14:textId="77777777" w:rsidR="00A2185A" w:rsidRPr="004418A3" w:rsidRDefault="00183EBA" w:rsidP="003B3B74">
            <w:pPr>
              <w:spacing w:after="0" w:line="240" w:lineRule="auto"/>
              <w:jc w:val="center"/>
              <w:rPr>
                <w:rFonts w:ascii="Book Antiqua" w:hAnsi="Book Antiqua"/>
                <w:b/>
                <w:bCs/>
                <w:i/>
                <w:iCs/>
                <w:color w:val="000000"/>
                <w:szCs w:val="24"/>
                <w:lang w:val="id-ID"/>
              </w:rPr>
            </w:pPr>
            <w:proofErr w:type="spellStart"/>
            <w:r w:rsidRPr="001D295E">
              <w:rPr>
                <w:rFonts w:ascii="Book Antiqua" w:hAnsi="Book Antiqua"/>
                <w:b/>
                <w:bCs/>
                <w:i/>
                <w:iCs/>
                <w:color w:val="000000"/>
                <w:szCs w:val="24"/>
                <w:lang w:val="id-ID"/>
              </w:rPr>
              <w:t>Abstract</w:t>
            </w:r>
            <w:proofErr w:type="spellEnd"/>
          </w:p>
        </w:tc>
      </w:tr>
      <w:tr w:rsidR="00285C8E" w14:paraId="2A38FCA9" w14:textId="77777777" w:rsidTr="00E86094">
        <w:tc>
          <w:tcPr>
            <w:tcW w:w="9639" w:type="dxa"/>
            <w:gridSpan w:val="4"/>
            <w:tcBorders>
              <w:top w:val="nil"/>
              <w:left w:val="nil"/>
              <w:bottom w:val="single" w:sz="4" w:space="0" w:color="auto"/>
              <w:right w:val="nil"/>
            </w:tcBorders>
            <w:shd w:val="clear" w:color="auto" w:fill="auto"/>
            <w:vAlign w:val="center"/>
          </w:tcPr>
          <w:p w14:paraId="0741C025" w14:textId="253B9E27" w:rsidR="00183EBA" w:rsidRDefault="00183EBA" w:rsidP="00183EBA">
            <w:pPr>
              <w:spacing w:after="0" w:line="240" w:lineRule="auto"/>
              <w:ind w:left="-108" w:right="-108"/>
              <w:jc w:val="both"/>
              <w:rPr>
                <w:rFonts w:ascii="Book Antiqua" w:hAnsi="Book Antiqua"/>
                <w:b/>
                <w:i/>
                <w:sz w:val="20"/>
              </w:rPr>
            </w:pPr>
            <w:r w:rsidRPr="00B27128">
              <w:rPr>
                <w:rFonts w:ascii="Book Antiqua" w:hAnsi="Book Antiqua"/>
                <w:b/>
                <w:i/>
                <w:color w:val="4472C4" w:themeColor="accent1"/>
                <w:sz w:val="20"/>
              </w:rPr>
              <w:t>Introduction:</w:t>
            </w:r>
            <w:r>
              <w:rPr>
                <w:rFonts w:ascii="Book Antiqua" w:hAnsi="Book Antiqua"/>
                <w:b/>
                <w:i/>
                <w:color w:val="2F5496" w:themeColor="accent1" w:themeShade="BF"/>
                <w:sz w:val="20"/>
              </w:rPr>
              <w:t xml:space="preserve"> </w:t>
            </w:r>
            <w:r w:rsidR="00F86319" w:rsidRPr="00F86319">
              <w:rPr>
                <w:rFonts w:ascii="Book Antiqua" w:hAnsi="Book Antiqua"/>
                <w:i/>
                <w:sz w:val="20"/>
              </w:rPr>
              <w:t xml:space="preserve">This study examines the effectiveness of civil litigation in resolving education contract disputes at the </w:t>
            </w:r>
            <w:proofErr w:type="spellStart"/>
            <w:r w:rsidR="00F86319" w:rsidRPr="00F86319">
              <w:rPr>
                <w:rFonts w:ascii="Book Antiqua" w:hAnsi="Book Antiqua"/>
                <w:i/>
                <w:sz w:val="20"/>
              </w:rPr>
              <w:t>Watampone</w:t>
            </w:r>
            <w:proofErr w:type="spellEnd"/>
            <w:r w:rsidR="00F86319" w:rsidRPr="00F86319">
              <w:rPr>
                <w:rFonts w:ascii="Book Antiqua" w:hAnsi="Book Antiqua"/>
                <w:i/>
                <w:sz w:val="20"/>
              </w:rPr>
              <w:t xml:space="preserve"> Blue Islamic Boarding School, South Sulawesi. As an educational institution based on Islamic values, Islamic boarding schools face legal challenges due to the lack of special regulations governing education contracts</w:t>
            </w:r>
          </w:p>
          <w:p w14:paraId="0074FB40" w14:textId="2E9AF237"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Purposes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Pr>
                <w:rFonts w:ascii="Book Antiqua" w:hAnsi="Book Antiqua"/>
                <w:b/>
                <w:bCs/>
                <w:i/>
                <w:sz w:val="20"/>
              </w:rPr>
              <w:t xml:space="preserve"> </w:t>
            </w:r>
            <w:r w:rsidR="00F86319" w:rsidRPr="00F86319">
              <w:rPr>
                <w:rFonts w:ascii="Book Antiqua" w:hAnsi="Book Antiqua"/>
                <w:i/>
                <w:sz w:val="20"/>
              </w:rPr>
              <w:t xml:space="preserve">o evaluate the effectiveness of civil litigation in resolving education contract disputes at the </w:t>
            </w:r>
            <w:proofErr w:type="spellStart"/>
            <w:r w:rsidR="00F86319" w:rsidRPr="00F86319">
              <w:rPr>
                <w:rFonts w:ascii="Book Antiqua" w:hAnsi="Book Antiqua"/>
                <w:i/>
                <w:sz w:val="20"/>
              </w:rPr>
              <w:t>Watampone</w:t>
            </w:r>
            <w:proofErr w:type="spellEnd"/>
            <w:r w:rsidR="00F86319" w:rsidRPr="00F86319">
              <w:rPr>
                <w:rFonts w:ascii="Book Antiqua" w:hAnsi="Book Antiqua"/>
                <w:i/>
                <w:sz w:val="20"/>
              </w:rPr>
              <w:t xml:space="preserve"> Blue Islamic Boarding School. It aims to identify the causes of disputes, explore alternative resolution methods like mediation, and propose an updated framework for education contracts that integrates Sharia principles, legal protection, and clarity of rights and obligations in Islamic boarding schools.</w:t>
            </w:r>
          </w:p>
          <w:p w14:paraId="22D77562" w14:textId="721912CA"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Methods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sidR="00F86319" w:rsidRPr="00F86319">
              <w:rPr>
                <w:rFonts w:ascii="Book Antiqua" w:hAnsi="Book Antiqua"/>
                <w:i/>
                <w:sz w:val="20"/>
              </w:rPr>
              <w:t xml:space="preserve">The research uses a qualitative approach with a case study method, through the analysis of contract documents and in-depth interviews with student guardians, </w:t>
            </w:r>
            <w:proofErr w:type="spellStart"/>
            <w:r w:rsidR="00F86319" w:rsidRPr="00F86319">
              <w:rPr>
                <w:rFonts w:ascii="Book Antiqua" w:hAnsi="Book Antiqua"/>
                <w:i/>
                <w:sz w:val="20"/>
              </w:rPr>
              <w:t>pesantren</w:t>
            </w:r>
            <w:proofErr w:type="spellEnd"/>
            <w:r w:rsidR="00F86319" w:rsidRPr="00F86319">
              <w:rPr>
                <w:rFonts w:ascii="Book Antiqua" w:hAnsi="Book Antiqua"/>
                <w:i/>
                <w:sz w:val="20"/>
              </w:rPr>
              <w:t xml:space="preserve"> managers, and legal practitioners</w:t>
            </w:r>
            <w:r w:rsidR="00F86319">
              <w:rPr>
                <w:rFonts w:ascii="Book Antiqua" w:hAnsi="Book Antiqua"/>
                <w:i/>
                <w:sz w:val="20"/>
              </w:rPr>
              <w:t>.</w:t>
            </w:r>
          </w:p>
          <w:p w14:paraId="3EBEEDBF" w14:textId="3288CE2F" w:rsidR="00285C8E" w:rsidRDefault="00183EBA" w:rsidP="00183EBA">
            <w:pPr>
              <w:spacing w:after="120" w:line="240" w:lineRule="auto"/>
              <w:ind w:left="-108" w:right="-108"/>
              <w:jc w:val="both"/>
              <w:rPr>
                <w:rFonts w:ascii="Book Antiqua" w:hAnsi="Book Antiqua"/>
                <w:bCs/>
                <w:sz w:val="20"/>
              </w:rPr>
            </w:pPr>
            <w:r w:rsidRPr="00B27128">
              <w:rPr>
                <w:rFonts w:ascii="Book Antiqua" w:hAnsi="Book Antiqua"/>
                <w:b/>
                <w:i/>
                <w:color w:val="4472C4" w:themeColor="accent1"/>
                <w:sz w:val="20"/>
              </w:rPr>
              <w:t>Results / Main Findings / Novelty/Originality of the Research</w:t>
            </w:r>
            <w:r w:rsidRPr="00B27128">
              <w:rPr>
                <w:rFonts w:ascii="Book Antiqua" w:hAnsi="Book Antiqua"/>
                <w:b/>
                <w:bCs/>
                <w:i/>
                <w:color w:val="4472C4" w:themeColor="accent1"/>
                <w:sz w:val="20"/>
              </w:rPr>
              <w:t>:</w:t>
            </w:r>
            <w:r>
              <w:rPr>
                <w:rFonts w:ascii="Book Antiqua" w:hAnsi="Book Antiqua"/>
                <w:b/>
                <w:bCs/>
                <w:i/>
                <w:sz w:val="20"/>
              </w:rPr>
              <w:t xml:space="preserve"> </w:t>
            </w:r>
            <w:r w:rsidR="00F86319" w:rsidRPr="00F86319">
              <w:rPr>
                <w:rFonts w:ascii="Book Antiqua" w:hAnsi="Book Antiqua"/>
                <w:i/>
                <w:color w:val="000000" w:themeColor="text1"/>
                <w:sz w:val="20"/>
              </w:rPr>
              <w:t>contract disputes in Islamic boarding schools stem from unequal bargaining, unclear clauses, and low legal awareness. While civil litigation is rarely used, mediation based on local wisdom is more common. The research calls for updating education contracts in these schools to integrate Sharia principles and ensure legal clarity and justice for all parties.</w:t>
            </w:r>
          </w:p>
          <w:p w14:paraId="3DB37FC2" w14:textId="17FA2ED8" w:rsidR="00F86319" w:rsidRPr="00F86319" w:rsidRDefault="00183EBA" w:rsidP="00F86319">
            <w:pPr>
              <w:spacing w:after="120" w:line="240" w:lineRule="auto"/>
              <w:ind w:left="-108" w:right="-108"/>
              <w:jc w:val="both"/>
              <w:rPr>
                <w:rFonts w:ascii="Book Antiqua" w:hAnsi="Book Antiqua"/>
                <w:b/>
                <w:i/>
                <w:sz w:val="20"/>
                <w:szCs w:val="20"/>
              </w:rPr>
            </w:pPr>
            <w:proofErr w:type="spellStart"/>
            <w:r w:rsidRPr="003B3B74">
              <w:rPr>
                <w:rFonts w:ascii="Book Antiqua" w:hAnsi="Book Antiqua"/>
                <w:b/>
                <w:bCs/>
                <w:i/>
                <w:iCs/>
                <w:color w:val="000000" w:themeColor="text1"/>
                <w:sz w:val="20"/>
                <w:szCs w:val="20"/>
                <w:lang w:val="id-ID"/>
              </w:rPr>
              <w:t>Keywords</w:t>
            </w:r>
            <w:proofErr w:type="spellEnd"/>
            <w:r w:rsidRPr="003B3B74">
              <w:rPr>
                <w:rFonts w:ascii="Book Antiqua" w:hAnsi="Book Antiqua"/>
                <w:b/>
                <w:bCs/>
                <w:i/>
                <w:iCs/>
                <w:color w:val="000000" w:themeColor="text1"/>
                <w:sz w:val="20"/>
                <w:szCs w:val="20"/>
                <w:lang w:val="id-ID"/>
              </w:rPr>
              <w:t>:</w:t>
            </w:r>
            <w:r w:rsidR="00F86319">
              <w:rPr>
                <w:rFonts w:ascii="Book Antiqua" w:hAnsi="Book Antiqua"/>
                <w:b/>
                <w:bCs/>
                <w:i/>
                <w:iCs/>
                <w:color w:val="FFC000" w:themeColor="accent4"/>
                <w:sz w:val="20"/>
                <w:szCs w:val="20"/>
              </w:rPr>
              <w:t xml:space="preserve"> </w:t>
            </w:r>
            <w:r w:rsidR="00F86319" w:rsidRPr="00F86319">
              <w:rPr>
                <w:rFonts w:ascii="Book Antiqua" w:hAnsi="Book Antiqua"/>
                <w:b/>
                <w:i/>
                <w:sz w:val="20"/>
                <w:szCs w:val="20"/>
              </w:rPr>
              <w:t>Education Contracts, Civil Litigation, Islamic Boarding School, Dispute Resolution, Comparative</w:t>
            </w:r>
          </w:p>
        </w:tc>
      </w:tr>
      <w:tr w:rsidR="009807F2" w14:paraId="6A058B70" w14:textId="77777777" w:rsidTr="00404A63">
        <w:tc>
          <w:tcPr>
            <w:tcW w:w="2378" w:type="dxa"/>
            <w:tcBorders>
              <w:left w:val="nil"/>
              <w:bottom w:val="single" w:sz="4" w:space="0" w:color="auto"/>
              <w:right w:val="nil"/>
            </w:tcBorders>
            <w:shd w:val="clear" w:color="auto" w:fill="F2F2F2" w:themeFill="background1" w:themeFillShade="F2"/>
            <w:vAlign w:val="center"/>
          </w:tcPr>
          <w:p w14:paraId="6741A84C" w14:textId="77777777" w:rsidR="009807F2" w:rsidRPr="009B3C8A" w:rsidRDefault="009807F2" w:rsidP="009B3C8A">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2F2F2" w:themeFill="background1" w:themeFillShade="F2"/>
            <w:vAlign w:val="center"/>
          </w:tcPr>
          <w:p w14:paraId="5CE261B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2F2F2" w:themeFill="background1" w:themeFillShade="F2"/>
            <w:vAlign w:val="center"/>
          </w:tcPr>
          <w:p w14:paraId="73CACDB1"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2F2F2" w:themeFill="background1" w:themeFillShade="F2"/>
            <w:vAlign w:val="center"/>
          </w:tcPr>
          <w:p w14:paraId="4641EBF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D02095" w14:paraId="68260FFA" w14:textId="77777777" w:rsidTr="00404A63">
        <w:trPr>
          <w:trHeight w:val="521"/>
        </w:trPr>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71C3306F" w14:textId="77777777" w:rsidR="009B3C8A" w:rsidRPr="009B3C8A" w:rsidRDefault="00224963" w:rsidP="00164B5C">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How To Cite:</w:t>
            </w:r>
            <w:r w:rsidR="00154A86" w:rsidRPr="009807F2">
              <w:rPr>
                <w:rFonts w:ascii="Book Antiqua" w:hAnsi="Book Antiqua"/>
                <w:sz w:val="16"/>
                <w:szCs w:val="16"/>
              </w:rPr>
              <w:t xml:space="preserve"> </w:t>
            </w:r>
            <w:r w:rsidR="00154A86" w:rsidRPr="009807F2">
              <w:rPr>
                <w:rFonts w:ascii="Book Antiqua" w:hAnsi="Book Antiqua" w:cstheme="majorHAnsi"/>
                <w:color w:val="000000" w:themeColor="text1"/>
                <w:sz w:val="16"/>
                <w:szCs w:val="16"/>
              </w:rPr>
              <w:t xml:space="preserve">Sarah </w:t>
            </w:r>
            <w:proofErr w:type="spellStart"/>
            <w:r w:rsidR="00154A86"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Muchtar </w:t>
            </w:r>
            <w:proofErr w:type="spellStart"/>
            <w:r w:rsidR="00154A86" w:rsidRPr="009807F2">
              <w:rPr>
                <w:rFonts w:ascii="Book Antiqua" w:hAnsi="Book Antiqua" w:cstheme="majorHAnsi"/>
                <w:color w:val="000000" w:themeColor="text1"/>
                <w:sz w:val="16"/>
                <w:szCs w:val="16"/>
              </w:rPr>
              <w:t>Anshary</w:t>
            </w:r>
            <w:proofErr w:type="spellEnd"/>
            <w:r w:rsidR="00154A86" w:rsidRPr="009807F2">
              <w:rPr>
                <w:rFonts w:ascii="Book Antiqua" w:hAnsi="Book Antiqua" w:cstheme="majorHAnsi"/>
                <w:color w:val="000000" w:themeColor="text1"/>
                <w:sz w:val="16"/>
                <w:szCs w:val="16"/>
              </w:rPr>
              <w:t xml:space="preserve"> Hamid </w:t>
            </w:r>
            <w:proofErr w:type="spellStart"/>
            <w:r w:rsidR="00154A86" w:rsidRPr="009807F2">
              <w:rPr>
                <w:rFonts w:ascii="Book Antiqua" w:hAnsi="Book Antiqua" w:cstheme="majorHAnsi"/>
                <w:color w:val="000000" w:themeColor="text1"/>
                <w:sz w:val="16"/>
                <w:szCs w:val="16"/>
              </w:rPr>
              <w:t>Labetubun</w:t>
            </w:r>
            <w:proofErr w:type="spellEnd"/>
            <w:r w:rsidR="005C01AB" w:rsidRPr="009807F2">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and Rory Jeff </w:t>
            </w:r>
            <w:proofErr w:type="spellStart"/>
            <w:r w:rsidR="00154A86" w:rsidRPr="009807F2">
              <w:rPr>
                <w:rFonts w:ascii="Book Antiqua" w:hAnsi="Book Antiqua" w:cstheme="majorHAnsi"/>
                <w:color w:val="000000" w:themeColor="text1"/>
                <w:sz w:val="16"/>
                <w:szCs w:val="16"/>
              </w:rPr>
              <w:t>Akyuwen</w:t>
            </w:r>
            <w:proofErr w:type="spellEnd"/>
            <w:r w:rsidR="00154A86"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A Legal Awareness of Copyright on Regional Song Creators</w:t>
            </w:r>
            <w:r w:rsidR="005C01AB"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i/>
                <w:color w:val="000000" w:themeColor="text1"/>
                <w:sz w:val="16"/>
                <w:szCs w:val="16"/>
              </w:rPr>
              <w:t>SASI</w:t>
            </w:r>
            <w:r w:rsidR="005C01AB" w:rsidRPr="009807F2">
              <w:rPr>
                <w:rFonts w:ascii="Book Antiqua" w:hAnsi="Book Antiqua" w:cstheme="majorHAnsi"/>
                <w:color w:val="000000" w:themeColor="text1"/>
                <w:sz w:val="16"/>
                <w:szCs w:val="16"/>
              </w:rPr>
              <w:t xml:space="preserve"> 30 no. 1 (2024): XXX-</w:t>
            </w:r>
            <w:proofErr w:type="spellStart"/>
            <w:r w:rsidR="005C01AB" w:rsidRPr="009807F2">
              <w:rPr>
                <w:rFonts w:ascii="Book Antiqua" w:hAnsi="Book Antiqua" w:cstheme="majorHAnsi"/>
                <w:color w:val="000000" w:themeColor="text1"/>
                <w:sz w:val="16"/>
                <w:szCs w:val="16"/>
              </w:rPr>
              <w:t>XXX</w:t>
            </w:r>
            <w:r w:rsidR="00154A86"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https</w:t>
            </w:r>
            <w:proofErr w:type="spellEnd"/>
            <w:r w:rsidR="00154A86" w:rsidRPr="009807F2">
              <w:rPr>
                <w:rFonts w:ascii="Book Antiqua" w:hAnsi="Book Antiqua"/>
                <w:noProof/>
                <w:sz w:val="16"/>
                <w:szCs w:val="16"/>
              </w:rPr>
              <w:t>://doi.org/</w:t>
            </w:r>
            <w:hyperlink r:id="rId15" w:history="1">
              <w:r w:rsidR="00154A86" w:rsidRPr="009807F2">
                <w:rPr>
                  <w:rFonts w:ascii="Book Antiqua" w:hAnsi="Book Antiqua"/>
                  <w:color w:val="4472C4" w:themeColor="accent1"/>
                  <w:sz w:val="16"/>
                  <w:szCs w:val="16"/>
                </w:rPr>
                <w:t>10.47268/sasi.v30i1.XXXXX</w:t>
              </w:r>
              <w:r w:rsidR="005C01AB" w:rsidRPr="009807F2">
                <w:rPr>
                  <w:rFonts w:ascii="Book Antiqua" w:hAnsi="Book Antiqua"/>
                  <w:color w:val="4472C4" w:themeColor="accent1"/>
                  <w:sz w:val="16"/>
                  <w:szCs w:val="16"/>
                </w:rPr>
                <w:t xml:space="preserve"> </w:t>
              </w:r>
            </w:hyperlink>
          </w:p>
        </w:tc>
      </w:tr>
      <w:tr w:rsidR="009B3C8A" w14:paraId="34CDD33C" w14:textId="77777777" w:rsidTr="00404A63">
        <w:tc>
          <w:tcPr>
            <w:tcW w:w="2378" w:type="dxa"/>
            <w:tcBorders>
              <w:top w:val="single" w:sz="4" w:space="0" w:color="auto"/>
              <w:left w:val="nil"/>
              <w:bottom w:val="single" w:sz="4" w:space="0" w:color="auto"/>
              <w:right w:val="nil"/>
            </w:tcBorders>
            <w:shd w:val="clear" w:color="auto" w:fill="F2F2F2" w:themeFill="background1" w:themeFillShade="F2"/>
            <w:vAlign w:val="center"/>
          </w:tcPr>
          <w:p w14:paraId="173FDB31" w14:textId="77777777" w:rsidR="009B3C8A" w:rsidRPr="00DE1590" w:rsidRDefault="009B3C8A" w:rsidP="00696409">
            <w:pPr>
              <w:spacing w:before="120" w:after="0" w:line="240" w:lineRule="auto"/>
              <w:ind w:left="-108"/>
              <w:jc w:val="both"/>
              <w:rPr>
                <w:noProof/>
                <w:color w:val="4472C4" w:themeColor="accent1"/>
                <w:sz w:val="18"/>
                <w:szCs w:val="18"/>
                <w:lang w:bidi="ar-SA"/>
              </w:rPr>
            </w:pPr>
            <w:r w:rsidRPr="009B3C8A">
              <w:rPr>
                <w:rFonts w:ascii="Book Antiqua" w:hAnsi="Book Antiqua"/>
                <w:sz w:val="16"/>
                <w:szCs w:val="16"/>
              </w:rPr>
              <w:t>Copyright</w:t>
            </w:r>
            <w:r w:rsidRPr="009B3C8A">
              <w:rPr>
                <w:rFonts w:ascii="Book Antiqua" w:hAnsi="Book Antiqua"/>
                <w:sz w:val="18"/>
                <w:szCs w:val="16"/>
              </w:rPr>
              <w:t xml:space="preserve"> © 202</w:t>
            </w:r>
            <w:r w:rsidR="00696409">
              <w:rPr>
                <w:rFonts w:ascii="Book Antiqua" w:hAnsi="Book Antiqua"/>
                <w:sz w:val="18"/>
                <w:szCs w:val="16"/>
              </w:rPr>
              <w:t>4</w:t>
            </w:r>
            <w:r w:rsidRPr="009B3C8A">
              <w:rPr>
                <w:rFonts w:ascii="Book Antiqua" w:hAnsi="Book Antiqua"/>
                <w:sz w:val="18"/>
                <w:szCs w:val="16"/>
              </w:rPr>
              <w:t xml:space="preserve"> Author(s)</w:t>
            </w:r>
          </w:p>
        </w:tc>
        <w:tc>
          <w:tcPr>
            <w:tcW w:w="7261" w:type="dxa"/>
            <w:gridSpan w:val="3"/>
            <w:tcBorders>
              <w:top w:val="single" w:sz="4" w:space="0" w:color="auto"/>
              <w:left w:val="nil"/>
              <w:bottom w:val="single" w:sz="4" w:space="0" w:color="auto"/>
              <w:right w:val="nil"/>
            </w:tcBorders>
            <w:shd w:val="clear" w:color="auto" w:fill="F2F2F2" w:themeFill="background1" w:themeFillShade="F2"/>
            <w:vAlign w:val="center"/>
          </w:tcPr>
          <w:p w14:paraId="07C89376" w14:textId="2BD0A440" w:rsidR="009B3C8A" w:rsidRPr="00DE1590" w:rsidRDefault="00E86094" w:rsidP="00E86094">
            <w:pPr>
              <w:spacing w:before="120" w:after="0" w:line="240" w:lineRule="auto"/>
              <w:ind w:left="491"/>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5104" behindDoc="0" locked="0" layoutInCell="1" allowOverlap="1" wp14:anchorId="7247B88D" wp14:editId="447FEB43">
                  <wp:simplePos x="0" y="0"/>
                  <wp:positionH relativeFrom="column">
                    <wp:posOffset>-144145</wp:posOffset>
                  </wp:positionH>
                  <wp:positionV relativeFrom="paragraph">
                    <wp:posOffset>15875</wp:posOffset>
                  </wp:positionV>
                  <wp:extent cx="424180" cy="211455"/>
                  <wp:effectExtent l="0" t="0" r="0" b="0"/>
                  <wp:wrapNone/>
                  <wp:docPr id="2" name="Picture 2"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9C7D1C" w:rsidRPr="007E1A77">
                <w:t xml:space="preserve"> </w:t>
              </w:r>
              <w:r w:rsidR="009C7D1C" w:rsidRPr="009C7D1C">
                <w:rPr>
                  <w:rStyle w:val="Hyperlink"/>
                  <w:rFonts w:ascii="Book Antiqua" w:hAnsi="Book Antiqua"/>
                  <w:color w:val="000000" w:themeColor="text1"/>
                  <w:sz w:val="18"/>
                  <w:szCs w:val="18"/>
                  <w:u w:val="none"/>
                </w:rPr>
                <w:t>Creative Commons Attribution-</w:t>
              </w:r>
              <w:proofErr w:type="spellStart"/>
              <w:r w:rsidR="009C7D1C" w:rsidRPr="009C7D1C">
                <w:rPr>
                  <w:rStyle w:val="Hyperlink"/>
                  <w:rFonts w:ascii="Book Antiqua" w:hAnsi="Book Antiqua"/>
                  <w:color w:val="000000" w:themeColor="text1"/>
                  <w:sz w:val="18"/>
                  <w:szCs w:val="18"/>
                  <w:u w:val="none"/>
                </w:rPr>
                <w:t>NonCommercial</w:t>
              </w:r>
              <w:proofErr w:type="spellEnd"/>
              <w:r w:rsidR="009C7D1C" w:rsidRPr="009C7D1C">
                <w:rPr>
                  <w:rStyle w:val="Hyperlink"/>
                  <w:rFonts w:ascii="Book Antiqua" w:hAnsi="Book Antiqua"/>
                  <w:color w:val="000000" w:themeColor="text1"/>
                  <w:sz w:val="18"/>
                  <w:szCs w:val="18"/>
                  <w:u w:val="none"/>
                </w:rPr>
                <w:t xml:space="preserve"> 4.0 Interna</w:t>
              </w:r>
              <w:r w:rsidR="00A80F7F">
                <w:rPr>
                  <w:rStyle w:val="Hyperlink"/>
                  <w:rFonts w:ascii="Book Antiqua" w:hAnsi="Book Antiqua"/>
                  <w:color w:val="000000" w:themeColor="text1"/>
                  <w:sz w:val="18"/>
                  <w:szCs w:val="18"/>
                  <w:u w:val="none"/>
                </w:rPr>
                <w:t>t</w:t>
              </w:r>
              <w:r w:rsidR="009C7D1C" w:rsidRPr="009C7D1C">
                <w:rPr>
                  <w:rStyle w:val="Hyperlink"/>
                  <w:rFonts w:ascii="Book Antiqua" w:hAnsi="Book Antiqua"/>
                  <w:color w:val="000000" w:themeColor="text1"/>
                  <w:sz w:val="18"/>
                  <w:szCs w:val="18"/>
                  <w:u w:val="none"/>
                </w:rPr>
                <w:t>ional</w:t>
              </w:r>
              <w:r w:rsidR="009B3C8A" w:rsidRPr="00011808">
                <w:rPr>
                  <w:rStyle w:val="Hyperlink"/>
                  <w:rFonts w:ascii="Book Antiqua" w:hAnsi="Book Antiqua"/>
                  <w:color w:val="000000" w:themeColor="text1"/>
                  <w:sz w:val="18"/>
                  <w:szCs w:val="18"/>
                  <w:u w:val="none"/>
                </w:rPr>
                <w:t xml:space="preserve"> License</w:t>
              </w:r>
            </w:hyperlink>
          </w:p>
        </w:tc>
      </w:tr>
    </w:tbl>
    <w:p w14:paraId="572D7592"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43DEBCBF" w14:textId="150C9A57" w:rsidR="00F86319" w:rsidRPr="00F86319" w:rsidRDefault="00636FF5" w:rsidP="00F86319">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4B1F20" w:rsidRPr="00636FF5">
        <w:rPr>
          <w:rFonts w:ascii="Book Antiqua" w:hAnsi="Book Antiqua"/>
          <w:b/>
          <w:bCs/>
          <w:color w:val="4472C4" w:themeColor="accent1"/>
          <w:sz w:val="24"/>
          <w:szCs w:val="22"/>
          <w:lang w:val="id-ID"/>
        </w:rPr>
        <w:t xml:space="preserve"> </w:t>
      </w:r>
    </w:p>
    <w:p w14:paraId="07A2A5F5" w14:textId="77777777" w:rsidR="00F86319" w:rsidRPr="00F86319" w:rsidRDefault="00F86319" w:rsidP="00F86319">
      <w:pPr>
        <w:spacing w:after="120" w:line="240" w:lineRule="auto"/>
        <w:jc w:val="both"/>
        <w:rPr>
          <w:rFonts w:ascii="Book Antiqua" w:hAnsi="Book Antiqua"/>
          <w:sz w:val="24"/>
        </w:rPr>
      </w:pPr>
      <w:proofErr w:type="spellStart"/>
      <w:r w:rsidRPr="00F86319">
        <w:rPr>
          <w:rFonts w:ascii="Book Antiqua" w:hAnsi="Book Antiqua"/>
          <w:sz w:val="24"/>
        </w:rPr>
        <w:t>Pesantren</w:t>
      </w:r>
      <w:proofErr w:type="spellEnd"/>
      <w:r w:rsidRPr="00F86319">
        <w:rPr>
          <w:rFonts w:ascii="Book Antiqua" w:hAnsi="Book Antiqua"/>
          <w:sz w:val="24"/>
        </w:rPr>
        <w:t>, as the oldest and most rooted Islamic educational institution in Indonesia, not only serves as a center for religious learning, but also becomes an important agent in character formation and social transformation</w:t>
      </w:r>
      <w:r w:rsidRPr="00F86319">
        <w:rPr>
          <w:rFonts w:ascii="Book Antiqua" w:hAnsi="Book Antiqua"/>
          <w:sz w:val="24"/>
          <w:vertAlign w:val="superscript"/>
        </w:rPr>
        <w:footnoteReference w:id="1"/>
      </w:r>
      <w:r w:rsidRPr="00F86319">
        <w:rPr>
          <w:rFonts w:ascii="Book Antiqua" w:hAnsi="Book Antiqua"/>
          <w:sz w:val="24"/>
        </w:rPr>
        <w:t xml:space="preserve">. This strategic role makes </w:t>
      </w:r>
      <w:proofErr w:type="spellStart"/>
      <w:r w:rsidRPr="00F86319">
        <w:rPr>
          <w:rFonts w:ascii="Book Antiqua" w:hAnsi="Book Antiqua"/>
          <w:sz w:val="24"/>
        </w:rPr>
        <w:t>pesantren</w:t>
      </w:r>
      <w:proofErr w:type="spellEnd"/>
      <w:r w:rsidRPr="00F86319">
        <w:rPr>
          <w:rFonts w:ascii="Book Antiqua" w:hAnsi="Book Antiqua"/>
          <w:sz w:val="24"/>
        </w:rPr>
        <w:t xml:space="preserve"> an integral part of the national education system</w:t>
      </w:r>
      <w:r w:rsidRPr="00F86319">
        <w:rPr>
          <w:rFonts w:ascii="Book Antiqua" w:hAnsi="Book Antiqua"/>
          <w:sz w:val="24"/>
          <w:vertAlign w:val="superscript"/>
        </w:rPr>
        <w:footnoteReference w:id="2"/>
      </w:r>
      <w:r w:rsidRPr="00F86319">
        <w:rPr>
          <w:rFonts w:ascii="Book Antiqua" w:hAnsi="Book Antiqua"/>
          <w:sz w:val="24"/>
        </w:rPr>
        <w:t xml:space="preserve">. However, in the midst of the wave of </w:t>
      </w:r>
      <w:r w:rsidRPr="00F86319">
        <w:rPr>
          <w:rFonts w:ascii="Book Antiqua" w:hAnsi="Book Antiqua"/>
          <w:sz w:val="24"/>
        </w:rPr>
        <w:lastRenderedPageBreak/>
        <w:t>modernization and complexity of contemporary society</w:t>
      </w:r>
      <w:r w:rsidRPr="00F86319">
        <w:rPr>
          <w:rFonts w:ascii="Book Antiqua" w:hAnsi="Book Antiqua"/>
          <w:sz w:val="24"/>
          <w:vertAlign w:val="superscript"/>
        </w:rPr>
        <w:footnoteReference w:id="3"/>
      </w:r>
      <w:r w:rsidRPr="00F86319">
        <w:rPr>
          <w:rFonts w:ascii="Book Antiqua" w:hAnsi="Book Antiqua"/>
          <w:sz w:val="24"/>
        </w:rPr>
        <w:t xml:space="preserve">, </w:t>
      </w:r>
      <w:proofErr w:type="spellStart"/>
      <w:r w:rsidRPr="00F86319">
        <w:rPr>
          <w:rFonts w:ascii="Book Antiqua" w:hAnsi="Book Antiqua"/>
          <w:sz w:val="24"/>
        </w:rPr>
        <w:t>pesantren</w:t>
      </w:r>
      <w:proofErr w:type="spellEnd"/>
      <w:r w:rsidRPr="00F86319">
        <w:rPr>
          <w:rFonts w:ascii="Book Antiqua" w:hAnsi="Book Antiqua"/>
          <w:sz w:val="24"/>
        </w:rPr>
        <w:t xml:space="preserve"> are now facing various new challenges, including in terms of legal relations arising from their educational activities, especially related to education contracts between </w:t>
      </w:r>
      <w:proofErr w:type="spellStart"/>
      <w:r w:rsidRPr="00F86319">
        <w:rPr>
          <w:rFonts w:ascii="Book Antiqua" w:hAnsi="Book Antiqua"/>
          <w:sz w:val="24"/>
        </w:rPr>
        <w:t>pesantren</w:t>
      </w:r>
      <w:proofErr w:type="spellEnd"/>
      <w:r w:rsidRPr="00F86319">
        <w:rPr>
          <w:rFonts w:ascii="Book Antiqua" w:hAnsi="Book Antiqua"/>
          <w:sz w:val="24"/>
        </w:rPr>
        <w:t xml:space="preserve"> and students or guardians of students.</w:t>
      </w:r>
    </w:p>
    <w:p w14:paraId="05C561C7"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An education contract is a legal instrument that regulates the relationship between education providers and students</w:t>
      </w:r>
      <w:r w:rsidRPr="00F86319">
        <w:rPr>
          <w:rFonts w:ascii="Book Antiqua" w:hAnsi="Book Antiqua"/>
          <w:sz w:val="24"/>
          <w:vertAlign w:val="superscript"/>
        </w:rPr>
        <w:footnoteReference w:id="4"/>
      </w:r>
      <w:r w:rsidRPr="00F86319">
        <w:rPr>
          <w:rFonts w:ascii="Book Antiqua" w:hAnsi="Book Antiqua"/>
          <w:sz w:val="24"/>
        </w:rPr>
        <w:t>. In the context of Islamic boarding schools, this contract usually includes aspects of financing, rules, curriculum, and facilities that are mutually agreed. Along with the growth in the number of Islamic boarding schools and the increase in public legal awareness, there is also a higher potential for disputes</w:t>
      </w:r>
      <w:r w:rsidRPr="00F86319">
        <w:rPr>
          <w:rFonts w:ascii="Book Antiqua" w:hAnsi="Book Antiqua"/>
          <w:sz w:val="24"/>
          <w:vertAlign w:val="superscript"/>
        </w:rPr>
        <w:footnoteReference w:id="5"/>
      </w:r>
      <w:r w:rsidRPr="00F86319">
        <w:rPr>
          <w:rFonts w:ascii="Book Antiqua" w:hAnsi="Book Antiqua"/>
          <w:sz w:val="24"/>
        </w:rPr>
        <w:t>. These disputes often arise due to differences in perceptions or violations of the provisions of</w:t>
      </w:r>
      <w:r w:rsidRPr="00F86319">
        <w:rPr>
          <w:rFonts w:ascii="Book Antiqua" w:hAnsi="Book Antiqua"/>
          <w:sz w:val="24"/>
          <w:vertAlign w:val="superscript"/>
        </w:rPr>
        <w:footnoteReference w:id="6"/>
      </w:r>
      <w:r w:rsidRPr="00F86319">
        <w:rPr>
          <w:rFonts w:ascii="Book Antiqua" w:hAnsi="Book Antiqua"/>
          <w:sz w:val="24"/>
        </w:rPr>
        <w:t xml:space="preserve"> the education contract, which ultimately require a proper and fair settlement mechanism</w:t>
      </w:r>
    </w:p>
    <w:p w14:paraId="0044C47F"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The specific problem that is the focus of this paper is how the mechanism for resolving education contract disputes in Islamic boarding schools can be carried out through civil litigation. Although dispute resolution through the courts is a right guaranteed by law</w:t>
      </w:r>
      <w:r w:rsidRPr="00F86319">
        <w:rPr>
          <w:rFonts w:ascii="Book Antiqua" w:hAnsi="Book Antiqua"/>
          <w:sz w:val="24"/>
          <w:vertAlign w:val="superscript"/>
        </w:rPr>
        <w:footnoteReference w:id="7"/>
      </w:r>
      <w:r w:rsidRPr="00F86319">
        <w:rPr>
          <w:rFonts w:ascii="Book Antiqua" w:hAnsi="Book Antiqua"/>
          <w:sz w:val="24"/>
        </w:rPr>
        <w:t>, until now there have not been many studies that have explored in depth how this litigation process is carried out in the context of Islamic boarding schools which have their own characteristics. The absence of comprehensive guidance in this case has the potential to create legal uncertainty for the parties to the dispute.</w:t>
      </w:r>
    </w:p>
    <w:p w14:paraId="6932EE43"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A number of previous studies have discussed dispute resolution in education, but the majority have emphasized alternative approaches such as mediation or deliberation based on local wisdom values. For example, research conducted at SMKN 15 Bandung City, which emphasizes the importance of understanding employment contract agreements for students in preparation for entering the world of work.</w:t>
      </w:r>
      <w:r w:rsidRPr="00F86319">
        <w:rPr>
          <w:rFonts w:ascii="Book Antiqua" w:hAnsi="Book Antiqua"/>
          <w:sz w:val="24"/>
          <w:vertAlign w:val="superscript"/>
        </w:rPr>
        <w:footnoteReference w:id="8"/>
      </w:r>
      <w:r w:rsidRPr="00F86319">
        <w:rPr>
          <w:rFonts w:ascii="Book Antiqua" w:hAnsi="Book Antiqua"/>
          <w:sz w:val="24"/>
        </w:rPr>
        <w:t xml:space="preserve"> The research uses the counseling method to explain the rights and obligations in employment contracts, duration, wages, and social security, by referring to Law Number 13 of 2003 concerning Manpower. Although it does not address dispute resolution directly, this study emphasizes the importance of contractual education early on so that the parties understand each other's legal positions and avoid potential violations. However, studies like this are still rarely carried out in the context of </w:t>
      </w:r>
      <w:proofErr w:type="spellStart"/>
      <w:r w:rsidRPr="00F86319">
        <w:rPr>
          <w:rFonts w:ascii="Book Antiqua" w:hAnsi="Book Antiqua"/>
          <w:sz w:val="24"/>
        </w:rPr>
        <w:t>pesantren</w:t>
      </w:r>
      <w:proofErr w:type="spellEnd"/>
      <w:r w:rsidRPr="00F86319">
        <w:rPr>
          <w:rFonts w:ascii="Book Antiqua" w:hAnsi="Book Antiqua"/>
          <w:sz w:val="24"/>
        </w:rPr>
        <w:t>, especially in responding to potential disputes arising from educational contracts between Islamic boarding schools and students or guardians.</w:t>
      </w:r>
    </w:p>
    <w:p w14:paraId="61EB6E09"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To enrich perspective, this paper also conducts a comparative study of the practice of education agreements in other countries, especially in Thailand. The study took the example of </w:t>
      </w:r>
      <w:r w:rsidRPr="00F86319">
        <w:rPr>
          <w:rFonts w:ascii="Book Antiqua" w:hAnsi="Book Antiqua"/>
          <w:b/>
          <w:bCs/>
          <w:sz w:val="24"/>
        </w:rPr>
        <w:t>Bromsgrove International School Thailand</w:t>
      </w:r>
      <w:r w:rsidRPr="00F86319">
        <w:rPr>
          <w:rFonts w:ascii="Book Antiqua" w:hAnsi="Book Antiqua"/>
          <w:sz w:val="24"/>
        </w:rPr>
        <w:t xml:space="preserve">, which implemented a formal document </w:t>
      </w:r>
      <w:r w:rsidRPr="00F86319">
        <w:rPr>
          <w:rFonts w:ascii="Book Antiqua" w:hAnsi="Book Antiqua"/>
          <w:sz w:val="24"/>
        </w:rPr>
        <w:lastRenderedPageBreak/>
        <w:t xml:space="preserve">entitled </w:t>
      </w:r>
      <w:r w:rsidRPr="00F86319">
        <w:rPr>
          <w:rFonts w:ascii="Book Antiqua" w:hAnsi="Book Antiqua"/>
          <w:i/>
          <w:iCs/>
          <w:sz w:val="24"/>
        </w:rPr>
        <w:t>Student, Parent and School Agreement</w:t>
      </w:r>
      <w:r w:rsidRPr="00F86319">
        <w:rPr>
          <w:rFonts w:ascii="Book Antiqua" w:hAnsi="Book Antiqua"/>
          <w:i/>
          <w:iCs/>
          <w:sz w:val="24"/>
          <w:vertAlign w:val="superscript"/>
        </w:rPr>
        <w:footnoteReference w:id="9"/>
      </w:r>
      <w:r w:rsidRPr="00F86319">
        <w:rPr>
          <w:rFonts w:ascii="Book Antiqua" w:hAnsi="Book Antiqua"/>
          <w:sz w:val="24"/>
        </w:rPr>
        <w:t>. The document reflects a participatory approach in building understanding between schools, students, and parents regarding the roles and responsibilities of each party in the educational process. In the agreement, the school explicitly emphasizes the importance of parental support for children's academic and social development, and affirms student compliance with internal school policies, including those related to uniforms, behavioral ethics, and mobile phone use. This commitment is formalized through the signing of a joint agreement, which is the basis for resolving potential conflicts and maintaining constructive relations between the parties.</w:t>
      </w:r>
    </w:p>
    <w:p w14:paraId="1FE93480"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The limitation of previous studies lies in its scope which has not touched the realm of specific educational contract dispute resolution, especially in the context of </w:t>
      </w:r>
      <w:proofErr w:type="spellStart"/>
      <w:r w:rsidRPr="00F86319">
        <w:rPr>
          <w:rFonts w:ascii="Book Antiqua" w:hAnsi="Book Antiqua"/>
          <w:sz w:val="24"/>
        </w:rPr>
        <w:t>pesantren</w:t>
      </w:r>
      <w:proofErr w:type="spellEnd"/>
      <w:r w:rsidRPr="00F86319">
        <w:rPr>
          <w:rFonts w:ascii="Book Antiqua" w:hAnsi="Book Antiqua"/>
          <w:sz w:val="24"/>
        </w:rPr>
        <w:t>. For example, research on employment contract education among vocational school students only highlights the aspect of initial understanding of the content of the contract, without discussing the legal dynamics when a breach or contractual dispute occurs. In addition, most studies still focus on industrial relations or employment contracts, not on the form of education contracts that have their own characteristics</w:t>
      </w:r>
      <w:r w:rsidRPr="00F86319">
        <w:rPr>
          <w:rFonts w:ascii="Book Antiqua" w:hAnsi="Book Antiqua"/>
          <w:sz w:val="24"/>
          <w:vertAlign w:val="superscript"/>
        </w:rPr>
        <w:footnoteReference w:id="10"/>
      </w:r>
      <w:r w:rsidRPr="00F86319">
        <w:rPr>
          <w:rFonts w:ascii="Book Antiqua" w:hAnsi="Book Antiqua"/>
          <w:sz w:val="24"/>
        </w:rPr>
        <w:t xml:space="preserve">. In the context of Islamic boarding schools, there has not been much research that examines how the civil litigation process can be used effectively to resolve disputes, including how Islamic values and the typical social structure of Islamic boarding schools can affect the course of legal proceedings. This gap suggests that a more in-depth and contextual analysis is needed to understand the relevance and challenges of civil litigation in the </w:t>
      </w:r>
      <w:proofErr w:type="spellStart"/>
      <w:r w:rsidRPr="00F86319">
        <w:rPr>
          <w:rFonts w:ascii="Book Antiqua" w:hAnsi="Book Antiqua"/>
          <w:sz w:val="24"/>
        </w:rPr>
        <w:t>pesantren</w:t>
      </w:r>
      <w:proofErr w:type="spellEnd"/>
      <w:r w:rsidRPr="00F86319">
        <w:rPr>
          <w:rFonts w:ascii="Book Antiqua" w:hAnsi="Book Antiqua"/>
          <w:sz w:val="24"/>
        </w:rPr>
        <w:t xml:space="preserve"> environment.</w:t>
      </w:r>
    </w:p>
    <w:p w14:paraId="508FD52F" w14:textId="77777777" w:rsidR="00F86319" w:rsidRP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This paper offers a new approach by comprehensively examining the civil litigation route as a means of resolving education contract disputes in the </w:t>
      </w:r>
      <w:proofErr w:type="spellStart"/>
      <w:r w:rsidRPr="00F86319">
        <w:rPr>
          <w:rFonts w:ascii="Book Antiqua" w:hAnsi="Book Antiqua"/>
          <w:sz w:val="24"/>
        </w:rPr>
        <w:t>pesantren</w:t>
      </w:r>
      <w:proofErr w:type="spellEnd"/>
      <w:r w:rsidRPr="00F86319">
        <w:rPr>
          <w:rFonts w:ascii="Book Antiqua" w:hAnsi="Book Antiqua"/>
          <w:sz w:val="24"/>
        </w:rPr>
        <w:t xml:space="preserve"> environment. This approach is based on the assumption that although </w:t>
      </w:r>
      <w:proofErr w:type="spellStart"/>
      <w:r w:rsidRPr="00F86319">
        <w:rPr>
          <w:rFonts w:ascii="Book Antiqua" w:hAnsi="Book Antiqua"/>
          <w:sz w:val="24"/>
        </w:rPr>
        <w:t>pesantren</w:t>
      </w:r>
      <w:proofErr w:type="spellEnd"/>
      <w:r w:rsidRPr="00F86319">
        <w:rPr>
          <w:rFonts w:ascii="Book Antiqua" w:hAnsi="Book Antiqua"/>
          <w:sz w:val="24"/>
        </w:rPr>
        <w:t xml:space="preserve"> has a deliberation value system and internal resolution mechanism, not all disputes can be resolved informally, especially when it involves more complex legal aspects or when one of the parties wishes to resolve through formal channels. In this context, civil litigation becomes a legal path that is legal and has binding force through a court decision. This article seeks to establish an analytical framework that combines the principles of civil law (such as </w:t>
      </w:r>
      <w:proofErr w:type="spellStart"/>
      <w:r w:rsidRPr="00F86319">
        <w:rPr>
          <w:rFonts w:ascii="Book Antiqua" w:hAnsi="Book Antiqua"/>
          <w:i/>
          <w:iCs/>
          <w:sz w:val="24"/>
        </w:rPr>
        <w:t>consensualism</w:t>
      </w:r>
      <w:proofErr w:type="spellEnd"/>
      <w:r w:rsidRPr="00F86319">
        <w:rPr>
          <w:rFonts w:ascii="Book Antiqua" w:hAnsi="Book Antiqua"/>
          <w:sz w:val="24"/>
        </w:rPr>
        <w:t xml:space="preserve">, </w:t>
      </w:r>
      <w:r w:rsidRPr="00F86319">
        <w:rPr>
          <w:rFonts w:ascii="Book Antiqua" w:hAnsi="Book Antiqua"/>
          <w:i/>
          <w:iCs/>
          <w:sz w:val="24"/>
        </w:rPr>
        <w:t xml:space="preserve">pacta sunt </w:t>
      </w:r>
      <w:proofErr w:type="spellStart"/>
      <w:r w:rsidRPr="00F86319">
        <w:rPr>
          <w:rFonts w:ascii="Book Antiqua" w:hAnsi="Book Antiqua"/>
          <w:i/>
          <w:iCs/>
          <w:sz w:val="24"/>
        </w:rPr>
        <w:t>servanda</w:t>
      </w:r>
      <w:proofErr w:type="spellEnd"/>
      <w:r w:rsidRPr="00F86319">
        <w:rPr>
          <w:rFonts w:ascii="Book Antiqua" w:hAnsi="Book Antiqua"/>
          <w:sz w:val="24"/>
        </w:rPr>
        <w:t>, and contractual justice)</w:t>
      </w:r>
      <w:r w:rsidRPr="00F86319">
        <w:rPr>
          <w:rFonts w:ascii="Book Antiqua" w:hAnsi="Book Antiqua"/>
          <w:sz w:val="24"/>
          <w:vertAlign w:val="superscript"/>
        </w:rPr>
        <w:footnoteReference w:id="11"/>
      </w:r>
      <w:r w:rsidRPr="00F86319">
        <w:rPr>
          <w:rFonts w:ascii="Book Antiqua" w:hAnsi="Book Antiqua"/>
          <w:sz w:val="24"/>
        </w:rPr>
        <w:t xml:space="preserve"> with the cultural and religious values typical of Islamic boarding</w:t>
      </w:r>
      <w:r w:rsidRPr="00F86319">
        <w:rPr>
          <w:rFonts w:ascii="Book Antiqua" w:hAnsi="Book Antiqua"/>
          <w:sz w:val="24"/>
          <w:vertAlign w:val="superscript"/>
        </w:rPr>
        <w:footnoteReference w:id="12"/>
      </w:r>
      <w:r w:rsidRPr="00F86319">
        <w:rPr>
          <w:rFonts w:ascii="Book Antiqua" w:hAnsi="Book Antiqua"/>
          <w:sz w:val="24"/>
        </w:rPr>
        <w:t xml:space="preserve"> schools. With this approach, this paper not only maps the normative aspects of litigation</w:t>
      </w:r>
      <w:r w:rsidRPr="00F86319">
        <w:rPr>
          <w:rFonts w:ascii="Book Antiqua" w:hAnsi="Book Antiqua"/>
          <w:sz w:val="24"/>
          <w:vertAlign w:val="superscript"/>
        </w:rPr>
        <w:footnoteReference w:id="13"/>
      </w:r>
      <w:r w:rsidRPr="00F86319">
        <w:rPr>
          <w:rFonts w:ascii="Book Antiqua" w:hAnsi="Book Antiqua"/>
          <w:sz w:val="24"/>
        </w:rPr>
        <w:t xml:space="preserve">, but also assesses the extent to which the civil justice process can accommodate the institutional characteristics of Islamic boarding schools without ignoring </w:t>
      </w:r>
      <w:r w:rsidRPr="00F86319">
        <w:rPr>
          <w:rFonts w:ascii="Book Antiqua" w:hAnsi="Book Antiqua"/>
          <w:sz w:val="24"/>
        </w:rPr>
        <w:lastRenderedPageBreak/>
        <w:t>the basic principles of law that apply nationally</w:t>
      </w:r>
      <w:r w:rsidRPr="00F86319">
        <w:rPr>
          <w:rFonts w:ascii="Book Antiqua" w:hAnsi="Book Antiqua"/>
          <w:sz w:val="24"/>
          <w:vertAlign w:val="superscript"/>
        </w:rPr>
        <w:footnoteReference w:id="14"/>
      </w:r>
      <w:r w:rsidRPr="00F86319">
        <w:rPr>
          <w:rFonts w:ascii="Book Antiqua" w:hAnsi="Book Antiqua"/>
          <w:sz w:val="24"/>
        </w:rPr>
        <w:t>. This approach is expected to bridge two important poles: the need for legal certainty and respect for the local wisdom of Islamic educational institutions.</w:t>
      </w:r>
    </w:p>
    <w:p w14:paraId="11CDD8B9" w14:textId="38F25F3D" w:rsidR="00F86319" w:rsidRDefault="00F86319" w:rsidP="00F86319">
      <w:pPr>
        <w:spacing w:after="120" w:line="240" w:lineRule="auto"/>
        <w:jc w:val="both"/>
        <w:rPr>
          <w:rFonts w:ascii="Book Antiqua" w:hAnsi="Book Antiqua"/>
          <w:sz w:val="24"/>
        </w:rPr>
      </w:pPr>
      <w:r w:rsidRPr="00F86319">
        <w:rPr>
          <w:rFonts w:ascii="Book Antiqua" w:hAnsi="Book Antiqua"/>
          <w:sz w:val="24"/>
        </w:rPr>
        <w:t xml:space="preserve">The purpose of this article is to analyze in depth how the civil litigation pathway can be effectively applied in the settlement of educational contract disputes in Islamic boarding schools. This research will identify the applicable legal framework, examine the implementation challenges in the field, and offer practical recommendations for Islamic boarding schools, guardians of students, and law enforcement officials. It is hoped that this paper can be an important contribution in building a dispute resolution system that upholds justice, legal certainty, and Islamic values in the </w:t>
      </w:r>
      <w:proofErr w:type="spellStart"/>
      <w:r w:rsidRPr="00F86319">
        <w:rPr>
          <w:rFonts w:ascii="Book Antiqua" w:hAnsi="Book Antiqua"/>
          <w:sz w:val="24"/>
        </w:rPr>
        <w:t>pesantren</w:t>
      </w:r>
      <w:proofErr w:type="spellEnd"/>
      <w:r w:rsidRPr="00F86319">
        <w:rPr>
          <w:rFonts w:ascii="Book Antiqua" w:hAnsi="Book Antiqua"/>
          <w:sz w:val="24"/>
        </w:rPr>
        <w:t xml:space="preserve"> education environment.</w:t>
      </w:r>
    </w:p>
    <w:p w14:paraId="531DBBAE" w14:textId="624A56CF" w:rsidR="00F86319" w:rsidRPr="00F86319" w:rsidRDefault="000C1C1E" w:rsidP="00F86319">
      <w:pPr>
        <w:spacing w:after="120" w:line="240" w:lineRule="auto"/>
        <w:rPr>
          <w:rFonts w:ascii="Book Antiqua" w:hAnsi="Book Antiqua"/>
          <w:b/>
          <w:bCs/>
          <w:color w:val="4472C4" w:themeColor="accent1"/>
          <w:sz w:val="28"/>
          <w:szCs w:val="22"/>
          <w:lang w:val="id-ID"/>
        </w:rPr>
      </w:pPr>
      <w:r w:rsidRPr="000C1C1E">
        <w:rPr>
          <w:rFonts w:ascii="Book Antiqua" w:hAnsi="Book Antiqua"/>
          <w:b/>
          <w:color w:val="4472C4" w:themeColor="accent1"/>
          <w:sz w:val="24"/>
          <w:szCs w:val="24"/>
        </w:rPr>
        <w:t>METHODS OF THE RESEARCH</w:t>
      </w:r>
    </w:p>
    <w:p w14:paraId="757E934E" w14:textId="77777777" w:rsidR="00F86319" w:rsidRPr="00F86319" w:rsidRDefault="00F86319" w:rsidP="00F86319">
      <w:pPr>
        <w:spacing w:after="120" w:line="240" w:lineRule="auto"/>
        <w:jc w:val="both"/>
        <w:rPr>
          <w:rFonts w:ascii="Book Antiqua" w:hAnsi="Book Antiqua" w:cs="Calibri"/>
          <w:color w:val="000000" w:themeColor="text1"/>
          <w:sz w:val="24"/>
          <w:szCs w:val="24"/>
        </w:rPr>
      </w:pPr>
      <w:r w:rsidRPr="00F86319">
        <w:rPr>
          <w:rFonts w:ascii="Book Antiqua" w:hAnsi="Book Antiqua" w:cs="Calibri"/>
          <w:color w:val="000000" w:themeColor="text1"/>
          <w:sz w:val="24"/>
          <w:szCs w:val="24"/>
        </w:rPr>
        <w:t xml:space="preserve">This study uses a comparative legal research method with a juridical-sociological qualitative approach </w:t>
      </w:r>
      <w:r w:rsidRPr="00F86319">
        <w:rPr>
          <w:rFonts w:ascii="Book Antiqua" w:hAnsi="Book Antiqua" w:cs="Calibri"/>
          <w:color w:val="000000" w:themeColor="text1"/>
          <w:sz w:val="24"/>
          <w:szCs w:val="24"/>
          <w:vertAlign w:val="superscript"/>
        </w:rPr>
        <w:footnoteReference w:id="15"/>
      </w:r>
      <w:r w:rsidRPr="00F86319">
        <w:rPr>
          <w:rFonts w:ascii="Book Antiqua" w:hAnsi="Book Antiqua" w:cs="Calibri"/>
          <w:color w:val="000000" w:themeColor="text1"/>
          <w:sz w:val="24"/>
          <w:szCs w:val="24"/>
        </w:rPr>
        <w:t xml:space="preserve">. The comparative legal method was chosen to analyze and compare the settlement of education contract disputes in two different systems, namely the </w:t>
      </w:r>
      <w:proofErr w:type="spellStart"/>
      <w:r w:rsidRPr="00F86319">
        <w:rPr>
          <w:rFonts w:ascii="Book Antiqua" w:hAnsi="Book Antiqua" w:cs="Calibri"/>
          <w:color w:val="000000" w:themeColor="text1"/>
          <w:sz w:val="24"/>
          <w:szCs w:val="24"/>
        </w:rPr>
        <w:t>Watampone</w:t>
      </w:r>
      <w:proofErr w:type="spellEnd"/>
      <w:r w:rsidRPr="00F86319">
        <w:rPr>
          <w:rFonts w:ascii="Book Antiqua" w:hAnsi="Book Antiqua" w:cs="Calibri"/>
          <w:color w:val="000000" w:themeColor="text1"/>
          <w:sz w:val="24"/>
          <w:szCs w:val="24"/>
        </w:rPr>
        <w:t xml:space="preserve"> Blue Islamic Boarding School in Indonesia and Bromsgrove International School in Thailand</w:t>
      </w:r>
      <w:r w:rsidRPr="00F86319">
        <w:rPr>
          <w:rFonts w:ascii="Book Antiqua" w:hAnsi="Book Antiqua" w:cs="Calibri"/>
          <w:color w:val="000000" w:themeColor="text1"/>
          <w:sz w:val="24"/>
          <w:szCs w:val="24"/>
          <w:vertAlign w:val="superscript"/>
        </w:rPr>
        <w:footnoteReference w:id="16"/>
      </w:r>
      <w:r w:rsidRPr="00F86319">
        <w:rPr>
          <w:rFonts w:ascii="Book Antiqua" w:hAnsi="Book Antiqua" w:cs="Calibri"/>
          <w:color w:val="000000" w:themeColor="text1"/>
          <w:sz w:val="24"/>
          <w:szCs w:val="24"/>
        </w:rPr>
        <w:t>. The main objective of this approach is to evaluate the effectiveness of civil litigation in the resolution of educational contract disputes in religious-based Islamic boarding school settings, and compare it with the approach applied by secular-based international educational institutions. This study examines how legal norms, institutional practices, and social and religious values affect the form of contracts and their settlement mechanisms</w:t>
      </w:r>
      <w:r w:rsidRPr="00F86319">
        <w:rPr>
          <w:rFonts w:ascii="Book Antiqua" w:hAnsi="Book Antiqua" w:cs="Calibri"/>
          <w:color w:val="000000" w:themeColor="text1"/>
          <w:sz w:val="24"/>
          <w:szCs w:val="24"/>
          <w:vertAlign w:val="superscript"/>
        </w:rPr>
        <w:footnoteReference w:id="17"/>
      </w:r>
      <w:r w:rsidRPr="00F86319">
        <w:rPr>
          <w:rFonts w:ascii="Book Antiqua" w:hAnsi="Book Antiqua" w:cs="Calibri"/>
          <w:color w:val="000000" w:themeColor="text1"/>
          <w:sz w:val="24"/>
          <w:szCs w:val="24"/>
        </w:rPr>
        <w:t>.</w:t>
      </w:r>
    </w:p>
    <w:p w14:paraId="13E6088E" w14:textId="77777777" w:rsidR="00F86319" w:rsidRPr="00F86319" w:rsidRDefault="00F86319" w:rsidP="00F86319">
      <w:pPr>
        <w:spacing w:after="120" w:line="240" w:lineRule="auto"/>
        <w:jc w:val="both"/>
        <w:rPr>
          <w:rFonts w:ascii="Book Antiqua" w:hAnsi="Book Antiqua" w:cs="Calibri"/>
          <w:color w:val="000000" w:themeColor="text1"/>
          <w:sz w:val="24"/>
          <w:szCs w:val="24"/>
        </w:rPr>
      </w:pPr>
      <w:r w:rsidRPr="00F86319">
        <w:rPr>
          <w:rFonts w:ascii="Book Antiqua" w:hAnsi="Book Antiqua" w:cs="Calibri"/>
          <w:color w:val="000000" w:themeColor="text1"/>
          <w:sz w:val="24"/>
          <w:szCs w:val="24"/>
        </w:rPr>
        <w:t>The types of data used include primary data and secondary data</w:t>
      </w:r>
      <w:r w:rsidRPr="00F86319">
        <w:rPr>
          <w:rFonts w:ascii="Book Antiqua" w:hAnsi="Book Antiqua" w:cs="Calibri"/>
          <w:color w:val="000000" w:themeColor="text1"/>
          <w:sz w:val="24"/>
          <w:szCs w:val="24"/>
          <w:vertAlign w:val="superscript"/>
        </w:rPr>
        <w:footnoteReference w:id="18"/>
      </w:r>
      <w:r w:rsidRPr="00F86319">
        <w:rPr>
          <w:rFonts w:ascii="Book Antiqua" w:hAnsi="Book Antiqua" w:cs="Calibri"/>
          <w:color w:val="000000" w:themeColor="text1"/>
          <w:sz w:val="24"/>
          <w:szCs w:val="24"/>
        </w:rPr>
        <w:t xml:space="preserve">. Primary data consists of education contract documents at the </w:t>
      </w:r>
      <w:proofErr w:type="spellStart"/>
      <w:r w:rsidRPr="00F86319">
        <w:rPr>
          <w:rFonts w:ascii="Book Antiqua" w:hAnsi="Book Antiqua" w:cs="Calibri"/>
          <w:color w:val="000000" w:themeColor="text1"/>
          <w:sz w:val="24"/>
          <w:szCs w:val="24"/>
        </w:rPr>
        <w:t>Watampone</w:t>
      </w:r>
      <w:proofErr w:type="spellEnd"/>
      <w:r w:rsidRPr="00F86319">
        <w:rPr>
          <w:rFonts w:ascii="Book Antiqua" w:hAnsi="Book Antiqua" w:cs="Calibri"/>
          <w:color w:val="000000" w:themeColor="text1"/>
          <w:sz w:val="24"/>
          <w:szCs w:val="24"/>
        </w:rPr>
        <w:t xml:space="preserve"> Blue Islamic Boarding School and the results of interviews with parents of students, </w:t>
      </w:r>
      <w:proofErr w:type="spellStart"/>
      <w:r w:rsidRPr="00F86319">
        <w:rPr>
          <w:rFonts w:ascii="Book Antiqua" w:hAnsi="Book Antiqua" w:cs="Calibri"/>
          <w:color w:val="000000" w:themeColor="text1"/>
          <w:sz w:val="24"/>
          <w:szCs w:val="24"/>
        </w:rPr>
        <w:t>pesantren</w:t>
      </w:r>
      <w:proofErr w:type="spellEnd"/>
      <w:r w:rsidRPr="00F86319">
        <w:rPr>
          <w:rFonts w:ascii="Book Antiqua" w:hAnsi="Book Antiqua" w:cs="Calibri"/>
          <w:color w:val="000000" w:themeColor="text1"/>
          <w:sz w:val="24"/>
          <w:szCs w:val="24"/>
        </w:rPr>
        <w:t xml:space="preserve"> administrators, and law enforcement officers involved in dispute resolution</w:t>
      </w:r>
      <w:r w:rsidRPr="00F86319">
        <w:rPr>
          <w:rFonts w:ascii="Book Antiqua" w:hAnsi="Book Antiqua" w:cs="Calibri"/>
          <w:color w:val="000000" w:themeColor="text1"/>
          <w:sz w:val="24"/>
          <w:szCs w:val="24"/>
          <w:vertAlign w:val="superscript"/>
        </w:rPr>
        <w:footnoteReference w:id="19"/>
      </w:r>
      <w:r w:rsidRPr="00F86319">
        <w:rPr>
          <w:rFonts w:ascii="Book Antiqua" w:hAnsi="Book Antiqua" w:cs="Calibri"/>
          <w:color w:val="000000" w:themeColor="text1"/>
          <w:sz w:val="24"/>
          <w:szCs w:val="24"/>
        </w:rPr>
        <w:t>. Meanwhile, secondary data includes legal literature, laws and regulations, academic journals, as well as documentation related to contracts and dispute resolution practices at Bromsgrove International School Thailand. Data collection techniques are carried out through in-depth interviews, document studies, and comparative legal literature reviews. Interviews were conducted purposively with relevant and experienced informants in both education systems</w:t>
      </w:r>
      <w:r w:rsidRPr="00F86319">
        <w:rPr>
          <w:rFonts w:ascii="Book Antiqua" w:hAnsi="Book Antiqua" w:cs="Calibri"/>
          <w:color w:val="000000" w:themeColor="text1"/>
          <w:sz w:val="24"/>
          <w:szCs w:val="24"/>
          <w:vertAlign w:val="superscript"/>
        </w:rPr>
        <w:footnoteReference w:id="20"/>
      </w:r>
      <w:r w:rsidRPr="00F86319">
        <w:rPr>
          <w:rFonts w:ascii="Book Antiqua" w:hAnsi="Book Antiqua" w:cs="Calibri"/>
          <w:color w:val="000000" w:themeColor="text1"/>
          <w:sz w:val="24"/>
          <w:szCs w:val="24"/>
        </w:rPr>
        <w:t>.</w:t>
      </w:r>
    </w:p>
    <w:p w14:paraId="7CCCED9A" w14:textId="7AE2F4BE" w:rsidR="00F86319" w:rsidRDefault="00F86319" w:rsidP="00F86319">
      <w:pPr>
        <w:spacing w:after="120" w:line="240" w:lineRule="auto"/>
        <w:jc w:val="both"/>
        <w:rPr>
          <w:rFonts w:ascii="Book Antiqua" w:hAnsi="Book Antiqua" w:cs="Calibri"/>
          <w:color w:val="000000" w:themeColor="text1"/>
          <w:sz w:val="24"/>
          <w:szCs w:val="24"/>
        </w:rPr>
      </w:pPr>
      <w:r w:rsidRPr="00F86319">
        <w:rPr>
          <w:rFonts w:ascii="Book Antiqua" w:hAnsi="Book Antiqua" w:cs="Calibri"/>
          <w:color w:val="000000" w:themeColor="text1"/>
          <w:sz w:val="24"/>
          <w:szCs w:val="24"/>
        </w:rPr>
        <w:lastRenderedPageBreak/>
        <w:t>Data analysis was carried out using two main approaches: content analysis of contract documents and interviews</w:t>
      </w:r>
      <w:r w:rsidRPr="00F86319">
        <w:rPr>
          <w:rFonts w:ascii="Book Antiqua" w:hAnsi="Book Antiqua" w:cs="Calibri"/>
          <w:color w:val="000000" w:themeColor="text1"/>
          <w:sz w:val="24"/>
          <w:szCs w:val="24"/>
          <w:vertAlign w:val="superscript"/>
        </w:rPr>
        <w:footnoteReference w:id="21"/>
      </w:r>
      <w:r w:rsidRPr="00F86319">
        <w:rPr>
          <w:rFonts w:ascii="Book Antiqua" w:hAnsi="Book Antiqua" w:cs="Calibri"/>
          <w:color w:val="000000" w:themeColor="text1"/>
          <w:sz w:val="24"/>
          <w:szCs w:val="24"/>
        </w:rPr>
        <w:t xml:space="preserve">, as well as comparative legal analysis of norms, dispute resolution systems, and institutional practices applicable in Indonesia and Thailand. Data validity is maintained through triangulation of sources and methods, while reliability is maintained through systematic recording, interview transcription, and analysis traceability. The main research location is the </w:t>
      </w:r>
      <w:proofErr w:type="spellStart"/>
      <w:r w:rsidRPr="00F86319">
        <w:rPr>
          <w:rFonts w:ascii="Book Antiqua" w:hAnsi="Book Antiqua" w:cs="Calibri"/>
          <w:color w:val="000000" w:themeColor="text1"/>
          <w:sz w:val="24"/>
          <w:szCs w:val="24"/>
        </w:rPr>
        <w:t>Watampone</w:t>
      </w:r>
      <w:proofErr w:type="spellEnd"/>
      <w:r w:rsidRPr="00F86319">
        <w:rPr>
          <w:rFonts w:ascii="Book Antiqua" w:hAnsi="Book Antiqua" w:cs="Calibri"/>
          <w:color w:val="000000" w:themeColor="text1"/>
          <w:sz w:val="24"/>
          <w:szCs w:val="24"/>
        </w:rPr>
        <w:t xml:space="preserve"> Blue Islamic Boarding School, Bone Regency, South Sulawesi, with comparative sources from Bromsgrove International School Thailand obtained through literature studies and official secondary documentation</w:t>
      </w:r>
      <w:r w:rsidRPr="00F86319">
        <w:rPr>
          <w:rFonts w:ascii="Book Antiqua" w:hAnsi="Book Antiqua" w:cs="Calibri"/>
          <w:color w:val="000000" w:themeColor="text1"/>
          <w:sz w:val="24"/>
          <w:szCs w:val="24"/>
          <w:vertAlign w:val="superscript"/>
        </w:rPr>
        <w:footnoteReference w:id="22"/>
      </w:r>
      <w:r w:rsidRPr="00F86319">
        <w:rPr>
          <w:rFonts w:ascii="Book Antiqua" w:hAnsi="Book Antiqua" w:cs="Calibri"/>
          <w:color w:val="000000" w:themeColor="text1"/>
          <w:sz w:val="24"/>
          <w:szCs w:val="24"/>
        </w:rPr>
        <w:t>.</w:t>
      </w:r>
    </w:p>
    <w:p w14:paraId="15816A4B" w14:textId="5EAEC06B" w:rsidR="00F00816" w:rsidRPr="00F86319" w:rsidRDefault="004B1F20" w:rsidP="00F86319">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t>RESULTS AND DISCUSSION</w:t>
      </w:r>
    </w:p>
    <w:p w14:paraId="1FEE2FB9" w14:textId="77777777" w:rsidR="00F86319" w:rsidRDefault="00F86319" w:rsidP="00F00816">
      <w:pPr>
        <w:spacing w:after="0" w:line="240" w:lineRule="auto"/>
        <w:jc w:val="both"/>
        <w:rPr>
          <w:rFonts w:ascii="Book Antiqua" w:hAnsi="Book Antiqua" w:cs="Calibri"/>
          <w:color w:val="000000" w:themeColor="text1"/>
          <w:sz w:val="24"/>
        </w:rPr>
      </w:pPr>
    </w:p>
    <w:p w14:paraId="03122A33" w14:textId="76692633" w:rsidR="00F86319" w:rsidRPr="00F86319" w:rsidRDefault="00F86319" w:rsidP="00F86319">
      <w:pPr>
        <w:numPr>
          <w:ilvl w:val="0"/>
          <w:numId w:val="22"/>
        </w:numPr>
        <w:spacing w:after="0" w:line="240" w:lineRule="auto"/>
        <w:ind w:left="27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Education Contract Agreement of Indonesian </w:t>
      </w:r>
      <w:proofErr w:type="spellStart"/>
      <w:r w:rsidRPr="00F86319">
        <w:rPr>
          <w:rFonts w:ascii="Book Antiqua" w:hAnsi="Book Antiqua" w:cs="Calibri"/>
          <w:b/>
          <w:bCs/>
          <w:color w:val="000000" w:themeColor="text1"/>
          <w:sz w:val="24"/>
        </w:rPr>
        <w:t>Pesatren</w:t>
      </w:r>
      <w:proofErr w:type="spellEnd"/>
      <w:r w:rsidRPr="00F86319">
        <w:rPr>
          <w:rFonts w:ascii="Book Antiqua" w:hAnsi="Book Antiqua" w:cs="Calibri"/>
          <w:b/>
          <w:bCs/>
          <w:color w:val="000000" w:themeColor="text1"/>
          <w:sz w:val="24"/>
        </w:rPr>
        <w:t xml:space="preserve"> and Bromsgrove International School Thailand</w:t>
      </w:r>
    </w:p>
    <w:p w14:paraId="6AE9AADC" w14:textId="77777777" w:rsidR="00F86319" w:rsidRPr="00F86319" w:rsidRDefault="00F86319" w:rsidP="00F86319">
      <w:pPr>
        <w:pStyle w:val="ListParagraph"/>
        <w:numPr>
          <w:ilvl w:val="0"/>
          <w:numId w:val="24"/>
        </w:numPr>
        <w:spacing w:after="0" w:line="240" w:lineRule="auto"/>
        <w:ind w:left="27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Education at the </w:t>
      </w:r>
      <w:proofErr w:type="spellStart"/>
      <w:r w:rsidRPr="00F86319">
        <w:rPr>
          <w:rFonts w:ascii="Book Antiqua" w:hAnsi="Book Antiqua" w:cs="Calibri"/>
          <w:b/>
          <w:bCs/>
          <w:color w:val="000000" w:themeColor="text1"/>
          <w:sz w:val="24"/>
        </w:rPr>
        <w:t>Watampone</w:t>
      </w:r>
      <w:proofErr w:type="spellEnd"/>
      <w:r w:rsidRPr="00F86319">
        <w:rPr>
          <w:rFonts w:ascii="Book Antiqua" w:hAnsi="Book Antiqua" w:cs="Calibri"/>
          <w:b/>
          <w:bCs/>
          <w:color w:val="000000" w:themeColor="text1"/>
          <w:sz w:val="24"/>
        </w:rPr>
        <w:t xml:space="preserve"> Blue Islamic Boarding School</w:t>
      </w:r>
    </w:p>
    <w:p w14:paraId="214CACF1"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An education contract in the context of Islamic boarding schools in Indonesia is a form of legal agreement between Islamic boarding schools as education providers and students or guardians of students as recipients of educational services. These agreements are generally not made in a strict formal legal format like contracts in the commercial sector, but are more administrative and normative. The content of the education contract at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generally contains provisions on the obligation to pay tuition fees, the internal rules of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the rights and obligations of students, as well as rules that reflect the Islamic values upheld by the institution</w:t>
      </w:r>
      <w:r w:rsidRPr="00F86319">
        <w:rPr>
          <w:rFonts w:ascii="Book Antiqua" w:hAnsi="Book Antiqua" w:cs="Calibri"/>
          <w:color w:val="000000" w:themeColor="text1"/>
          <w:sz w:val="24"/>
          <w:vertAlign w:val="superscript"/>
        </w:rPr>
        <w:footnoteReference w:id="23"/>
      </w:r>
      <w:r w:rsidRPr="00F86319">
        <w:rPr>
          <w:rFonts w:ascii="Book Antiqua" w:hAnsi="Book Antiqua" w:cs="Calibri"/>
          <w:color w:val="000000" w:themeColor="text1"/>
          <w:sz w:val="24"/>
        </w:rPr>
        <w:t>. Even so, this contract still has civil legal force, because it fulfills the elements of agreement, clear object, and halal cause as stipulated in Article 1320 of the Civil Code</w:t>
      </w:r>
      <w:r w:rsidRPr="00F86319">
        <w:rPr>
          <w:rFonts w:ascii="Book Antiqua" w:hAnsi="Book Antiqua" w:cs="Calibri"/>
          <w:color w:val="000000" w:themeColor="text1"/>
          <w:sz w:val="24"/>
          <w:vertAlign w:val="superscript"/>
        </w:rPr>
        <w:footnoteReference w:id="24"/>
      </w:r>
      <w:r w:rsidRPr="00F86319">
        <w:rPr>
          <w:rFonts w:ascii="Book Antiqua" w:hAnsi="Book Antiqua" w:cs="Calibri"/>
          <w:color w:val="000000" w:themeColor="text1"/>
          <w:sz w:val="24"/>
        </w:rPr>
        <w:t>.</w:t>
      </w:r>
    </w:p>
    <w:p w14:paraId="15935D1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However, the weakness in the implementation of education contracts in Islamic boarding schools often lies in the unclear clauses, the absence of an explicitly formulated dispute resolution mechanism, and the lack of written documentation that can be used as evidence in the litigation process. In many cases, the legal relationship between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and the guardian of the students is framed in cultural or religious relations, not in a legalistic approach. This causes when there is a breach of contract or dispute, the resolution relies more on deliberation or the wisdom of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leader. In the context of increasing public legal awareness and the complexity of education problems, the concept of education contracts in Islamic boarding schools needs to be strengthened with more systematic legal instruments in order to protect the rights and obligations of all parties fairly.</w:t>
      </w:r>
    </w:p>
    <w:p w14:paraId="5165FB8A"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results of the field findings show that education contract disputes at the </w:t>
      </w:r>
      <w:proofErr w:type="spellStart"/>
      <w:r w:rsidRPr="00F86319">
        <w:rPr>
          <w:rFonts w:ascii="Book Antiqua" w:hAnsi="Book Antiqua" w:cs="Calibri"/>
          <w:color w:val="000000" w:themeColor="text1"/>
          <w:sz w:val="24"/>
        </w:rPr>
        <w:t>Watampone</w:t>
      </w:r>
      <w:proofErr w:type="spellEnd"/>
      <w:r w:rsidRPr="00F86319">
        <w:rPr>
          <w:rFonts w:ascii="Book Antiqua" w:hAnsi="Book Antiqua" w:cs="Calibri"/>
          <w:color w:val="000000" w:themeColor="text1"/>
          <w:sz w:val="24"/>
        </w:rPr>
        <w:t xml:space="preserve"> Blue Islamic Boarding School are generally triggered by various factors, which are not only formal legal but also related to socio-cultural aspects. One of the main causes is the ambiguous and multi-interpreted redaction of the contract. Clauses in education contracts are often formulated in language that is too general or legalistic, without adjusting to the background of the legal understanding of the guardians of the students, most of whom come from the general public. The inaccuracy in drafting this clause opens up a space for </w:t>
      </w:r>
      <w:r w:rsidRPr="00F86319">
        <w:rPr>
          <w:rFonts w:ascii="Book Antiqua" w:hAnsi="Book Antiqua" w:cs="Calibri"/>
          <w:color w:val="000000" w:themeColor="text1"/>
          <w:sz w:val="24"/>
        </w:rPr>
        <w:lastRenderedPageBreak/>
        <w:t>double interpretation which then triggers disputes when there is a difference in perception of the implementation of the rights and obligations of each party.</w:t>
      </w:r>
    </w:p>
    <w:p w14:paraId="506FB6F9"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In addition, there is a tendency on the part of parents or guardians of students to immediately approve and sign the contract without reading it carefully. The lack of legal literacy, full trust in the authority of the Islamic boarding school, and a culture of submissiveness in social relations with religious institutions cause the guardians of the students to not feel the need to critically examine the content of the contract. This causes them to be unaware of important provisions related to children's rights, discipline, educational sanctions, and dispute resolution procedures included in the contract.</w:t>
      </w:r>
    </w:p>
    <w:p w14:paraId="68CB402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Furthermore, in some of the cases studied, it was found that some of the contents of the contract contained unilateral elements, where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had more dominant authority in interpreting the implementation of the contract without any control mechanism or objection from the guardian of the students. For example, the clause regarding the expulsion of students from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environment for violations of discipline is often not accompanied by a defense mechanism or objection from parents. This situation creates an imbalance in bargaining positions between the two parties and opens up the potential for lawsuits, especially if parents feel that their children's rights are being ignored or treated unfairly.</w:t>
      </w:r>
    </w:p>
    <w:p w14:paraId="58680B6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Most of the disputes that arise revolve around the mismatch between the expectations of the guardians of the students for educational services and the reality on the ground. Parents often have high expectations of their child's coaching system, facilities, and treatment, but when those expectations are not met, that dissatisfaction turns into conflict. Some cases also show complaints about disciplinary actions that are considered excessive or inhumane, which worsens the relationship between the guardian of the student and the management of the Islamic boarding school.</w:t>
      </w:r>
    </w:p>
    <w:p w14:paraId="2A895677" w14:textId="77777777" w:rsidR="00F86319" w:rsidRPr="00F86319" w:rsidRDefault="00F86319" w:rsidP="00F86319">
      <w:pPr>
        <w:spacing w:after="0" w:line="240" w:lineRule="auto"/>
        <w:jc w:val="both"/>
        <w:rPr>
          <w:rFonts w:ascii="Book Antiqua" w:hAnsi="Book Antiqua" w:cs="Calibri"/>
          <w:color w:val="000000" w:themeColor="text1"/>
          <w:sz w:val="24"/>
        </w:rPr>
      </w:pPr>
    </w:p>
    <w:p w14:paraId="71C6DEFB"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Bromsgrove International School Thailand</w:t>
      </w:r>
    </w:p>
    <w:p w14:paraId="75653585"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Bromsgrove International School Thailand adopts a more formal and structured contractual approach in building relationships between the school, students, and parents</w:t>
      </w:r>
      <w:r w:rsidRPr="00F86319">
        <w:rPr>
          <w:rFonts w:ascii="Book Antiqua" w:hAnsi="Book Antiqua" w:cs="Calibri"/>
          <w:color w:val="000000" w:themeColor="text1"/>
          <w:sz w:val="24"/>
          <w:vertAlign w:val="superscript"/>
        </w:rPr>
        <w:footnoteReference w:id="25"/>
      </w:r>
      <w:r w:rsidRPr="00F86319">
        <w:rPr>
          <w:rFonts w:ascii="Book Antiqua" w:hAnsi="Book Antiqua" w:cs="Calibri"/>
          <w:color w:val="000000" w:themeColor="text1"/>
          <w:sz w:val="24"/>
        </w:rPr>
        <w:t xml:space="preserve">. This is realized through an official document known as the </w:t>
      </w:r>
      <w:r w:rsidRPr="00F86319">
        <w:rPr>
          <w:rFonts w:ascii="Book Antiqua" w:hAnsi="Book Antiqua" w:cs="Calibri"/>
          <w:i/>
          <w:iCs/>
          <w:color w:val="000000" w:themeColor="text1"/>
          <w:sz w:val="24"/>
        </w:rPr>
        <w:t>Student, Parent and School Agreement</w:t>
      </w:r>
      <w:r w:rsidRPr="00F86319">
        <w:rPr>
          <w:rFonts w:ascii="Book Antiqua" w:hAnsi="Book Antiqua" w:cs="Calibri"/>
          <w:color w:val="000000" w:themeColor="text1"/>
          <w:sz w:val="24"/>
        </w:rPr>
        <w:t>, which serves as a mutual agreement to ensure the orderly, effective, and responsible implementation of education</w:t>
      </w:r>
      <w:r w:rsidRPr="00F86319">
        <w:rPr>
          <w:rFonts w:ascii="Book Antiqua" w:hAnsi="Book Antiqua" w:cs="Calibri"/>
          <w:color w:val="000000" w:themeColor="text1"/>
          <w:sz w:val="24"/>
          <w:vertAlign w:val="superscript"/>
        </w:rPr>
        <w:footnoteReference w:id="26"/>
      </w:r>
      <w:r w:rsidRPr="00F86319">
        <w:rPr>
          <w:rFonts w:ascii="Book Antiqua" w:hAnsi="Book Antiqua" w:cs="Calibri"/>
          <w:color w:val="000000" w:themeColor="text1"/>
          <w:sz w:val="24"/>
        </w:rPr>
        <w:t>. This agreement explicitly contains the rights and obligations of each party, covering the academic, social, and behavioral aspects of the student, as well as the role of parents in supporting the educational process. This contract not only acts as an administrative tool, but also as a legal document that has binding power and becomes the basis for resolving disputes in the event of a violation of the agreed terms.</w:t>
      </w:r>
    </w:p>
    <w:p w14:paraId="46C33690"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concept applied by Bromsgrove reflects a participatory and preventive approach, in which all parties are expected to understand from the outset their legal position in educational relationships. The agreement also sets high standards of conduct, including adherence to uniform rules, ethics of interacting in the school environment, and responsible use of technology. With a written and co-signed format, the agreement not only encourages transparency, but also provides a clear framework in the event of conflicts or complaints. This approach shows how schools can combine the principles of contractual law with </w:t>
      </w:r>
      <w:r w:rsidRPr="00F86319">
        <w:rPr>
          <w:rFonts w:ascii="Book Antiqua" w:hAnsi="Book Antiqua" w:cs="Calibri"/>
          <w:color w:val="000000" w:themeColor="text1"/>
          <w:sz w:val="24"/>
        </w:rPr>
        <w:lastRenderedPageBreak/>
        <w:t>professional education management practices, while providing legal protection to all parties involved in the educational process.</w:t>
      </w:r>
    </w:p>
    <w:p w14:paraId="4A1106E8" w14:textId="77777777" w:rsidR="00F86319" w:rsidRPr="00F86319" w:rsidRDefault="00F86319" w:rsidP="00F86319">
      <w:pPr>
        <w:spacing w:after="0" w:line="240" w:lineRule="auto"/>
        <w:jc w:val="both"/>
        <w:rPr>
          <w:rFonts w:ascii="Book Antiqua" w:hAnsi="Book Antiqua" w:cs="Calibri"/>
          <w:color w:val="000000" w:themeColor="text1"/>
          <w:sz w:val="24"/>
        </w:rPr>
      </w:pPr>
    </w:p>
    <w:p w14:paraId="0A42CEE5" w14:textId="77777777" w:rsidR="00F86319" w:rsidRPr="00F86319" w:rsidRDefault="00F86319" w:rsidP="00F86319">
      <w:pPr>
        <w:numPr>
          <w:ilvl w:val="0"/>
          <w:numId w:val="22"/>
        </w:numPr>
        <w:spacing w:after="0" w:line="240" w:lineRule="auto"/>
        <w:ind w:left="36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Comparison of Education Contracts Agreement of Indonesian </w:t>
      </w:r>
      <w:proofErr w:type="spellStart"/>
      <w:r w:rsidRPr="00F86319">
        <w:rPr>
          <w:rFonts w:ascii="Book Antiqua" w:hAnsi="Book Antiqua" w:cs="Calibri"/>
          <w:b/>
          <w:bCs/>
          <w:color w:val="000000" w:themeColor="text1"/>
          <w:sz w:val="24"/>
        </w:rPr>
        <w:t>Pesatren</w:t>
      </w:r>
      <w:proofErr w:type="spellEnd"/>
      <w:r w:rsidRPr="00F86319">
        <w:rPr>
          <w:rFonts w:ascii="Book Antiqua" w:hAnsi="Book Antiqua" w:cs="Calibri"/>
          <w:b/>
          <w:bCs/>
          <w:color w:val="000000" w:themeColor="text1"/>
          <w:sz w:val="24"/>
        </w:rPr>
        <w:t xml:space="preserve"> and Bromsgrove International School Thailand</w:t>
      </w:r>
    </w:p>
    <w:p w14:paraId="4007EE26"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concept of education contracts applied in Indonesian Islamic boarding schools and at Bromsgrove International School Thailand shows fundamental differences in terms of formalization, substance, and approach to dispute resolution. In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environment, education contracts are generally normative and cultural-religious in nature. The agreement between the guardian of the student and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is more often stated in the form of registration documents or regulations, which, although they have a contractual content, are not always prepared with a systematic legal structure. Many Islamic boarding schools still rely on a family approach and deliberation values in managing educational relationships, without explicitly detailing the rights and obligations of each party in a form that can be used as a basis for formal legal proceedings.</w:t>
      </w:r>
    </w:p>
    <w:p w14:paraId="0B48022C"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In contrast, Bromsgrove International School Thailand implements a more structured and legalistic approach to education contracts </w:t>
      </w:r>
      <w:proofErr w:type="gramStart"/>
      <w:r w:rsidRPr="00F86319">
        <w:rPr>
          <w:rFonts w:ascii="Book Antiqua" w:hAnsi="Book Antiqua" w:cs="Calibri"/>
          <w:color w:val="000000" w:themeColor="text1"/>
          <w:sz w:val="24"/>
        </w:rPr>
        <w:t>through  the</w:t>
      </w:r>
      <w:proofErr w:type="gramEnd"/>
      <w:r w:rsidRPr="00F86319">
        <w:rPr>
          <w:rFonts w:ascii="Book Antiqua" w:hAnsi="Book Antiqua" w:cs="Calibri"/>
          <w:color w:val="000000" w:themeColor="text1"/>
          <w:sz w:val="24"/>
        </w:rPr>
        <w:t xml:space="preserve"> </w:t>
      </w:r>
      <w:r w:rsidRPr="00F86319">
        <w:rPr>
          <w:rFonts w:ascii="Book Antiqua" w:hAnsi="Book Antiqua" w:cs="Calibri"/>
          <w:i/>
          <w:iCs/>
          <w:color w:val="000000" w:themeColor="text1"/>
          <w:sz w:val="24"/>
        </w:rPr>
        <w:t>Student, Parent and School Agreement</w:t>
      </w:r>
      <w:r w:rsidRPr="00F86319">
        <w:rPr>
          <w:rFonts w:ascii="Book Antiqua" w:hAnsi="Book Antiqua" w:cs="Calibri"/>
          <w:color w:val="000000" w:themeColor="text1"/>
          <w:sz w:val="24"/>
        </w:rPr>
        <w:t xml:space="preserve"> document. This document is professionally designed and reflects a strong understanding of the principles of modern contract law. All parties—schools, students, and parents—consciously signed an agreement that contained a shared commitment to academic standards, behavior, and involvement in the educational process. This agreement not only serves as a tool for managing educational relationships, but also provides a clear legal basis for dealing with conflicts or violations that may occur. This difference reflects the contrast between the values-based approach of local wisdom in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and the approach based on professional management and legal protection in international schools such as Bromsgrove.</w:t>
      </w:r>
    </w:p>
    <w:p w14:paraId="648807B5"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following is a comparison table between the concept of education contracts at Indonesian Islamic Boarding Schools and Bromsgrove International School Thailand:</w:t>
      </w:r>
    </w:p>
    <w:p w14:paraId="519C8DA9" w14:textId="77777777" w:rsid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Table 1</w:t>
      </w:r>
      <w:r w:rsidRPr="00F86319">
        <w:rPr>
          <w:rFonts w:ascii="Book Antiqua" w:hAnsi="Book Antiqua" w:cs="Calibri"/>
          <w:color w:val="000000" w:themeColor="text1"/>
          <w:sz w:val="24"/>
        </w:rPr>
        <w:t>. Comparison</w:t>
      </w:r>
    </w:p>
    <w:p w14:paraId="2C3EEB46" w14:textId="77777777" w:rsidR="00F86319" w:rsidRPr="00F86319" w:rsidRDefault="00F86319" w:rsidP="00F86319">
      <w:pPr>
        <w:spacing w:after="0" w:line="240" w:lineRule="auto"/>
        <w:jc w:val="both"/>
        <w:rPr>
          <w:rFonts w:ascii="Book Antiqua" w:hAnsi="Book Antiqua" w:cs="Calibri"/>
          <w:color w:val="000000" w:themeColor="text1"/>
          <w:sz w:val="24"/>
        </w:rPr>
      </w:pPr>
    </w:p>
    <w:tbl>
      <w:tblPr>
        <w:tblStyle w:val="TableGrid"/>
        <w:tblW w:w="8640" w:type="dxa"/>
        <w:tblInd w:w="828" w:type="dxa"/>
        <w:tblLook w:val="04A0" w:firstRow="1" w:lastRow="0" w:firstColumn="1" w:lastColumn="0" w:noHBand="0" w:noVBand="1"/>
      </w:tblPr>
      <w:tblGrid>
        <w:gridCol w:w="2260"/>
        <w:gridCol w:w="2951"/>
        <w:gridCol w:w="3429"/>
      </w:tblGrid>
      <w:tr w:rsidR="00F86319" w:rsidRPr="00F86319" w14:paraId="7B7B8283" w14:textId="77777777" w:rsidTr="00CB1FB5">
        <w:tc>
          <w:tcPr>
            <w:tcW w:w="1800" w:type="dxa"/>
            <w:vAlign w:val="center"/>
          </w:tcPr>
          <w:p w14:paraId="7DF35D3D"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Aspects</w:t>
            </w:r>
          </w:p>
        </w:tc>
        <w:tc>
          <w:tcPr>
            <w:tcW w:w="3150" w:type="dxa"/>
            <w:vAlign w:val="center"/>
          </w:tcPr>
          <w:p w14:paraId="7C4CECFC"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Indonesian Islamic Boarding Schools</w:t>
            </w:r>
          </w:p>
        </w:tc>
        <w:tc>
          <w:tcPr>
            <w:tcW w:w="3690" w:type="dxa"/>
            <w:vAlign w:val="center"/>
          </w:tcPr>
          <w:p w14:paraId="2E2C7B1B"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b/>
                <w:bCs/>
                <w:color w:val="000000" w:themeColor="text1"/>
                <w:sz w:val="24"/>
              </w:rPr>
              <w:t>Bromsgrove International School Thailand</w:t>
            </w:r>
          </w:p>
        </w:tc>
      </w:tr>
      <w:tr w:rsidR="00F86319" w:rsidRPr="00F86319" w14:paraId="5CBBDCEC" w14:textId="77777777" w:rsidTr="00CB1FB5">
        <w:tc>
          <w:tcPr>
            <w:tcW w:w="1800" w:type="dxa"/>
          </w:tcPr>
          <w:p w14:paraId="4C4AD546"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Form of Contract</w:t>
            </w:r>
          </w:p>
        </w:tc>
        <w:tc>
          <w:tcPr>
            <w:tcW w:w="3150" w:type="dxa"/>
          </w:tcPr>
          <w:p w14:paraId="6DE4B7AB"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It is not always formal; often in the form of registration or rules of procedure</w:t>
            </w:r>
          </w:p>
        </w:tc>
        <w:tc>
          <w:tcPr>
            <w:tcW w:w="3690" w:type="dxa"/>
          </w:tcPr>
          <w:p w14:paraId="7A6701C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Official written document (</w:t>
            </w:r>
            <w:r w:rsidRPr="00F86319">
              <w:rPr>
                <w:rFonts w:ascii="Book Antiqua" w:hAnsi="Book Antiqua" w:cs="Calibri"/>
                <w:i/>
                <w:iCs/>
                <w:color w:val="000000" w:themeColor="text1"/>
                <w:sz w:val="24"/>
              </w:rPr>
              <w:t>Student, Parent and School Agreement</w:t>
            </w:r>
            <w:r w:rsidRPr="00F86319">
              <w:rPr>
                <w:rFonts w:ascii="Book Antiqua" w:hAnsi="Book Antiqua" w:cs="Calibri"/>
                <w:color w:val="000000" w:themeColor="text1"/>
                <w:sz w:val="24"/>
              </w:rPr>
              <w:t>)</w:t>
            </w:r>
          </w:p>
        </w:tc>
      </w:tr>
      <w:tr w:rsidR="00F86319" w:rsidRPr="00F86319" w14:paraId="1F6065F4" w14:textId="77777777" w:rsidTr="00CB1FB5">
        <w:tc>
          <w:tcPr>
            <w:tcW w:w="1800" w:type="dxa"/>
          </w:tcPr>
          <w:p w14:paraId="2E173B67"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Nature of the Agreement</w:t>
            </w:r>
          </w:p>
        </w:tc>
        <w:tc>
          <w:tcPr>
            <w:tcW w:w="3150" w:type="dxa"/>
          </w:tcPr>
          <w:p w14:paraId="4C4EA6F3"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Cultural, based on religious values and beliefs</w:t>
            </w:r>
          </w:p>
        </w:tc>
        <w:tc>
          <w:tcPr>
            <w:tcW w:w="3690" w:type="dxa"/>
          </w:tcPr>
          <w:p w14:paraId="00678B87"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Legal-formal, legally binding</w:t>
            </w:r>
          </w:p>
        </w:tc>
      </w:tr>
      <w:tr w:rsidR="00F86319" w:rsidRPr="00F86319" w14:paraId="0C98AE19" w14:textId="77777777" w:rsidTr="00CB1FB5">
        <w:tc>
          <w:tcPr>
            <w:tcW w:w="1800" w:type="dxa"/>
          </w:tcPr>
          <w:p w14:paraId="5034060D"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Contents of the Agreement</w:t>
            </w:r>
          </w:p>
        </w:tc>
        <w:tc>
          <w:tcPr>
            <w:tcW w:w="3150" w:type="dxa"/>
          </w:tcPr>
          <w:p w14:paraId="76D902BA" w14:textId="77777777" w:rsidR="00F86319" w:rsidRPr="00F86319" w:rsidRDefault="00F86319" w:rsidP="00F86319">
            <w:pPr>
              <w:spacing w:after="0" w:line="240" w:lineRule="auto"/>
              <w:jc w:val="both"/>
              <w:rPr>
                <w:rFonts w:ascii="Book Antiqua" w:hAnsi="Book Antiqua" w:cs="Calibri"/>
                <w:b/>
                <w:bCs/>
                <w:color w:val="000000" w:themeColor="text1"/>
                <w:sz w:val="24"/>
              </w:rPr>
            </w:pPr>
            <w:proofErr w:type="gramStart"/>
            <w:r w:rsidRPr="00F86319">
              <w:rPr>
                <w:rFonts w:ascii="Book Antiqua" w:hAnsi="Book Antiqua" w:cs="Calibri"/>
                <w:color w:val="000000" w:themeColor="text1"/>
                <w:sz w:val="24"/>
              </w:rPr>
              <w:t>Generally</w:t>
            </w:r>
            <w:proofErr w:type="gramEnd"/>
            <w:r w:rsidRPr="00F86319">
              <w:rPr>
                <w:rFonts w:ascii="Book Antiqua" w:hAnsi="Book Antiqua" w:cs="Calibri"/>
                <w:color w:val="000000" w:themeColor="text1"/>
                <w:sz w:val="24"/>
              </w:rPr>
              <w:t xml:space="preserve"> includes rules, fees, and general rules</w:t>
            </w:r>
          </w:p>
        </w:tc>
        <w:tc>
          <w:tcPr>
            <w:tcW w:w="3690" w:type="dxa"/>
          </w:tcPr>
          <w:p w14:paraId="7E4A89E2"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Contains the rights and obligations of students, parents, and schools in detail</w:t>
            </w:r>
          </w:p>
        </w:tc>
      </w:tr>
      <w:tr w:rsidR="00F86319" w:rsidRPr="00F86319" w14:paraId="712B78B7" w14:textId="77777777" w:rsidTr="00CB1FB5">
        <w:tc>
          <w:tcPr>
            <w:tcW w:w="1800" w:type="dxa"/>
          </w:tcPr>
          <w:p w14:paraId="585BA67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Purpose of the Contract</w:t>
            </w:r>
          </w:p>
        </w:tc>
        <w:tc>
          <w:tcPr>
            <w:tcW w:w="3150" w:type="dxa"/>
          </w:tcPr>
          <w:p w14:paraId="4F0DCB3E"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Maintaining order and Islamic values in education</w:t>
            </w:r>
          </w:p>
        </w:tc>
        <w:tc>
          <w:tcPr>
            <w:tcW w:w="3690" w:type="dxa"/>
          </w:tcPr>
          <w:p w14:paraId="5F3AE336"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Building shared responsibility and preventing conflict from the start</w:t>
            </w:r>
          </w:p>
        </w:tc>
      </w:tr>
      <w:tr w:rsidR="00F86319" w:rsidRPr="00F86319" w14:paraId="4988A22E" w14:textId="77777777" w:rsidTr="00CB1FB5">
        <w:tc>
          <w:tcPr>
            <w:tcW w:w="1800" w:type="dxa"/>
          </w:tcPr>
          <w:p w14:paraId="2BC2E61D"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The Role of Parents/Guardians</w:t>
            </w:r>
          </w:p>
        </w:tc>
        <w:tc>
          <w:tcPr>
            <w:tcW w:w="3150" w:type="dxa"/>
          </w:tcPr>
          <w:p w14:paraId="6F02B41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Seen as a moral and financing supporter</w:t>
            </w:r>
          </w:p>
        </w:tc>
        <w:tc>
          <w:tcPr>
            <w:tcW w:w="3690" w:type="dxa"/>
          </w:tcPr>
          <w:p w14:paraId="55C389C1"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Considered an active partner in the process of education and character building</w:t>
            </w:r>
          </w:p>
        </w:tc>
      </w:tr>
      <w:tr w:rsidR="00F86319" w:rsidRPr="00F86319" w14:paraId="57FAB84A" w14:textId="77777777" w:rsidTr="00CB1FB5">
        <w:tc>
          <w:tcPr>
            <w:tcW w:w="1800" w:type="dxa"/>
          </w:tcPr>
          <w:p w14:paraId="19C29C39"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lastRenderedPageBreak/>
              <w:t>Dispute Resolution Approach</w:t>
            </w:r>
          </w:p>
        </w:tc>
        <w:tc>
          <w:tcPr>
            <w:tcW w:w="3150" w:type="dxa"/>
          </w:tcPr>
          <w:p w14:paraId="59F0048E"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Deliberation, family, very rarely through formal legal channels</w:t>
            </w:r>
          </w:p>
        </w:tc>
        <w:tc>
          <w:tcPr>
            <w:tcW w:w="3690" w:type="dxa"/>
          </w:tcPr>
          <w:p w14:paraId="67EBB139"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Formal settlement pathway is available based on the terms in the agreement</w:t>
            </w:r>
          </w:p>
        </w:tc>
      </w:tr>
      <w:tr w:rsidR="00F86319" w:rsidRPr="00F86319" w14:paraId="3D7A4D34" w14:textId="77777777" w:rsidTr="00CB1FB5">
        <w:tc>
          <w:tcPr>
            <w:tcW w:w="1800" w:type="dxa"/>
          </w:tcPr>
          <w:p w14:paraId="487CCDE4"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Legal Strength</w:t>
            </w:r>
          </w:p>
        </w:tc>
        <w:tc>
          <w:tcPr>
            <w:tcW w:w="3150" w:type="dxa"/>
          </w:tcPr>
          <w:p w14:paraId="76F389F4"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Weak if not explicitly and detailed</w:t>
            </w:r>
          </w:p>
        </w:tc>
        <w:tc>
          <w:tcPr>
            <w:tcW w:w="3690" w:type="dxa"/>
          </w:tcPr>
          <w:p w14:paraId="7800459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Legally strong, can be used as a basis in the litigation process</w:t>
            </w:r>
          </w:p>
        </w:tc>
      </w:tr>
      <w:tr w:rsidR="00F86319" w:rsidRPr="00F86319" w14:paraId="0A23A77B" w14:textId="77777777" w:rsidTr="00CB1FB5">
        <w:tc>
          <w:tcPr>
            <w:tcW w:w="1800" w:type="dxa"/>
          </w:tcPr>
          <w:p w14:paraId="17F0A945"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Documentation and Evidence</w:t>
            </w:r>
          </w:p>
        </w:tc>
        <w:tc>
          <w:tcPr>
            <w:tcW w:w="3150" w:type="dxa"/>
          </w:tcPr>
          <w:p w14:paraId="069A8CB1"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Limited, often incomplete or unsystematic</w:t>
            </w:r>
          </w:p>
        </w:tc>
        <w:tc>
          <w:tcPr>
            <w:tcW w:w="3690" w:type="dxa"/>
          </w:tcPr>
          <w:p w14:paraId="721426DC"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color w:val="000000" w:themeColor="text1"/>
                <w:sz w:val="24"/>
              </w:rPr>
              <w:t>Well documented and available in official written form</w:t>
            </w:r>
          </w:p>
        </w:tc>
      </w:tr>
      <w:tr w:rsidR="00F86319" w:rsidRPr="00F86319" w14:paraId="0947D8FB" w14:textId="77777777" w:rsidTr="00CB1FB5">
        <w:tc>
          <w:tcPr>
            <w:tcW w:w="1800" w:type="dxa"/>
          </w:tcPr>
          <w:p w14:paraId="14DCE032"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Value Orientation</w:t>
            </w:r>
          </w:p>
        </w:tc>
        <w:tc>
          <w:tcPr>
            <w:tcW w:w="3150" w:type="dxa"/>
          </w:tcPr>
          <w:p w14:paraId="78918EB7"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Religious and based on local wisdom</w:t>
            </w:r>
          </w:p>
        </w:tc>
        <w:tc>
          <w:tcPr>
            <w:tcW w:w="3690" w:type="dxa"/>
          </w:tcPr>
          <w:p w14:paraId="031CF74C"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Professional, management-based education and modern contract law</w:t>
            </w:r>
          </w:p>
        </w:tc>
      </w:tr>
    </w:tbl>
    <w:p w14:paraId="245BDBC5" w14:textId="77777777" w:rsidR="00F86319" w:rsidRPr="00F86319" w:rsidRDefault="00F86319" w:rsidP="00F86319">
      <w:pPr>
        <w:spacing w:after="0" w:line="240" w:lineRule="auto"/>
        <w:jc w:val="both"/>
        <w:rPr>
          <w:rFonts w:ascii="Book Antiqua" w:hAnsi="Book Antiqua" w:cs="Calibri"/>
          <w:color w:val="000000" w:themeColor="text1"/>
          <w:sz w:val="24"/>
        </w:rPr>
      </w:pPr>
    </w:p>
    <w:p w14:paraId="730AE314" w14:textId="77777777" w:rsidR="00F86319" w:rsidRPr="00F86319" w:rsidRDefault="00F86319" w:rsidP="00F86319">
      <w:pPr>
        <w:numPr>
          <w:ilvl w:val="0"/>
          <w:numId w:val="22"/>
        </w:numPr>
        <w:spacing w:after="0" w:line="240" w:lineRule="auto"/>
        <w:ind w:left="36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 xml:space="preserve">The Concept of Education Contract Disputes in Islamic Boarding Schools </w:t>
      </w:r>
    </w:p>
    <w:p w14:paraId="03B67503" w14:textId="4C1BBC87" w:rsidR="00F86319" w:rsidRDefault="00F86319" w:rsidP="00F86319">
      <w:pPr>
        <w:pStyle w:val="ListParagraph"/>
        <w:numPr>
          <w:ilvl w:val="0"/>
          <w:numId w:val="25"/>
        </w:numPr>
        <w:spacing w:after="0" w:line="240" w:lineRule="auto"/>
        <w:ind w:left="360"/>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Litigation pathway</w:t>
      </w:r>
    </w:p>
    <w:p w14:paraId="57AA5BAF" w14:textId="77777777" w:rsidR="00F86319" w:rsidRPr="00F86319" w:rsidRDefault="00F86319" w:rsidP="00F86319">
      <w:pPr>
        <w:pStyle w:val="ListParagraph"/>
        <w:spacing w:after="0" w:line="240" w:lineRule="auto"/>
        <w:ind w:left="360"/>
        <w:jc w:val="both"/>
        <w:rPr>
          <w:rFonts w:ascii="Book Antiqua" w:hAnsi="Book Antiqua" w:cs="Calibri"/>
          <w:b/>
          <w:bCs/>
          <w:color w:val="000000" w:themeColor="text1"/>
          <w:sz w:val="24"/>
        </w:rPr>
      </w:pPr>
    </w:p>
    <w:p w14:paraId="09B39DD4"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In the context of Indonesian civil law, an education contract between a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and a guardian of a student is a valid agreement if it meets the conditions as stipulated in Article 1320 of the Civil Code (</w:t>
      </w:r>
      <w:proofErr w:type="spellStart"/>
      <w:r w:rsidRPr="00F86319">
        <w:rPr>
          <w:rFonts w:ascii="Book Antiqua" w:hAnsi="Book Antiqua" w:cs="Calibri"/>
          <w:color w:val="000000" w:themeColor="text1"/>
          <w:sz w:val="24"/>
        </w:rPr>
        <w:t>KUHPerdata</w:t>
      </w:r>
      <w:proofErr w:type="spellEnd"/>
      <w:r w:rsidRPr="00F86319">
        <w:rPr>
          <w:rFonts w:ascii="Book Antiqua" w:hAnsi="Book Antiqua" w:cs="Calibri"/>
          <w:color w:val="000000" w:themeColor="text1"/>
          <w:sz w:val="24"/>
        </w:rPr>
        <w:t>), namely: agreement of the parties, the ability to make an engagement, a certain thing, and a halal cause. In the event of a breach of the contract, the aggrieved party can file a lawsuit with the court to demand the fulfillment of its rights or compensation. However, this litigation process often requires a lot of time and money, and can cause tension between the parties to the dispute.</w:t>
      </w:r>
    </w:p>
    <w:p w14:paraId="4ABA8829"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The results of research with various parties show that the settlement of education contract disputes in Indonesian Islamic boarding schools reflects the complexity of the relationship between formal legal norms and socio-religious values. Parents generally support the existence of an education contract as a form of protection for children's rights and affirmation of institutional responsibility, but such acceptance is conditional on the content of the contract that guarantees non-violent and non-discriminatory treatment. On the other hand, there are still limitations in parents' understanding of legal terms in contracts, as well as a reliance on social beliefs towards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which often cause potential hidden conflicts. From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side, dispute resolution is preferred through non-litigation channels such as internal mediation and deliberation, on the grounds of maintaining institutional image and social cohesion, although this approach is often not supported by an objective and accountable mediation system. Meanwhile, from the perspective of law enforcement, the education contract at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is qualified as a service agreement based on Article 1601c of the Civil Code, but with recognition of the religious context, so that in the litigation process the judge will balance the principles of justice and child protection with the institutional autonomy of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Lawyers who accompany guardians generally encourage a mediation approach as a first step before litigation, but still prepare a legal strategy if contractual violations are found that have an impact on the child's rights and educational integrity.</w:t>
      </w:r>
    </w:p>
    <w:p w14:paraId="710664EF"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Until now, there are no regulations that specifically regulate education contracts in Islamic boarding schools, so the preparation of contracts between the guardians of students and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is often unilateral and depends on the interpretation of each party, without clear legal references. This creates information inequality and bargaining positions, where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often have greater control in formulating contracts, while guardians of students who generally have limited educational backgrounds, are forced to accept the contract without a deep understanding. The tension between positive legal values and the religious </w:t>
      </w:r>
      <w:r w:rsidRPr="00F86319">
        <w:rPr>
          <w:rFonts w:ascii="Book Antiqua" w:hAnsi="Book Antiqua" w:cs="Calibri"/>
          <w:color w:val="000000" w:themeColor="text1"/>
          <w:sz w:val="24"/>
        </w:rPr>
        <w:lastRenderedPageBreak/>
        <w:t xml:space="preserve">values of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also often raises dilemmas in dispute resolution, especially related to disciplinary practices that conflict with child protection in state law. In addition, social barriers and close community relations in Islamic boarding schools make many disputes not reach the realm of litigation, because of the negative stigma against guardians of students who sue the Islamic boarding school, even though it is legally possible. This legal uncertainty shows the need for more comprehensive regulations to regulate rights and obligations in education contracts in Islamic boarding schools, as well as clarify dispute resolution mechanisms that are fair and accommodate local values.</w:t>
      </w:r>
    </w:p>
    <w:p w14:paraId="1D5B0F13" w14:textId="77777777" w:rsidR="00F86319" w:rsidRPr="00F86319" w:rsidRDefault="00F86319" w:rsidP="00F86319">
      <w:pPr>
        <w:spacing w:after="0" w:line="240" w:lineRule="auto"/>
        <w:jc w:val="both"/>
        <w:rPr>
          <w:rFonts w:ascii="Book Antiqua" w:hAnsi="Book Antiqua" w:cs="Calibri"/>
          <w:color w:val="000000" w:themeColor="text1"/>
          <w:sz w:val="24"/>
        </w:rPr>
      </w:pPr>
    </w:p>
    <w:p w14:paraId="495E151B"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Non-litigation pathway</w:t>
      </w:r>
    </w:p>
    <w:p w14:paraId="395C9868"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Alternative Dispute Resolution (APS) offers a more flexible and efficient approach to resolving disputes compared to formal litigation</w:t>
      </w:r>
      <w:r w:rsidRPr="00F86319">
        <w:rPr>
          <w:rFonts w:ascii="Book Antiqua" w:hAnsi="Book Antiqua" w:cs="Calibri"/>
          <w:color w:val="000000" w:themeColor="text1"/>
          <w:sz w:val="24"/>
          <w:vertAlign w:val="superscript"/>
        </w:rPr>
        <w:footnoteReference w:id="27"/>
      </w:r>
      <w:r w:rsidRPr="00F86319">
        <w:rPr>
          <w:rFonts w:ascii="Book Antiqua" w:hAnsi="Book Antiqua" w:cs="Calibri"/>
          <w:color w:val="000000" w:themeColor="text1"/>
          <w:sz w:val="24"/>
        </w:rPr>
        <w:t xml:space="preserve">. The APS method, which includes mediation, negotiation, conciliation, and arbitration, allows the parties to resolve disputes amicably with the help of a neutral third party. In the context of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dispute resolution is often carried out through deliberation or mediation involving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such as kyai or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leaders, who are respected and trusted by all parties. This approach is very much in line with the values of local wisdom and sharia principles that are the basis for the operation of Islamic boarding schools. However, while this approach prioritizes peace, it is important to ensure that the outcome of dispute resolution through the APS has binding and enforceable legal force by the parties, in order to avoid the legal uncertainty that often arises in practice.</w:t>
      </w:r>
    </w:p>
    <w:p w14:paraId="0FFD5CF5" w14:textId="7D743386"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On the other hand, until now, there is no regulation that specifically regulates education contracts in Islamic boarding schools, which leads to the drafting of contracts between the guardians of students and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that are unilateral and depend on the interpretation of each party, without a clear legal reference. This creates information inequality and bargaining positions, where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have greater control in formulating contracts, while guardians of students who generally come from limited educational backgrounds, are forced to accept the contract without a deep understanding. Thus, although APS can offer solutions that are more suitable for the character of the Islamic boarding school, there is a need to make efforts to regulate more clearly in the legal framework so that the dispute resolution process remains fair and does not cause legal uncertainty</w:t>
      </w:r>
    </w:p>
    <w:p w14:paraId="05E3DA01" w14:textId="77777777" w:rsidR="00F86319" w:rsidRPr="00F86319" w:rsidRDefault="00F86319" w:rsidP="00F86319">
      <w:pPr>
        <w:spacing w:after="0" w:line="240" w:lineRule="auto"/>
        <w:jc w:val="both"/>
        <w:rPr>
          <w:rFonts w:ascii="Book Antiqua" w:hAnsi="Book Antiqua" w:cs="Calibri"/>
          <w:color w:val="000000" w:themeColor="text1"/>
          <w:sz w:val="24"/>
        </w:rPr>
      </w:pPr>
    </w:p>
    <w:p w14:paraId="112F1848" w14:textId="77777777"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noProof/>
          <w:color w:val="000000" w:themeColor="text1"/>
          <w:sz w:val="24"/>
        </w:rPr>
        <mc:AlternateContent>
          <mc:Choice Requires="wpg">
            <w:drawing>
              <wp:anchor distT="0" distB="0" distL="114300" distR="114300" simplePos="0" relativeHeight="251701248" behindDoc="0" locked="0" layoutInCell="1" allowOverlap="1" wp14:anchorId="00CAE5EE" wp14:editId="02E391A3">
                <wp:simplePos x="0" y="0"/>
                <wp:positionH relativeFrom="column">
                  <wp:posOffset>-22004</wp:posOffset>
                </wp:positionH>
                <wp:positionV relativeFrom="paragraph">
                  <wp:posOffset>315595</wp:posOffset>
                </wp:positionV>
                <wp:extent cx="5612130" cy="2857500"/>
                <wp:effectExtent l="0" t="0" r="26670" b="19050"/>
                <wp:wrapNone/>
                <wp:docPr id="609767388" name="Grup 12"/>
                <wp:cNvGraphicFramePr/>
                <a:graphic xmlns:a="http://schemas.openxmlformats.org/drawingml/2006/main">
                  <a:graphicData uri="http://schemas.microsoft.com/office/word/2010/wordprocessingGroup">
                    <wpg:wgp>
                      <wpg:cNvGrpSpPr/>
                      <wpg:grpSpPr>
                        <a:xfrm>
                          <a:off x="0" y="0"/>
                          <a:ext cx="5612130" cy="2857500"/>
                          <a:chOff x="0" y="0"/>
                          <a:chExt cx="5612240" cy="2679699"/>
                        </a:xfrm>
                      </wpg:grpSpPr>
                      <wps:wsp>
                        <wps:cNvPr id="2051566441" name="Persegi Panjang 1"/>
                        <wps:cNvSpPr/>
                        <wps:spPr>
                          <a:xfrm>
                            <a:off x="2008208" y="11575"/>
                            <a:ext cx="1823013" cy="416689"/>
                          </a:xfrm>
                          <a:prstGeom prst="rect">
                            <a:avLst/>
                          </a:prstGeom>
                        </wps:spPr>
                        <wps:style>
                          <a:lnRef idx="2">
                            <a:schemeClr val="dk1"/>
                          </a:lnRef>
                          <a:fillRef idx="1">
                            <a:schemeClr val="lt1"/>
                          </a:fillRef>
                          <a:effectRef idx="0">
                            <a:schemeClr val="dk1"/>
                          </a:effectRef>
                          <a:fontRef idx="minor">
                            <a:schemeClr val="dk1"/>
                          </a:fontRef>
                        </wps:style>
                        <wps:txbx>
                          <w:txbxContent>
                            <w:p w14:paraId="78D81AEE"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Law Number 18 of 2019 concerning Islamic Boarding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140292" name="Persegi Panjang 1"/>
                        <wps:cNvSpPr/>
                        <wps:spPr>
                          <a:xfrm>
                            <a:off x="2008208" y="515074"/>
                            <a:ext cx="1822450" cy="537845"/>
                          </a:xfrm>
                          <a:prstGeom prst="rect">
                            <a:avLst/>
                          </a:prstGeom>
                        </wps:spPr>
                        <wps:style>
                          <a:lnRef idx="2">
                            <a:schemeClr val="dk1"/>
                          </a:lnRef>
                          <a:fillRef idx="1">
                            <a:schemeClr val="lt1"/>
                          </a:fillRef>
                          <a:effectRef idx="0">
                            <a:schemeClr val="dk1"/>
                          </a:effectRef>
                          <a:fontRef idx="minor">
                            <a:schemeClr val="dk1"/>
                          </a:fontRef>
                        </wps:style>
                        <wps:txbx>
                          <w:txbxContent>
                            <w:p w14:paraId="07813C6C" w14:textId="77777777" w:rsidR="00F86319" w:rsidRPr="009E16B7" w:rsidRDefault="00F86319" w:rsidP="00F86319">
                              <w:pPr>
                                <w:spacing w:after="0" w:line="240" w:lineRule="auto"/>
                                <w:jc w:val="center"/>
                                <w:rPr>
                                  <w:rFonts w:ascii="Times New Roman" w:hAnsi="Times New Roman"/>
                                  <w:sz w:val="20"/>
                                  <w:szCs w:val="20"/>
                                </w:rPr>
                              </w:pPr>
                              <w:r w:rsidRPr="009E16B7">
                                <w:rPr>
                                  <w:rFonts w:ascii="Times New Roman" w:hAnsi="Times New Roman"/>
                                  <w:sz w:val="20"/>
                                  <w:szCs w:val="20"/>
                                </w:rPr>
                                <w:t>Regulation of the Minister of Religion Number 31 of 2020 concerning Islamic Boarding School Education</w:t>
                              </w:r>
                            </w:p>
                            <w:p w14:paraId="03F7B861" w14:textId="77777777" w:rsidR="00F86319" w:rsidRPr="009E16B7" w:rsidRDefault="00F86319" w:rsidP="00F86319">
                              <w:pPr>
                                <w:spacing w:after="0" w:line="240" w:lineRule="auto"/>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362283" name="Persegi Panjang 1"/>
                        <wps:cNvSpPr/>
                        <wps:spPr>
                          <a:xfrm>
                            <a:off x="0" y="590309"/>
                            <a:ext cx="1724628" cy="358815"/>
                          </a:xfrm>
                          <a:prstGeom prst="rect">
                            <a:avLst/>
                          </a:prstGeom>
                        </wps:spPr>
                        <wps:style>
                          <a:lnRef idx="2">
                            <a:schemeClr val="dk1"/>
                          </a:lnRef>
                          <a:fillRef idx="1">
                            <a:schemeClr val="lt1"/>
                          </a:fillRef>
                          <a:effectRef idx="0">
                            <a:schemeClr val="dk1"/>
                          </a:effectRef>
                          <a:fontRef idx="minor">
                            <a:schemeClr val="dk1"/>
                          </a:fontRef>
                        </wps:style>
                        <wps:txbx>
                          <w:txbxContent>
                            <w:p w14:paraId="488E73AB" w14:textId="77777777" w:rsidR="00F86319" w:rsidRPr="009E16B7" w:rsidRDefault="00F86319" w:rsidP="00F86319">
                              <w:pPr>
                                <w:spacing w:after="0" w:line="240" w:lineRule="auto"/>
                                <w:jc w:val="center"/>
                                <w:rPr>
                                  <w:rFonts w:ascii="Times New Roman" w:hAnsi="Times New Roman"/>
                                </w:rPr>
                              </w:pPr>
                              <w:r w:rsidRPr="009E16B7">
                                <w:rPr>
                                  <w:rFonts w:ascii="Times New Roman" w:hAnsi="Times New Roman"/>
                                </w:rPr>
                                <w:t>Boarding</w:t>
                              </w:r>
                            </w:p>
                            <w:p w14:paraId="1BF83F50" w14:textId="77777777" w:rsidR="00F86319" w:rsidRPr="009E16B7" w:rsidRDefault="00F86319" w:rsidP="00F86319">
                              <w:pPr>
                                <w:spacing w:after="0" w:line="240" w:lineRule="auto"/>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443410" name="Persegi Panjang 1"/>
                        <wps:cNvSpPr/>
                        <wps:spPr>
                          <a:xfrm>
                            <a:off x="3946967" y="0"/>
                            <a:ext cx="1643268" cy="428263"/>
                          </a:xfrm>
                          <a:prstGeom prst="rect">
                            <a:avLst/>
                          </a:prstGeom>
                        </wps:spPr>
                        <wps:style>
                          <a:lnRef idx="2">
                            <a:schemeClr val="dk1"/>
                          </a:lnRef>
                          <a:fillRef idx="1">
                            <a:schemeClr val="lt1"/>
                          </a:fillRef>
                          <a:effectRef idx="0">
                            <a:schemeClr val="dk1"/>
                          </a:effectRef>
                          <a:fontRef idx="minor">
                            <a:schemeClr val="dk1"/>
                          </a:fontRef>
                        </wps:style>
                        <wps:txbx>
                          <w:txbxContent>
                            <w:p w14:paraId="5F32126D"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Implementation of Islamic Boarding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687994" name="Persegi Panjang 1"/>
                        <wps:cNvSpPr/>
                        <wps:spPr>
                          <a:xfrm>
                            <a:off x="3941112" y="515066"/>
                            <a:ext cx="1649027" cy="537845"/>
                          </a:xfrm>
                          <a:prstGeom prst="rect">
                            <a:avLst/>
                          </a:prstGeom>
                        </wps:spPr>
                        <wps:style>
                          <a:lnRef idx="2">
                            <a:schemeClr val="dk1"/>
                          </a:lnRef>
                          <a:fillRef idx="1">
                            <a:schemeClr val="lt1"/>
                          </a:fillRef>
                          <a:effectRef idx="0">
                            <a:schemeClr val="dk1"/>
                          </a:effectRef>
                          <a:fontRef idx="minor">
                            <a:schemeClr val="dk1"/>
                          </a:fontRef>
                        </wps:style>
                        <wps:txbx>
                          <w:txbxContent>
                            <w:p w14:paraId="7011CF6A" w14:textId="77777777" w:rsidR="00F86319" w:rsidRPr="009E16B7" w:rsidRDefault="00F86319" w:rsidP="00F86319">
                              <w:pPr>
                                <w:spacing w:line="240" w:lineRule="auto"/>
                                <w:jc w:val="center"/>
                                <w:rPr>
                                  <w:rFonts w:ascii="Times New Roman" w:hAnsi="Times New Roman"/>
                                  <w:sz w:val="16"/>
                                  <w:szCs w:val="16"/>
                                </w:rPr>
                              </w:pPr>
                              <w:r w:rsidRPr="009E16B7">
                                <w:rPr>
                                  <w:rFonts w:ascii="Times New Roman" w:hAnsi="Times New Roman"/>
                                  <w:sz w:val="16"/>
                                  <w:szCs w:val="16"/>
                                </w:rPr>
                                <w:t>Curriculum, learning system, and other aspects related to education in Islamic boarding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988830" name="Persegi Panjang 1"/>
                        <wps:cNvSpPr/>
                        <wps:spPr>
                          <a:xfrm>
                            <a:off x="2008208" y="1197980"/>
                            <a:ext cx="1822450" cy="537845"/>
                          </a:xfrm>
                          <a:prstGeom prst="rect">
                            <a:avLst/>
                          </a:prstGeom>
                        </wps:spPr>
                        <wps:style>
                          <a:lnRef idx="2">
                            <a:schemeClr val="dk1"/>
                          </a:lnRef>
                          <a:fillRef idx="1">
                            <a:schemeClr val="lt1"/>
                          </a:fillRef>
                          <a:effectRef idx="0">
                            <a:schemeClr val="dk1"/>
                          </a:effectRef>
                          <a:fontRef idx="minor">
                            <a:schemeClr val="dk1"/>
                          </a:fontRef>
                        </wps:style>
                        <wps:txbx>
                          <w:txbxContent>
                            <w:p w14:paraId="4FDEBCDF"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EDUCATION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889587" name="Persegi Panjang 1"/>
                        <wps:cNvSpPr/>
                        <wps:spPr>
                          <a:xfrm>
                            <a:off x="3946707" y="2025538"/>
                            <a:ext cx="1665533" cy="654161"/>
                          </a:xfrm>
                          <a:prstGeom prst="rect">
                            <a:avLst/>
                          </a:prstGeom>
                        </wps:spPr>
                        <wps:style>
                          <a:lnRef idx="2">
                            <a:schemeClr val="dk1"/>
                          </a:lnRef>
                          <a:fillRef idx="1">
                            <a:schemeClr val="lt1"/>
                          </a:fillRef>
                          <a:effectRef idx="0">
                            <a:schemeClr val="dk1"/>
                          </a:effectRef>
                          <a:fontRef idx="minor">
                            <a:schemeClr val="dk1"/>
                          </a:fontRef>
                        </wps:style>
                        <wps:txbx>
                          <w:txbxContent>
                            <w:p w14:paraId="43884F74" w14:textId="77777777" w:rsidR="00F86319"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Concept </w:t>
                              </w:r>
                            </w:p>
                            <w:p w14:paraId="5F5CF439" w14:textId="77777777" w:rsidR="00F86319" w:rsidRDefault="00F86319" w:rsidP="00F86319">
                              <w:pPr>
                                <w:spacing w:after="0" w:line="240" w:lineRule="auto"/>
                                <w:jc w:val="center"/>
                                <w:rPr>
                                  <w:rFonts w:ascii="Times New Roman" w:hAnsi="Times New Roman"/>
                                  <w:sz w:val="20"/>
                                  <w:szCs w:val="20"/>
                                </w:rPr>
                              </w:pPr>
                            </w:p>
                            <w:p w14:paraId="0C121BCE" w14:textId="77777777" w:rsidR="00F86319" w:rsidRPr="00F24788" w:rsidRDefault="00F86319" w:rsidP="00F86319">
                              <w:pPr>
                                <w:spacing w:after="0" w:line="240" w:lineRule="auto"/>
                                <w:jc w:val="center"/>
                                <w:rPr>
                                  <w:rFonts w:ascii="Times New Roman" w:hAnsi="Times New Roman"/>
                                  <w:b/>
                                  <w:bCs/>
                                  <w:sz w:val="20"/>
                                  <w:szCs w:val="20"/>
                                </w:rPr>
                              </w:pPr>
                              <w:r w:rsidRPr="00F24788">
                                <w:rPr>
                                  <w:rFonts w:ascii="Times New Roman" w:hAnsi="Times New Roman"/>
                                  <w:b/>
                                  <w:bCs/>
                                  <w:sz w:val="20"/>
                                  <w:szCs w:val="20"/>
                                </w:rPr>
                                <w:t>Education Services</w:t>
                              </w:r>
                            </w:p>
                            <w:p w14:paraId="2DC1734C" w14:textId="77777777" w:rsidR="00F86319" w:rsidRDefault="00F86319" w:rsidP="00F86319">
                              <w:pPr>
                                <w:spacing w:after="0" w:line="240" w:lineRule="auto"/>
                                <w:jc w:val="center"/>
                                <w:rPr>
                                  <w:rFonts w:ascii="Times New Roman" w:hAnsi="Times New Roman"/>
                                  <w:sz w:val="20"/>
                                  <w:szCs w:val="20"/>
                                </w:rPr>
                              </w:pPr>
                            </w:p>
                            <w:p w14:paraId="7170ECB2" w14:textId="77777777" w:rsidR="00F86319" w:rsidRDefault="00F86319" w:rsidP="00F86319">
                              <w:pPr>
                                <w:spacing w:after="0" w:line="240" w:lineRule="auto"/>
                                <w:jc w:val="center"/>
                                <w:rPr>
                                  <w:rFonts w:ascii="Times New Roman" w:hAnsi="Times New Roman"/>
                                  <w:sz w:val="20"/>
                                  <w:szCs w:val="20"/>
                                </w:rPr>
                              </w:pPr>
                            </w:p>
                            <w:p w14:paraId="14354A73" w14:textId="77777777" w:rsidR="00F86319" w:rsidRDefault="00F86319" w:rsidP="00F86319">
                              <w:pPr>
                                <w:spacing w:after="0" w:line="240" w:lineRule="auto"/>
                                <w:jc w:val="center"/>
                                <w:rPr>
                                  <w:rFonts w:ascii="Times New Roman" w:hAnsi="Times New Roman"/>
                                  <w:sz w:val="20"/>
                                  <w:szCs w:val="20"/>
                                </w:rPr>
                              </w:pPr>
                            </w:p>
                            <w:p w14:paraId="5B75D2E6" w14:textId="77777777" w:rsidR="00F86319" w:rsidRPr="009E16B7" w:rsidRDefault="00F86319" w:rsidP="00F86319">
                              <w:pPr>
                                <w:spacing w:after="0" w:line="240" w:lineRule="auto"/>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9274927" name="Konektor Panah Lurus 8"/>
                        <wps:cNvCnPr/>
                        <wps:spPr>
                          <a:xfrm>
                            <a:off x="1724628" y="753319"/>
                            <a:ext cx="28426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83870460" name="Konektor Panah Lurus 8"/>
                        <wps:cNvCnPr/>
                        <wps:spPr>
                          <a:xfrm>
                            <a:off x="1811438" y="220884"/>
                            <a:ext cx="1968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36295111" name="Konektor Panah Lurus 8"/>
                        <wps:cNvCnPr/>
                        <wps:spPr>
                          <a:xfrm>
                            <a:off x="1811438" y="1476737"/>
                            <a:ext cx="19737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53105257" name="Konektor Lurus 9"/>
                        <wps:cNvCnPr/>
                        <wps:spPr>
                          <a:xfrm>
                            <a:off x="1811438" y="219919"/>
                            <a:ext cx="0" cy="1255853"/>
                          </a:xfrm>
                          <a:prstGeom prst="line">
                            <a:avLst/>
                          </a:prstGeom>
                        </wps:spPr>
                        <wps:style>
                          <a:lnRef idx="2">
                            <a:schemeClr val="dk1"/>
                          </a:lnRef>
                          <a:fillRef idx="0">
                            <a:schemeClr val="dk1"/>
                          </a:fillRef>
                          <a:effectRef idx="1">
                            <a:schemeClr val="dk1"/>
                          </a:effectRef>
                          <a:fontRef idx="minor">
                            <a:schemeClr val="tx1"/>
                          </a:fontRef>
                        </wps:style>
                        <wps:bodyPr/>
                      </wps:wsp>
                      <wps:wsp>
                        <wps:cNvPr id="1220430402" name="Konektor Panah Lurus 10"/>
                        <wps:cNvCnPr/>
                        <wps:spPr>
                          <a:xfrm>
                            <a:off x="3831220" y="220884"/>
                            <a:ext cx="1105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86373472" name="Konektor Panah Lurus 10"/>
                        <wps:cNvCnPr/>
                        <wps:spPr>
                          <a:xfrm>
                            <a:off x="3837008" y="753319"/>
                            <a:ext cx="1105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69003301" name="Konektor Panah Lurus 10"/>
                        <wps:cNvCnPr/>
                        <wps:spPr>
                          <a:xfrm>
                            <a:off x="3837008" y="1476737"/>
                            <a:ext cx="1105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18128180" name="Panah: Bawah 11"/>
                        <wps:cNvSpPr/>
                        <wps:spPr>
                          <a:xfrm>
                            <a:off x="4672073" y="1736203"/>
                            <a:ext cx="167833" cy="28974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CAE5EE" id="Grup 12" o:spid="_x0000_s1027" style="position:absolute;left:0;text-align:left;margin-left:-1.75pt;margin-top:24.85pt;width:441.9pt;height:225pt;z-index:251701248;mso-height-relative:margin" coordsize="56122,26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">
                <v:rect id="_x0000_s1028" style="position:absolute;left:20082;top:115;width:18230;height:41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" fillcolor="white [3201]" strokecolor="black [3200]" strokeweight="1pt">
                  <v:textbox>
                    <w:txbxContent>
                      <w:p w14:paraId="78D81AEE"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Law Number 18 of 2019 concerning Islamic Boarding Schools</w:t>
                        </w:r>
                      </w:p>
                    </w:txbxContent>
                  </v:textbox>
                </v:rect>
                <v:rect id="_x0000_s1029" style="position:absolute;left:20082;top:5150;width:18224;height:5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" fillcolor="white [3201]" strokecolor="black [3200]" strokeweight="1pt">
                  <v:textbox>
                    <w:txbxContent>
                      <w:p w14:paraId="07813C6C" w14:textId="77777777" w:rsidR="00F86319" w:rsidRPr="009E16B7" w:rsidRDefault="00F86319" w:rsidP="00F86319">
                        <w:pPr>
                          <w:spacing w:after="0" w:line="240" w:lineRule="auto"/>
                          <w:jc w:val="center"/>
                          <w:rPr>
                            <w:rFonts w:ascii="Times New Roman" w:hAnsi="Times New Roman"/>
                            <w:sz w:val="20"/>
                            <w:szCs w:val="20"/>
                          </w:rPr>
                        </w:pPr>
                        <w:r w:rsidRPr="009E16B7">
                          <w:rPr>
                            <w:rFonts w:ascii="Times New Roman" w:hAnsi="Times New Roman"/>
                            <w:sz w:val="20"/>
                            <w:szCs w:val="20"/>
                          </w:rPr>
                          <w:t>Regulation of the Minister of Religion Number 31 of 2020 concerning Islamic Boarding School Education</w:t>
                        </w:r>
                      </w:p>
                      <w:p w14:paraId="03F7B861" w14:textId="77777777" w:rsidR="00F86319" w:rsidRPr="009E16B7" w:rsidRDefault="00F86319" w:rsidP="00F86319">
                        <w:pPr>
                          <w:spacing w:after="0" w:line="240" w:lineRule="auto"/>
                          <w:jc w:val="center"/>
                          <w:rPr>
                            <w:rFonts w:ascii="Times New Roman" w:hAnsi="Times New Roman"/>
                            <w:sz w:val="20"/>
                            <w:szCs w:val="20"/>
                          </w:rPr>
                        </w:pPr>
                      </w:p>
                    </w:txbxContent>
                  </v:textbox>
                </v:rect>
                <v:rect id="_x0000_s1030" style="position:absolute;top:5903;width:17246;height:3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" fillcolor="white [3201]" strokecolor="black [3200]" strokeweight="1pt">
                  <v:textbox>
                    <w:txbxContent>
                      <w:p w14:paraId="488E73AB" w14:textId="77777777" w:rsidR="00F86319" w:rsidRPr="009E16B7" w:rsidRDefault="00F86319" w:rsidP="00F86319">
                        <w:pPr>
                          <w:spacing w:after="0" w:line="240" w:lineRule="auto"/>
                          <w:jc w:val="center"/>
                          <w:rPr>
                            <w:rFonts w:ascii="Times New Roman" w:hAnsi="Times New Roman"/>
                          </w:rPr>
                        </w:pPr>
                        <w:r w:rsidRPr="009E16B7">
                          <w:rPr>
                            <w:rFonts w:ascii="Times New Roman" w:hAnsi="Times New Roman"/>
                          </w:rPr>
                          <w:t>Boarding</w:t>
                        </w:r>
                      </w:p>
                      <w:p w14:paraId="1BF83F50" w14:textId="77777777" w:rsidR="00F86319" w:rsidRPr="009E16B7" w:rsidRDefault="00F86319" w:rsidP="00F86319">
                        <w:pPr>
                          <w:spacing w:after="0" w:line="240" w:lineRule="auto"/>
                          <w:jc w:val="center"/>
                          <w:rPr>
                            <w:rFonts w:ascii="Times New Roman" w:hAnsi="Times New Roman"/>
                          </w:rPr>
                        </w:pPr>
                      </w:p>
                    </w:txbxContent>
                  </v:textbox>
                </v:rect>
                <v:rect id="_x0000_s1031" style="position:absolute;left:39469;width:16433;height:42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" fillcolor="white [3201]" strokecolor="black [3200]" strokeweight="1pt">
                  <v:textbox>
                    <w:txbxContent>
                      <w:p w14:paraId="5F32126D" w14:textId="77777777" w:rsidR="00F86319" w:rsidRPr="009E16B7" w:rsidRDefault="00F86319" w:rsidP="00F86319">
                        <w:pPr>
                          <w:spacing w:line="240" w:lineRule="auto"/>
                          <w:jc w:val="center"/>
                          <w:rPr>
                            <w:rFonts w:ascii="Times New Roman" w:hAnsi="Times New Roman"/>
                            <w:sz w:val="20"/>
                            <w:szCs w:val="20"/>
                          </w:rPr>
                        </w:pPr>
                        <w:r w:rsidRPr="009E16B7">
                          <w:rPr>
                            <w:rFonts w:ascii="Times New Roman" w:hAnsi="Times New Roman"/>
                            <w:sz w:val="20"/>
                            <w:szCs w:val="20"/>
                          </w:rPr>
                          <w:t>Implementation of Islamic Boarding Schools</w:t>
                        </w:r>
                      </w:p>
                    </w:txbxContent>
                  </v:textbox>
                </v:rect>
                <v:rect id="_x0000_s1032" style="position:absolute;left:39411;top:5150;width:16490;height:5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" fillcolor="white [3201]" strokecolor="black [3200]" strokeweight="1pt">
                  <v:textbox>
                    <w:txbxContent>
                      <w:p w14:paraId="7011CF6A" w14:textId="77777777" w:rsidR="00F86319" w:rsidRPr="009E16B7" w:rsidRDefault="00F86319" w:rsidP="00F86319">
                        <w:pPr>
                          <w:spacing w:line="240" w:lineRule="auto"/>
                          <w:jc w:val="center"/>
                          <w:rPr>
                            <w:rFonts w:ascii="Times New Roman" w:hAnsi="Times New Roman"/>
                            <w:sz w:val="16"/>
                            <w:szCs w:val="16"/>
                          </w:rPr>
                        </w:pPr>
                        <w:r w:rsidRPr="009E16B7">
                          <w:rPr>
                            <w:rFonts w:ascii="Times New Roman" w:hAnsi="Times New Roman"/>
                            <w:sz w:val="16"/>
                            <w:szCs w:val="16"/>
                          </w:rPr>
                          <w:t>Curriculum, learning system, and other aspects related to education in Islamic boarding schools</w:t>
                        </w:r>
                      </w:p>
                    </w:txbxContent>
                  </v:textbox>
                </v:rect>
                <v:rect id="_x0000_s1033" style="position:absolute;left:20082;top:11979;width:18224;height:5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" fillcolor="white [3201]" strokecolor="black [3200]" strokeweight="1pt">
                  <v:textbox>
                    <w:txbxContent>
                      <w:p w14:paraId="4FDEBCDF"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EDUCATION CONTRACT</w:t>
                        </w:r>
                      </w:p>
                    </w:txbxContent>
                  </v:textbox>
                </v:rect>
                <v:rect id="_x0000_s1034" style="position:absolute;left:39467;top:20255;width:16655;height:65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" fillcolor="white [3201]" strokecolor="black [3200]" strokeweight="1pt">
                  <v:textbox>
                    <w:txbxContent>
                      <w:p w14:paraId="43884F74" w14:textId="77777777" w:rsidR="00F86319"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Concept </w:t>
                        </w:r>
                      </w:p>
                      <w:p w14:paraId="5F5CF439" w14:textId="77777777" w:rsidR="00F86319" w:rsidRDefault="00F86319" w:rsidP="00F86319">
                        <w:pPr>
                          <w:spacing w:after="0" w:line="240" w:lineRule="auto"/>
                          <w:jc w:val="center"/>
                          <w:rPr>
                            <w:rFonts w:ascii="Times New Roman" w:hAnsi="Times New Roman"/>
                            <w:sz w:val="20"/>
                            <w:szCs w:val="20"/>
                          </w:rPr>
                        </w:pPr>
                      </w:p>
                      <w:p w14:paraId="0C121BCE" w14:textId="77777777" w:rsidR="00F86319" w:rsidRPr="00F24788" w:rsidRDefault="00F86319" w:rsidP="00F86319">
                        <w:pPr>
                          <w:spacing w:after="0" w:line="240" w:lineRule="auto"/>
                          <w:jc w:val="center"/>
                          <w:rPr>
                            <w:rFonts w:ascii="Times New Roman" w:hAnsi="Times New Roman"/>
                            <w:b/>
                            <w:bCs/>
                            <w:sz w:val="20"/>
                            <w:szCs w:val="20"/>
                          </w:rPr>
                        </w:pPr>
                        <w:r w:rsidRPr="00F24788">
                          <w:rPr>
                            <w:rFonts w:ascii="Times New Roman" w:hAnsi="Times New Roman"/>
                            <w:b/>
                            <w:bCs/>
                            <w:sz w:val="20"/>
                            <w:szCs w:val="20"/>
                          </w:rPr>
                          <w:t>Education Services</w:t>
                        </w:r>
                      </w:p>
                      <w:p w14:paraId="2DC1734C" w14:textId="77777777" w:rsidR="00F86319" w:rsidRDefault="00F86319" w:rsidP="00F86319">
                        <w:pPr>
                          <w:spacing w:after="0" w:line="240" w:lineRule="auto"/>
                          <w:jc w:val="center"/>
                          <w:rPr>
                            <w:rFonts w:ascii="Times New Roman" w:hAnsi="Times New Roman"/>
                            <w:sz w:val="20"/>
                            <w:szCs w:val="20"/>
                          </w:rPr>
                        </w:pPr>
                      </w:p>
                      <w:p w14:paraId="7170ECB2" w14:textId="77777777" w:rsidR="00F86319" w:rsidRDefault="00F86319" w:rsidP="00F86319">
                        <w:pPr>
                          <w:spacing w:after="0" w:line="240" w:lineRule="auto"/>
                          <w:jc w:val="center"/>
                          <w:rPr>
                            <w:rFonts w:ascii="Times New Roman" w:hAnsi="Times New Roman"/>
                            <w:sz w:val="20"/>
                            <w:szCs w:val="20"/>
                          </w:rPr>
                        </w:pPr>
                      </w:p>
                      <w:p w14:paraId="14354A73" w14:textId="77777777" w:rsidR="00F86319" w:rsidRDefault="00F86319" w:rsidP="00F86319">
                        <w:pPr>
                          <w:spacing w:after="0" w:line="240" w:lineRule="auto"/>
                          <w:jc w:val="center"/>
                          <w:rPr>
                            <w:rFonts w:ascii="Times New Roman" w:hAnsi="Times New Roman"/>
                            <w:sz w:val="20"/>
                            <w:szCs w:val="20"/>
                          </w:rPr>
                        </w:pPr>
                      </w:p>
                      <w:p w14:paraId="5B75D2E6" w14:textId="77777777" w:rsidR="00F86319" w:rsidRPr="009E16B7" w:rsidRDefault="00F86319" w:rsidP="00F86319">
                        <w:pPr>
                          <w:spacing w:after="0" w:line="240" w:lineRule="auto"/>
                          <w:jc w:val="center"/>
                          <w:rPr>
                            <w:rFonts w:ascii="Times New Roman" w:hAnsi="Times New Roman"/>
                            <w:sz w:val="20"/>
                            <w:szCs w:val="20"/>
                          </w:rPr>
                        </w:pPr>
                      </w:p>
                    </w:txbxContent>
                  </v:textbox>
                </v:rect>
                <v:shapetype id="_x0000_t32" coordsize="21600,21600" o:spt="32" o:oned="t" path="m,l21600,21600e" filled="f">
                  <v:path arrowok="t" fillok="f" o:connecttype="none"/>
                  <o:lock v:ext="edit" shapetype="t"/>
                </v:shapetype>
                <v:shape id="Konektor Panah Lurus 8" o:spid="_x0000_s1035" type="#_x0000_t32" style="position:absolute;left:17246;top:7533;width:28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" strokecolor="black [3200]" strokeweight="1pt">
                  <v:stroke endarrow="block" joinstyle="miter"/>
                </v:shape>
                <v:shape id="Konektor Panah Lurus 8" o:spid="_x0000_s1036" type="#_x0000_t32" style="position:absolute;left:18114;top:2208;width:196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" strokecolor="black [3200]" strokeweight="1pt">
                  <v:stroke endarrow="block" joinstyle="miter"/>
                </v:shape>
                <v:shape id="Konektor Panah Lurus 8" o:spid="_x0000_s1037" type="#_x0000_t32" style="position:absolute;left:18114;top:14767;width:19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" strokecolor="black [3200]" strokeweight="1pt">
                  <v:stroke endarrow="block" joinstyle="miter"/>
                </v:shape>
                <v:line id="Konektor Lurus 9" o:spid="_x0000_s1038" style="position:absolute;visibility:visible;mso-wrap-style:square" from="18114,2199" to="18114,14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" strokecolor="black [3200]" strokeweight="1pt">
                  <v:stroke joinstyle="miter"/>
                </v:line>
                <v:shape id="Konektor Panah Lurus 10" o:spid="_x0000_s1039" type="#_x0000_t32" style="position:absolute;left:38312;top:2208;width:1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" strokecolor="black [3200]" strokeweight="1pt">
                  <v:stroke endarrow="block" joinstyle="miter"/>
                </v:shape>
                <v:shape id="Konektor Panah Lurus 10" o:spid="_x0000_s1040" type="#_x0000_t32" style="position:absolute;left:38370;top:7533;width:1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" strokecolor="black [3200]" strokeweight="1pt">
                  <v:stroke endarrow="block" joinstyle="miter"/>
                </v:shape>
                <v:shape id="Konektor Panah Lurus 10" o:spid="_x0000_s1041" type="#_x0000_t32" style="position:absolute;left:38370;top:14767;width:1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" strokecolor="black [3200]" strokeweight="1pt">
                  <v:stroke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anah: Bawah 11" o:spid="_x0000_s1042" type="#_x0000_t67" style="position:absolute;left:46720;top:17362;width:1679;height:28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" adj="15344" fillcolor="#4472c4 [3204]" strokecolor="#09101d [484]" strokeweight="1pt"/>
              </v:group>
            </w:pict>
          </mc:Fallback>
        </mc:AlternateContent>
      </w:r>
      <w:r w:rsidRPr="00F86319">
        <w:rPr>
          <w:rFonts w:ascii="Book Antiqua" w:hAnsi="Book Antiqua" w:cs="Calibri"/>
          <w:b/>
          <w:bCs/>
          <w:color w:val="000000" w:themeColor="text1"/>
          <w:sz w:val="24"/>
        </w:rPr>
        <w:t>The Concept of an Islamic Boarding School Education Contract</w:t>
      </w:r>
    </w:p>
    <w:p w14:paraId="56C3334F" w14:textId="77777777" w:rsidR="00F86319" w:rsidRPr="00F86319" w:rsidRDefault="00F86319" w:rsidP="00F86319">
      <w:pPr>
        <w:spacing w:after="0" w:line="240" w:lineRule="auto"/>
        <w:jc w:val="both"/>
        <w:rPr>
          <w:rFonts w:ascii="Book Antiqua" w:hAnsi="Book Antiqua" w:cs="Calibri"/>
          <w:color w:val="000000" w:themeColor="text1"/>
          <w:sz w:val="24"/>
        </w:rPr>
      </w:pPr>
    </w:p>
    <w:p w14:paraId="19943D89" w14:textId="77777777" w:rsidR="00F86319" w:rsidRPr="00F86319" w:rsidRDefault="00F86319" w:rsidP="00F86319">
      <w:pPr>
        <w:spacing w:after="0" w:line="240" w:lineRule="auto"/>
        <w:jc w:val="both"/>
        <w:rPr>
          <w:rFonts w:ascii="Book Antiqua" w:hAnsi="Book Antiqua" w:cs="Calibri"/>
          <w:color w:val="000000" w:themeColor="text1"/>
          <w:sz w:val="24"/>
        </w:rPr>
      </w:pPr>
    </w:p>
    <w:p w14:paraId="67097075" w14:textId="77777777" w:rsidR="00F86319" w:rsidRPr="00F86319" w:rsidRDefault="00F86319" w:rsidP="00F86319">
      <w:pPr>
        <w:spacing w:after="0" w:line="240" w:lineRule="auto"/>
        <w:jc w:val="both"/>
        <w:rPr>
          <w:rFonts w:ascii="Book Antiqua" w:hAnsi="Book Antiqua" w:cs="Calibri"/>
          <w:color w:val="000000" w:themeColor="text1"/>
          <w:sz w:val="24"/>
        </w:rPr>
      </w:pPr>
    </w:p>
    <w:p w14:paraId="702C217A" w14:textId="77777777" w:rsidR="00F86319" w:rsidRPr="00F86319" w:rsidRDefault="00F86319" w:rsidP="00F86319">
      <w:pPr>
        <w:spacing w:after="0" w:line="240" w:lineRule="auto"/>
        <w:jc w:val="both"/>
        <w:rPr>
          <w:rFonts w:ascii="Book Antiqua" w:hAnsi="Book Antiqua" w:cs="Calibri"/>
          <w:color w:val="000000" w:themeColor="text1"/>
          <w:sz w:val="24"/>
        </w:rPr>
      </w:pPr>
    </w:p>
    <w:p w14:paraId="680D3184"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noProof/>
          <w:color w:val="000000" w:themeColor="text1"/>
          <w:sz w:val="24"/>
        </w:rPr>
        <mc:AlternateContent>
          <mc:Choice Requires="wps">
            <w:drawing>
              <wp:anchor distT="0" distB="0" distL="114300" distR="114300" simplePos="0" relativeHeight="251700224" behindDoc="0" locked="0" layoutInCell="1" allowOverlap="1" wp14:anchorId="6F56DA34" wp14:editId="71FDE6DF">
                <wp:simplePos x="0" y="0"/>
                <wp:positionH relativeFrom="column">
                  <wp:posOffset>3947160</wp:posOffset>
                </wp:positionH>
                <wp:positionV relativeFrom="paragraph">
                  <wp:posOffset>121259</wp:posOffset>
                </wp:positionV>
                <wp:extent cx="1646420" cy="537845"/>
                <wp:effectExtent l="0" t="0" r="11430" b="14605"/>
                <wp:wrapNone/>
                <wp:docPr id="2601371" name="Persegi Panjang 1"/>
                <wp:cNvGraphicFramePr/>
                <a:graphic xmlns:a="http://schemas.openxmlformats.org/drawingml/2006/main">
                  <a:graphicData uri="http://schemas.microsoft.com/office/word/2010/wordprocessingShape">
                    <wps:wsp>
                      <wps:cNvSpPr/>
                      <wps:spPr>
                        <a:xfrm>
                          <a:off x="0" y="0"/>
                          <a:ext cx="1646420" cy="537845"/>
                        </a:xfrm>
                        <a:prstGeom prst="rect">
                          <a:avLst/>
                        </a:prstGeom>
                      </wps:spPr>
                      <wps:style>
                        <a:lnRef idx="2">
                          <a:schemeClr val="dk1"/>
                        </a:lnRef>
                        <a:fillRef idx="1">
                          <a:schemeClr val="lt1"/>
                        </a:fillRef>
                        <a:effectRef idx="0">
                          <a:schemeClr val="dk1"/>
                        </a:effectRef>
                        <a:fontRef idx="minor">
                          <a:schemeClr val="dk1"/>
                        </a:fontRef>
                      </wps:style>
                      <wps:txbx>
                        <w:txbxContent>
                          <w:p w14:paraId="7F5EEF80"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NO RULE OF LAW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6DA34" id="Persegi Panjang 1" o:spid="_x0000_s1043" style="position:absolute;left:0;text-align:left;margin-left:310.8pt;margin-top:9.55pt;width:129.65pt;height:4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" fillcolor="white [3201]" strokecolor="black [3200]" strokeweight="1pt">
                <v:textbox>
                  <w:txbxContent>
                    <w:p w14:paraId="7F5EEF80" w14:textId="77777777" w:rsidR="00F86319" w:rsidRPr="009E16B7" w:rsidRDefault="00F86319" w:rsidP="00F86319">
                      <w:pPr>
                        <w:spacing w:after="0" w:line="240" w:lineRule="auto"/>
                        <w:jc w:val="center"/>
                        <w:rPr>
                          <w:rFonts w:ascii="Times New Roman" w:hAnsi="Times New Roman"/>
                          <w:sz w:val="20"/>
                          <w:szCs w:val="20"/>
                        </w:rPr>
                      </w:pPr>
                      <w:r>
                        <w:rPr>
                          <w:rFonts w:ascii="Times New Roman" w:hAnsi="Times New Roman"/>
                          <w:sz w:val="20"/>
                          <w:szCs w:val="20"/>
                        </w:rPr>
                        <w:t xml:space="preserve">NO RULE OF LAW </w:t>
                      </w:r>
                    </w:p>
                  </w:txbxContent>
                </v:textbox>
              </v:rect>
            </w:pict>
          </mc:Fallback>
        </mc:AlternateContent>
      </w:r>
    </w:p>
    <w:p w14:paraId="5D3179E1"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4E1DA047"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619AA114"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04225B94" w14:textId="77777777" w:rsidR="00F86319" w:rsidRPr="00F86319" w:rsidRDefault="00F86319" w:rsidP="00F86319">
      <w:pPr>
        <w:spacing w:after="0" w:line="240" w:lineRule="auto"/>
        <w:jc w:val="both"/>
        <w:rPr>
          <w:rFonts w:ascii="Book Antiqua" w:hAnsi="Book Antiqua" w:cs="Calibri"/>
          <w:b/>
          <w:bCs/>
          <w:color w:val="000000" w:themeColor="text1"/>
          <w:sz w:val="24"/>
        </w:rPr>
      </w:pPr>
    </w:p>
    <w:p w14:paraId="36BD56E3" w14:textId="77777777" w:rsidR="00F86319" w:rsidRDefault="00F86319" w:rsidP="00F86319">
      <w:pPr>
        <w:spacing w:after="0" w:line="240" w:lineRule="auto"/>
        <w:jc w:val="both"/>
        <w:rPr>
          <w:rFonts w:ascii="Book Antiqua" w:hAnsi="Book Antiqua" w:cs="Calibri"/>
          <w:b/>
          <w:bCs/>
          <w:color w:val="000000" w:themeColor="text1"/>
          <w:sz w:val="24"/>
        </w:rPr>
      </w:pPr>
    </w:p>
    <w:p w14:paraId="59FDD341" w14:textId="77777777" w:rsidR="00F86319" w:rsidRDefault="00F86319" w:rsidP="00F86319">
      <w:pPr>
        <w:spacing w:after="0" w:line="240" w:lineRule="auto"/>
        <w:jc w:val="both"/>
        <w:rPr>
          <w:rFonts w:ascii="Book Antiqua" w:hAnsi="Book Antiqua" w:cs="Calibri"/>
          <w:b/>
          <w:bCs/>
          <w:color w:val="000000" w:themeColor="text1"/>
          <w:sz w:val="24"/>
        </w:rPr>
      </w:pPr>
    </w:p>
    <w:p w14:paraId="46617EBA" w14:textId="77777777" w:rsidR="00F86319" w:rsidRDefault="00F86319" w:rsidP="00F86319">
      <w:pPr>
        <w:spacing w:after="0" w:line="240" w:lineRule="auto"/>
        <w:jc w:val="both"/>
        <w:rPr>
          <w:rFonts w:ascii="Book Antiqua" w:hAnsi="Book Antiqua" w:cs="Calibri"/>
          <w:b/>
          <w:bCs/>
          <w:color w:val="000000" w:themeColor="text1"/>
          <w:sz w:val="24"/>
        </w:rPr>
      </w:pPr>
    </w:p>
    <w:p w14:paraId="43572C29" w14:textId="77777777" w:rsidR="00F86319" w:rsidRDefault="00F86319" w:rsidP="00F86319">
      <w:pPr>
        <w:spacing w:after="0" w:line="240" w:lineRule="auto"/>
        <w:jc w:val="both"/>
        <w:rPr>
          <w:rFonts w:ascii="Book Antiqua" w:hAnsi="Book Antiqua" w:cs="Calibri"/>
          <w:b/>
          <w:bCs/>
          <w:color w:val="000000" w:themeColor="text1"/>
          <w:sz w:val="24"/>
        </w:rPr>
      </w:pPr>
    </w:p>
    <w:p w14:paraId="526307F3" w14:textId="77777777" w:rsidR="00F86319" w:rsidRDefault="00F86319" w:rsidP="00F86319">
      <w:pPr>
        <w:spacing w:after="0" w:line="240" w:lineRule="auto"/>
        <w:jc w:val="both"/>
        <w:rPr>
          <w:rFonts w:ascii="Book Antiqua" w:hAnsi="Book Antiqua" w:cs="Calibri"/>
          <w:b/>
          <w:bCs/>
          <w:color w:val="000000" w:themeColor="text1"/>
          <w:sz w:val="24"/>
        </w:rPr>
      </w:pPr>
    </w:p>
    <w:p w14:paraId="52DD84D8" w14:textId="77777777" w:rsidR="00F86319" w:rsidRDefault="00F86319" w:rsidP="00F86319">
      <w:pPr>
        <w:spacing w:after="0" w:line="240" w:lineRule="auto"/>
        <w:jc w:val="both"/>
        <w:rPr>
          <w:rFonts w:ascii="Book Antiqua" w:hAnsi="Book Antiqua" w:cs="Calibri"/>
          <w:b/>
          <w:bCs/>
          <w:color w:val="000000" w:themeColor="text1"/>
          <w:sz w:val="24"/>
        </w:rPr>
      </w:pPr>
    </w:p>
    <w:p w14:paraId="351FF20A" w14:textId="3C34DBB5" w:rsidR="00F86319" w:rsidRPr="00F86319" w:rsidRDefault="00F86319" w:rsidP="00F86319">
      <w:pPr>
        <w:spacing w:after="0" w:line="240" w:lineRule="auto"/>
        <w:jc w:val="both"/>
        <w:rPr>
          <w:rFonts w:ascii="Book Antiqua" w:hAnsi="Book Antiqua" w:cs="Calibri"/>
          <w:b/>
          <w:bCs/>
          <w:color w:val="000000" w:themeColor="text1"/>
          <w:sz w:val="24"/>
        </w:rPr>
      </w:pPr>
      <w:r w:rsidRPr="00F86319">
        <w:rPr>
          <w:rFonts w:ascii="Book Antiqua" w:hAnsi="Book Antiqua" w:cs="Calibri"/>
          <w:b/>
          <w:bCs/>
          <w:color w:val="000000" w:themeColor="text1"/>
          <w:sz w:val="24"/>
        </w:rPr>
        <w:t>Explanation</w:t>
      </w:r>
    </w:p>
    <w:p w14:paraId="25954918" w14:textId="77777777" w:rsidR="00F86319" w:rsidRPr="00F86319" w:rsidRDefault="00F86319" w:rsidP="00F86319">
      <w:p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This diagram illustrates the regulatory framework and legal void that covers educational practices in Islamic boarding schools, especially related to educational contracts between guardians of students and Islamic boarding schools.</w:t>
      </w:r>
    </w:p>
    <w:p w14:paraId="6B21E0ED" w14:textId="77777777" w:rsidR="00F86319" w:rsidRPr="00F86319" w:rsidRDefault="00F86319" w:rsidP="00F86319">
      <w:pPr>
        <w:numPr>
          <w:ilvl w:val="0"/>
          <w:numId w:val="23"/>
        </w:numPr>
        <w:spacing w:after="0" w:line="240" w:lineRule="auto"/>
        <w:jc w:val="both"/>
        <w:rPr>
          <w:rFonts w:ascii="Book Antiqua" w:hAnsi="Book Antiqua" w:cs="Calibri"/>
          <w:color w:val="000000" w:themeColor="text1"/>
          <w:sz w:val="24"/>
        </w:rPr>
      </w:pP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as a core institution has three main regulatory and practice paths:</w:t>
      </w:r>
    </w:p>
    <w:p w14:paraId="0DBEE1AE" w14:textId="77777777" w:rsidR="00F86319" w:rsidRPr="00F86319" w:rsidRDefault="00F86319" w:rsidP="00F86319">
      <w:pPr>
        <w:numPr>
          <w:ilvl w:val="1"/>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first line refers to Law Number 18 of 2019 concerning Islamic Boarding Schools, which regulates the general aspects of the implementation of Islamic boarding schools.</w:t>
      </w:r>
    </w:p>
    <w:p w14:paraId="6EE4942B" w14:textId="77777777" w:rsidR="00F86319" w:rsidRPr="00F86319" w:rsidRDefault="00F86319" w:rsidP="00F86319">
      <w:pPr>
        <w:numPr>
          <w:ilvl w:val="1"/>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second path is based on the Regulation of the Minister of Religion Number 31 of 2020, which regulates technically the curriculum, learning system, and other aspects related to education in Islamic boarding schools.</w:t>
      </w:r>
    </w:p>
    <w:p w14:paraId="52152C28" w14:textId="77777777" w:rsidR="00F86319" w:rsidRPr="00F86319" w:rsidRDefault="00F86319" w:rsidP="00F86319">
      <w:pPr>
        <w:numPr>
          <w:ilvl w:val="1"/>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The third path is related to the practice of Education Contracts between Islamic boarding schools and guardians of students.</w:t>
      </w:r>
    </w:p>
    <w:p w14:paraId="114BE203" w14:textId="77777777" w:rsidR="00F86319" w:rsidRPr="00F86319" w:rsidRDefault="00F86319" w:rsidP="00F86319">
      <w:pPr>
        <w:numPr>
          <w:ilvl w:val="0"/>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However, this education contract does not yet have a specific legal basis. There are no laws and regulations that explicitly regulate the form, substance, or procedures for the preparation and implementation of education contracts in the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environment. This creates a legal vacuum (there is no rule of law), so contracts are one-sided and prone to disputes.</w:t>
      </w:r>
    </w:p>
    <w:p w14:paraId="272A3AA6" w14:textId="77777777" w:rsidR="00F86319" w:rsidRPr="00F86319" w:rsidRDefault="00F86319" w:rsidP="00F86319">
      <w:pPr>
        <w:numPr>
          <w:ilvl w:val="0"/>
          <w:numId w:val="23"/>
        </w:numPr>
        <w:spacing w:after="0" w:line="240" w:lineRule="auto"/>
        <w:jc w:val="both"/>
        <w:rPr>
          <w:rFonts w:ascii="Book Antiqua" w:hAnsi="Book Antiqua" w:cs="Calibri"/>
          <w:color w:val="000000" w:themeColor="text1"/>
          <w:sz w:val="24"/>
        </w:rPr>
      </w:pPr>
      <w:r w:rsidRPr="00F86319">
        <w:rPr>
          <w:rFonts w:ascii="Book Antiqua" w:hAnsi="Book Antiqua" w:cs="Calibri"/>
          <w:color w:val="000000" w:themeColor="text1"/>
          <w:sz w:val="24"/>
        </w:rPr>
        <w:t xml:space="preserve">In this legal vacuum,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tend to develop an approach based on local and spiritual values, which is then formulated as the Concept of Educational Services. This concept describes the participatory relationship between students and </w:t>
      </w:r>
      <w:proofErr w:type="spellStart"/>
      <w:r w:rsidRPr="00F86319">
        <w:rPr>
          <w:rFonts w:ascii="Book Antiqua" w:hAnsi="Book Antiqua" w:cs="Calibri"/>
          <w:color w:val="000000" w:themeColor="text1"/>
          <w:sz w:val="24"/>
        </w:rPr>
        <w:t>pesantren</w:t>
      </w:r>
      <w:proofErr w:type="spellEnd"/>
      <w:r w:rsidRPr="00F86319">
        <w:rPr>
          <w:rFonts w:ascii="Book Antiqua" w:hAnsi="Book Antiqua" w:cs="Calibri"/>
          <w:color w:val="000000" w:themeColor="text1"/>
          <w:sz w:val="24"/>
        </w:rPr>
        <w:t xml:space="preserve"> as a form of devotion and spiritual learning, not merely a legal-formal contractual relationship.</w:t>
      </w:r>
    </w:p>
    <w:p w14:paraId="7970D63F" w14:textId="77777777" w:rsidR="00F86319" w:rsidRPr="00F00816" w:rsidRDefault="00F86319" w:rsidP="00F00816">
      <w:pPr>
        <w:spacing w:after="0" w:line="240" w:lineRule="auto"/>
        <w:jc w:val="both"/>
        <w:rPr>
          <w:rFonts w:ascii="Book Antiqua" w:hAnsi="Book Antiqua" w:cs="Calibri"/>
          <w:color w:val="000000" w:themeColor="text1"/>
          <w:sz w:val="24"/>
        </w:rPr>
      </w:pPr>
    </w:p>
    <w:p w14:paraId="1CE52074" w14:textId="46FEC098" w:rsidR="005B25E1" w:rsidRPr="005B25E1" w:rsidRDefault="00636FF5" w:rsidP="005B25E1">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w:t>
      </w:r>
      <w:r w:rsidR="005B25E1">
        <w:rPr>
          <w:rFonts w:ascii="Book Antiqua" w:hAnsi="Book Antiqua"/>
          <w:b/>
          <w:color w:val="4472C4" w:themeColor="accent1"/>
          <w:sz w:val="24"/>
          <w:szCs w:val="24"/>
        </w:rPr>
        <w:t>N</w:t>
      </w:r>
    </w:p>
    <w:p w14:paraId="20537D4D" w14:textId="77777777" w:rsidR="005B25E1" w:rsidRDefault="005B25E1" w:rsidP="005B25E1">
      <w:pPr>
        <w:spacing w:after="0" w:line="240" w:lineRule="auto"/>
        <w:jc w:val="both"/>
        <w:rPr>
          <w:rFonts w:ascii="Book Antiqua" w:hAnsi="Book Antiqua" w:cs="Calibri"/>
          <w:color w:val="000000" w:themeColor="text1"/>
          <w:sz w:val="24"/>
        </w:rPr>
      </w:pPr>
      <w:r w:rsidRPr="005B25E1">
        <w:rPr>
          <w:rFonts w:ascii="Book Antiqua" w:hAnsi="Book Antiqua" w:cs="Calibri"/>
          <w:color w:val="000000" w:themeColor="text1"/>
          <w:sz w:val="24"/>
        </w:rPr>
        <w:t xml:space="preserve">This research shows that the settlement of education contract disputes in the </w:t>
      </w:r>
      <w:proofErr w:type="spellStart"/>
      <w:r w:rsidRPr="005B25E1">
        <w:rPr>
          <w:rFonts w:ascii="Book Antiqua" w:hAnsi="Book Antiqua" w:cs="Calibri"/>
          <w:color w:val="000000" w:themeColor="text1"/>
          <w:sz w:val="24"/>
        </w:rPr>
        <w:t>pesantren</w:t>
      </w:r>
      <w:proofErr w:type="spellEnd"/>
      <w:r w:rsidRPr="005B25E1">
        <w:rPr>
          <w:rFonts w:ascii="Book Antiqua" w:hAnsi="Book Antiqua" w:cs="Calibri"/>
          <w:color w:val="000000" w:themeColor="text1"/>
          <w:sz w:val="24"/>
        </w:rPr>
        <w:t xml:space="preserve"> environment, such as what happened at the </w:t>
      </w:r>
      <w:proofErr w:type="spellStart"/>
      <w:r w:rsidRPr="005B25E1">
        <w:rPr>
          <w:rFonts w:ascii="Book Antiqua" w:hAnsi="Book Antiqua" w:cs="Calibri"/>
          <w:color w:val="000000" w:themeColor="text1"/>
          <w:sz w:val="24"/>
        </w:rPr>
        <w:t>Watampone</w:t>
      </w:r>
      <w:proofErr w:type="spellEnd"/>
      <w:r w:rsidRPr="005B25E1">
        <w:rPr>
          <w:rFonts w:ascii="Book Antiqua" w:hAnsi="Book Antiqua" w:cs="Calibri"/>
          <w:color w:val="000000" w:themeColor="text1"/>
          <w:sz w:val="24"/>
        </w:rPr>
        <w:t xml:space="preserve"> Blue Islamic Boarding School, still faces a number of legal challenges. Although there is Law Number 18 of 2019 and Regulation of the Minister of Religion Number 31 of 2020 which regulates institutional and educational aspects in Islamic boarding schools, there are no regulations that specifically regulate the education contract between the guardian of the student and the Islamic boarding school. This legal vacuum causes contracts to be drawn up unilaterally by Islamic boarding schools, which has the potential to cause inequality in bargaining positions and trigger disputes. Civil litigation is often considered ineffective due to the high cost, long time, and limited legal understanding from the guardian.</w:t>
      </w:r>
    </w:p>
    <w:p w14:paraId="6B2198ED" w14:textId="77777777" w:rsidR="005B25E1" w:rsidRPr="005B25E1" w:rsidRDefault="005B25E1" w:rsidP="005B25E1">
      <w:pPr>
        <w:spacing w:after="0" w:line="240" w:lineRule="auto"/>
        <w:jc w:val="both"/>
        <w:rPr>
          <w:rFonts w:ascii="Book Antiqua" w:hAnsi="Book Antiqua" w:cs="Calibri"/>
          <w:color w:val="000000" w:themeColor="text1"/>
          <w:sz w:val="24"/>
        </w:rPr>
      </w:pPr>
    </w:p>
    <w:p w14:paraId="294DEB2D" w14:textId="3DFABD60" w:rsidR="005B25E1" w:rsidRDefault="005B25E1" w:rsidP="005B25E1">
      <w:pPr>
        <w:spacing w:after="0" w:line="240" w:lineRule="auto"/>
        <w:jc w:val="both"/>
        <w:rPr>
          <w:rFonts w:ascii="Book Antiqua" w:hAnsi="Book Antiqua" w:cs="Calibri"/>
          <w:color w:val="000000" w:themeColor="text1"/>
        </w:rPr>
      </w:pPr>
      <w:r w:rsidRPr="005B25E1">
        <w:rPr>
          <w:rFonts w:ascii="Book Antiqua" w:hAnsi="Book Antiqua" w:cs="Calibri"/>
          <w:color w:val="000000" w:themeColor="text1"/>
          <w:sz w:val="24"/>
        </w:rPr>
        <w:t xml:space="preserve">In comparison, the education contract model at Bromsgrove International School Thailand offers a more formal and transparent structure. The school has a written agreement document designed with the principles of contractual fairness, complemented </w:t>
      </w:r>
      <w:proofErr w:type="gramStart"/>
      <w:r w:rsidRPr="005B25E1">
        <w:rPr>
          <w:rFonts w:ascii="Book Antiqua" w:hAnsi="Book Antiqua" w:cs="Calibri"/>
          <w:color w:val="000000" w:themeColor="text1"/>
          <w:sz w:val="24"/>
        </w:rPr>
        <w:t>by  a</w:t>
      </w:r>
      <w:proofErr w:type="gramEnd"/>
      <w:r w:rsidRPr="005B25E1">
        <w:rPr>
          <w:rFonts w:ascii="Book Antiqua" w:hAnsi="Book Antiqua" w:cs="Calibri"/>
          <w:color w:val="000000" w:themeColor="text1"/>
          <w:sz w:val="24"/>
        </w:rPr>
        <w:t xml:space="preserve"> </w:t>
      </w:r>
      <w:r w:rsidRPr="005B25E1">
        <w:rPr>
          <w:rFonts w:ascii="Book Antiqua" w:hAnsi="Book Antiqua" w:cs="Calibri"/>
          <w:i/>
          <w:iCs/>
          <w:color w:val="000000" w:themeColor="text1"/>
          <w:sz w:val="24"/>
        </w:rPr>
        <w:t>concerns and complaints policy</w:t>
      </w:r>
      <w:r w:rsidRPr="005B25E1">
        <w:rPr>
          <w:rFonts w:ascii="Book Antiqua" w:hAnsi="Book Antiqua" w:cs="Calibri"/>
          <w:color w:val="000000" w:themeColor="text1"/>
          <w:sz w:val="24"/>
        </w:rPr>
        <w:t xml:space="preserve"> that provides a participatory space and a more organized non-litigation dispute resolution mechanism. This contrast shows the need to reformulate education contracts in Islamic boarding schools through a participatory and responsive legal approach to local values, for example by developing the </w:t>
      </w:r>
      <w:proofErr w:type="gramStart"/>
      <w:r w:rsidRPr="005B25E1">
        <w:rPr>
          <w:rFonts w:ascii="Book Antiqua" w:hAnsi="Book Antiqua" w:cs="Calibri"/>
          <w:color w:val="000000" w:themeColor="text1"/>
          <w:sz w:val="24"/>
        </w:rPr>
        <w:t xml:space="preserve">concept </w:t>
      </w:r>
      <w:r w:rsidRPr="005B25E1">
        <w:rPr>
          <w:rFonts w:ascii="Book Antiqua" w:hAnsi="Book Antiqua" w:cs="Calibri"/>
          <w:i/>
          <w:iCs/>
          <w:color w:val="000000" w:themeColor="text1"/>
          <w:sz w:val="24"/>
        </w:rPr>
        <w:t xml:space="preserve"> of</w:t>
      </w:r>
      <w:proofErr w:type="gramEnd"/>
      <w:r w:rsidRPr="005B25E1">
        <w:rPr>
          <w:rFonts w:ascii="Book Antiqua" w:hAnsi="Book Antiqua" w:cs="Calibri"/>
          <w:i/>
          <w:iCs/>
          <w:color w:val="000000" w:themeColor="text1"/>
          <w:sz w:val="24"/>
        </w:rPr>
        <w:t xml:space="preserve"> Education Service</w:t>
      </w:r>
      <w:r w:rsidRPr="005B25E1">
        <w:rPr>
          <w:rFonts w:ascii="Book Antiqua" w:hAnsi="Book Antiqua" w:cs="Calibri"/>
          <w:color w:val="000000" w:themeColor="text1"/>
          <w:sz w:val="24"/>
        </w:rPr>
        <w:t xml:space="preserve"> which has legal force. Thus, special regulations are needed that recognize the characteristics of </w:t>
      </w:r>
      <w:proofErr w:type="spellStart"/>
      <w:r w:rsidRPr="005B25E1">
        <w:rPr>
          <w:rFonts w:ascii="Book Antiqua" w:hAnsi="Book Antiqua" w:cs="Calibri"/>
          <w:color w:val="000000" w:themeColor="text1"/>
          <w:sz w:val="24"/>
        </w:rPr>
        <w:t>pesantren</w:t>
      </w:r>
      <w:proofErr w:type="spellEnd"/>
      <w:r w:rsidRPr="005B25E1">
        <w:rPr>
          <w:rFonts w:ascii="Book Antiqua" w:hAnsi="Book Antiqua" w:cs="Calibri"/>
          <w:color w:val="000000" w:themeColor="text1"/>
          <w:sz w:val="24"/>
        </w:rPr>
        <w:t xml:space="preserve"> but still guarantee legal protection for all parties involved</w:t>
      </w:r>
    </w:p>
    <w:p w14:paraId="7145ABC9" w14:textId="77777777" w:rsidR="00560BF3" w:rsidRDefault="00560BF3" w:rsidP="00AA1A42">
      <w:pPr>
        <w:spacing w:after="0" w:line="240" w:lineRule="auto"/>
        <w:jc w:val="both"/>
        <w:rPr>
          <w:rFonts w:ascii="Book Antiqua" w:hAnsi="Book Antiqua" w:cstheme="majorHAnsi"/>
          <w:color w:val="000000" w:themeColor="text1"/>
          <w:sz w:val="24"/>
          <w:szCs w:val="24"/>
          <w:lang w:val="en-GB"/>
        </w:rPr>
      </w:pPr>
    </w:p>
    <w:p w14:paraId="7090A899" w14:textId="77777777" w:rsidR="00746761" w:rsidRPr="00EE6288" w:rsidRDefault="00746761" w:rsidP="00AA1A42">
      <w:pPr>
        <w:spacing w:after="0" w:line="240" w:lineRule="auto"/>
        <w:jc w:val="both"/>
        <w:rPr>
          <w:rFonts w:ascii="Book Antiqua" w:hAnsi="Book Antiqua" w:cs="Calibri"/>
          <w:bCs/>
          <w:color w:val="333333"/>
        </w:rPr>
      </w:pPr>
    </w:p>
    <w:p w14:paraId="78A0F2EF"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55C5F736"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fldChar w:fldCharType="begin" w:fldLock="1"/>
      </w:r>
      <w:r w:rsidRPr="005B25E1">
        <w:rPr>
          <w:rFonts w:ascii="Book Antiqua" w:hAnsi="Book Antiqua"/>
          <w:lang w:eastAsia="fi-FI" w:bidi="ar-SA"/>
        </w:rPr>
        <w:instrText xml:space="preserve">ADDIN Mendeley Bibliography CSL_BIBLIOGRAPHY </w:instrText>
      </w:r>
      <w:r w:rsidRPr="005B25E1">
        <w:rPr>
          <w:rFonts w:ascii="Book Antiqua" w:hAnsi="Book Antiqua"/>
          <w:lang w:eastAsia="fi-FI" w:bidi="ar-SA"/>
        </w:rPr>
        <w:fldChar w:fldCharType="separate"/>
      </w:r>
      <w:r w:rsidRPr="005B25E1">
        <w:rPr>
          <w:rFonts w:ascii="Book Antiqua" w:hAnsi="Book Antiqua"/>
          <w:lang w:eastAsia="fi-FI" w:bidi="ar-SA"/>
        </w:rPr>
        <w:t xml:space="preserve">Administration, Direction, More, Efficient by, and K K N Ummat. "Helping to Fill in the Data of Labuhan Haji Village Residents: Steps Towards More Efficient Administration by the 2024 Ummat KKN." </w:t>
      </w:r>
      <w:r w:rsidRPr="005B25E1">
        <w:rPr>
          <w:rFonts w:ascii="Book Antiqua" w:hAnsi="Book Antiqua"/>
          <w:i/>
          <w:iCs/>
          <w:lang w:eastAsia="fi-FI" w:bidi="ar-SA"/>
        </w:rPr>
        <w:t>Journal of Collaborative Service and Innovation of Science and Technology</w:t>
      </w:r>
      <w:r w:rsidRPr="005B25E1">
        <w:rPr>
          <w:rFonts w:ascii="Book Antiqua" w:hAnsi="Book Antiqua"/>
          <w:lang w:eastAsia="fi-FI" w:bidi="ar-SA"/>
        </w:rPr>
        <w:t xml:space="preserve"> 2, no. 6 (2024): 1716–23.</w:t>
      </w:r>
    </w:p>
    <w:p w14:paraId="26A9B287"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Afnan, Akhmad, and Akhmad Ihwanul. "Pesantren in the National Education System: An Analysis of the 2019 Islamic Boarding School Law on Formal Diniyyah Education and Mu'là Education in Indonesia." </w:t>
      </w:r>
      <w:r w:rsidRPr="005B25E1">
        <w:rPr>
          <w:rFonts w:ascii="Book Antiqua" w:hAnsi="Book Antiqua"/>
          <w:i/>
          <w:iCs/>
          <w:lang w:eastAsia="fi-FI" w:bidi="ar-SA"/>
        </w:rPr>
        <w:t>Kitabaca: Journal Of Islamic Studies</w:t>
      </w:r>
      <w:r w:rsidRPr="005B25E1">
        <w:rPr>
          <w:rFonts w:ascii="Book Antiqua" w:hAnsi="Book Antiqua"/>
          <w:lang w:eastAsia="fi-FI" w:bidi="ar-SA"/>
        </w:rPr>
        <w:t xml:space="preserve"> 1, No. 2 (2024): 114.</w:t>
      </w:r>
    </w:p>
    <w:p w14:paraId="5732ABB3"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Azis, Pahrudin, Muhamad Kholid, Nasrudin Nasrudin. "Comparison of Dispute Resolution Institutions: Litigation and Non-Litigation." </w:t>
      </w:r>
      <w:r w:rsidRPr="005B25E1">
        <w:rPr>
          <w:rFonts w:ascii="Book Antiqua" w:hAnsi="Book Antiqua"/>
          <w:i/>
          <w:iCs/>
          <w:lang w:eastAsia="fi-FI" w:bidi="ar-SA"/>
        </w:rPr>
        <w:t>Qanuniya: Journal of Legal Studies</w:t>
      </w:r>
      <w:r w:rsidRPr="005B25E1">
        <w:rPr>
          <w:rFonts w:ascii="Book Antiqua" w:hAnsi="Book Antiqua"/>
          <w:lang w:eastAsia="fi-FI" w:bidi="ar-SA"/>
        </w:rPr>
        <w:t xml:space="preserve"> 1, No. 2 (2024): 11–21. Https://Doi.Org/10.15575/Qanuniya.V1i2.896.</w:t>
      </w:r>
    </w:p>
    <w:p w14:paraId="4DF1D6E1"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Bunnell, Tristan, Aline Courtois, and Michael Donnelly. "British Elite Private Schools And Their Overseas Branches: Unexpected Actors In The Global Education Industry." </w:t>
      </w:r>
      <w:r w:rsidRPr="005B25E1">
        <w:rPr>
          <w:rFonts w:ascii="Book Antiqua" w:hAnsi="Book Antiqua"/>
          <w:i/>
          <w:iCs/>
          <w:lang w:eastAsia="fi-FI" w:bidi="ar-SA"/>
        </w:rPr>
        <w:t>British Journal Of Educational Studies</w:t>
      </w:r>
      <w:r w:rsidRPr="005B25E1">
        <w:rPr>
          <w:rFonts w:ascii="Book Antiqua" w:hAnsi="Book Antiqua"/>
          <w:lang w:eastAsia="fi-FI" w:bidi="ar-SA"/>
        </w:rPr>
        <w:t xml:space="preserve"> 68, No. 6 (2020): 691–712. Https://Doi.Org/10.1080/00071005.2020.1728227.</w:t>
      </w:r>
    </w:p>
    <w:p w14:paraId="51CD624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Fajar, Ahmad. "The Legal Politics of the State Budget in the Field of National Education as a Manifestation of the Mandate of the Constitution of the Republic of Indonesia of 1945 (Study of the State Budget in 2005-2011)" 4, no. 2 (2024): 1–23.</w:t>
      </w:r>
    </w:p>
    <w:p w14:paraId="4F41521B"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Hadiati, Mia, Inayah Fasawwa Putri, Ivana Trixie, Jenice Valencia Alam, Legal Studies, Faculty of Law, Tarumanagara University, Bandung City, and Employment Contract. "Socialization of Employment Contract Agreements in the World of Work for Students of SMKN 15 Bandung City" 3, no. 1 (2025): 161–66.</w:t>
      </w:r>
    </w:p>
    <w:p w14:paraId="17F7B4B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Hasan, Zainudin, Sanyyah Majidah, Aldi Yansah, and Rahmi Fitrinoviana Salsabila. "The Constitution as a Legal Basis in the Development of the National Legal System Jima: A Student Scientific Journal of the Existence of the Constitution as a Legal Source in the Development of the National Legal System." </w:t>
      </w:r>
      <w:r w:rsidRPr="005B25E1">
        <w:rPr>
          <w:rFonts w:ascii="Book Antiqua" w:hAnsi="Book Antiqua"/>
          <w:i/>
          <w:iCs/>
          <w:lang w:eastAsia="fi-FI" w:bidi="ar-SA"/>
        </w:rPr>
        <w:t>Student Scientific Journal</w:t>
      </w:r>
      <w:r w:rsidRPr="005B25E1">
        <w:rPr>
          <w:rFonts w:ascii="Book Antiqua" w:hAnsi="Book Antiqua"/>
          <w:lang w:eastAsia="fi-FI" w:bidi="ar-SA"/>
        </w:rPr>
        <w:t xml:space="preserve"> 2, No. 1 (2024): 44–54.</w:t>
      </w:r>
    </w:p>
    <w:p w14:paraId="14DDBC2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Hermawan, Dadang. "Building Legal Awareness: Counseling on the Adverse Impact of Bank Emok on the Community in North Cikarang Village, Bekasi." </w:t>
      </w:r>
      <w:r w:rsidRPr="005B25E1">
        <w:rPr>
          <w:rFonts w:ascii="Book Antiqua" w:hAnsi="Book Antiqua"/>
          <w:i/>
          <w:iCs/>
          <w:lang w:eastAsia="fi-FI" w:bidi="ar-SA"/>
        </w:rPr>
        <w:t>Musyarokah Journal of Sharia Economic Law</w:t>
      </w:r>
      <w:r w:rsidRPr="005B25E1">
        <w:rPr>
          <w:rFonts w:ascii="Book Antiqua" w:hAnsi="Book Antiqua"/>
          <w:lang w:eastAsia="fi-FI" w:bidi="ar-SA"/>
        </w:rPr>
        <w:t xml:space="preserve"> 2, No. 2 (2024): 24–33.</w:t>
      </w:r>
    </w:p>
    <w:p w14:paraId="198924C7"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Law, Journal, Politics and, Social Sciences, and No June. "Improving the Quality of Education in Islamic Boarding Schools through Curriculum Innovation Rahmad Fuad State Islamic University Sjech M. Djamil Djambek Bukittinggi in this world and the hereafter. The Qur'an also emphasizes the importance of education, especially for people." </w:t>
      </w:r>
      <w:r w:rsidRPr="005B25E1">
        <w:rPr>
          <w:rFonts w:ascii="Book Antiqua" w:hAnsi="Book Antiqua"/>
          <w:i/>
          <w:iCs/>
          <w:lang w:eastAsia="fi-FI" w:bidi="ar-SA"/>
        </w:rPr>
        <w:t>Journal of Law, Politics and Social Sciences (JHPIS)</w:t>
      </w:r>
      <w:r w:rsidRPr="005B25E1">
        <w:rPr>
          <w:rFonts w:ascii="Book Antiqua" w:hAnsi="Book Antiqua"/>
          <w:lang w:eastAsia="fi-FI" w:bidi="ar-SA"/>
        </w:rPr>
        <w:t xml:space="preserve"> 3, no. 2 (2024): 3.</w:t>
      </w:r>
    </w:p>
    <w:p w14:paraId="3D54A7A2"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Irwansyah. "Legal Research on the Choice of Methods &amp; Practices of Article Writing," p. 172. Yogyakarta: Mirra Buana Media, 2022.</w:t>
      </w:r>
    </w:p>
    <w:p w14:paraId="73AFB44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Jevon Noitolo Gea, Esther. "Juridical Analysis of the Use of Summons in the Settlement of Disputes for the Prosecution of the Right of Reply in the Case of False News in the Media." </w:t>
      </w:r>
      <w:r w:rsidRPr="005B25E1">
        <w:rPr>
          <w:rFonts w:ascii="Book Antiqua" w:hAnsi="Book Antiqua"/>
          <w:i/>
          <w:iCs/>
          <w:lang w:eastAsia="fi-FI" w:bidi="ar-SA"/>
        </w:rPr>
        <w:t>Law, Development &amp; Justice Review</w:t>
      </w:r>
      <w:r w:rsidRPr="005B25E1">
        <w:rPr>
          <w:rFonts w:ascii="Book Antiqua" w:hAnsi="Book Antiqua"/>
          <w:lang w:eastAsia="fi-FI" w:bidi="ar-SA"/>
        </w:rPr>
        <w:t xml:space="preserve"> 3, No. 2 (2022): 1–9.</w:t>
      </w:r>
    </w:p>
    <w:p w14:paraId="36A53F53"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Kossay, Methodius, Maulana Fahmi Idris, Putri Pratiwi, and Article Info. "The Effectiveness of Mediation in Civil Dispute Resolution in the Digital Age: An Empirical Approach to the Indonesian Judicial System." </w:t>
      </w:r>
      <w:r w:rsidRPr="005B25E1">
        <w:rPr>
          <w:rFonts w:ascii="Book Antiqua" w:hAnsi="Book Antiqua"/>
          <w:i/>
          <w:iCs/>
          <w:lang w:eastAsia="fi-FI" w:bidi="ar-SA"/>
        </w:rPr>
        <w:t>Journal of Law and Politics</w:t>
      </w:r>
      <w:r w:rsidRPr="005B25E1">
        <w:rPr>
          <w:rFonts w:ascii="Book Antiqua" w:hAnsi="Book Antiqua"/>
          <w:lang w:eastAsia="fi-FI" w:bidi="ar-SA"/>
        </w:rPr>
        <w:t xml:space="preserve"> 2, No. 4 (2024): 543. Https://Doi.Org/10.51903/Perkara.V2i4.2226.</w:t>
      </w:r>
    </w:p>
    <w:p w14:paraId="7C7B19F5"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Mufrizal, Fhika Maisyarah, and Irsyam Risdawati. "Jurisdiction of Health Mediators in Medical Dispute Resolution through Alternative Dispute Resolution." </w:t>
      </w:r>
      <w:r w:rsidRPr="005B25E1">
        <w:rPr>
          <w:rFonts w:ascii="Book Antiqua" w:hAnsi="Book Antiqua"/>
          <w:i/>
          <w:iCs/>
          <w:lang w:eastAsia="fi-FI" w:bidi="ar-SA"/>
        </w:rPr>
        <w:t>Journal of Ners Widya Husada</w:t>
      </w:r>
      <w:r w:rsidRPr="005B25E1">
        <w:rPr>
          <w:rFonts w:ascii="Book Antiqua" w:hAnsi="Book Antiqua"/>
          <w:lang w:eastAsia="fi-FI" w:bidi="ar-SA"/>
        </w:rPr>
        <w:t xml:space="preserve"> 8, </w:t>
      </w:r>
      <w:r w:rsidRPr="005B25E1">
        <w:rPr>
          <w:rFonts w:ascii="Book Antiqua" w:hAnsi="Book Antiqua"/>
          <w:lang w:eastAsia="fi-FI" w:bidi="ar-SA"/>
        </w:rPr>
        <w:lastRenderedPageBreak/>
        <w:t>No. 2 (2024): 1175–81. Https://Journal.Universitaspahlawan.Ac.Id/Index.Php/Ners/Article/View/27165/19501.</w:t>
      </w:r>
    </w:p>
    <w:p w14:paraId="199FBECC"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Muhammad Fadli Satrianu, Didik Himmawan. "Mosques, Prayer Rooms, Islamic Boarding Schools And Madrasahs As Centers For Community Empowerment And Preservation Of Islamic Culture." </w:t>
      </w:r>
      <w:r w:rsidRPr="005B25E1">
        <w:rPr>
          <w:rFonts w:ascii="Book Antiqua" w:hAnsi="Book Antiqua"/>
          <w:i/>
          <w:iCs/>
          <w:lang w:eastAsia="fi-FI" w:bidi="ar-SA"/>
        </w:rPr>
        <w:t>Aslama: Journal Of Islamic Studies</w:t>
      </w:r>
      <w:r w:rsidRPr="005B25E1">
        <w:rPr>
          <w:rFonts w:ascii="Book Antiqua" w:hAnsi="Book Antiqua"/>
          <w:lang w:eastAsia="fi-FI" w:bidi="ar-SA"/>
        </w:rPr>
        <w:t xml:space="preserve"> 2, No. 1 (2025): 25–33.</w:t>
      </w:r>
    </w:p>
    <w:p w14:paraId="20675614"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Nafisatur, M. "Research Data Collection Methods." </w:t>
      </w:r>
      <w:r w:rsidRPr="005B25E1">
        <w:rPr>
          <w:rFonts w:ascii="Book Antiqua" w:hAnsi="Book Antiqua"/>
          <w:i/>
          <w:iCs/>
          <w:lang w:eastAsia="fi-FI" w:bidi="ar-SA"/>
        </w:rPr>
        <w:t>Research Data Collection Methods</w:t>
      </w:r>
      <w:r w:rsidRPr="005B25E1">
        <w:rPr>
          <w:rFonts w:ascii="Book Antiqua" w:hAnsi="Book Antiqua"/>
          <w:lang w:eastAsia="fi-FI" w:bidi="ar-SA"/>
        </w:rPr>
        <w:t xml:space="preserve"> 3, No. 5 (2024): 5423–43.</w:t>
      </w:r>
    </w:p>
    <w:p w14:paraId="375DF90F"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Noho, Muhammad Dzikirullah H, Embun Sari, Norma Fitria, And Fahd Akbar. "Actualization of Good Faith in Achieving Progressive Contract Law in Indonesia" 1, no. 2 (2023): 1–9.</w:t>
      </w:r>
    </w:p>
    <w:p w14:paraId="2B288C57"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Ridho, Ali, and Febri Priyoyudanto. "Arab Culture and Local Wisdom: Tracing Traditional Values in Modern Society." </w:t>
      </w:r>
      <w:r w:rsidRPr="005B25E1">
        <w:rPr>
          <w:rFonts w:ascii="Book Antiqua" w:hAnsi="Book Antiqua"/>
          <w:i/>
          <w:iCs/>
          <w:lang w:eastAsia="fi-FI" w:bidi="ar-SA"/>
        </w:rPr>
        <w:t>Student Research Journal</w:t>
      </w:r>
      <w:r w:rsidRPr="005B25E1">
        <w:rPr>
          <w:rFonts w:ascii="Book Antiqua" w:hAnsi="Book Antiqua"/>
          <w:lang w:eastAsia="fi-FI" w:bidi="ar-SA"/>
        </w:rPr>
        <w:t xml:space="preserve"> 2, No. 1 (2024): 204–12. Http://Journal-Stiayappimakassar.Ac.Id/Index.Php/Srj/Article/View/1027.</w:t>
      </w:r>
    </w:p>
    <w:p w14:paraId="4D9CC1EB"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Role, T H E, O F Arbitration, Institutions In, T H E Settlement, O F Business, And Commercial Contract Disputes. "The Role Of Arbitration Institutions In The Settlement Of Business." </w:t>
      </w:r>
      <w:r w:rsidRPr="005B25E1">
        <w:rPr>
          <w:rFonts w:ascii="Book Antiqua" w:hAnsi="Book Antiqua"/>
          <w:i/>
          <w:iCs/>
          <w:lang w:eastAsia="fi-FI" w:bidi="ar-SA"/>
        </w:rPr>
        <w:t>Jarbi: Indonesian Journal of Arbitration</w:t>
      </w:r>
      <w:r w:rsidRPr="005B25E1">
        <w:rPr>
          <w:rFonts w:ascii="Book Antiqua" w:hAnsi="Book Antiqua"/>
          <w:lang w:eastAsia="fi-FI" w:bidi="ar-SA"/>
        </w:rPr>
        <w:t xml:space="preserve"> 1, No. 1 (2025): 51–68.</w:t>
      </w:r>
    </w:p>
    <w:p w14:paraId="11C825D2"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Romli, Muhammad. "The concept of the legal conditions of the contract in Islamic law and the legal conditions of the agreement in article 1320 of the Civil Code." </w:t>
      </w:r>
      <w:r w:rsidRPr="005B25E1">
        <w:rPr>
          <w:rFonts w:ascii="Book Antiqua" w:hAnsi="Book Antiqua"/>
          <w:i/>
          <w:iCs/>
          <w:lang w:eastAsia="fi-FI" w:bidi="ar-SA"/>
        </w:rPr>
        <w:t>Cahkim</w:t>
      </w:r>
      <w:r w:rsidRPr="005B25E1">
        <w:rPr>
          <w:rFonts w:ascii="Book Antiqua" w:hAnsi="Book Antiqua"/>
          <w:lang w:eastAsia="fi-FI" w:bidi="ar-SA"/>
        </w:rPr>
        <w:t xml:space="preserve"> 17, no. 2 (2021).</w:t>
      </w:r>
    </w:p>
    <w:p w14:paraId="465FADC6"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Rosidi, Ahmad, M Zainuddin, and Ismi Arifiana. "Methods in Normative and Sociological Law Research (Field Research)." </w:t>
      </w:r>
      <w:r w:rsidRPr="005B25E1">
        <w:rPr>
          <w:rFonts w:ascii="Book Antiqua" w:hAnsi="Book Antiqua"/>
          <w:i/>
          <w:iCs/>
          <w:lang w:eastAsia="fi-FI" w:bidi="ar-SA"/>
        </w:rPr>
        <w:t>Journal of Law And Government</w:t>
      </w:r>
      <w:r w:rsidRPr="005B25E1">
        <w:rPr>
          <w:rFonts w:ascii="Book Antiqua" w:hAnsi="Book Antiqua"/>
          <w:lang w:eastAsia="fi-FI" w:bidi="ar-SA"/>
        </w:rPr>
        <w:t xml:space="preserve"> 2, No. 1 (2024): 46–58.</w:t>
      </w:r>
    </w:p>
    <w:p w14:paraId="5F9A5F84"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Sabran, Sandi Nur Azizah, And Ervina Rachmawati. "Journal of Management and Administration of Indonesian Hospitals." </w:t>
      </w:r>
      <w:r w:rsidRPr="005B25E1">
        <w:rPr>
          <w:rFonts w:ascii="Book Antiqua" w:hAnsi="Book Antiqua"/>
          <w:i/>
          <w:iCs/>
          <w:lang w:eastAsia="fi-FI" w:bidi="ar-SA"/>
        </w:rPr>
        <w:t>( Marsi )</w:t>
      </w:r>
      <w:r w:rsidRPr="005B25E1">
        <w:rPr>
          <w:rFonts w:ascii="Book Antiqua" w:hAnsi="Book Antiqua"/>
          <w:lang w:eastAsia="fi-FI" w:bidi="ar-SA"/>
        </w:rPr>
        <w:t xml:space="preserve"> 8, no. 1 (2024): 54–70.</w:t>
      </w:r>
    </w:p>
    <w:p w14:paraId="404F3BF2"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Sari, Melia Putri Purnama. "The Urgency of Making a Postnuptial Agreement in the Form of a Party's Deed as a Probationis Causa Based on Formal Truth" 9, no. 3 (2023): 24–32.</w:t>
      </w:r>
    </w:p>
    <w:p w14:paraId="3ABB8975"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Suteki, Mega, Aries Samudra Wicaksono, Dodhy Hyronimus Ama Longgy, and Tini Adiatma. "A Content Analysis Of The Vision Statements Of Top 10 Leading Universities In Indonesia." </w:t>
      </w:r>
      <w:r w:rsidRPr="005B25E1">
        <w:rPr>
          <w:rFonts w:ascii="Book Antiqua" w:hAnsi="Book Antiqua"/>
          <w:i/>
          <w:iCs/>
          <w:lang w:eastAsia="fi-FI" w:bidi="ar-SA"/>
        </w:rPr>
        <w:t>Thawalib | Journal of Islamic Education</w:t>
      </w:r>
      <w:r w:rsidRPr="005B25E1">
        <w:rPr>
          <w:rFonts w:ascii="Book Antiqua" w:hAnsi="Book Antiqua"/>
          <w:lang w:eastAsia="fi-FI" w:bidi="ar-SA"/>
        </w:rPr>
        <w:t xml:space="preserve"> 4, No. 1 (2022): 45–60.</w:t>
      </w:r>
    </w:p>
    <w:p w14:paraId="47951F7A"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Year, April, Ayu Fitri Hapsari, Arya Salman Aziz, Dina Mukti Yatulloh, Nabila Salma, Surya Wira Yudhayana, and Benny Sumardiana. "Analysis of the Role of Advocates in Designing Dispute Resolution Strategies: A Case Study at the Law Offices of Josant and Friends" 2, no. 2 (2025).</w:t>
      </w:r>
    </w:p>
    <w:p w14:paraId="3EE55A38" w14:textId="77777777" w:rsidR="005B25E1" w:rsidRPr="005B25E1" w:rsidRDefault="005B25E1" w:rsidP="005B25E1">
      <w:pPr>
        <w:pStyle w:val="ListParagraph"/>
        <w:spacing w:after="120"/>
        <w:ind w:left="567" w:hanging="567"/>
        <w:jc w:val="both"/>
        <w:rPr>
          <w:rFonts w:ascii="Book Antiqua" w:hAnsi="Book Antiqua"/>
          <w:lang w:eastAsia="fi-FI" w:bidi="ar-SA"/>
        </w:rPr>
      </w:pPr>
      <w:r w:rsidRPr="005B25E1">
        <w:rPr>
          <w:rFonts w:ascii="Book Antiqua" w:hAnsi="Book Antiqua"/>
          <w:lang w:eastAsia="fi-FI" w:bidi="ar-SA"/>
        </w:rPr>
        <w:t xml:space="preserve">Wiyono, Agung Abdul Rahman. "Settlement of trademark disputes through arbitration and non-litigation in accordance with Law No. 20 of 2016 concerning trademarks and the basis of enforcement power on the results of arbitration decisions and negotiations of non-litigation institutions in trademark disputes." </w:t>
      </w:r>
      <w:r w:rsidRPr="005B25E1">
        <w:rPr>
          <w:rFonts w:ascii="Book Antiqua" w:hAnsi="Book Antiqua"/>
          <w:i/>
          <w:iCs/>
          <w:lang w:eastAsia="fi-FI" w:bidi="ar-SA"/>
        </w:rPr>
        <w:t>Journal of Ius</w:t>
      </w:r>
      <w:r w:rsidRPr="005B25E1">
        <w:rPr>
          <w:rFonts w:ascii="Book Antiqua" w:hAnsi="Book Antiqua"/>
          <w:lang w:eastAsia="fi-FI" w:bidi="ar-SA"/>
        </w:rPr>
        <w:t xml:space="preserve"> 7, No. 02 (2024): 163.</w:t>
      </w:r>
    </w:p>
    <w:p w14:paraId="4BC706DE" w14:textId="7FC2FA72" w:rsidR="00E05BDD" w:rsidRDefault="005B25E1" w:rsidP="005B25E1">
      <w:pPr>
        <w:pStyle w:val="ListParagraph"/>
        <w:spacing w:after="120" w:line="240" w:lineRule="auto"/>
        <w:ind w:left="567" w:hanging="567"/>
        <w:contextualSpacing w:val="0"/>
        <w:jc w:val="both"/>
        <w:rPr>
          <w:rFonts w:ascii="Book Antiqua" w:hAnsi="Book Antiqua"/>
          <w:b/>
          <w:lang w:eastAsia="fi-FI" w:bidi="ar-SA"/>
        </w:rPr>
      </w:pPr>
      <w:r w:rsidRPr="005B25E1">
        <w:rPr>
          <w:rFonts w:ascii="Book Antiqua" w:hAnsi="Book Antiqua"/>
          <w:lang w:eastAsia="fi-FI" w:bidi="ar-SA"/>
        </w:rPr>
        <w:fldChar w:fldCharType="end"/>
      </w:r>
    </w:p>
    <w:p w14:paraId="48C7B3BA" w14:textId="77777777" w:rsidR="005B25E1" w:rsidRPr="00B96E8B" w:rsidRDefault="005B25E1" w:rsidP="00F2670C">
      <w:pPr>
        <w:pStyle w:val="ListParagraph"/>
        <w:spacing w:after="120" w:line="240" w:lineRule="auto"/>
        <w:ind w:left="567" w:hanging="567"/>
        <w:contextualSpacing w:val="0"/>
        <w:jc w:val="both"/>
        <w:rPr>
          <w:rFonts w:ascii="Book Antiqua" w:hAnsi="Book Antiqua"/>
          <w:b/>
          <w:lang w:eastAsia="fi-FI" w:bidi="ar-SA"/>
        </w:rPr>
      </w:pPr>
    </w:p>
    <w:p w14:paraId="2D5F473E"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B3CF223"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21EFAC"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F473D9"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0D27EB" w14:textId="24EF64A1"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8C14547"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8B85A4"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892BE0B" w14:textId="77777777" w:rsidR="00E05BDD" w:rsidRPr="00B96E8B" w:rsidRDefault="00E05BDD" w:rsidP="00F2670C">
      <w:pPr>
        <w:pStyle w:val="ListParagraph"/>
        <w:spacing w:after="120" w:line="240" w:lineRule="auto"/>
        <w:ind w:left="567" w:hanging="567"/>
        <w:contextualSpacing w:val="0"/>
        <w:jc w:val="both"/>
        <w:rPr>
          <w:rFonts w:ascii="Book Antiqua" w:hAnsi="Book Antiqua"/>
          <w:b/>
          <w:lang w:eastAsia="fi-FI" w:bidi="ar-SA"/>
        </w:rPr>
      </w:pPr>
    </w:p>
    <w:sectPr w:rsidR="00E05BDD" w:rsidRPr="00B96E8B" w:rsidSect="000572B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851"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D54D" w14:textId="77777777" w:rsidR="00B86479" w:rsidRDefault="00B86479" w:rsidP="00934130">
      <w:pPr>
        <w:spacing w:after="0" w:line="240" w:lineRule="auto"/>
      </w:pPr>
      <w:r>
        <w:separator/>
      </w:r>
    </w:p>
  </w:endnote>
  <w:endnote w:type="continuationSeparator" w:id="0">
    <w:p w14:paraId="1B656523" w14:textId="77777777" w:rsidR="00B86479" w:rsidRDefault="00B86479"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panose1 w:val="02000500020000000000"/>
    <w:charset w:val="00"/>
    <w:family w:val="auto"/>
    <w:pitch w:val="variable"/>
    <w:sig w:usb0="80008003" w:usb1="1000C0C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375166"/>
      <w:docPartObj>
        <w:docPartGallery w:val="Page Numbers (Bottom of Page)"/>
        <w:docPartUnique/>
      </w:docPartObj>
    </w:sdtPr>
    <w:sdtEndPr>
      <w:rPr>
        <w:color w:val="7F7F7F" w:themeColor="background1" w:themeShade="7F"/>
        <w:spacing w:val="60"/>
      </w:rPr>
    </w:sdtEndPr>
    <w:sdtContent>
      <w:p w14:paraId="681CD113"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348DA330"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348651"/>
      <w:docPartObj>
        <w:docPartGallery w:val="Page Numbers (Bottom of Page)"/>
        <w:docPartUnique/>
      </w:docPartObj>
    </w:sdtPr>
    <w:sdtEndPr>
      <w:rPr>
        <w:color w:val="7F7F7F" w:themeColor="background1" w:themeShade="7F"/>
        <w:spacing w:val="60"/>
      </w:rPr>
    </w:sdtEndPr>
    <w:sdtContent>
      <w:p w14:paraId="5D5F4606"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0C1C1E">
          <w:rPr>
            <w:rFonts w:ascii="Book Antiqua" w:hAnsi="Book Antiqua"/>
            <w:b/>
            <w:color w:val="FFFFFF" w:themeColor="background1"/>
            <w:sz w:val="26"/>
            <w:szCs w:val="26"/>
            <w:highlight w:val="black"/>
            <w:shd w:val="clear" w:color="auto" w:fill="FFFFFF" w:themeFill="background1"/>
          </w:rPr>
          <w:fldChar w:fldCharType="begin"/>
        </w:r>
        <w:r w:rsidRPr="000C1C1E">
          <w:rPr>
            <w:rFonts w:ascii="Book Antiqua" w:hAnsi="Book Antiqua"/>
            <w:b/>
            <w:color w:val="FFFFFF" w:themeColor="background1"/>
            <w:sz w:val="26"/>
            <w:szCs w:val="26"/>
            <w:highlight w:val="black"/>
            <w:shd w:val="clear" w:color="auto" w:fill="FFFFFF" w:themeFill="background1"/>
          </w:rPr>
          <w:instrText xml:space="preserve"> PAGE   \* MERGEFORMAT </w:instrText>
        </w:r>
        <w:r w:rsidRPr="000C1C1E">
          <w:rPr>
            <w:rFonts w:ascii="Book Antiqua" w:hAnsi="Book Antiqua"/>
            <w:b/>
            <w:color w:val="FFFFFF" w:themeColor="background1"/>
            <w:sz w:val="26"/>
            <w:szCs w:val="26"/>
            <w:highlight w:val="black"/>
            <w:shd w:val="clear" w:color="auto" w:fill="FFFFFF" w:themeFill="background1"/>
          </w:rPr>
          <w:fldChar w:fldCharType="separate"/>
        </w:r>
        <w:r w:rsidR="003D5875" w:rsidRPr="003D5875">
          <w:rPr>
            <w:rFonts w:ascii="Book Antiqua" w:hAnsi="Book Antiqua"/>
            <w:b/>
            <w:bCs/>
            <w:noProof/>
            <w:color w:val="FFFFFF" w:themeColor="background1"/>
            <w:sz w:val="26"/>
            <w:szCs w:val="26"/>
            <w:highlight w:val="black"/>
            <w:shd w:val="clear" w:color="auto" w:fill="FFFFFF" w:themeFill="background1"/>
          </w:rPr>
          <w:t>1</w:t>
        </w:r>
        <w:r w:rsidRPr="000C1C1E">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164B5C" w:rsidRPr="009807F2">
          <w:rPr>
            <w:rFonts w:ascii="Book Antiqua" w:hAnsi="Book Antiqua" w:cstheme="majorHAnsi"/>
            <w:color w:val="000000" w:themeColor="text1"/>
            <w:sz w:val="16"/>
            <w:szCs w:val="16"/>
          </w:rPr>
          <w:t xml:space="preserve">Sarah </w:t>
        </w:r>
        <w:proofErr w:type="spellStart"/>
        <w:r w:rsidR="00164B5C"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64B5C" w:rsidRPr="009807F2">
          <w:rPr>
            <w:rFonts w:ascii="Book Antiqua" w:hAnsi="Book Antiqua" w:cstheme="majorHAnsi"/>
            <w:color w:val="000000" w:themeColor="text1"/>
            <w:sz w:val="16"/>
            <w:szCs w:val="16"/>
          </w:rPr>
          <w:t xml:space="preserve">Muchtar </w:t>
        </w:r>
        <w:proofErr w:type="spellStart"/>
        <w:r w:rsidR="00164B5C" w:rsidRPr="009807F2">
          <w:rPr>
            <w:rFonts w:ascii="Book Antiqua" w:hAnsi="Book Antiqua" w:cstheme="majorHAnsi"/>
            <w:color w:val="000000" w:themeColor="text1"/>
            <w:sz w:val="16"/>
            <w:szCs w:val="16"/>
          </w:rPr>
          <w:t>Anshary</w:t>
        </w:r>
        <w:proofErr w:type="spellEnd"/>
        <w:r w:rsidR="00164B5C" w:rsidRPr="009807F2">
          <w:rPr>
            <w:rFonts w:ascii="Book Antiqua" w:hAnsi="Book Antiqua" w:cstheme="majorHAnsi"/>
            <w:color w:val="000000" w:themeColor="text1"/>
            <w:sz w:val="16"/>
            <w:szCs w:val="16"/>
          </w:rPr>
          <w:t xml:space="preserve"> Hamid </w:t>
        </w:r>
        <w:proofErr w:type="spellStart"/>
        <w:r w:rsidR="00164B5C" w:rsidRPr="009807F2">
          <w:rPr>
            <w:rFonts w:ascii="Book Antiqua" w:hAnsi="Book Antiqua" w:cstheme="majorHAnsi"/>
            <w:color w:val="000000" w:themeColor="text1"/>
            <w:sz w:val="16"/>
            <w:szCs w:val="16"/>
          </w:rPr>
          <w:t>Labetubun</w:t>
        </w:r>
        <w:proofErr w:type="spellEnd"/>
        <w:r w:rsidR="00164B5C" w:rsidRPr="009807F2">
          <w:rPr>
            <w:rFonts w:ascii="Book Antiqua" w:hAnsi="Book Antiqua" w:cstheme="majorHAnsi"/>
            <w:color w:val="000000" w:themeColor="text1"/>
            <w:sz w:val="16"/>
            <w:szCs w:val="16"/>
          </w:rPr>
          <w:t xml:space="preserve">, and Rory Jeff </w:t>
        </w:r>
        <w:proofErr w:type="spellStart"/>
        <w:r w:rsidR="00164B5C" w:rsidRPr="009807F2">
          <w:rPr>
            <w:rFonts w:ascii="Book Antiqua" w:hAnsi="Book Antiqua" w:cstheme="majorHAnsi"/>
            <w:color w:val="000000" w:themeColor="text1"/>
            <w:sz w:val="16"/>
            <w:szCs w:val="16"/>
          </w:rPr>
          <w:t>Akyuwen</w:t>
        </w:r>
        <w:proofErr w:type="spellEnd"/>
        <w:r w:rsidR="00164B5C" w:rsidRPr="009807F2">
          <w:rPr>
            <w:rFonts w:ascii="Book Antiqua" w:hAnsi="Book Antiqua" w:cstheme="majorHAnsi"/>
            <w:color w:val="000000" w:themeColor="text1"/>
            <w:sz w:val="16"/>
            <w:szCs w:val="16"/>
          </w:rPr>
          <w:t>. “</w:t>
        </w:r>
        <w:r w:rsidR="00164B5C" w:rsidRPr="00164B5C">
          <w:rPr>
            <w:rFonts w:ascii="Book Antiqua" w:hAnsi="Book Antiqua"/>
            <w:i/>
            <w:noProof/>
            <w:sz w:val="16"/>
            <w:szCs w:val="16"/>
          </w:rPr>
          <w:t>A Legal Awareness of Copyright on Regional Song Creators</w:t>
        </w:r>
        <w:r w:rsidR="00B550DD">
          <w:rPr>
            <w:rFonts w:ascii="Book Antiqua" w:hAnsi="Book Antiqua"/>
            <w:bCs/>
            <w:sz w:val="16"/>
            <w:szCs w:val="16"/>
          </w:rPr>
          <w:t>”</w:t>
        </w:r>
      </w:p>
      <w:p w14:paraId="2B0E33A4"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r w:rsidR="0071563E" w:rsidRPr="00E54AD5">
          <w:rPr>
            <w:rFonts w:ascii="Book Antiqua" w:hAnsi="Book Antiqua"/>
            <w:i/>
            <w:color w:val="000000" w:themeColor="text1"/>
            <w:sz w:val="16"/>
            <w:szCs w:val="16"/>
          </w:rPr>
          <w:t>SASI</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71563E" w:rsidRPr="00E54AD5">
          <w:rPr>
            <w:rFonts w:ascii="Book Antiqua" w:hAnsi="Book Antiqua"/>
            <w:color w:val="000000" w:themeColor="text1"/>
            <w:sz w:val="16"/>
            <w:szCs w:val="16"/>
          </w:rPr>
          <w:t>3</w:t>
        </w:r>
        <w:r w:rsidR="00F2670C" w:rsidRPr="00E54AD5">
          <w:rPr>
            <w:rFonts w:ascii="Book Antiqua" w:hAnsi="Book Antiqua"/>
            <w:color w:val="000000" w:themeColor="text1"/>
            <w:sz w:val="16"/>
            <w:szCs w:val="16"/>
          </w:rPr>
          <w:t>0</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(1)</w:t>
        </w:r>
        <w:r w:rsidR="00716F9B" w:rsidRPr="00E54AD5">
          <w:rPr>
            <w:rFonts w:ascii="Book Antiqua" w:hAnsi="Book Antiqua"/>
            <w:color w:val="000000" w:themeColor="text1"/>
            <w:sz w:val="16"/>
            <w:szCs w:val="16"/>
          </w:rPr>
          <w:t xml:space="preserve"> </w:t>
        </w:r>
        <w:r w:rsidR="00D016C2">
          <w:rPr>
            <w:rFonts w:ascii="Book Antiqua" w:hAnsi="Book Antiqua"/>
            <w:color w:val="000000" w:themeColor="text1"/>
            <w:sz w:val="16"/>
            <w:szCs w:val="16"/>
          </w:rPr>
          <w:t xml:space="preserve">March </w:t>
        </w:r>
        <w:r w:rsidR="00716F9B" w:rsidRPr="00E54AD5">
          <w:rPr>
            <w:rFonts w:ascii="Book Antiqua" w:hAnsi="Book Antiqua"/>
            <w:color w:val="000000" w:themeColor="text1"/>
            <w:sz w:val="16"/>
            <w:szCs w:val="16"/>
          </w:rPr>
          <w:t>2024</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lang w:val="id-ID"/>
          </w:rPr>
          <w:t>-</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rPr>
          <w:t>XX</w:t>
        </w:r>
      </w:p>
      <w:p w14:paraId="5ADFDDCA" w14:textId="77777777" w:rsidR="0071563E" w:rsidRPr="00E54AD5"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E54AD5">
          <w:rPr>
            <w:rFonts w:ascii="Book Antiqua" w:hAnsi="Book Antiqua"/>
            <w:color w:val="000000" w:themeColor="text1"/>
            <w:sz w:val="16"/>
            <w:szCs w:val="16"/>
            <w:lang w:val="id-ID"/>
          </w:rPr>
          <w:t>P-ISSN: 1693-0061, E-ISSN: 2614-2961</w:t>
        </w:r>
      </w:p>
      <w:p w14:paraId="594C6599" w14:textId="41DBA33E" w:rsidR="00D016C2" w:rsidRDefault="0071563E"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243F40">
          <w:rPr>
            <w:rFonts w:ascii="Book Antiqua" w:hAnsi="Book Antiqua"/>
            <w:sz w:val="16"/>
          </w:rPr>
          <w:t>:</w:t>
        </w:r>
        <w:r w:rsidRPr="00E54AD5">
          <w:rPr>
            <w:rFonts w:ascii="Book Antiqua" w:hAnsi="Book Antiqua"/>
            <w:sz w:val="16"/>
          </w:rPr>
          <w:t xml:space="preserve"> Faculty of Law</w:t>
        </w:r>
        <w:r w:rsidR="00C92224">
          <w:rPr>
            <w:rFonts w:ascii="Book Antiqua" w:hAnsi="Book Antiqua"/>
            <w:sz w:val="16"/>
          </w:rPr>
          <w:t>,</w:t>
        </w:r>
        <w:r w:rsidRPr="00E54AD5">
          <w:rPr>
            <w:rFonts w:ascii="Book Antiqua" w:hAnsi="Book Antiqua"/>
            <w:sz w:val="16"/>
          </w:rPr>
          <w:t xml:space="preserve"> </w:t>
        </w:r>
        <w:r w:rsidR="00164B5C">
          <w:rPr>
            <w:rFonts w:ascii="Book Antiqua" w:hAnsi="Book Antiqua"/>
            <w:sz w:val="16"/>
          </w:rPr>
          <w:t xml:space="preserve">Universitas </w:t>
        </w:r>
        <w:proofErr w:type="spellStart"/>
        <w:r w:rsidR="00164B5C">
          <w:rPr>
            <w:rFonts w:ascii="Book Antiqua" w:hAnsi="Book Antiqua"/>
            <w:sz w:val="16"/>
          </w:rPr>
          <w:t>Pattimura</w:t>
        </w:r>
        <w:proofErr w:type="spellEnd"/>
      </w:p>
      <w:p w14:paraId="62E288E7" w14:textId="77777777" w:rsidR="004B3AE2" w:rsidRPr="00D016C2" w:rsidRDefault="00000000"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4068"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3BB9ACC6"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5D25FD59"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C501" w14:textId="77777777" w:rsidR="00B86479" w:rsidRDefault="00B86479" w:rsidP="00934130">
      <w:pPr>
        <w:spacing w:after="0" w:line="240" w:lineRule="auto"/>
      </w:pPr>
      <w:r>
        <w:separator/>
      </w:r>
    </w:p>
  </w:footnote>
  <w:footnote w:type="continuationSeparator" w:id="0">
    <w:p w14:paraId="7E3BDBAA" w14:textId="77777777" w:rsidR="00B86479" w:rsidRDefault="00B86479" w:rsidP="00934130">
      <w:pPr>
        <w:spacing w:after="0" w:line="240" w:lineRule="auto"/>
      </w:pPr>
      <w:r>
        <w:continuationSeparator/>
      </w:r>
    </w:p>
  </w:footnote>
  <w:footnote w:id="1">
    <w:p w14:paraId="453C87F8" w14:textId="77777777" w:rsidR="00F86319" w:rsidRPr="00C92CEA" w:rsidRDefault="00F86319" w:rsidP="00F86319">
      <w:pPr>
        <w:pStyle w:val="FootnoteText"/>
        <w:ind w:firstLine="360"/>
        <w:jc w:val="both"/>
      </w:pPr>
      <w:r w:rsidRPr="00C92CEA">
        <w:rPr>
          <w:rStyle w:val="FootnoteReference"/>
        </w:rPr>
        <w:footnoteRef/>
      </w:r>
      <w:r w:rsidRPr="00C92CEA">
        <w:t xml:space="preserve"> </w:t>
      </w:r>
      <w:r w:rsidRPr="00C92CEA">
        <w:fldChar w:fldCharType="begin" w:fldLock="1"/>
      </w:r>
      <w:r w:rsidRPr="00C92CEA">
        <w:instrText>ADDIN CSL_CITATION {"citationItems":[{"id":"ITEM-1","itemData":{"author":[{"dropping-particle":"","family":"Muhammad Fadli Satrianu","given":"Didik Himmawan","non-dropping-particle":"","parse-names":false,"suffix":""}],"container-title":"Aslama: Journal of Islamic Studies","id":"ITEM-1","issue":"1","issued":{"date-parts":[["2025"]]},"page":"25-33","title":"Mosques, Prayer Rooms, Islamic Boarding Schools and Madrasahs as Centers for Community Empowerment and Preservation of Islamic Culture","type":"article-journal","volume":"2"},"uris":["http://www.mendeley.com/documents/?uuid=4073c64a-fe4f-463a-9bc5-ba2a532988ef"]}],"mendeley":{"formattedCitation":"Didik Himmawan Muhammad Fadli Satrianu, “Mosques, Prayer Rooms, Islamic Boarding Schools and Madrasahs as Centers for Community Empowerment and Preservation of Islamic Culture,” &lt;i&gt;Aslama: Journal of Islamic Studies&lt;/i&gt; 2, no. 1 (2025): 25–33.","plainTextFormattedCitation":"Didik Himmawan Muhammad Fadli Satrianu, “Mosques, Prayer Rooms, Islamic Boarding Schools and Madrasahs as Centers for Community Empowerment and Preservation of Islamic Culture,” Aslama: Journal of Islamic Studies 2, no. 1 (2025): 25–33.","previouslyFormattedCitation":"Didik Himmawan Muhammad Fadli Satrianu, “Mosques, Prayer Rooms, Islamic Boarding Schools and Madrasahs as Centers for Community Empowerment and Preservation of Islamic Culture,” &lt;i&gt;Aslama: Journal of Islamic Studies&lt;/i&gt; 2, no. 1 (2025): 25–33."},"properties":{"noteIndex":1},"schema":"https://github.com/citation-style-language/schema/raw/master/csl-citation.json"}</w:instrText>
      </w:r>
      <w:r w:rsidRPr="00C92CEA">
        <w:fldChar w:fldCharType="separate"/>
      </w:r>
      <w:r w:rsidRPr="00C92CEA">
        <w:rPr>
          <w:noProof/>
        </w:rPr>
        <w:t xml:space="preserve">Didik Himmawan Muhammad Fadli Satrianu, "Mosques, Prayer Rooms, Islamic Boarding Schools and Madrasahs as Centers for Community Empowerment and Preservation of Islamic Culture," </w:t>
      </w:r>
      <w:r w:rsidRPr="00C92CEA">
        <w:rPr>
          <w:i/>
          <w:noProof/>
        </w:rPr>
        <w:t>Aslama: Journal of Islamic Studies</w:t>
      </w:r>
      <w:r w:rsidRPr="00C92CEA">
        <w:rPr>
          <w:noProof/>
        </w:rPr>
        <w:t xml:space="preserve"> 2, no. 1 (2025): 25–33.</w:t>
      </w:r>
      <w:r w:rsidRPr="00C92CEA">
        <w:fldChar w:fldCharType="end"/>
      </w:r>
    </w:p>
  </w:footnote>
  <w:footnote w:id="2">
    <w:p w14:paraId="3E3902A5" w14:textId="77777777" w:rsidR="00F86319" w:rsidRPr="00C92CEA" w:rsidRDefault="00F86319" w:rsidP="00F86319">
      <w:pPr>
        <w:pStyle w:val="FootnoteText"/>
        <w:ind w:firstLine="360"/>
        <w:jc w:val="both"/>
      </w:pPr>
      <w:r w:rsidRPr="00C92CEA">
        <w:rPr>
          <w:rStyle w:val="FootnoteReference"/>
        </w:rPr>
        <w:footnoteRef/>
      </w:r>
      <w:r w:rsidRPr="00C92CEA">
        <w:t xml:space="preserve"> </w:t>
      </w:r>
      <w:r w:rsidRPr="00C92CEA">
        <w:fldChar w:fldCharType="begin" w:fldLock="1"/>
      </w:r>
      <w:r w:rsidRPr="00C92CEA">
        <w:instrText>ADDIN CSL_CITATION {"citationItems":[{"id":"ITEM-1","itemData":{"author":[{"dropping-particle":"","family":"Afnan","given":"Akhmad","non-dropping-particle":"","parse-names":false,"suffix":""},{"dropping-particle":"","family":"Ihwanul","given":"Akhmad","non-dropping-particle":"","parse-names":false,"suffix":""}],"container-title":"KITABACA: Journal of Islamic Studies","id":"ITEM-1","issue":"2","issued":{"date-parts":[["2024"]]},"page":"114","title":"Pesantren dalam Sistem Pendidikan Nasional: Analisis UU Pesantren 2019 terhadap Pendidikan Diniyyah Formal dan Pendidikan Mu’adalah di Indonesia","type":"article-journal","volume":"1"},"uris":["http://www.mendeley.com/documents/?uuid=b8f8998b-4890-4b81-9d02-13bc3c9f96e1"]}],"mendeley":{"formattedCitation":"Akhmad Afnan and Akhmad Ihwanul, “Pesantren Dalam Sistem Pendidikan Nasional: Analisis UU Pesantren 2019 Terhadap Pendidikan Diniyyah Formal Dan Pendidikan Mu’adalah Di Indonesia,” &lt;i&gt;KITABACA: Journal of Islamic Studies&lt;/i&gt; 1, no. 2 (2024): 114.","plainTextFormattedCitation":"Akhmad Afnan and Akhmad Ihwanul, “Pesantren Dalam Sistem Pendidikan Nasional: Analisis UU Pesantren 2019 Terhadap Pendidikan Diniyyah Formal Dan Pendidikan Mu’adalah Di Indonesia,” KITABACA: Journal of Islamic Studies 1, no. 2 (2024): 114.","previouslyFormattedCitation":"Akhmad Afnan and Akhmad Ihwanul, “Pesantren Dalam Sistem Pendidikan Nasional: Analisis UU Pesantren 2019 Terhadap Pendidikan Diniyyah Formal Dan Pendidikan Mu’adalah Di Indonesia,” &lt;i&gt;KITABACA: Journal of Islamic Studies&lt;/i&gt; 1, no. 2 (2024): 114."},"properties":{"noteIndex":2},"schema":"https://github.com/citation-style-language/schema/raw/master/csl-citation.json"}</w:instrText>
      </w:r>
      <w:r w:rsidRPr="00C92CEA">
        <w:fldChar w:fldCharType="separate"/>
      </w:r>
      <w:r w:rsidRPr="00C92CEA">
        <w:rPr>
          <w:noProof/>
        </w:rPr>
        <w:t xml:space="preserve">Akhmad Afnan and Akhmad Ihwanul, "Pesantren in the National Education System: An Analysis of the 2019 Islamic Boarding School Law on Formal Diniyyah Education and Mu'là Education in Indonesia," </w:t>
      </w:r>
      <w:r w:rsidRPr="00C92CEA">
        <w:rPr>
          <w:i/>
          <w:noProof/>
        </w:rPr>
        <w:t>KITABACA: Journal of Islamic Studies</w:t>
      </w:r>
      <w:r w:rsidRPr="00C92CEA">
        <w:rPr>
          <w:noProof/>
        </w:rPr>
        <w:t xml:space="preserve"> 1, no. 2 (2024): 114.</w:t>
      </w:r>
      <w:r w:rsidRPr="00C92CEA">
        <w:fldChar w:fldCharType="end"/>
      </w:r>
    </w:p>
  </w:footnote>
  <w:footnote w:id="3">
    <w:p w14:paraId="2C274DB5" w14:textId="77777777" w:rsidR="00F86319" w:rsidRDefault="00F86319" w:rsidP="00F86319">
      <w:pPr>
        <w:pStyle w:val="FootnoteText"/>
        <w:ind w:firstLine="360"/>
        <w:jc w:val="both"/>
      </w:pPr>
      <w:r w:rsidRPr="00C92CEA">
        <w:rPr>
          <w:rStyle w:val="FootnoteReference"/>
        </w:rPr>
        <w:footnoteRef/>
      </w:r>
      <w:r w:rsidRPr="00C92CEA">
        <w:t xml:space="preserve"> </w:t>
      </w:r>
      <w:r w:rsidRPr="00C92CEA">
        <w:fldChar w:fldCharType="begin" w:fldLock="1"/>
      </w:r>
      <w:r>
        <w:instrText>ADDIN CSL_CITATION {"citationItems":[{"id":"ITEM-1","itemData":{"ISSN":"2964-3252","abstract":"Research aims to explore the interaction between Arab culture and local wisdom in Indonesia, particularly in preserving traditional values amidst modernization. This qualitative study employs in-depth interviews and participatory observation to collect data from Muslim community leaders in Jakarta. The findings indicate that traditional values such as mutual cooperation, respect for elders, and religiosity are still highly esteemed, albeit with varying interpretations. Muslim informants integrate religious teachings and ancestral traditions into their daily practices. They negotiate with modernity by adapting traditional values to be relevant to contemporary needs. In conclusion, traditional values persist in modern Muslim society in Indonesia through the selective integration of elements from Arab and local cultural heritage.","author":[{"dropping-particle":"","family":"Ridho","given":"Ali","non-dropping-particle":"","parse-names":false,"suffix":""},{"dropping-particle":"","family":"Priyoyudanto","given":"Febri","non-dropping-particle":"","parse-names":false,"suffix":""}],"container-title":"Student Research Journal","id":"ITEM-1","issue":"1","issued":{"date-parts":[["2024"]]},"page":"204-212","title":"Budaya Arab Dan Kearifan Lokal: Menyelusuri Nilai-Nilai Tradisional Dalam Masyarakat Modern","type":"article-journal","volume":"2"},"uris":["http://www.mendeley.com/documents/?uuid=b729e2dc-f9a5-4d62-9d23-2d4a4704b162"]}],"mendeley":{"formattedCitation":"Ali Ridho and Febri Priyoyudanto, “Budaya Arab Dan Kearifan Lokal: Menyelusuri Nilai-Nilai Tradisional Dalam Masyarakat Modern,” &lt;i&gt;Student Research Journal&lt;/i&gt; 2, no. 1 (2024): 204–12, http://journal-stiayappimakassar.ac.id/index.php/srj/article/view/1027.","plainTextFormattedCitation":"Ali Ridho and Febri Priyoyudanto, “Budaya Arab Dan Kearifan Lokal: Menyelusuri Nilai-Nilai Tradisional Dalam Masyarakat Modern,” Student Research Journal 2, no. 1 (2024): 204–12, http://journal-stiayappimakassar.ac.id/index.php/srj/article/view/1027.","previouslyFormattedCitation":"Ali Ridho and Febri Priyoyudanto, “Budaya Arab Dan Kearifan Lokal: Menyelusuri Nilai-Nilai Tradisional Dalam Masyarakat Modern,” &lt;i&gt;Student Research Journal&lt;/i&gt; 2, no. 1 (2024): 204–12, http://journal-stiayappimakassar.ac.id/index.php/srj/article/view/1027."},"properties":{"noteIndex":3},"schema":"https://github.com/citation-style-language/schema/raw/master/csl-citation.json"}</w:instrText>
      </w:r>
      <w:r w:rsidRPr="00C92CEA">
        <w:fldChar w:fldCharType="separate"/>
      </w:r>
      <w:r w:rsidRPr="00C92CEA">
        <w:rPr>
          <w:noProof/>
        </w:rPr>
        <w:t xml:space="preserve">Ali Ridho and Febri Priyoyudanto, "Arabic Culture and Local Wisdom: Tracing Traditional Values in Modern Society," </w:t>
      </w:r>
      <w:r w:rsidRPr="00C92CEA">
        <w:rPr>
          <w:i/>
          <w:noProof/>
        </w:rPr>
        <w:t>Student Research Journal</w:t>
      </w:r>
      <w:r w:rsidRPr="00C92CEA">
        <w:rPr>
          <w:noProof/>
        </w:rPr>
        <w:t xml:space="preserve"> 2, no. 1 (2024): 204–12, http://journal-stiayappimakassar.ac.id/index.php/srj/article/view/1027.</w:t>
      </w:r>
      <w:r w:rsidRPr="00C92CEA">
        <w:fldChar w:fldCharType="end"/>
      </w:r>
    </w:p>
  </w:footnote>
  <w:footnote w:id="4">
    <w:p w14:paraId="7ADCE374"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rsidRPr="008523C2">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Kata","author":[{"dropping-particle":"","family":"Fajar","given":"Ahmad","non-dropping-particle":"","parse-names":false,"suffix":""}],"id":"ITEM-1","issue":"2","issued":{"date-parts":[["2024"]]},"page":"1-23","title":"POLITIK HUKUM ANGGARAN NEGARA DI BIDANG PENDIDIKAN NASIONAL SEBAGAI PERWUJUDAN AMANAH UNDANG-UNDANG DASAR NEGARA REPUBLIK INDONESIA TAHUN 1945 (STUDI APBN TAHUN 2005-2011)","type":"article-journal","volume":"4"},"uris":["http://www.mendeley.com/documents/?uuid=c2a1717b-29f6-4a50-8fe3-5c45d0ee1966"]}],"mendeley":{"formattedCitation":"Ahmad Fajar, “POLITIK HUKUM ANGGARAN NEGARA DI BIDANG PENDIDIKAN NASIONAL SEBAGAI PERWUJUDAN AMANAH UNDANG-UNDANG DASAR NEGARA REPUBLIK INDONESIA TAHUN 1945 (STUDI APBN TAHUN 2005-2011)” 4, no. 2 (2024): 1–23.","manualFormatting":"Ahmad Fajar, “Politik Hukum Anggaran Negara Di Bidang Pendidikan Nasional Sebagai Perwujudan Amanah Undang-Undang Dasar Negara Republik Indonesia Tahun 1945 (Studi Apbn Tahun 2005-2011)” 4, No. 2 (2024): 1–23.","plainTextFormattedCitation":"Ahmad Fajar, “POLITIK HUKUM ANGGARAN NEGARA DI BIDANG PENDIDIKAN NASIONAL SEBAGAI PERWUJUDAN AMANAH UNDANG-UNDANG DASAR NEGARA REPUBLIK INDONESIA TAHUN 1945 (STUDI APBN TAHUN 2005-2011)” 4, no. 2 (2024): 1–23.","previouslyFormattedCitation":"Ahmad Fajar, “POLITIK HUKUM ANGGARAN NEGARA DI BIDANG PENDIDIKAN NASIONAL SEBAGAI PERWUJUDAN AMANAH UNDANG-UNDANG DASAR NEGARA REPUBLIK INDONESIA TAHUN 1945 (STUDI APBN TAHUN 2005-2011)” 4, no. 2 (2024): 1–23."},"properties":{"noteIndex":4},"schema":"https://github.com/citation-style-language/schema/raw/master/csl-citation.json"}</w:instrText>
      </w:r>
      <w:r w:rsidRPr="008523C2">
        <w:fldChar w:fldCharType="separate"/>
      </w:r>
      <w:r w:rsidRPr="008523C2">
        <w:rPr>
          <w:noProof/>
        </w:rPr>
        <w:t>Ahmad Fajar, "The Legal Politics of the State Budget in the Field of National Education as a Manifestation of the Mandate of the Constitution of the Republic of Indonesia in 1945 (Study of the State Budget in 2005-2011)" 4, no. 2 (2024): 1–23.</w:t>
      </w:r>
      <w:r w:rsidRPr="008523C2">
        <w:fldChar w:fldCharType="end"/>
      </w:r>
    </w:p>
  </w:footnote>
  <w:footnote w:id="5">
    <w:p w14:paraId="070EDD05"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{"citationItems":[{"id":"ITEM-1","itemData":{"author":[{"dropping-particle":"","family":"Hermawan","given":"Dadang","non-dropping-particle":"","parse-names":false,"suffix":""}],"container-title":"musyarokah Jurnal hukum ekonomi syariah","id":"ITEM-1","issue":"2","issued":{"date-parts":[["2024"]]},"page":"24-33","title":"MEMBANGUN KESADARAN HUKUM: PENYULUHANTENTANGDAMPAK BURUK BANK EMOK BAGI MASYARAKATDI DESAPASIRGOMBONG CIKARANG UTARA BEKASI","type":"article-journal","volume":"2"},"uris":["http://www.mendeley.com/documents/?uuid=07adcf25-7089-4205-a1bf-623e2f747aab"]}],"mendeley":{"formattedCitation":"Dadang Hermawan, “MEMBANGUN KESADARAN HUKUM: PENYULUHANTENTANGDAMPAK BURUK BANK EMOK BAGI MASYARAKATDI DESAPASIRGOMBONG CIKARANG UTARA BEKASI,” &lt;i&gt;Musyarokah Jurnal Hukum Ekonomi Syariah&lt;/i&gt; 2, no. 2 (2024): 24–33.","manualFormatting":"Dadang Hermawan, “Membangun Kesadaran Hukum: Penyuluhantentangdampak Buruk Bank Emok Bagi Masyarakatdi Desapasirgombong Cikarang Utara Bekasi,” Musyarokah Jurnal Hukum Ekonomi Syariah 2, No. 2 (2024): 24–33.","plainTextFormattedCitation":"Dadang Hermawan, “MEMBANGUN KESADARAN HUKUM: PENYULUHANTENTANGDAMPAK BURUK BANK EMOK BAGI MASYARAKATDI DESAPASIRGOMBONG CIKARANG UTARA BEKASI,” Musyarokah Jurnal Hukum Ekonomi Syariah 2, no. 2 (2024): 24–33.","previouslyFormattedCitation":"Dadang Hermawan, “MEMBANGUN KESADARAN HUKUM: PENYULUHANTENTANGDAMPAK BURUK BANK EMOK BAGI MASYARAKATDI DESAPASIRGOMBONG CIKARANG UTARA BEKASI,” &lt;i&gt;Musyarokah Jurnal Hukum Ekonomi Syariah&lt;/i&gt; 2, no. 2 (2024): 24–33."},"properties":{"noteIndex":5},"schema":"https://github.com/citation-style-language/schema/raw/master/csl-citation.json"}</w:instrText>
      </w:r>
      <w:r w:rsidRPr="008523C2">
        <w:fldChar w:fldCharType="separate"/>
      </w:r>
      <w:r w:rsidRPr="008523C2">
        <w:rPr>
          <w:noProof/>
        </w:rPr>
        <w:t xml:space="preserve">Dadang Hermawan, "Building Legal Awareness: Counseling on the Adverse Impact of Bank Emok on the Community in North Cikarang Village, Bekasi," </w:t>
      </w:r>
      <w:r w:rsidRPr="008523C2">
        <w:rPr>
          <w:i/>
          <w:noProof/>
        </w:rPr>
        <w:t>Musyarokah Journal of Sharia Economic Law</w:t>
      </w:r>
      <w:r w:rsidRPr="008523C2">
        <w:rPr>
          <w:noProof/>
        </w:rPr>
        <w:t xml:space="preserve"> 2, No. 2 (2024): 24–33.</w:t>
      </w:r>
      <w:r w:rsidRPr="008523C2">
        <w:fldChar w:fldCharType="end"/>
      </w:r>
    </w:p>
  </w:footnote>
  <w:footnote w:id="6">
    <w:p w14:paraId="6041B04D"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{"citationItems":[{"id":"ITEM-1","itemData":{"author":[{"dropping-particle":"","family":"Mufrizal","given":"Fhika Maisyarah","non-dropping-particle":"","parse-names":false,"suffix":""},{"dropping-particle":"","family":"Risdawati","given":"Irsyam","non-dropping-particle":"","parse-names":false,"suffix":""}],"container-title":"Jurnal Ners Widya Husada","id":"ITEM-1","issue":"2","issued":{"date-parts":[["2024"]]},"page":"1175-1181","title":"Yurisdiksi Mediator Kesehatan Dalam Penyelesaian Sengketa Medis Melalui Alternative Penyelesaian Sengketa","type":"article-journal","volume":"8"},"uris":["http://www.mendeley.com/documents/?uuid=863e5a47-902d-4be6-ad88-bdd2efa6bc7b"]}],"mendeley":{"formattedCitation":"Fhika Maisyarah Mufrizal and Irsyam Risdawati, “Yurisdiksi Mediator Kesehatan Dalam Penyelesaian Sengketa Medis Melalui Alternative Penyelesaian Sengketa,” &lt;i&gt;Jurnal Ners Widya Husada&lt;/i&gt; 8, no. 2 (2024): 1175–81, https://journal.universitaspahlawan.ac.id/index.php/ners/article/view/27165/19501.","manualFormatting":"Fhika Maisyarah Mufrizal And Irsyam Risdawati, “Yurisdiksi Mediator Kesehatan Dalam Penyelesaian Sengketa Medis Melalui Alternative Penyelesaian Sengketa,” Jurnal Ners Widya Husada 8, No. 2 (2024): 1175–81, Https://Journal.Universitaspahlawan.Ac.Id/Index.Php/Ners/Article/View/27165/19501.","plainTextFormattedCitation":"Fhika Maisyarah Mufrizal and Irsyam Risdawati, “Yurisdiksi Mediator Kesehatan Dalam Penyelesaian Sengketa Medis Melalui Alternative Penyelesaian Sengketa,” Jurnal Ners Widya Husada 8, no. 2 (2024): 1175–81, https://journal.universitaspahlawan.ac.id/index.php/ners/article/view/27165/19501.","previouslyFormattedCitation":"Fhika Maisyarah Mufrizal and Irsyam Risdawati, “Yurisdiksi Mediator Kesehatan Dalam Penyelesaian Sengketa Medis Melalui Alternative Penyelesaian Sengketa,” &lt;i&gt;Jurnal Ners Widya Husada&lt;/i&gt; 8, no. 2 (2024): 1175–81, https://journal.universitaspahlawan.ac.id/index.php/ners/article/view/27165/19501."},"properties":{"noteIndex":6},"schema":"https://github.com/citation-style-language/schema/raw/master/csl-citation.json"}</w:instrText>
      </w:r>
      <w:r w:rsidRPr="008523C2">
        <w:fldChar w:fldCharType="separate"/>
      </w:r>
      <w:r w:rsidRPr="008523C2">
        <w:rPr>
          <w:noProof/>
        </w:rPr>
        <w:t xml:space="preserve">Fhika Maisyarah Mufrizal and Irsyam Risdawati, "The Jurisdiction of Health Mediators in Medical Dispute Resolution through Alternative Dispute Resolution," </w:t>
      </w:r>
      <w:r w:rsidRPr="008523C2">
        <w:rPr>
          <w:i/>
          <w:noProof/>
        </w:rPr>
        <w:t>Journal of Nurses Widya Husada</w:t>
      </w:r>
      <w:r w:rsidRPr="008523C2">
        <w:rPr>
          <w:noProof/>
        </w:rPr>
        <w:t xml:space="preserve"> 8, no. 2 (2024): 1175–81, Https://Journal.Universitaspahlawan.Ac.Id/Index.Php/Ners/Article/View/27165/19501.</w:t>
      </w:r>
      <w:r w:rsidRPr="008523C2">
        <w:fldChar w:fldCharType="end"/>
      </w:r>
    </w:p>
  </w:footnote>
  <w:footnote w:id="7">
    <w:p w14:paraId="53156F9C"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{"citationItems":[{"id":"ITEM-1","itemData":{"abstract":"… peruntukan, penggunaan dan pemanfaatan tanah yang diakhiri dengan kegiatan konsolidasi tanah, baik berupa konsolidasi tanah pemukiman maupun konsolidasi tanah pertanian. …","author":[{"dropping-particle":"","family":"Jevon Noitolo Gea","given":"Esther","non-dropping-particle":"","parse-names":false,"suffix":""}],"container-title":"Law, Development &amp; Justice Review","id":"ITEM-1","issue":"2","issued":{"date-parts":[["2022"]]},"page":"1-9","title":"Analisis Yuridis Penggunaan Somasi Pada Penyelesaian Sengketa Penuntutan Hak Jawab dalam Kasus Pemberitaan Keliru di Media","type":"article-journal","volume":"3"},"uris":["http://www.mendeley.com/documents/?uuid=f9ee513e-f5b8-4475-8d1c-d3a756e11d18"]}],"mendeley":{"formattedCitation":"Esther Jevon Noitolo Gea, “Analisis Yuridis Penggunaan Somasi Pada Penyelesaian Sengketa Penuntutan Hak Jawab Dalam Kasus Pemberitaan Keliru Di Media,” &lt;i&gt;Law, Development &amp; Justice Review&lt;/i&gt; 3, no. 2 (2022): 1–9.","manualFormatting":"Esther Jevon Noitolo Gea, “Analisis Yuridis Penggunaan Somasi Pada Penyelesaian Sengketa Penuntutan Hak Jawab Dalam Kasus Pemberitaan Keliru Di Media,” Law, Development &amp; Justice Review 3, No. 2 (2022): 1–9.","plainTextFormattedCitation":"Esther Jevon Noitolo Gea, “Analisis Yuridis Penggunaan Somasi Pada Penyelesaian Sengketa Penuntutan Hak Jawab Dalam Kasus Pemberitaan Keliru Di Media,” Law, Development &amp; Justice Review 3, no. 2 (2022): 1–9.","previouslyFormattedCitation":"Esther Jevon Noitolo Gea, “Analisis Yuridis Penggunaan Somasi Pada Penyelesaian Sengketa Penuntutan Hak Jawab Dalam Kasus Pemberitaan Keliru Di Media,” &lt;i&gt;Law, Development &amp; Justice Review&lt;/i&gt; 3, no. 2 (2022): 1–9."},"properties":{"noteIndex":7},"schema":"https://github.com/citation-style-language/schema/raw/master/csl-citation.json"}</w:instrText>
      </w:r>
      <w:r w:rsidRPr="008523C2">
        <w:fldChar w:fldCharType="separate"/>
      </w:r>
      <w:r w:rsidRPr="008523C2">
        <w:rPr>
          <w:noProof/>
        </w:rPr>
        <w:t xml:space="preserve">Esther Jevon Noitolo Gea, "Juridical Analysis of the Use of Summons in the Settlement of Disputes for the Prosecution of the Right of Reply in the Case of False News in the Media," </w:t>
      </w:r>
      <w:r w:rsidRPr="008523C2">
        <w:rPr>
          <w:i/>
          <w:noProof/>
        </w:rPr>
        <w:t>Law, Development &amp; Justice Review</w:t>
      </w:r>
      <w:r w:rsidRPr="008523C2">
        <w:rPr>
          <w:noProof/>
        </w:rPr>
        <w:t xml:space="preserve"> 3, No. 2 (2022): 1–9.</w:t>
      </w:r>
      <w:r w:rsidRPr="008523C2">
        <w:fldChar w:fldCharType="end"/>
      </w:r>
    </w:p>
  </w:footnote>
  <w:footnote w:id="8">
    <w:p w14:paraId="78679440"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{"citationItems":[{"id":"ITEM-1","itemData":{"author":[{"dropping-particle":"","family":"Hadiati","given":"Mia","non-dropping-particle":"","parse-names":false,"suffix":""},{"dropping-particle":"","family":"Putri","given":"Inayah Fasawwa","non-dropping-particle":"","parse-names":false,"suffix":""},{"dropping-particle":"","family":"Trixie","given":"Ivana","non-dropping-particle":"","parse-names":false,"suffix":""},{"dropping-particle":"","family":"Alam","given":"Jenice Valencia","non-dropping-particle":"","parse-names":false,"suffix":""},{"dropping-particle":"","family":"Hukum","given":"Studi","non-dropping-particle":"","parse-names":false,"suffix":""},{"dropping-particle":"","family":"Hukum","given":"Fakultas","non-dropping-particle":"","parse-names":false,"suffix":""},{"dropping-particle":"","family":"Tarumanagara","given":"Universitas","non-dropping-particle":"","parse-names":false,"suffix":""},{"dropping-particle":"","family":"Bandung","given":"Kota","non-dropping-particle":"","parse-names":false,"suffix":""},{"dropping-particle":"","family":"Kerja","given":"Kontrak","non-dropping-particle":"","parse-names":false,"suffix":""}],"id":"ITEM-1","issue":"1","issued":{"date-parts":[["2025"]]},"page":"161-166","title":"SOSIALISASI MENGENAI PERJANJIAN KONTRAK KERJA DALAM DUNIA KERJA BAGI SISWA SMKN 15 KOTA BANDUNG","type":"article-journal","volume":"3"},"uris":["http://www.mendeley.com/documents/?uuid=a9b81156-ae0d-4038-bb86-bbaf20d85ab5"]}],"mendeley":{"formattedCitation":"Mia Hadiati et al., “SOSIALISASI MENGENAI PERJANJIAN KONTRAK KERJA DALAM DUNIA KERJA BAGI SISWA SMKN 15 KOTA BANDUNG” 3, no. 1 (2025): 161–66.","manualFormatting":"Mia Hadiati Et Al., “Sosialisasi Mengenai Perjanjian Kontrak Kerja Dalam Dunia Kerja Bagi Siswa Smkn 15 Kota Bandung” 3, No. 1 (2025): 161–66.","plainTextFormattedCitation":"Mia Hadiati et al., “SOSIALISASI MENGENAI PERJANJIAN KONTRAK KERJA DALAM DUNIA KERJA BAGI SISWA SMKN 15 KOTA BANDUNG” 3, no. 1 (2025): 161–66.","previouslyFormattedCitation":"Mia Hadiati et al., “SOSIALISASI MENGENAI PERJANJIAN KONTRAK KERJA DALAM DUNIA KERJA BAGI SISWA SMKN 15 KOTA BANDUNG” 3, no. 1 (2025): 161–66."},"properties":{"noteIndex":8},"schema":"https://github.com/citation-style-language/schema/raw/master/csl-citation.json"}</w:instrText>
      </w:r>
      <w:r w:rsidRPr="008523C2">
        <w:fldChar w:fldCharType="separate"/>
      </w:r>
      <w:r w:rsidRPr="008523C2">
        <w:rPr>
          <w:noProof/>
        </w:rPr>
        <w:t>Mia Hadiati et al., "Socialization of Employment Contract Agreements in the World of Work for Students of SMKN 15 Bandung City" 3, no. 1 (2025): 161–66.</w:t>
      </w:r>
      <w:r w:rsidRPr="008523C2">
        <w:fldChar w:fldCharType="end"/>
      </w:r>
    </w:p>
  </w:footnote>
  <w:footnote w:id="9">
    <w:p w14:paraId="38AF60A0" w14:textId="77777777" w:rsidR="00F86319" w:rsidRPr="009575F7" w:rsidRDefault="00F86319" w:rsidP="00F86319">
      <w:pPr>
        <w:pStyle w:val="FootnoteText"/>
        <w:ind w:firstLine="360"/>
        <w:jc w:val="both"/>
      </w:pPr>
      <w:r w:rsidRPr="009575F7">
        <w:rPr>
          <w:rStyle w:val="FootnoteReference"/>
        </w:rPr>
        <w:footnoteRef/>
      </w:r>
      <w:r w:rsidRPr="009575F7">
        <w:t xml:space="preserve"> </w:t>
      </w:r>
      <w:r w:rsidRPr="009575F7">
        <w:fldChar w:fldCharType="begin" w:fldLock="1"/>
      </w:r>
      <w:r>
        <w:instrText>ADDIN CSL_CITATION {"citationItems":[{"id":"ITEM-1","itemData":{"DOI":"10.1080/00071005.2020.1728227","ISSN":"14678527","abstract":"Our paper examines the opening of branches overseas (‘satellite colleges’) by elite private schools mainly located in England (‘founding colleges’), largely in emerging economies of the Middle East and South East Asia. We trace the development of these ‘satellite colleges’ over three successive waves of growth, from opportunistic venturing in Thailand in the late-1990s to their recent rapid growth in numbers in a phase characterized by the market entry of new actors and geographic diversification. We argue that the emergence of these schools occurs in line with the continued intensification and diversification of the Global Education Industry. This implies a significant shift in the modes of legitimation on which British elite schools typically rely.","author":[{"dropping-particle":"","family":"Bunnell","given":"Tristan","non-dropping-particle":"","parse-names":false,"suffix":""},{"dropping-particle":"","family":"Courtois","given":"Aline","non-dropping-particle":"","parse-names":false,"suffix":""},{"dropping-particle":"","family":"Donnelly","given":"Michael","non-dropping-particle":"","parse-names":false,"suffix":""}],"container-title":"British Journal of Educational Studies","id":"ITEM-1","issue":"6","issued":{"date-parts":[["2020"]]},"page":"691-712","title":"British Elite Private Schools and Their Overseas Branches: Unexpected Actors in the Global Education Industry","type":"article-journal","volume":"68"},"uris":["http://www.mendeley.com/documents/?uuid=291af901-4da2-47f8-a88d-4e9fe65ae1c9"]}],"mendeley":{"formattedCitation":"Tristan Bunnell, Aline Courtois, and Michael Donnelly, “British Elite Private Schools and Their Overseas Branches: Unexpected Actors in the Global Education Industry,” &lt;i&gt;British Journal of Educational Studies&lt;/i&gt; 68, no. 6 (2020): 691–712, https://doi.org/10.1080/00071005.2020.1728227.","plainTextFormattedCitation":"Tristan Bunnell, Aline Courtois, and Michael Donnelly, “British Elite Private Schools and Their Overseas Branches: Unexpected Actors in the Global Education Industry,” British Journal of Educational Studies 68, no. 6 (2020): 691–712, https://doi.org/10.1080/00071005.2020.1728227.","previouslyFormattedCitation":"Tristan Bunnell, Aline Courtois, and Michael Donnelly, “British Elite Private Schools and Their Overseas Branches: Unexpected Actors in the Global Education Industry,” &lt;i&gt;British Journal of Educational Studies&lt;/i&gt; 68, no. 6 (2020): 691–712, https://doi.org/10.1080/00071005.2020.1728227."},"properties":{"noteIndex":9},"schema":"https://github.com/citation-style-language/schema/raw/master/csl-citation.json"}</w:instrText>
      </w:r>
      <w:r w:rsidRPr="009575F7">
        <w:fldChar w:fldCharType="separate"/>
      </w:r>
      <w:r w:rsidRPr="009575F7">
        <w:rPr>
          <w:noProof/>
        </w:rPr>
        <w:t xml:space="preserve">Tristan Bunnell, Aline Courtois, and Michael Donnelly, "British Elite Private Schools and Their Overseas Branches: Unexpected Actors in the Global Education Industry," </w:t>
      </w:r>
      <w:r w:rsidRPr="009575F7">
        <w:rPr>
          <w:i/>
          <w:noProof/>
        </w:rPr>
        <w:t>British Journal of Educational Studies</w:t>
      </w:r>
      <w:r w:rsidRPr="009575F7">
        <w:rPr>
          <w:noProof/>
        </w:rPr>
        <w:t xml:space="preserve"> 68, no. 6 (2020): 691–712, https://doi.org/10.1080/00071005.2020.1728227.</w:t>
      </w:r>
      <w:r w:rsidRPr="009575F7">
        <w:fldChar w:fldCharType="end"/>
      </w:r>
    </w:p>
  </w:footnote>
  <w:footnote w:id="10">
    <w:p w14:paraId="3B1A99E4" w14:textId="77777777" w:rsidR="00F86319"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{"citationItems":[{"id":"ITEM-1","itemData":{"author":[{"dropping-particle":"","family":"Role","given":"T H E","non-dropping-particle":"","parse-names":false,"suffix":""},{"dropping-particle":"","family":"Arbitration","given":"O F","non-dropping-particle":"","parse-names":false,"suffix":""},{"dropping-particle":"","family":"In","given":"Institutions","non-dropping-particle":"","parse-names":false,"suffix":""},{"dropping-particle":"","family":"Settlement","given":"T H E","non-dropping-particle":"","parse-names":false,"suffix":""},{"dropping-particle":"","family":"Business","given":"O F","non-dropping-particle":"","parse-names":false,"suffix":""},{"dropping-particle":"","family":"Disputes","given":"Commercial Contract","non-dropping-particle":"","parse-names":false,"suffix":""}],"container-title":"JArbI: Jurnal Arbitrase Indonesia","id":"ITEM-1","issue":"1","issued":{"date-parts":[["2025"]]},"page":"51-68","title":"THE ROLE OF ARBITRATION INSTITUTIONS IN THE SETTLEMENT OF BUSINESS","type":"article-journal","volume":"1"},"uris":["http://www.mendeley.com/documents/?uuid=3261a2c7-e543-45d1-9551-7066f810cb97"]}],"mendeley":{"formattedCitation":"T H E Role et al., “THE ROLE OF ARBITRATION INSTITUTIONS IN THE SETTLEMENT OF BUSINESS,” &lt;i&gt;JArbI: Jurnal Arbitrase Indonesia&lt;/i&gt; 1, no. 1 (2025): 51–68.","manualFormatting":"T H E Role Et Al., “The Role Of Arbitration Institutions In The Settlement Of Business,” Jarbi: Jurnal Arbitrase Indonesia 1, No. 1 (2025): 51–68.","plainTextFormattedCitation":"T H E Role et al., “THE ROLE OF ARBITRATION INSTITUTIONS IN THE SETTLEMENT OF BUSINESS,” JArbI: Jurnal Arbitrase Indonesia 1, no. 1 (2025): 51–68.","previouslyFormattedCitation":"T H E Role et al., “THE ROLE OF ARBITRATION INSTITUTIONS IN THE SETTLEMENT OF BUSINESS,” &lt;i&gt;JArbI: Jurnal Arbitrase Indonesia&lt;/i&gt; 1, no. 1 (2025): 51–68."},"properties":{"noteIndex":10},"schema":"https://github.com/citation-style-language/schema/raw/master/csl-citation.json"}</w:instrText>
      </w:r>
      <w:r w:rsidRPr="008523C2">
        <w:fldChar w:fldCharType="separate"/>
      </w:r>
      <w:r w:rsidRPr="008523C2">
        <w:rPr>
          <w:noProof/>
        </w:rPr>
        <w:t xml:space="preserve">T H E Role Et Al., “The Role Of Arbitration Institutions In The Settlement Of Business,” </w:t>
      </w:r>
      <w:r w:rsidRPr="008523C2">
        <w:rPr>
          <w:i/>
          <w:noProof/>
        </w:rPr>
        <w:t>Jarbi: Indonesian Arbitration Journal</w:t>
      </w:r>
      <w:r w:rsidRPr="008523C2">
        <w:rPr>
          <w:noProof/>
        </w:rPr>
        <w:t xml:space="preserve"> 1, no. 1 (2025): 51–68.</w:t>
      </w:r>
      <w:r w:rsidRPr="008523C2">
        <w:fldChar w:fldCharType="end"/>
      </w:r>
    </w:p>
  </w:footnote>
  <w:footnote w:id="11">
    <w:p w14:paraId="068E8969"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{"citationItems":[{"id":"ITEM-1","itemData":{"author":[{"dropping-particle":"","family":"Noho","given":"Muhammad Dzikirullah H","non-dropping-particle":"","parse-names":false,"suffix":""},{"dropping-particle":"","family":"Sari","given":"Embun","non-dropping-particle":"","parse-names":false,"suffix":""},{"dropping-particle":"","family":"Fitria","given":"Norma","non-dropping-particle":"","parse-names":false,"suffix":""},{"dropping-particle":"","family":"Akbar","given":"Fahd","non-dropping-particle":"","parse-names":false,"suffix":""}],"id":"ITEM-1","issue":"2","issued":{"date-parts":[["2023"]]},"page":"1-9","title":"Pengaktualisasian Itikad Baik Dalam Mencapai Hukum Kontrak Yang Progresif Di Indonesia","type":"article-journal","volume":"1"},"uris":["http://www.mendeley.com/documents/?uuid=bf6185cd-8813-4cf1-b94b-c18c0f027876"]}],"mendeley":{"formattedCitation":"Muhammad Dzikirullah H Noho et al., “Pengaktualisasian Itikad Baik Dalam Mencapai Hukum Kontrak Yang Progresif Di Indonesia” 1, no. 2 (2023): 1–9.","manualFormatting":"Muhammad Dzikirullah H Noho Et Al., “Pengaktualisasian Itikad Baik Dalam Mencapai Hukum Kontrak Yang Progresif Di Indonesia” 1, No. 2 (2023): 1–9.","plainTextFormattedCitation":"Muhammad Dzikirullah H Noho et al., “Pengaktualisasian Itikad Baik Dalam Mencapai Hukum Kontrak Yang Progresif Di Indonesia” 1, no. 2 (2023): 1–9.","previouslyFormattedCitation":"Muhammad Dzikirullah H Noho et al., “Pengaktualisasian Itikad Baik Dalam Mencapai Hukum Kontrak Yang Progresif Di Indonesia” 1, no. 2 (2023): 1–9."},"properties":{"noteIndex":11},"schema":"https://github.com/citation-style-language/schema/raw/master/csl-citation.json"}</w:instrText>
      </w:r>
      <w:r w:rsidRPr="008523C2">
        <w:fldChar w:fldCharType="separate"/>
      </w:r>
      <w:r w:rsidRPr="008523C2">
        <w:rPr>
          <w:noProof/>
        </w:rPr>
        <w:t>Muhammad Dzikirullah H Noho et al., "Actualization of Good Faith in Achieving Progressive Contract Law in Indonesia" 1, no. 2 (2023): 1–9.</w:t>
      </w:r>
      <w:r w:rsidRPr="008523C2">
        <w:fldChar w:fldCharType="end"/>
      </w:r>
    </w:p>
  </w:footnote>
  <w:footnote w:id="12">
    <w:p w14:paraId="253A42DC"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ukum","given":"Jurnal","non-dropping-particle":"","parse-names":false,"suffix":""},{"dropping-particle":"","family":"Dan","given":"Politik","non-dropping-particle":"","parse-names":false,"suffix":""},{"dropping-particle":"","family":"Sosial","given":"Ilmu","non-dropping-particle":"","parse-names":false,"suffix":""},{"dropping-particle":"","family":"Juni","given":"No","non-dropping-particle":"","parse-names":false,"suffix":""}],"container-title":"JURNAL HUKUM, POLITIK DAN ILMU SOSIAL (JHPIS)","id":"ITEM-1","issue":"2","issued":{"date-parts":[["2024"]]},"page":"3","title":"Peningkatan Kualitas Pendidikan di Pesantren Melalui Inovasi Kurikulum Rahmad Fuad Universitas Islam Negeri Sjech M . Djamil Djambek Bukittinggi di dunia dan akhirat . Al-Qur ' an juga menekankan pentingnya pendidikan , terutama bagi orang-","type":"article-journal","volume":"3"},"uris":["http://www.mendeley.com/documents/?uuid=21766bdd-8f7d-43b4-bdb2-e8d14b44d734"]}],"mendeley":{"formattedCitation":"Jurnal Hukum et al., “Peningkatan Kualitas Pendidikan Di Pesantren Melalui Inovasi Kurikulum Rahmad Fuad Universitas Islam Negeri Sjech M . Djamil Djambek Bukittinggi Di Dunia Dan Akhirat . Al-Qur ’ an Juga Menekankan Pentingnya Pendidikan , Terutama Bagi Orang-,” &lt;i&gt;JURNAL HUKUM, POLITIK DAN ILMU SOSIAL (JHPIS)&lt;/i&gt; 3, no. 2 (2024): 3.","manualFormatting":"Jurnal Hukum Et Al., “Peningkatan Kualitas Pendidikan Di Pesantren Melalui Inovasi Kurikulum Rahmad Fuad Universitas Islam Negeri Sjech M . Djamil Djambek Bukittinggi Di Dunia Dan Akhirat . Al-Qur ’ An Juga Menekankan Pentingnya Pendidikan , Terutama Bagi Orang-,” Jurnal Hukum, Politik Dan Ilmu Sosial (Jhpis) 3, No. 2 (2024): 3.","plainTextFormattedCitation":"Jurnal Hukum et al., “Peningkatan Kualitas Pendidikan Di Pesantren Melalui Inovasi Kurikulum Rahmad Fuad Universitas Islam Negeri Sjech M . Djamil Djambek Bukittinggi Di Dunia Dan Akhirat . Al-Qur ’ an Juga Menekankan Pentingnya Pendidikan , Terutama Bagi Orang-,” JURNAL HUKUM, POLITIK DAN ILMU SOSIAL (JHPIS) 3, no. 2 (2024): 3.","previouslyFormattedCitation":"Jurnal Hukum et al., “Peningkatan Kualitas Pendidikan Di Pesantren Melalui Inovasi Kurikulum Rahmad Fuad Universitas Islam Negeri Sjech M . Djamil Djambek Bukittinggi Di Dunia Dan Akhirat . Al-Qur ’ an Juga Menekankan Pentingnya Pendidikan , Terutama Bagi Orang-,” &lt;i&gt;JURNAL HUKUM, POLITIK DAN ILMU SOSIAL (JHPIS)&lt;/i&gt; 3, no. 2 (2024): 3."},"properties":{"noteIndex":12},"schema":"https://github.com/citation-style-language/schema/raw/master/csl-citation.json"}</w:instrText>
      </w:r>
      <w:r w:rsidRPr="008523C2">
        <w:fldChar w:fldCharType="separate"/>
      </w:r>
      <w:r w:rsidRPr="008523C2">
        <w:rPr>
          <w:noProof/>
        </w:rPr>
        <w:t xml:space="preserve">Jurnal Hukum et al., "Improving the Quality of Education in Islamic Boarding Schools through Curriculum Innovation Rahmad Fuad State Islamic University Sjech M . Djamil Djambek Bukittinggi in this world and the hereafter. The Qur'an also emphasizes the importance of education, especially for people-," </w:t>
      </w:r>
      <w:r w:rsidRPr="008523C2">
        <w:rPr>
          <w:i/>
          <w:noProof/>
        </w:rPr>
        <w:t>Journal of Law, Politics and Social Sciences (JHPIS)</w:t>
      </w:r>
      <w:r w:rsidRPr="008523C2">
        <w:rPr>
          <w:noProof/>
        </w:rPr>
        <w:t xml:space="preserve"> 3, No. 2 (2024): 3.</w:t>
      </w:r>
      <w:r w:rsidRPr="008523C2">
        <w:fldChar w:fldCharType="end"/>
      </w:r>
    </w:p>
  </w:footnote>
  <w:footnote w:id="13">
    <w:p w14:paraId="4723B0DD" w14:textId="77777777" w:rsidR="00F86319" w:rsidRPr="008523C2"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{"citationItems":[{"id":"ITEM-1","itemData":{"author":[{"dropping-particle":"","family":"Wiyono","given":"Agung Abdul Rahman","non-dropping-particle":"","parse-names":false,"suffix":""}],"container-title":"Jurnal IUS","id":"ITEM-1","issue":"02","issued":{"date-parts":[["2024"]]},"page":"163","title":"PENYELESAIAN SENGKETA MEREK MELALUI ARBITRASE DAN NON LITIGASI MENURUT UU NO 20 TAHUN 2016 TENTANG MEREK DAN DASAR KEKUATAN EKSEKUSI ATAS HASIL PUTUSAN ARBITRASE DAN PERUNDINGAN LEMBAGA NON LITIGASI DALAM SENGKETA MEREK","type":"article-journal","volume":"7"},"uris":["http://www.mendeley.com/documents/?uuid=47ffa79e-fb6f-4351-8851-358180fe4a82"]}],"mendeley":{"formattedCitation":"Agung Abdul Rahman Wiyono, “PENYELESAIAN SENGKETA MEREK MELALUI ARBITRASE DAN NON LITIGASI MENURUT UU NO 20 TAHUN 2016 TENTANG MEREK DAN DASAR KEKUATAN EKSEKUSI ATAS HASIL PUTUSAN ARBITRASE DAN PERUNDINGAN LEMBAGA NON LITIGASI DALAM SENGKETA MEREK,” &lt;i&gt;Jurnal IUS&lt;/i&gt; 7, no. 02 (2024): 163.","manualFormatting":"Agung Abdul Rahman Wiyono, “Penyelesaian Sengketa Merek Melalui Arbitrase Dan Non Litigasi Menurut Uu No 20 Tahun 2016 Tentang Merek Dan Dasar Kekuatan Eksekusi Atas Hasil Putusan Arbitrase Dan Perundingan Lembaga Non Litigasi Dalam Sengketa Merek,” Jurnal Ius 7, No. 02 (2024): 163.","plainTextFormattedCitation":"Agung Abdul Rahman Wiyono, “PENYELESAIAN SENGKETA MEREK MELALUI ARBITRASE DAN NON LITIGASI MENURUT UU NO 20 TAHUN 2016 TENTANG MEREK DAN DASAR KEKUATAN EKSEKUSI ATAS HASIL PUTUSAN ARBITRASE DAN PERUNDINGAN LEMBAGA NON LITIGASI DALAM SENGKETA MEREK,” Jurnal IUS 7, no. 02 (2024): 163.","previouslyFormattedCitation":"Agung Abdul Rahman Wiyono, “PENYELESAIAN SENGKETA MEREK MELALUI ARBITRASE DAN NON LITIGASI MENURUT UU NO 20 TAHUN 2016 TENTANG MEREK DAN DASAR KEKUATAN EKSEKUSI ATAS HASIL PUTUSAN ARBITRASE DAN PERUNDINGAN LEMBAGA NON LITIGASI DALAM SENGKETA MEREK,” &lt;i&gt;Jurnal IUS&lt;/i&gt; 7, no. 02 (2024): 163."},"properties":{"noteIndex":13},"schema":"https://github.com/citation-style-language/schema/raw/master/csl-citation.json"}</w:instrText>
      </w:r>
      <w:r w:rsidRPr="008523C2">
        <w:fldChar w:fldCharType="separate"/>
      </w:r>
      <w:r w:rsidRPr="008523C2">
        <w:rPr>
          <w:noProof/>
        </w:rPr>
        <w:t xml:space="preserve">Agung Abdul Rahman Wiyono, "Settlement of Trademark Disputes through Arbitration and Non-Litigation in accordance with Law No. 20 of 2016 concerning Trademarks and the Basis of Enforcement Power on the Results of Arbitration Decisions and Negotiations of Non-Litigation Institutions in Trademark Disputes," </w:t>
      </w:r>
      <w:r w:rsidRPr="008523C2">
        <w:rPr>
          <w:i/>
          <w:noProof/>
        </w:rPr>
        <w:t>Ius Journal</w:t>
      </w:r>
      <w:r w:rsidRPr="008523C2">
        <w:rPr>
          <w:noProof/>
        </w:rPr>
        <w:t xml:space="preserve"> 7, No. 02 (2024): 163.</w:t>
      </w:r>
      <w:r w:rsidRPr="008523C2">
        <w:fldChar w:fldCharType="end"/>
      </w:r>
    </w:p>
  </w:footnote>
  <w:footnote w:id="14">
    <w:p w14:paraId="3F44D7F1" w14:textId="77777777" w:rsidR="00F86319" w:rsidRDefault="00F86319" w:rsidP="00F86319">
      <w:pPr>
        <w:pStyle w:val="FootnoteText"/>
        <w:ind w:firstLine="360"/>
        <w:jc w:val="both"/>
      </w:pPr>
      <w:r w:rsidRPr="008523C2">
        <w:rPr>
          <w:rStyle w:val="FootnoteReference"/>
        </w:rPr>
        <w:footnoteRef/>
      </w:r>
      <w:r w:rsidRPr="008523C2">
        <w:t xml:space="preserve"> </w:t>
      </w:r>
      <w:r w:rsidRPr="008523C2">
        <w:fldChar w:fldCharType="begin" w:fldLock="1"/>
      </w:r>
      <w:r>
        <w:instrText>ADDIN CSL_CITATION {"citationItems":[{"id":"ITEM-1","itemData":{"author":[{"dropping-particle":"","family":"Hasan","given":"Zainudin","non-dropping-particle":"","parse-names":false,"suffix":""},{"dropping-particle":"","family":"Majidah","given":"Sanyyah","non-dropping-particle":"","parse-names":false,"suffix":""},{"dropping-particle":"","family":"Yansah","given":"Aldi","non-dropping-particle":"","parse-names":false,"suffix":""},{"dropping-particle":"","family":"Salsabila","given":"Rahmi Fitrinoviana","non-dropping-particle":"","parse-names":false,"suffix":""}],"container-title":"Jurnal Ilmiah Mahasiswa","id":"ITEM-1","issue":"1","issued":{"date-parts":[["2024"]]},"page":"44-54","title":"Konstitusi Sebagai Dasar Hukum Dalam Pembangunan Sistem Hukum Nasional JIMA : Jurnal Ilmiah Mahasiswa Keberadaan Konstitusi Sebagai Sumber Hukum dalam Pembangunan Sistem Hukum Nasional","type":"article-journal","volume":"2"},"uris":["http://www.mendeley.com/documents/?uuid=f2c01abb-6bf3-4f5a-a44b-c7a4f136d8a4"]}],"mendeley":{"formattedCitation":"Zainudin Hasan et al., “Konstitusi Sebagai Dasar Hukum Dalam Pembangunan Sistem Hukum Nasional JIMA : Jurnal Ilmiah Mahasiswa Keberadaan Konstitusi Sebagai Sumber Hukum Dalam Pembangunan Sistem Hukum Nasional,” &lt;i&gt;Jurnal Ilmiah Mahasiswa&lt;/i&gt; 2, no. 1 (2024): 44–54.","manualFormatting":"Zainudin Hasan Et Al., “Konstitusi Sebagai Dasar Hukum Dalam Pembangunan Sistem Hukum Nasional Jima : Jurnal Ilmiah Mahasiswa Keberadaan Konstitusi Sebagai Sumber Hukum Dalam Pembangunan Sistem Hukum Nasional,” Jurnal Ilmiah Mahasiswa 2, No. 1 (2024): 44–54.","plainTextFormattedCitation":"Zainudin Hasan et al., “Konstitusi Sebagai Dasar Hukum Dalam Pembangunan Sistem Hukum Nasional JIMA : Jurnal Ilmiah Mahasiswa Keberadaan Konstitusi Sebagai Sumber Hukum Dalam Pembangunan Sistem Hukum Nasional,” Jurnal Ilmiah Mahasiswa 2, no. 1 (2024): 44–54.","previouslyFormattedCitation":"Zainudin Hasan et al., “Konstitusi Sebagai Dasar Hukum Dalam Pembangunan Sistem Hukum Nasional JIMA : Jurnal Ilmiah Mahasiswa Keberadaan Konstitusi Sebagai Sumber Hukum Dalam Pembangunan Sistem Hukum Nasional,” &lt;i&gt;Jurnal Ilmiah Mahasiswa&lt;/i&gt; 2, no. 1 (2024): 44–54."},"properties":{"noteIndex":14},"schema":"https://github.com/citation-style-language/schema/raw/master/csl-citation.json"}</w:instrText>
      </w:r>
      <w:r w:rsidRPr="008523C2">
        <w:fldChar w:fldCharType="separate"/>
      </w:r>
      <w:r w:rsidRPr="008523C2">
        <w:rPr>
          <w:noProof/>
        </w:rPr>
        <w:t xml:space="preserve">Zainudin Hasan et al., "Constitution as a Legal Basis in the Development of the National Legal System Jima: A Student Scientific Journal of the Existence of the Constitution as a Legal Source in the Development of the National Legal System," </w:t>
      </w:r>
      <w:r w:rsidRPr="008523C2">
        <w:rPr>
          <w:i/>
          <w:noProof/>
        </w:rPr>
        <w:t>Student Scientific Journal</w:t>
      </w:r>
      <w:r w:rsidRPr="008523C2">
        <w:rPr>
          <w:noProof/>
        </w:rPr>
        <w:t xml:space="preserve"> 2, No. 1 (2024): 44–54.</w:t>
      </w:r>
      <w:r w:rsidRPr="008523C2">
        <w:fldChar w:fldCharType="end"/>
      </w:r>
    </w:p>
  </w:footnote>
  <w:footnote w:id="15">
    <w:p w14:paraId="6FD40FF6"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{"citationItems":[{"id":"ITEM-1","itemData":{"author":[{"dropping-particle":"","family":"Irwansyah","given":"","non-dropping-particle":"","parse-names":false,"suffix":""}],"id":"ITEM-1","issued":{"date-parts":[["2022"]]},"page":"hlm 172","publisher":"Mirra Buana Media","publisher-place":"Yogyakarta","title":"Penelitian Hukum Pilihan Metode &amp; Praktik Penulisan Artikel","type":"chapter"},"uris":["http://www.mendeley.com/documents/?uuid=f7395036-3599-4328-bc6c-050c8627ea06"]}],"mendeley":{"formattedCitation":"Irwansyah, “Penelitian Hukum Pilihan Metode &amp; Praktik Penulisan Artikel” (Yogyakarta: Mirra Buana Media, 2022), hlm 172.","manualFormatting":"Irwansyah, “Penelitian Hukum Pilihan Metode &amp; Praktik Penulisan Artikel” (Yogyakarta: Mirra Buana Media, 2022), Hlm 172.","plainTextFormattedCitation":"Irwansyah, “Penelitian Hukum Pilihan Metode &amp; Praktik Penulisan Artikel” (Yogyakarta: Mirra Buana Media, 2022), hlm 172.","previouslyFormattedCitation":"Irwansyah, “Penelitian Hukum Pilihan Metode &amp; Praktik Penulisan Artikel” (Yogyakarta: Mirra Buana Media, 2022), hlm 172."},"properties":{"noteIndex":15},"schema":"https://github.com/citation-style-language/schema/raw/master/csl-citation.json"}</w:instrText>
      </w:r>
      <w:r w:rsidRPr="00012ACF">
        <w:fldChar w:fldCharType="separate"/>
      </w:r>
      <w:r w:rsidRPr="00012ACF">
        <w:rPr>
          <w:noProof/>
        </w:rPr>
        <w:t>Irwansyah, "Legal Research on the Choice of Article Writing Methods &amp; Practices" (Yogyakarta: Mirra Buana Media, 2022), p. 172.</w:t>
      </w:r>
      <w:r w:rsidRPr="00012ACF">
        <w:fldChar w:fldCharType="end"/>
      </w:r>
    </w:p>
  </w:footnote>
  <w:footnote w:id="16">
    <w:p w14:paraId="357542A2"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{"citationItems":[{"id":"ITEM-1","itemData":{"DOI":"10.51903/perkara.v2i4.2226","author":[{"dropping-particle":"","family":"Kossay","given":"Methodius","non-dropping-particle":"","parse-names":false,"suffix":""},{"dropping-particle":"","family":"Idris","given":"Maulana Fahmi","non-dropping-particle":"","parse-names":false,"suffix":""},{"dropping-particle":"","family":"Pratiwi","given":"Putri","non-dropping-particle":"","parse-names":false,"suffix":""},{"dropping-particle":"","family":"Info","given":"Article","non-dropping-particle":"","parse-names":false,"suffix":""}],"container-title":"PERKARA Jurnal Ilmu Hukum dan Politik","id":"ITEM-1","issue":"4","issued":{"date-parts":[["2024"]]},"page":"543","title":"Efektivitas Mediasi dalam Penyelesaian Sengketa Perdata di Era Digital: Pendekatan Empiris terhadap Sistem Peradilan Indonesia","type":"article-journal","volume":"2"},"uris":["http://www.mendeley.com/documents/?uuid=8dc0c889-f509-421b-a903-44c588d526e0"]}],"mendeley":{"formattedCitation":"Methodius Kossay et al., “Efektivitas Mediasi Dalam Penyelesaian Sengketa Perdata Di Era Digital: Pendekatan Empiris Terhadap Sistem Peradilan Indonesia,” &lt;i&gt;PERKARA Jurnal Ilmu Hukum Dan Politik&lt;/i&gt; 2, no. 4 (2024): 543, https://doi.org/10.51903/perkara.v2i4.2226.","manualFormatting":"Methodius Kossay Et Al., “Efektivitas Mediasi Dalam Penyelesaian Sengketa Perdata Di Era Digital: Pendekatan Empiris Terhadap Sistem Peradilan Indonesia,” Perkara Jurnal Ilmu Hukum Dan Politik 2, No. 4 (2024): 543, Https://Doi.Org/10.51903/Perkara.V2i4.2226.","plainTextFormattedCitation":"Methodius Kossay et al., “Efektivitas Mediasi Dalam Penyelesaian Sengketa Perdata Di Era Digital: Pendekatan Empiris Terhadap Sistem Peradilan Indonesia,” PERKARA Jurnal Ilmu Hukum Dan Politik 2, no. 4 (2024): 543, https://doi.org/10.51903/perkara.v2i4.2226.","previouslyFormattedCitation":"Methodius Kossay et al., “Efektivitas Mediasi Dalam Penyelesaian Sengketa Perdata Di Era Digital: Pendekatan Empiris Terhadap Sistem Peradilan Indonesia,” &lt;i&gt;PERKARA Jurnal Ilmu Hukum Dan Politik&lt;/i&gt; 2, no. 4 (2024): 543, https://doi.org/10.51903/perkara.v2i4.2226."},"properties":{"noteIndex":16},"schema":"https://github.com/citation-style-language/schema/raw/master/csl-citation.json"}</w:instrText>
      </w:r>
      <w:r w:rsidRPr="00012ACF">
        <w:fldChar w:fldCharType="separate"/>
      </w:r>
      <w:r w:rsidRPr="00012ACF">
        <w:rPr>
          <w:noProof/>
        </w:rPr>
        <w:t xml:space="preserve">Methodius Kossay et al., "The Effectiveness of Mediation in Civil Dispute Resolution in the Digital Age: An Empirical Approach to the Indonesian Judicial System," </w:t>
      </w:r>
      <w:r w:rsidRPr="00012ACF">
        <w:rPr>
          <w:i/>
          <w:noProof/>
        </w:rPr>
        <w:t>Journal of Law and Politics</w:t>
      </w:r>
      <w:r w:rsidRPr="00012ACF">
        <w:rPr>
          <w:noProof/>
        </w:rPr>
        <w:t xml:space="preserve"> 2, No. 4 (2024): 543, Https://Doi.Org/10.51903/Perkara.V2i4.2226.</w:t>
      </w:r>
      <w:r w:rsidRPr="00012ACF">
        <w:fldChar w:fldCharType="end"/>
      </w:r>
    </w:p>
  </w:footnote>
  <w:footnote w:id="17">
    <w:p w14:paraId="6E8A1AD7"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{"citationItems":[{"id":"ITEM-1","itemData":{"author":[{"dropping-particle":"","family":"Tahun","given":"April","non-dropping-particle":"","parse-names":false,"suffix":""},{"dropping-particle":"","family":"Hapsari","given":"Ayu Fitri","non-dropping-particle":"","parse-names":false,"suffix":""},{"dropping-particle":"","family":"Aziz","given":"Arya Salman","non-dropping-particle":"","parse-names":false,"suffix":""},{"dropping-particle":"","family":"Yatulloh","given":"Dina Mukti","non-dropping-particle":"","parse-names":false,"suffix":""},{"dropping-particle":"","family":"Salma","given":"Nabila","non-dropping-particle":"","parse-names":false,"suffix":""},{"dropping-particle":"","family":"Yudhayana","given":"Surya Wira","non-dropping-particle":"","parse-names":false,"suffix":""},{"dropping-particle":"","family":"Sumardiana","given":"Benny","non-dropping-particle":"","parse-names":false,"suffix":""}],"id":"ITEM-1","issue":"2","issued":{"date-parts":[["2025"]]},"title":"Analisis Peran Advokat dalam Merancang Strategi Penyelesaian Sengketa : Studi Kasus di Kantor Hukum Josant and Friends","type":"article-journal","volume":"2"},"uris":["http://www.mendeley.com/documents/?uuid=908c22dc-b9c3-4d31-b70d-73c7f65b5098"]}],"mendeley":{"formattedCitation":"April Tahun et al., “Analisis Peran Advokat Dalam Merancang Strategi Penyelesaian Sengketa : Studi Kasus Di Kantor Hukum Josant and Friends” 2, no. 2 (2025).","manualFormatting":"April Tahun Et Al., “Analisis Peran Advokat Dalam Merancang Strategi Penyelesaian Sengketa : Studi Kasus Di Kantor Hukum Josant And Friends” 2, No. 2 (2025).","plainTextFormattedCitation":"April Tahun et al., “Analisis Peran Advokat Dalam Merancang Strategi Penyelesaian Sengketa : Studi Kasus Di Kantor Hukum Josant and Friends” 2, no. 2 (2025).","previouslyFormattedCitation":"April Tahun et al., “Analisis Peran Advokat Dalam Merancang Strategi Penyelesaian Sengketa : Studi Kasus Di Kantor Hukum Josant and Friends” 2, no. 2 (2025)."},"properties":{"noteIndex":17},"schema":"https://github.com/citation-style-language/schema/raw/master/csl-citation.json"}</w:instrText>
      </w:r>
      <w:r w:rsidRPr="00012ACF">
        <w:fldChar w:fldCharType="separate"/>
      </w:r>
      <w:r w:rsidRPr="00012ACF">
        <w:rPr>
          <w:noProof/>
        </w:rPr>
        <w:t>April Year et al., "An Analysis of the Role of Advocates in Designing Dispute Resolution Strategies: A Case Study at the Law Offices of Josant and Friends" 2, no. 2 (2025).</w:t>
      </w:r>
      <w:r w:rsidRPr="00012ACF">
        <w:fldChar w:fldCharType="end"/>
      </w:r>
    </w:p>
  </w:footnote>
  <w:footnote w:id="18">
    <w:p w14:paraId="433489B7"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{"citationItems":[{"id":"ITEM-1","itemData":{"abstract":"Berbicara pendidikan Islam klasik pada dasarnya tidak dapat dilepaskan dari historical background lahir dan berkembangnya pendidikan Islam itu sendiri. Hal ini dikarenakan, pendidikan Islam yang sekarang berkembang merupakan hasil metamorphosis pendidikan sebelumnya. Ketika pendidikan Islam masa Rasulullah dan Khulafa al-Rasyidin lebih menekankan pada penanaman akidah, syariah dan akhlak sebagai dasar pembinaan umat, maka pendidikan Islam klasik mencapai puncaknya pada masa pemerintahan Bani Abbasiyah yang ditandai dengan keterbukaan terhadap kebudayaan dan pemikiran asing. Oleh karena itu, pada masa Abbasyiyah inilah, tradisi keilmuan berkembang dengan pesat dan melahirkan banyak intelektual muslim, baik yang concern terhadap filsafat, ilmu agama (tafsir, fiqih, bahasa), maupun dalam ranah pendidikan. Pada periode ini oleh kalangan sejarawan disebut dengan periode keemasan (The Golden Age), di mana, filsafat, agama dan ilmu-ilmu lain, khususnya pendidikan berkembangan dengan pesat dengan model dan karakteristik uniknya yang membedakan dengan model dan ciri pendidikan sebelumnya.","author":[{"dropping-particle":"","family":"Suteki","given":"Mega","non-dropping-particle":"","parse-names":false,"suffix":""},{"dropping-particle":"","family":"Wicaksono","given":"Aries Samudra","non-dropping-particle":"","parse-names":false,"suffix":""},{"dropping-particle":"","family":"Longgy","given":"Dodhy Hyronimus Ama","non-dropping-particle":"","parse-names":false,"suffix":""},{"dropping-particle":"","family":"Adiatma","given":"Tini","non-dropping-particle":"","parse-names":false,"suffix":""}],"container-title":"Thawalib | Jurnal Kependidikan Islam","id":"ITEM-1","issue":"1","issued":{"date-parts":[["2022"]]},"page":"45-60","title":"A CONTENT ANALYSIS OF THE VISION STATEMENTS OF TOP 10 LEADING UNIVERSITIES IN INDONESIA","type":"article-journal","volume":"4"},"uris":["http://www.mendeley.com/documents/?uuid=b3f1974f-7bfa-4025-8e6c-2efdd13ef9f3"]}],"mendeley":{"formattedCitation":"Mega Suteki et al., “A CONTENT ANALYSIS OF THE VISION STATEMENTS OF TOP 10 LEADING UNIVERSITIES IN INDONESIA,” &lt;i&gt;Thawalib | Jurnal Kependidikan Islam&lt;/i&gt; 4, no. 1 (2022): 45–60.","manualFormatting":"Mega Suteki Et Al., “A Content Analysis Of The Vision Statements Of Top 10 Leading Universities In Indonesia,” Thawalib | Jurnal Kependidikan Islam 4, No. 1 (2022): 45–60.","plainTextFormattedCitation":"Mega Suteki et al., “A CONTENT ANALYSIS OF THE VISION STATEMENTS OF TOP 10 LEADING UNIVERSITIES IN INDONESIA,” Thawalib | Jurnal Kependidikan Islam 4, no. 1 (2022): 45–60.","previouslyFormattedCitation":"Mega Suteki et al., “A CONTENT ANALYSIS OF THE VISION STATEMENTS OF TOP 10 LEADING UNIVERSITIES IN INDONESIA,” &lt;i&gt;Thawalib | Jurnal Kependidikan Islam&lt;/i&gt; 4, no. 1 (2022): 45–60."},"properties":{"noteIndex":18},"schema":"https://github.com/citation-style-language/schema/raw/master/csl-citation.json"}</w:instrText>
      </w:r>
      <w:r w:rsidRPr="00012ACF">
        <w:fldChar w:fldCharType="separate"/>
      </w:r>
      <w:r w:rsidRPr="00012ACF">
        <w:rPr>
          <w:noProof/>
        </w:rPr>
        <w:t xml:space="preserve">Mega Suteki Et Al., “A Content Analysis Of The Vision Statements Of Top 10 Leading Universities In Indonesia,” </w:t>
      </w:r>
      <w:r w:rsidRPr="00012ACF">
        <w:rPr>
          <w:i/>
          <w:noProof/>
        </w:rPr>
        <w:t>Thawalib | Journal of Islamic Education</w:t>
      </w:r>
      <w:r w:rsidRPr="00012ACF">
        <w:rPr>
          <w:noProof/>
        </w:rPr>
        <w:t xml:space="preserve"> 4, No. 1 (2022): 45–60.</w:t>
      </w:r>
      <w:r w:rsidRPr="00012ACF">
        <w:fldChar w:fldCharType="end"/>
      </w:r>
    </w:p>
  </w:footnote>
  <w:footnote w:id="19">
    <w:p w14:paraId="519402A1"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{"citationItems":[{"id":"ITEM-1","itemData":{"author":[{"dropping-particle":"","family":"Sabran","given":"","non-dropping-particle":"","parse-names":false,"suffix":""},{"dropping-particle":"","family":"Azizah","given":"Sandi Nur","non-dropping-particle":"","parse-names":false,"suffix":""},{"dropping-particle":"","family":"Rachmawati","given":"Ervina","non-dropping-particle":"","parse-names":false,"suffix":""}],"container-title":"( MARSI )","id":"ITEM-1","issue":"1","issued":{"date-parts":[["2024"]]},"page":"54-70","title":"Jurnal Manajemen Dan Administrasi Rumah Sakit Indonesia","type":"article-journal","volume":"8"},"uris":["http://www.mendeley.com/documents/?uuid=fb4942f4-230f-4934-894b-74b671b856c8"]}],"mendeley":{"formattedCitation":"Sabran, Sandi Nur Azizah, and Ervina Rachmawati, “Jurnal Manajemen Dan Administrasi Rumah Sakit Indonesia,” &lt;i&gt;( MARSI )&lt;/i&gt; 8, no. 1 (2024): 54–70.","manualFormatting":"Sabran, Sandi Nur Azizah, And Ervina Rachmawati, “Jurnal Manajemen Dan Administrasi Rumah Sakit Indonesia,” ( Marsi ) 8, No. 1 (2024): 54–70.","plainTextFormattedCitation":"Sabran, Sandi Nur Azizah, and Ervina Rachmawati, “Jurnal Manajemen Dan Administrasi Rumah Sakit Indonesia,” ( MARSI ) 8, no. 1 (2024): 54–70.","previouslyFormattedCitation":"Sabran, Sandi Nur Azizah, and Ervina Rachmawati, “Jurnal Manajemen Dan Administrasi Rumah Sakit Indonesia,” &lt;i&gt;( MARSI )&lt;/i&gt; 8, no. 1 (2024): 54–70."},"properties":{"noteIndex":19},"schema":"https://github.com/citation-style-language/schema/raw/master/csl-citation.json"}</w:instrText>
      </w:r>
      <w:r w:rsidRPr="00012ACF">
        <w:fldChar w:fldCharType="separate"/>
      </w:r>
      <w:r w:rsidRPr="00012ACF">
        <w:rPr>
          <w:noProof/>
        </w:rPr>
        <w:t xml:space="preserve">Sabran, Sandi Nur Azizah, and Ervina Rachmawati, "Journal of Management and Administration of Indonesian Hospitals," </w:t>
      </w:r>
      <w:r w:rsidRPr="00012ACF">
        <w:rPr>
          <w:i/>
          <w:noProof/>
        </w:rPr>
        <w:t>( Marsi )</w:t>
      </w:r>
      <w:r w:rsidRPr="00012ACF">
        <w:rPr>
          <w:noProof/>
        </w:rPr>
        <w:t xml:space="preserve"> 8, no. 1 (2024): 54–70.</w:t>
      </w:r>
      <w:r w:rsidRPr="00012ACF">
        <w:fldChar w:fldCharType="end"/>
      </w:r>
    </w:p>
  </w:footnote>
  <w:footnote w:id="20">
    <w:p w14:paraId="3635A977" w14:textId="77777777" w:rsidR="00F86319" w:rsidRPr="00012ACF"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{"citationItems":[{"id":"ITEM-1","itemData":{"abstract":"… Metode yang digunakan dalam penelitian ini adalah Normatif atau studi kepustakaan, … Metode penelitian hukum tidak dapat dilepaskan dengan sifat keilmuan ilmu hukum yang …","author":[{"dropping-particle":"","family":"Rosidi","given":"Ahmad","non-dropping-particle":"","parse-names":false,"suffix":""},{"dropping-particle":"","family":"Zainuddin","given":"M","non-dropping-particle":"","parse-names":false,"suffix":""},{"dropping-particle":"","family":"Arifiana","given":"Ismi","non-dropping-particle":"","parse-names":false,"suffix":""}],"container-title":"Journal Law and Government","id":"ITEM-1","issue":"1","issued":{"date-parts":[["2024"]]},"page":"46-58","title":"Metode Dalam Penelitian Hukum Normatif Dan Sosiologis (Field Research)","type":"article-journal","volume":"2"},"uris":["http://www.mendeley.com/documents/?uuid=e7fcc076-f8da-4413-8f15-75b84fc3fa5b"]}],"mendeley":{"formattedCitation":"Ahmad Rosidi, M Zainuddin, and Ismi Arifiana, “Metode Dalam Penelitian Hukum Normatif Dan Sosiologis (Field Research),” &lt;i&gt;Journal Law and Government&lt;/i&gt; 2, no. 1 (2024): 46–58.","manualFormatting":"Ahmad Rosidi, M Zainuddin, And Ismi Arifiana, “Metode Dalam Penelitian Hukum Normatif Dan Sosiologis (Field Research),” Journal Law And Government 2, No. 1 (2024): 46–58.","plainTextFormattedCitation":"Ahmad Rosidi, M Zainuddin, and Ismi Arifiana, “Metode Dalam Penelitian Hukum Normatif Dan Sosiologis (Field Research),” Journal Law and Government 2, no. 1 (2024): 46–58.","previouslyFormattedCitation":"Ahmad Rosidi, M Zainuddin, and Ismi Arifiana, “Metode Dalam Penelitian Hukum Normatif Dan Sosiologis (Field Research),” &lt;i&gt;Journal Law and Government&lt;/i&gt; 2, no. 1 (2024): 46–58."},"properties":{"noteIndex":20},"schema":"https://github.com/citation-style-language/schema/raw/master/csl-citation.json"}</w:instrText>
      </w:r>
      <w:r w:rsidRPr="00012ACF">
        <w:fldChar w:fldCharType="separate"/>
      </w:r>
      <w:r w:rsidRPr="00012ACF">
        <w:rPr>
          <w:noProof/>
        </w:rPr>
        <w:t xml:space="preserve">Ahmad Rosidi, M Zainuddin, and Ismi Arifiana, "Methods in Normative and Sociological Law Research (Field Research)," </w:t>
      </w:r>
      <w:r w:rsidRPr="00012ACF">
        <w:rPr>
          <w:i/>
          <w:noProof/>
        </w:rPr>
        <w:t>Journal Law And Government</w:t>
      </w:r>
      <w:r w:rsidRPr="00012ACF">
        <w:rPr>
          <w:noProof/>
        </w:rPr>
        <w:t xml:space="preserve"> 2, No. 1 (2024): 46–58.</w:t>
      </w:r>
      <w:r w:rsidRPr="00012ACF">
        <w:fldChar w:fldCharType="end"/>
      </w:r>
    </w:p>
  </w:footnote>
  <w:footnote w:id="21">
    <w:p w14:paraId="43B2FEF1" w14:textId="77777777" w:rsidR="00F86319" w:rsidRDefault="00F86319" w:rsidP="00F86319">
      <w:pPr>
        <w:pStyle w:val="FootnoteText"/>
        <w:ind w:firstLine="360"/>
        <w:jc w:val="both"/>
      </w:pPr>
      <w:r w:rsidRPr="00012ACF">
        <w:rPr>
          <w:rStyle w:val="FootnoteReference"/>
        </w:rPr>
        <w:footnoteRef/>
      </w:r>
      <w:r w:rsidRPr="00012ACF">
        <w:t xml:space="preserve"> </w:t>
      </w:r>
      <w:r w:rsidRPr="00012ACF">
        <w:fldChar w:fldCharType="begin" w:fldLock="1"/>
      </w:r>
      <w:r>
        <w:instrText>ADDIN CSL_CITATION {"citationItems":[{"id":"ITEM-1","itemData":{"author":[{"dropping-particle":"","family":"Administrasi","given":"Menuju","non-dropping-particle":"","parse-names":false,"suffix":""},{"dropping-particle":"","family":"Lebih","given":"Yang","non-dropping-particle":"","parse-names":false,"suffix":""},{"dropping-particle":"","family":"Oleh","given":"Efisien","non-dropping-particle":"","parse-names":false,"suffix":""},{"dropping-particle":"","family":"Ummat","given":"K K N","non-dropping-particle":"","parse-names":false,"suffix":""}],"container-title":"Jurnal Pengabdian Kolaborasidan Inovasi IPTEKS","id":"ITEM-1","issue":"6","issued":{"date-parts":[["2024"]]},"page":"1716-1723","title":"MEMBANTU PENGISIAN DATA PENDUDUK DESA LABUHAN HAJI: LANGKAH MENUJU ADMINISTRASI YANG LEBIH EFISIEN OLEH KKN UMMAT 2024","type":"article-journal","volume":"2"},"uris":["http://www.mendeley.com/documents/?uuid=291ce4c8-00d8-45f3-86ad-f07601c108e3"]}],"mendeley":{"formattedCitation":"Menuju Administrasi et al., “MEMBANTU PENGISIAN DATA PENDUDUK DESA LABUHAN HAJI: LANGKAH MENUJU ADMINISTRASI YANG LEBIH EFISIEN OLEH KKN UMMAT 2024,” &lt;i&gt;Jurnal Pengabdian Kolaborasidan Inovasi IPTEKS&lt;/i&gt; 2, no. 6 (2024): 1716–23.","manualFormatting":"Menuju Administrasi Et Al., “Membantu Pengisian Data Penduduk Desa Labuhan Haji: Langkah Menuju Administrasi Yang Lebih Efisien Oleh Kkn Ummat 2024,” Jurnal Pengabdian Kolaborasidan Inovasi Ipteks 2, No. 6 (2024): 1716–23.","plainTextFormattedCitation":"Menuju Administrasi et al., “MEMBANTU PENGISIAN DATA PENDUDUK DESA LABUHAN HAJI: LANGKAH MENUJU ADMINISTRASI YANG LEBIH EFISIEN OLEH KKN UMMAT 2024,” Jurnal Pengabdian Kolaborasidan Inovasi IPTEKS 2, no. 6 (2024): 1716–23.","previouslyFormattedCitation":"Menuju Administrasi et al., “MEMBANTU PENGISIAN DATA PENDUDUK DESA LABUHAN HAJI: LANGKAH MENUJU ADMINISTRASI YANG LEBIH EFISIEN OLEH KKN UMMAT 2024,” &lt;i&gt;Jurnal Pengabdian Kolaborasidan Inovasi IPTEKS&lt;/i&gt; 2, no. 6 (2024): 1716–23."},"properties":{"noteIndex":21},"schema":"https://github.com/citation-style-language/schema/raw/master/csl-citation.json"}</w:instrText>
      </w:r>
      <w:r w:rsidRPr="00012ACF">
        <w:fldChar w:fldCharType="separate"/>
      </w:r>
      <w:r w:rsidRPr="00012ACF">
        <w:rPr>
          <w:noProof/>
        </w:rPr>
        <w:t xml:space="preserve">Towards Administration et al., "Helping to Fill in Data on Labuhan Haji Village Residents: Steps Towards More Efficient Administration by Kkn Ummat 2024," </w:t>
      </w:r>
      <w:r w:rsidRPr="00012ACF">
        <w:rPr>
          <w:i/>
          <w:noProof/>
        </w:rPr>
        <w:t>Journal of Collaborative Service and Innovation of Science and Technology</w:t>
      </w:r>
      <w:r w:rsidRPr="00012ACF">
        <w:rPr>
          <w:noProof/>
        </w:rPr>
        <w:t xml:space="preserve"> 2, no. 6 (2024): 1716–23.</w:t>
      </w:r>
      <w:r w:rsidRPr="00012ACF">
        <w:fldChar w:fldCharType="end"/>
      </w:r>
    </w:p>
  </w:footnote>
  <w:footnote w:id="22">
    <w:p w14:paraId="44EB2CAE" w14:textId="77777777" w:rsidR="00F86319" w:rsidRPr="00940F6F" w:rsidRDefault="00F86319" w:rsidP="00F86319">
      <w:pPr>
        <w:pStyle w:val="FootnoteText"/>
        <w:ind w:firstLine="360"/>
        <w:jc w:val="both"/>
      </w:pPr>
      <w:r w:rsidRPr="00940F6F">
        <w:rPr>
          <w:rStyle w:val="FootnoteReference"/>
        </w:rPr>
        <w:footnoteRef/>
      </w:r>
      <w:r w:rsidRPr="00940F6F">
        <w:t xml:space="preserve"> </w:t>
      </w:r>
      <w:r w:rsidRPr="00940F6F">
        <w:fldChar w:fldCharType="begin" w:fldLock="1"/>
      </w:r>
      <w:r>
        <w:instrText>ADDIN CSL_CITATION {"citationItems":[{"id":"ITEM-1","itemData":{"ISBN":"9789796920891","abstract":"Jurnal ini membahas tentang Metode Pengumpulan Data Penelitian. Penelitin merupakan suatu proses sistematis yang dilakukan untuk memperoleh pemahaman mendalam tentang suatu topik atau fenomena. Teknik pengumpulan data yang tepat dan instrumen penelitian yang valid sangat berperan dalam menghasilkan data yang akurat dan dapat diandalkan. Metode Pengumpulan Data adalah Teknik atau cara-cara yang dapat digunakan oleh peneliti untuk mengumpulkan data. Sedangkan Instrumen Pengumpulan Data adalah Alat bantu yang dipilih dan digunakan oleh peneliti dalam kegiatan pengumpulan data agar menjadi lebih mudah dan sistematis. Teknik Pengumpulan Data dalam Penelitian Kualitatif berupa Wawancara, Observasi, Dokumentasi dan Instrument test sedangkan Pengumpulan Data dalam Penelitian Kuantitatif berupa Angket, Wawancara, dan Observasi. Teknik pemeriksaan keabsahan data pada penelitian kualitatif diantaranya yaitu uji kredibilitas, uji transferabilitas, uji dependabilitas, dan uji konfirmabilitas.","author":[{"dropping-particle":"","family":"Nafisatur","given":"M","non-dropping-particle":"","parse-names":false,"suffix":""}],"container-title":"Metode Pengumpulan Data Penelitian","id":"ITEM-1","issue":"5","issued":{"date-parts":[["2024"]]},"page":"5423-5443","title":"Metode Pengumpulan Data Penelitian","type":"article-journal","volume":"3"},"uris":["http://www.mendeley.com/documents/?uuid=dd6992ec-57b2-4c69-bd90-fdbffca5a99d"]}],"mendeley":{"formattedCitation":"M Nafisatur, “Metode Pengumpulan Data Penelitian,” &lt;i&gt;Metode Pengumpulan Data Penelitian&lt;/i&gt; 3, no. 5 (2024): 5423–43.","manualFormatting":"M Nafisatur, “Metode Pengumpulan Data Penelitian,” Metode Pengumpulan Data Penelitian 3, No. 5 (2024): 5423–43.","plainTextFormattedCitation":"M Nafisatur, “Metode Pengumpulan Data Penelitian,” Metode Pengumpulan Data Penelitian 3, no. 5 (2024): 5423–43.","previouslyFormattedCitation":"M Nafisatur, “Metode Pengumpulan Data Penelitian,” &lt;i&gt;Metode Pengumpulan Data Penelitian&lt;/i&gt; 3, no. 5 (2024): 5423–43."},"properties":{"noteIndex":22},"schema":"https://github.com/citation-style-language/schema/raw/master/csl-citation.json"}</w:instrText>
      </w:r>
      <w:r w:rsidRPr="00940F6F">
        <w:fldChar w:fldCharType="separate"/>
      </w:r>
      <w:r w:rsidRPr="00940F6F">
        <w:rPr>
          <w:noProof/>
        </w:rPr>
        <w:t xml:space="preserve">M Nafisatur, "Research Data Collection Methods," </w:t>
      </w:r>
      <w:r w:rsidRPr="00940F6F">
        <w:rPr>
          <w:i/>
          <w:noProof/>
        </w:rPr>
        <w:t>Research Data Collection Methods</w:t>
      </w:r>
      <w:r w:rsidRPr="00940F6F">
        <w:rPr>
          <w:noProof/>
        </w:rPr>
        <w:t xml:space="preserve"> 3, no. 5 (2024): 5423–43.</w:t>
      </w:r>
      <w:r w:rsidRPr="00940F6F">
        <w:fldChar w:fldCharType="end"/>
      </w:r>
    </w:p>
  </w:footnote>
  <w:footnote w:id="23">
    <w:p w14:paraId="348EF2C5" w14:textId="77777777" w:rsidR="00F86319" w:rsidRPr="009575F7" w:rsidRDefault="00F86319" w:rsidP="00F86319">
      <w:pPr>
        <w:pStyle w:val="FootnoteText"/>
        <w:ind w:firstLine="360"/>
        <w:jc w:val="both"/>
      </w:pPr>
      <w:r w:rsidRPr="009575F7">
        <w:rPr>
          <w:rStyle w:val="FootnoteReference"/>
        </w:rPr>
        <w:footnoteRef/>
      </w:r>
      <w:r w:rsidRPr="009575F7">
        <w:t xml:space="preserve"> </w:t>
      </w:r>
      <w:r w:rsidRPr="009575F7">
        <w:fldChar w:fldCharType="begin" w:fldLock="1"/>
      </w:r>
      <w: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Kata","author":[{"dropping-particle":"","family":"Sari","given":"Melia Putri Purnama","non-dropping-particle":"","parse-names":false,"suffix":""}],"id":"ITEM-1","issue":"3","issued":{"date-parts":[["2023"]]},"page":"24-32","title":"URGENSI PEMBUATAN POSTNUPTIAL AGREEMENT DALAM BENTUK AKTA PIHAK SEBAGAI PROBATIONIS CAUSA BERDASARKAN KEBENARAN FORMIL","type":"article-journal","volume":"9"},"uris":["http://www.mendeley.com/documents/?uuid=94175d3b-e085-40b4-aa4a-3551d8fc3d15"]}],"mendeley":{"formattedCitation":"Melia Putri Purnama Sari, “URGENSI PEMBUATAN POSTNUPTIAL AGREEMENT DALAM BENTUK AKTA PIHAK SEBAGAI PROBATIONIS CAUSA BERDASARKAN KEBENARAN FORMIL” 9, no. 3 (2023): 24–32.","manualFormatting":"Melia Putri Purnama Sari, “Urgensi Pembuatan Postnuptial Agreement Dalam Bentuk Akta Pihak Sebagai Probationis Causa Berdasarkan Kebenaran Formil” 9, No. 3 (2023): 24–32.","plainTextFormattedCitation":"Melia Putri Purnama Sari, “URGENSI PEMBUATAN POSTNUPTIAL AGREEMENT DALAM BENTUK AKTA PIHAK SEBAGAI PROBATIONIS CAUSA BERDASARKAN KEBENARAN FORMIL” 9, no. 3 (2023): 24–32.","previouslyFormattedCitation":"Melia Putri Purnama Sari, “URGENSI PEMBUATAN POSTNUPTIAL AGREEMENT DALAM BENTUK AKTA PIHAK SEBAGAI PROBATIONIS CAUSA BERDASARKAN KEBENARAN FORMIL” 9, no. 3 (2023): 24–32."},"properties":{"noteIndex":23},"schema":"https://github.com/citation-style-language/schema/raw/master/csl-citation.json"}</w:instrText>
      </w:r>
      <w:r w:rsidRPr="009575F7">
        <w:fldChar w:fldCharType="separate"/>
      </w:r>
      <w:r w:rsidRPr="009575F7">
        <w:rPr>
          <w:noProof/>
        </w:rPr>
        <w:t>Melia Putri Purnama Sari, "The Urgency of Making Postnuptial Agreements in the Form of a Deed of the Party as a Probationis Causa Based on Formal Truth" 9, No. 3 (2023): 24–32.</w:t>
      </w:r>
      <w:r w:rsidRPr="009575F7">
        <w:fldChar w:fldCharType="end"/>
      </w:r>
    </w:p>
  </w:footnote>
  <w:footnote w:id="24">
    <w:p w14:paraId="6B044FD9" w14:textId="77777777" w:rsidR="00F86319" w:rsidRPr="001B2C0B" w:rsidRDefault="00F86319" w:rsidP="00F86319">
      <w:pPr>
        <w:pStyle w:val="FootnoteText"/>
        <w:ind w:firstLine="360"/>
        <w:jc w:val="both"/>
      </w:pPr>
      <w:r w:rsidRPr="001B2C0B">
        <w:rPr>
          <w:rStyle w:val="FootnoteReference"/>
        </w:rPr>
        <w:footnoteRef/>
      </w:r>
      <w:r w:rsidRPr="001B2C0B">
        <w:t xml:space="preserve"> </w:t>
      </w:r>
      <w:r w:rsidRPr="001B2C0B">
        <w:fldChar w:fldCharType="begin" w:fldLock="1"/>
      </w:r>
      <w:r>
        <w:instrText>ADDIN CSL_CITATION {"citationItems":[{"id":"ITEM-1","itemData":{"author":[{"dropping-particle":"","family":"Romli","given":"Muhammad","non-dropping-particle":"","parse-names":false,"suffix":""}],"container-title":"cahkim","id":"ITEM-1","issue":"2","issued":{"date-parts":[["2021"]]},"title":"KONSEP SYARAT SAH AKAD DALAM HUKUM ISLAM DAN SYARAT SAH PERJANJIAN DALAM PASAL 1320 KUH PERDATA","type":"article-journal","volume":"17"},"uris":["http://www.mendeley.com/documents/?uuid=dc2faf02-5665-4f30-93a1-31fb3ac1a4ac"]}],"mendeley":{"formattedCitation":"Muhammad Romli, “KONSEP SYARAT SAH AKAD DALAM HUKUM ISLAM DAN SYARAT SAH PERJANJIAN DALAM PASAL 1320 KUH PERDATA,” &lt;i&gt;Cahkim&lt;/i&gt; 17, no. 2 (2021).","manualFormatting":"Muhammad Romli, “Konsep Syarat Sah Akad Dalam Hukum Islam Dan Syarat Sah Perjanjian Dalam Pasal 1320 Kuh Perdata,” Cahkim 17, No. 2 (2021).","plainTextFormattedCitation":"Muhammad Romli, “KONSEP SYARAT SAH AKAD DALAM HUKUM ISLAM DAN SYARAT SAH PERJANJIAN DALAM PASAL 1320 KUH PERDATA,” Cahkim 17, no. 2 (2021).","previouslyFormattedCitation":"Muhammad Romli, “KONSEP SYARAT SAH AKAD DALAM HUKUM ISLAM DAN SYARAT SAH PERJANJIAN DALAM PASAL 1320 KUH PERDATA,” &lt;i&gt;Cahkim&lt;/i&gt; 17, no. 2 (2021)."},"properties":{"noteIndex":24},"schema":"https://github.com/citation-style-language/schema/raw/master/csl-citation.json"}</w:instrText>
      </w:r>
      <w:r w:rsidRPr="001B2C0B">
        <w:fldChar w:fldCharType="separate"/>
      </w:r>
      <w:r w:rsidRPr="001B2C0B">
        <w:rPr>
          <w:noProof/>
        </w:rPr>
        <w:t xml:space="preserve">Muhammad Romli, "The Concept of Valid Conditions of Contracts in Islamic Law and Valid Conditions of Agreements in Article 1320 of the Civil Code," </w:t>
      </w:r>
      <w:r w:rsidRPr="001B2C0B">
        <w:rPr>
          <w:i/>
          <w:noProof/>
        </w:rPr>
        <w:t>São Paulo</w:t>
      </w:r>
      <w:r w:rsidRPr="001B2C0B">
        <w:rPr>
          <w:noProof/>
        </w:rPr>
        <w:t xml:space="preserve"> 17, No. 2 (2021).</w:t>
      </w:r>
      <w:r w:rsidRPr="001B2C0B">
        <w:fldChar w:fldCharType="end"/>
      </w:r>
    </w:p>
  </w:footnote>
  <w:footnote w:id="25">
    <w:p w14:paraId="1F782155" w14:textId="77777777" w:rsidR="00F86319" w:rsidRPr="000556EF" w:rsidRDefault="00F86319" w:rsidP="00F86319">
      <w:pPr>
        <w:pStyle w:val="FootnoteText"/>
        <w:ind w:firstLine="720"/>
        <w:jc w:val="both"/>
      </w:pPr>
      <w:r w:rsidRPr="000556EF">
        <w:rPr>
          <w:rStyle w:val="FootnoteReference"/>
        </w:rPr>
        <w:footnoteRef/>
      </w:r>
      <w:r w:rsidRPr="000556EF">
        <w:t xml:space="preserve"> Bromsgrove International School Thailand. </w:t>
      </w:r>
      <w:r w:rsidRPr="000D5C71">
        <w:rPr>
          <w:i/>
          <w:iCs/>
        </w:rPr>
        <w:t>Student, Parent and School Agreement</w:t>
      </w:r>
      <w:r w:rsidRPr="000D5C71">
        <w:t xml:space="preserve">. Accessed February 3, 2025. </w:t>
      </w:r>
      <w:hyperlink r:id="rId1" w:tgtFrame="_new" w:history="1">
        <w:r w:rsidRPr="000D5C71">
          <w:rPr>
            <w:rStyle w:val="Hyperlink"/>
          </w:rPr>
          <w:t>https://www.bromsgrove.ac.th/student-parent-school-agreement/</w:t>
        </w:r>
      </w:hyperlink>
      <w:r w:rsidRPr="000D5C71">
        <w:t>.</w:t>
      </w:r>
    </w:p>
  </w:footnote>
  <w:footnote w:id="26">
    <w:p w14:paraId="5EA38A20" w14:textId="77777777" w:rsidR="00F86319" w:rsidRDefault="00F86319" w:rsidP="00F86319">
      <w:pPr>
        <w:pStyle w:val="FootnoteText"/>
        <w:ind w:firstLine="720"/>
        <w:jc w:val="both"/>
      </w:pPr>
      <w:r w:rsidRPr="000556EF">
        <w:rPr>
          <w:rStyle w:val="FootnoteReference"/>
        </w:rPr>
        <w:footnoteRef/>
      </w:r>
      <w:r w:rsidRPr="000556EF">
        <w:t xml:space="preserve"> Bromsgrove International School Thailand. </w:t>
      </w:r>
      <w:r w:rsidRPr="000D5C71">
        <w:rPr>
          <w:i/>
          <w:iCs/>
        </w:rPr>
        <w:t>Concerns and Complaints Policy 2019</w:t>
      </w:r>
      <w:r w:rsidRPr="000D5C71">
        <w:t>. Accessed February 3, 2025. https://www.bromsgrove.ac.th/wp-content/uploads/2019/08/BIST-Concerns-and-Complaints-Policy.pdf.</w:t>
      </w:r>
    </w:p>
  </w:footnote>
  <w:footnote w:id="27">
    <w:p w14:paraId="42F6DC12" w14:textId="77777777" w:rsidR="00F86319" w:rsidRPr="00930744" w:rsidRDefault="00F86319" w:rsidP="00F86319">
      <w:pPr>
        <w:pStyle w:val="FootnoteText"/>
        <w:ind w:firstLine="360"/>
        <w:jc w:val="both"/>
      </w:pPr>
      <w:r w:rsidRPr="00930744">
        <w:rPr>
          <w:rStyle w:val="FootnoteReference"/>
        </w:rPr>
        <w:footnoteRef/>
      </w:r>
      <w:r w:rsidRPr="00930744">
        <w:t xml:space="preserve"> </w:t>
      </w:r>
      <w:r w:rsidRPr="00930744">
        <w:fldChar w:fldCharType="begin" w:fldLock="1"/>
      </w:r>
      <w:r>
        <w:instrText>ADDIN CSL_CITATION {"citationItems":[{"id":"ITEM-1","itemData":{"DOI":"10.15575/qanuniya.v1i2.896","author":[{"dropping-particle":"","family":"Azis, Pahrudin, Muhamad Kholid","given":"Nasrudin Nasrudin","non-dropping-particle":"","parse-names":false,"suffix":""}],"container-title":"Qanuniya : Jurnal Ilmu Hukum","id":"ITEM-1","issue":"2","issued":{"date-parts":[["2024"]]},"page":"11-21","title":"PERBANDINGAN LEMBAGA PENYELESAIAN SENGKETA: LITIGASI DAN NON-LITIGASI","type":"article-journal","volume":"1"},"uris":["http://www.mendeley.com/documents/?uuid=e6ce8d47-ba5e-4d1a-a5ef-411c18e4a0bf"]}],"mendeley":{"formattedCitation":"Nasrudin Nasrudin Azis, Pahrudin, Muhamad Kholid, “PERBANDINGAN LEMBAGA PENYELESAIAN SENGKETA: LITIGASI DAN NON-LITIGASI,” &lt;i&gt;Qanuniya : Jurnal Ilmu Hukum&lt;/i&gt; 1, no. 2 (2024): 11–21, https://doi.org/10.15575/qanuniya.v1i2.896.","manualFormatting":"Nasrudin Nasrudin Azis, Pahrudin, Muhamad Kholid, “Perbandingan Lembaga Penyelesaian Sengketa: Litigasi Dan Non-Litigasi,” Qanuniya : Jurnal Ilmu Hukum 1, No. 2 (2024): 11–21, Https://Doi.Org/10.15575/Qanuniya.V1i2.896.","plainTextFormattedCitation":"Nasrudin Nasrudin Azis, Pahrudin, Muhamad Kholid, “PERBANDINGAN LEMBAGA PENYELESAIAN SENGKETA: LITIGASI DAN NON-LITIGASI,” Qanuniya : Jurnal Ilmu Hukum 1, no. 2 (2024): 11–21, https://doi.org/10.15575/qanuniya.v1i2.896."},"properties":{"noteIndex":0},"schema":"https://github.com/citation-style-language/schema/raw/master/csl-citation.json"}</w:instrText>
      </w:r>
      <w:r w:rsidRPr="00930744">
        <w:fldChar w:fldCharType="separate"/>
      </w:r>
      <w:r w:rsidRPr="00930744">
        <w:rPr>
          <w:noProof/>
        </w:rPr>
        <w:t xml:space="preserve">Nasrudin Nasrudin Azis, Pahrudin, Muhamad Kholid, "Comparison of Dispute Resolution Institutions: Litigation and Non-Litigation," </w:t>
      </w:r>
      <w:r w:rsidRPr="00930744">
        <w:rPr>
          <w:i/>
          <w:noProof/>
        </w:rPr>
        <w:t>Qanuniya : Journal of Law</w:t>
      </w:r>
      <w:r w:rsidRPr="00930744">
        <w:rPr>
          <w:noProof/>
        </w:rPr>
        <w:t xml:space="preserve"> 1, No. 2 (2024): 11–21, Https://Doi.Org/10.15575/Qanuniya.V1i2.896.</w:t>
      </w:r>
      <w:r w:rsidRPr="00930744">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23C" w14:textId="77777777" w:rsidR="00F86319" w:rsidRDefault="00F8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798F" w14:textId="77777777" w:rsidR="00F86319" w:rsidRDefault="00F86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59D"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5946E251"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3307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54398" o:spid="_x0000_i1025" type="#_x0000_t75" style="width:14.4pt;height:14.4pt;visibility:visible;mso-wrap-style:square">
            <v:imagedata r:id="rId1" o:title=""/>
          </v:shape>
        </w:pict>
      </mc:Choice>
      <mc:Fallback>
        <w:drawing>
          <wp:inline distT="0" distB="0" distL="0" distR="0" wp14:anchorId="6A15529A" wp14:editId="4F0EC486">
            <wp:extent cx="182880" cy="182880"/>
            <wp:effectExtent l="0" t="0" r="0" b="0"/>
            <wp:docPr id="76454398" name="Picture 7645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62FA2"/>
    <w:multiLevelType w:val="multilevel"/>
    <w:tmpl w:val="0C0A5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9" w15:restartNumberingAfterBreak="0">
    <w:nsid w:val="0909498D"/>
    <w:multiLevelType w:val="multilevel"/>
    <w:tmpl w:val="542C896E"/>
    <w:lvl w:ilvl="0">
      <w:start w:val="1"/>
      <w:numFmt w:val="decimal"/>
      <w:lvlText w:val="%1."/>
      <w:lvlJc w:val="left"/>
      <w:pPr>
        <w:ind w:left="720" w:hanging="360"/>
      </w:pPr>
      <w:rPr>
        <w:rFonts w:hint="default"/>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lvlText w:val="3.%3"/>
      <w:lvlJc w:val="left"/>
      <w:pPr>
        <w:ind w:left="1080" w:hanging="720"/>
      </w:pPr>
      <w:rPr>
        <w:rFonts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0" w15:restartNumberingAfterBreak="0">
    <w:nsid w:val="1D7E2B27"/>
    <w:multiLevelType w:val="multilevel"/>
    <w:tmpl w:val="7C0E83E4"/>
    <w:lvl w:ilvl="0">
      <w:start w:val="1"/>
      <w:numFmt w:val="decimal"/>
      <w:lvlText w:val="%1"/>
      <w:lvlJc w:val="left"/>
      <w:pPr>
        <w:ind w:left="360" w:hanging="360"/>
      </w:pPr>
      <w:rPr>
        <w:rFonts w:cstheme="majorHAnsi" w:hint="default"/>
        <w:b/>
        <w:color w:val="000000" w:themeColor="text1"/>
      </w:rPr>
    </w:lvl>
    <w:lvl w:ilvl="1">
      <w:start w:val="1"/>
      <w:numFmt w:val="decimal"/>
      <w:lvlText w:val="%1.%2"/>
      <w:lvlJc w:val="left"/>
      <w:pPr>
        <w:ind w:left="1440" w:hanging="360"/>
      </w:pPr>
      <w:rPr>
        <w:rFonts w:cstheme="majorHAnsi" w:hint="default"/>
        <w:b/>
        <w:color w:val="000000" w:themeColor="text1"/>
      </w:rPr>
    </w:lvl>
    <w:lvl w:ilvl="2">
      <w:start w:val="1"/>
      <w:numFmt w:val="decimal"/>
      <w:lvlText w:val="%1.%2.%3"/>
      <w:lvlJc w:val="left"/>
      <w:pPr>
        <w:ind w:left="2880" w:hanging="720"/>
      </w:pPr>
      <w:rPr>
        <w:rFonts w:cstheme="majorHAnsi" w:hint="default"/>
        <w:b/>
        <w:color w:val="000000" w:themeColor="text1"/>
      </w:rPr>
    </w:lvl>
    <w:lvl w:ilvl="3">
      <w:start w:val="1"/>
      <w:numFmt w:val="decimal"/>
      <w:lvlText w:val="%1.%2.%3.%4"/>
      <w:lvlJc w:val="left"/>
      <w:pPr>
        <w:ind w:left="4320" w:hanging="1080"/>
      </w:pPr>
      <w:rPr>
        <w:rFonts w:cstheme="majorHAnsi" w:hint="default"/>
        <w:b/>
        <w:color w:val="000000" w:themeColor="text1"/>
      </w:rPr>
    </w:lvl>
    <w:lvl w:ilvl="4">
      <w:start w:val="1"/>
      <w:numFmt w:val="decimal"/>
      <w:lvlText w:val="%1.%2.%3.%4.%5"/>
      <w:lvlJc w:val="left"/>
      <w:pPr>
        <w:ind w:left="5400" w:hanging="1080"/>
      </w:pPr>
      <w:rPr>
        <w:rFonts w:cstheme="majorHAnsi" w:hint="default"/>
        <w:b/>
        <w:color w:val="000000" w:themeColor="text1"/>
      </w:rPr>
    </w:lvl>
    <w:lvl w:ilvl="5">
      <w:start w:val="1"/>
      <w:numFmt w:val="decimal"/>
      <w:lvlText w:val="%1.%2.%3.%4.%5.%6"/>
      <w:lvlJc w:val="left"/>
      <w:pPr>
        <w:ind w:left="6840" w:hanging="1440"/>
      </w:pPr>
      <w:rPr>
        <w:rFonts w:cstheme="majorHAnsi" w:hint="default"/>
        <w:b/>
        <w:color w:val="000000" w:themeColor="text1"/>
      </w:rPr>
    </w:lvl>
    <w:lvl w:ilvl="6">
      <w:start w:val="1"/>
      <w:numFmt w:val="decimal"/>
      <w:lvlText w:val="%1.%2.%3.%4.%5.%6.%7"/>
      <w:lvlJc w:val="left"/>
      <w:pPr>
        <w:ind w:left="7920" w:hanging="1440"/>
      </w:pPr>
      <w:rPr>
        <w:rFonts w:cstheme="majorHAnsi" w:hint="default"/>
        <w:b/>
        <w:color w:val="000000" w:themeColor="text1"/>
      </w:rPr>
    </w:lvl>
    <w:lvl w:ilvl="7">
      <w:start w:val="1"/>
      <w:numFmt w:val="decimal"/>
      <w:lvlText w:val="%1.%2.%3.%4.%5.%6.%7.%8"/>
      <w:lvlJc w:val="left"/>
      <w:pPr>
        <w:ind w:left="9360" w:hanging="1800"/>
      </w:pPr>
      <w:rPr>
        <w:rFonts w:cstheme="majorHAnsi" w:hint="default"/>
        <w:b/>
        <w:color w:val="000000" w:themeColor="text1"/>
      </w:rPr>
    </w:lvl>
    <w:lvl w:ilvl="8">
      <w:start w:val="1"/>
      <w:numFmt w:val="decimal"/>
      <w:lvlText w:val="%1.%2.%3.%4.%5.%6.%7.%8.%9"/>
      <w:lvlJc w:val="left"/>
      <w:pPr>
        <w:ind w:left="10440" w:hanging="1800"/>
      </w:pPr>
      <w:rPr>
        <w:rFonts w:cstheme="majorHAnsi" w:hint="default"/>
        <w:b/>
        <w:color w:val="000000" w:themeColor="text1"/>
      </w:rPr>
    </w:lvl>
  </w:abstractNum>
  <w:abstractNum w:abstractNumId="11" w15:restartNumberingAfterBreak="0">
    <w:nsid w:val="21B96B0A"/>
    <w:multiLevelType w:val="hybridMultilevel"/>
    <w:tmpl w:val="231C6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92603"/>
    <w:multiLevelType w:val="multilevel"/>
    <w:tmpl w:val="01F6BA06"/>
    <w:lvl w:ilvl="0">
      <w:start w:val="2"/>
      <w:numFmt w:val="decimal"/>
      <w:lvlText w:val="%1"/>
      <w:lvlJc w:val="left"/>
      <w:pPr>
        <w:ind w:left="360" w:hanging="360"/>
      </w:pPr>
      <w:rPr>
        <w:rFonts w:cstheme="majorHAnsi" w:hint="default"/>
        <w:b/>
        <w:sz w:val="24"/>
      </w:rPr>
    </w:lvl>
    <w:lvl w:ilvl="1">
      <w:start w:val="1"/>
      <w:numFmt w:val="decimal"/>
      <w:lvlText w:val="%1.%2"/>
      <w:lvlJc w:val="left"/>
      <w:pPr>
        <w:ind w:left="927" w:hanging="360"/>
      </w:pPr>
      <w:rPr>
        <w:rFonts w:cstheme="majorHAnsi" w:hint="default"/>
        <w:b/>
        <w:sz w:val="24"/>
      </w:rPr>
    </w:lvl>
    <w:lvl w:ilvl="2">
      <w:start w:val="1"/>
      <w:numFmt w:val="decimal"/>
      <w:lvlText w:val="%1.%2.%3"/>
      <w:lvlJc w:val="left"/>
      <w:pPr>
        <w:ind w:left="1854" w:hanging="720"/>
      </w:pPr>
      <w:rPr>
        <w:rFonts w:cstheme="majorHAnsi" w:hint="default"/>
        <w:b/>
        <w:sz w:val="24"/>
      </w:rPr>
    </w:lvl>
    <w:lvl w:ilvl="3">
      <w:start w:val="1"/>
      <w:numFmt w:val="decimal"/>
      <w:lvlText w:val="%1.%2.%3.%4"/>
      <w:lvlJc w:val="left"/>
      <w:pPr>
        <w:ind w:left="2421" w:hanging="720"/>
      </w:pPr>
      <w:rPr>
        <w:rFonts w:cstheme="majorHAnsi" w:hint="default"/>
        <w:b/>
        <w:sz w:val="24"/>
      </w:rPr>
    </w:lvl>
    <w:lvl w:ilvl="4">
      <w:start w:val="1"/>
      <w:numFmt w:val="decimal"/>
      <w:lvlText w:val="%1.%2.%3.%4.%5"/>
      <w:lvlJc w:val="left"/>
      <w:pPr>
        <w:ind w:left="3348" w:hanging="1080"/>
      </w:pPr>
      <w:rPr>
        <w:rFonts w:cstheme="majorHAnsi" w:hint="default"/>
        <w:b/>
        <w:sz w:val="24"/>
      </w:rPr>
    </w:lvl>
    <w:lvl w:ilvl="5">
      <w:start w:val="1"/>
      <w:numFmt w:val="decimal"/>
      <w:lvlText w:val="%1.%2.%3.%4.%5.%6"/>
      <w:lvlJc w:val="left"/>
      <w:pPr>
        <w:ind w:left="3915" w:hanging="1080"/>
      </w:pPr>
      <w:rPr>
        <w:rFonts w:cstheme="majorHAnsi" w:hint="default"/>
        <w:b/>
        <w:sz w:val="24"/>
      </w:rPr>
    </w:lvl>
    <w:lvl w:ilvl="6">
      <w:start w:val="1"/>
      <w:numFmt w:val="decimal"/>
      <w:lvlText w:val="%1.%2.%3.%4.%5.%6.%7"/>
      <w:lvlJc w:val="left"/>
      <w:pPr>
        <w:ind w:left="4842" w:hanging="1440"/>
      </w:pPr>
      <w:rPr>
        <w:rFonts w:cstheme="majorHAnsi" w:hint="default"/>
        <w:b/>
        <w:sz w:val="24"/>
      </w:rPr>
    </w:lvl>
    <w:lvl w:ilvl="7">
      <w:start w:val="1"/>
      <w:numFmt w:val="decimal"/>
      <w:lvlText w:val="%1.%2.%3.%4.%5.%6.%7.%8"/>
      <w:lvlJc w:val="left"/>
      <w:pPr>
        <w:ind w:left="5769" w:hanging="1800"/>
      </w:pPr>
      <w:rPr>
        <w:rFonts w:cstheme="majorHAnsi" w:hint="default"/>
        <w:b/>
        <w:sz w:val="24"/>
      </w:rPr>
    </w:lvl>
    <w:lvl w:ilvl="8">
      <w:start w:val="1"/>
      <w:numFmt w:val="decimal"/>
      <w:lvlText w:val="%1.%2.%3.%4.%5.%6.%7.%8.%9"/>
      <w:lvlJc w:val="left"/>
      <w:pPr>
        <w:ind w:left="6336" w:hanging="1800"/>
      </w:pPr>
      <w:rPr>
        <w:rFonts w:cstheme="majorHAnsi" w:hint="default"/>
        <w:b/>
        <w:sz w:val="24"/>
      </w:rPr>
    </w:lvl>
  </w:abstractNum>
  <w:abstractNum w:abstractNumId="13"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9" w15:restartNumberingAfterBreak="0">
    <w:nsid w:val="56A5328E"/>
    <w:multiLevelType w:val="hybridMultilevel"/>
    <w:tmpl w:val="60CE1FBC"/>
    <w:lvl w:ilvl="0" w:tplc="30F2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1"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D136B"/>
    <w:multiLevelType w:val="hybridMultilevel"/>
    <w:tmpl w:val="6B843042"/>
    <w:lvl w:ilvl="0" w:tplc="30F2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195205">
    <w:abstractNumId w:val="17"/>
  </w:num>
  <w:num w:numId="2" w16cid:durableId="786629272">
    <w:abstractNumId w:val="18"/>
  </w:num>
  <w:num w:numId="3" w16cid:durableId="225334767">
    <w:abstractNumId w:val="8"/>
  </w:num>
  <w:num w:numId="4" w16cid:durableId="478308815">
    <w:abstractNumId w:val="14"/>
  </w:num>
  <w:num w:numId="5" w16cid:durableId="1844857486">
    <w:abstractNumId w:val="20"/>
  </w:num>
  <w:num w:numId="6" w16cid:durableId="931740727">
    <w:abstractNumId w:val="0"/>
  </w:num>
  <w:num w:numId="7" w16cid:durableId="847251310">
    <w:abstractNumId w:val="4"/>
  </w:num>
  <w:num w:numId="8" w16cid:durableId="1822888173">
    <w:abstractNumId w:val="3"/>
  </w:num>
  <w:num w:numId="9" w16cid:durableId="2586545">
    <w:abstractNumId w:val="2"/>
  </w:num>
  <w:num w:numId="10" w16cid:durableId="1251086308">
    <w:abstractNumId w:val="1"/>
  </w:num>
  <w:num w:numId="11" w16cid:durableId="1125736509">
    <w:abstractNumId w:val="7"/>
  </w:num>
  <w:num w:numId="12" w16cid:durableId="1481383967">
    <w:abstractNumId w:val="15"/>
  </w:num>
  <w:num w:numId="13" w16cid:durableId="653334622">
    <w:abstractNumId w:val="22"/>
  </w:num>
  <w:num w:numId="14" w16cid:durableId="1672216638">
    <w:abstractNumId w:val="21"/>
  </w:num>
  <w:num w:numId="15" w16cid:durableId="1561864900">
    <w:abstractNumId w:val="13"/>
  </w:num>
  <w:num w:numId="16" w16cid:durableId="150172145">
    <w:abstractNumId w:val="16"/>
  </w:num>
  <w:num w:numId="17" w16cid:durableId="779758092">
    <w:abstractNumId w:val="6"/>
  </w:num>
  <w:num w:numId="18" w16cid:durableId="1682321032">
    <w:abstractNumId w:val="9"/>
  </w:num>
  <w:num w:numId="19" w16cid:durableId="1762798302">
    <w:abstractNumId w:val="23"/>
  </w:num>
  <w:num w:numId="20" w16cid:durableId="1620061493">
    <w:abstractNumId w:val="10"/>
  </w:num>
  <w:num w:numId="21" w16cid:durableId="1800411611">
    <w:abstractNumId w:val="12"/>
  </w:num>
  <w:num w:numId="22" w16cid:durableId="785853092">
    <w:abstractNumId w:val="11"/>
  </w:num>
  <w:num w:numId="23" w16cid:durableId="980310834">
    <w:abstractNumId w:val="5"/>
  </w:num>
  <w:num w:numId="24" w16cid:durableId="739987973">
    <w:abstractNumId w:val="24"/>
  </w:num>
  <w:num w:numId="25" w16cid:durableId="890657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20DD"/>
    <w:rsid w:val="00003122"/>
    <w:rsid w:val="00003C43"/>
    <w:rsid w:val="00005A2E"/>
    <w:rsid w:val="0001120B"/>
    <w:rsid w:val="00011808"/>
    <w:rsid w:val="00014A2C"/>
    <w:rsid w:val="00015ABE"/>
    <w:rsid w:val="00023880"/>
    <w:rsid w:val="00023DA6"/>
    <w:rsid w:val="00024380"/>
    <w:rsid w:val="000327A9"/>
    <w:rsid w:val="00044116"/>
    <w:rsid w:val="00046A90"/>
    <w:rsid w:val="00046AF5"/>
    <w:rsid w:val="00050546"/>
    <w:rsid w:val="0005128B"/>
    <w:rsid w:val="00052E06"/>
    <w:rsid w:val="000554A5"/>
    <w:rsid w:val="000572B7"/>
    <w:rsid w:val="00063C82"/>
    <w:rsid w:val="00065E48"/>
    <w:rsid w:val="000715EA"/>
    <w:rsid w:val="000775E8"/>
    <w:rsid w:val="000822BD"/>
    <w:rsid w:val="00087494"/>
    <w:rsid w:val="00087E31"/>
    <w:rsid w:val="00092A1E"/>
    <w:rsid w:val="0009619F"/>
    <w:rsid w:val="0009788A"/>
    <w:rsid w:val="000A05AE"/>
    <w:rsid w:val="000A091C"/>
    <w:rsid w:val="000A5878"/>
    <w:rsid w:val="000A6424"/>
    <w:rsid w:val="000B09AB"/>
    <w:rsid w:val="000B14BF"/>
    <w:rsid w:val="000B1CE8"/>
    <w:rsid w:val="000B3752"/>
    <w:rsid w:val="000B5F04"/>
    <w:rsid w:val="000C1C1E"/>
    <w:rsid w:val="000C5F58"/>
    <w:rsid w:val="000C62F7"/>
    <w:rsid w:val="000D29BA"/>
    <w:rsid w:val="000D3C3E"/>
    <w:rsid w:val="000D41BE"/>
    <w:rsid w:val="000D479C"/>
    <w:rsid w:val="000D6448"/>
    <w:rsid w:val="000E018D"/>
    <w:rsid w:val="000E48CB"/>
    <w:rsid w:val="000E6D81"/>
    <w:rsid w:val="000F3B4F"/>
    <w:rsid w:val="000F4488"/>
    <w:rsid w:val="000F7008"/>
    <w:rsid w:val="000F7C86"/>
    <w:rsid w:val="001049C6"/>
    <w:rsid w:val="0010788E"/>
    <w:rsid w:val="001161B0"/>
    <w:rsid w:val="00116CDD"/>
    <w:rsid w:val="00122497"/>
    <w:rsid w:val="00123CDB"/>
    <w:rsid w:val="001242D9"/>
    <w:rsid w:val="00124D8C"/>
    <w:rsid w:val="00136A1D"/>
    <w:rsid w:val="00141AEB"/>
    <w:rsid w:val="00141B61"/>
    <w:rsid w:val="00145BAE"/>
    <w:rsid w:val="0014772F"/>
    <w:rsid w:val="00151C3E"/>
    <w:rsid w:val="001520B9"/>
    <w:rsid w:val="001539AC"/>
    <w:rsid w:val="00154A86"/>
    <w:rsid w:val="001610A2"/>
    <w:rsid w:val="00163F20"/>
    <w:rsid w:val="00164424"/>
    <w:rsid w:val="00164B5C"/>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3470"/>
    <w:rsid w:val="001B4FFE"/>
    <w:rsid w:val="001B73CF"/>
    <w:rsid w:val="001B7BE7"/>
    <w:rsid w:val="001C13EC"/>
    <w:rsid w:val="001C2D0B"/>
    <w:rsid w:val="001C6F56"/>
    <w:rsid w:val="001D204F"/>
    <w:rsid w:val="001D6948"/>
    <w:rsid w:val="001E0B40"/>
    <w:rsid w:val="001F2BA3"/>
    <w:rsid w:val="001F5296"/>
    <w:rsid w:val="001F73E9"/>
    <w:rsid w:val="00200DA7"/>
    <w:rsid w:val="00201A60"/>
    <w:rsid w:val="002022E7"/>
    <w:rsid w:val="00203F76"/>
    <w:rsid w:val="00204D8C"/>
    <w:rsid w:val="0020773C"/>
    <w:rsid w:val="002119FE"/>
    <w:rsid w:val="00213935"/>
    <w:rsid w:val="00215AA9"/>
    <w:rsid w:val="00215FF0"/>
    <w:rsid w:val="00222ABB"/>
    <w:rsid w:val="0022358B"/>
    <w:rsid w:val="00223602"/>
    <w:rsid w:val="00224875"/>
    <w:rsid w:val="00224963"/>
    <w:rsid w:val="0023165A"/>
    <w:rsid w:val="00243F40"/>
    <w:rsid w:val="00244694"/>
    <w:rsid w:val="00247B6A"/>
    <w:rsid w:val="0025070C"/>
    <w:rsid w:val="00251F9C"/>
    <w:rsid w:val="00256527"/>
    <w:rsid w:val="0025739B"/>
    <w:rsid w:val="0026676C"/>
    <w:rsid w:val="002810B7"/>
    <w:rsid w:val="00284DA6"/>
    <w:rsid w:val="00285C8E"/>
    <w:rsid w:val="002903F0"/>
    <w:rsid w:val="00292DF3"/>
    <w:rsid w:val="0029509B"/>
    <w:rsid w:val="00297E00"/>
    <w:rsid w:val="002A0E6C"/>
    <w:rsid w:val="002A48D9"/>
    <w:rsid w:val="002B0C1A"/>
    <w:rsid w:val="002B6553"/>
    <w:rsid w:val="002C01AB"/>
    <w:rsid w:val="002C02F0"/>
    <w:rsid w:val="002C09E4"/>
    <w:rsid w:val="002C65DB"/>
    <w:rsid w:val="002D01BC"/>
    <w:rsid w:val="002D252C"/>
    <w:rsid w:val="002D7889"/>
    <w:rsid w:val="002E0D04"/>
    <w:rsid w:val="002E2156"/>
    <w:rsid w:val="002E3324"/>
    <w:rsid w:val="002E4144"/>
    <w:rsid w:val="002F15D6"/>
    <w:rsid w:val="002F2A28"/>
    <w:rsid w:val="002F4EAC"/>
    <w:rsid w:val="002F7873"/>
    <w:rsid w:val="003023F8"/>
    <w:rsid w:val="003028A1"/>
    <w:rsid w:val="00302AAA"/>
    <w:rsid w:val="00303BA8"/>
    <w:rsid w:val="003045E4"/>
    <w:rsid w:val="00307758"/>
    <w:rsid w:val="00311B81"/>
    <w:rsid w:val="0031227B"/>
    <w:rsid w:val="00322CC7"/>
    <w:rsid w:val="00323887"/>
    <w:rsid w:val="00323A6E"/>
    <w:rsid w:val="00325946"/>
    <w:rsid w:val="0032739E"/>
    <w:rsid w:val="003317B7"/>
    <w:rsid w:val="00332B9B"/>
    <w:rsid w:val="00332D4B"/>
    <w:rsid w:val="00334F9D"/>
    <w:rsid w:val="00337CB5"/>
    <w:rsid w:val="00337E1A"/>
    <w:rsid w:val="00342C78"/>
    <w:rsid w:val="00343F50"/>
    <w:rsid w:val="00351324"/>
    <w:rsid w:val="0035446F"/>
    <w:rsid w:val="0035562C"/>
    <w:rsid w:val="00363A61"/>
    <w:rsid w:val="0036504F"/>
    <w:rsid w:val="00365E13"/>
    <w:rsid w:val="00374F43"/>
    <w:rsid w:val="00375FE4"/>
    <w:rsid w:val="00381694"/>
    <w:rsid w:val="00381D74"/>
    <w:rsid w:val="0038264A"/>
    <w:rsid w:val="00383CB7"/>
    <w:rsid w:val="003844F8"/>
    <w:rsid w:val="00384A23"/>
    <w:rsid w:val="00385250"/>
    <w:rsid w:val="00385623"/>
    <w:rsid w:val="00385B3D"/>
    <w:rsid w:val="00394924"/>
    <w:rsid w:val="003962B0"/>
    <w:rsid w:val="003A0113"/>
    <w:rsid w:val="003A0FB5"/>
    <w:rsid w:val="003A7091"/>
    <w:rsid w:val="003B1A7B"/>
    <w:rsid w:val="003B3B74"/>
    <w:rsid w:val="003B6B36"/>
    <w:rsid w:val="003B7F17"/>
    <w:rsid w:val="003C34DF"/>
    <w:rsid w:val="003C532A"/>
    <w:rsid w:val="003C6CE2"/>
    <w:rsid w:val="003D1CB2"/>
    <w:rsid w:val="003D3F19"/>
    <w:rsid w:val="003D5875"/>
    <w:rsid w:val="003D70E2"/>
    <w:rsid w:val="003E1887"/>
    <w:rsid w:val="003E5D47"/>
    <w:rsid w:val="003E62C7"/>
    <w:rsid w:val="003F1E5D"/>
    <w:rsid w:val="003F35CB"/>
    <w:rsid w:val="003F3EE6"/>
    <w:rsid w:val="0040054B"/>
    <w:rsid w:val="004021A6"/>
    <w:rsid w:val="00404A63"/>
    <w:rsid w:val="00405FC2"/>
    <w:rsid w:val="00410C32"/>
    <w:rsid w:val="00411302"/>
    <w:rsid w:val="0041394B"/>
    <w:rsid w:val="0041449D"/>
    <w:rsid w:val="00414A05"/>
    <w:rsid w:val="00420F09"/>
    <w:rsid w:val="004218C6"/>
    <w:rsid w:val="00424F59"/>
    <w:rsid w:val="004254E6"/>
    <w:rsid w:val="0042782F"/>
    <w:rsid w:val="004316F0"/>
    <w:rsid w:val="004344BE"/>
    <w:rsid w:val="004369F4"/>
    <w:rsid w:val="00440F28"/>
    <w:rsid w:val="00446AFC"/>
    <w:rsid w:val="00450DBC"/>
    <w:rsid w:val="0045607A"/>
    <w:rsid w:val="0046034D"/>
    <w:rsid w:val="00461F3D"/>
    <w:rsid w:val="00463AE2"/>
    <w:rsid w:val="00465420"/>
    <w:rsid w:val="00465841"/>
    <w:rsid w:val="00473181"/>
    <w:rsid w:val="0047374A"/>
    <w:rsid w:val="00473C8D"/>
    <w:rsid w:val="0047619A"/>
    <w:rsid w:val="0048351B"/>
    <w:rsid w:val="00484C66"/>
    <w:rsid w:val="00487496"/>
    <w:rsid w:val="004902FB"/>
    <w:rsid w:val="004960B9"/>
    <w:rsid w:val="00497C2E"/>
    <w:rsid w:val="004A0A02"/>
    <w:rsid w:val="004A3361"/>
    <w:rsid w:val="004A66B4"/>
    <w:rsid w:val="004A74CE"/>
    <w:rsid w:val="004B0527"/>
    <w:rsid w:val="004B0D01"/>
    <w:rsid w:val="004B1F20"/>
    <w:rsid w:val="004B33A5"/>
    <w:rsid w:val="004B3AE2"/>
    <w:rsid w:val="004C1521"/>
    <w:rsid w:val="004C1DE7"/>
    <w:rsid w:val="004C26B9"/>
    <w:rsid w:val="004D0B7B"/>
    <w:rsid w:val="004D3400"/>
    <w:rsid w:val="004D6FAE"/>
    <w:rsid w:val="00501798"/>
    <w:rsid w:val="0050336D"/>
    <w:rsid w:val="00503FAE"/>
    <w:rsid w:val="005105AC"/>
    <w:rsid w:val="005125FB"/>
    <w:rsid w:val="0051379F"/>
    <w:rsid w:val="00521EA6"/>
    <w:rsid w:val="005242C5"/>
    <w:rsid w:val="00526541"/>
    <w:rsid w:val="005270E6"/>
    <w:rsid w:val="0053356F"/>
    <w:rsid w:val="005425A6"/>
    <w:rsid w:val="00544531"/>
    <w:rsid w:val="005458E3"/>
    <w:rsid w:val="005569BB"/>
    <w:rsid w:val="00560BF3"/>
    <w:rsid w:val="00565AF9"/>
    <w:rsid w:val="00566C4D"/>
    <w:rsid w:val="00567FAC"/>
    <w:rsid w:val="00570E3D"/>
    <w:rsid w:val="00572EDE"/>
    <w:rsid w:val="005767DA"/>
    <w:rsid w:val="0058474D"/>
    <w:rsid w:val="00585EE9"/>
    <w:rsid w:val="005878E8"/>
    <w:rsid w:val="00591AE2"/>
    <w:rsid w:val="00594198"/>
    <w:rsid w:val="00597B07"/>
    <w:rsid w:val="005A08C9"/>
    <w:rsid w:val="005A6549"/>
    <w:rsid w:val="005B25E1"/>
    <w:rsid w:val="005B42F8"/>
    <w:rsid w:val="005B5408"/>
    <w:rsid w:val="005B7C97"/>
    <w:rsid w:val="005C01AB"/>
    <w:rsid w:val="005C5C9C"/>
    <w:rsid w:val="005D205A"/>
    <w:rsid w:val="005D316F"/>
    <w:rsid w:val="005D44C0"/>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3023C"/>
    <w:rsid w:val="00630AD4"/>
    <w:rsid w:val="00636FF5"/>
    <w:rsid w:val="006417AE"/>
    <w:rsid w:val="00643BF3"/>
    <w:rsid w:val="00645A53"/>
    <w:rsid w:val="006520AB"/>
    <w:rsid w:val="006527AF"/>
    <w:rsid w:val="00654158"/>
    <w:rsid w:val="00655D40"/>
    <w:rsid w:val="006629B3"/>
    <w:rsid w:val="00663DC7"/>
    <w:rsid w:val="00667E24"/>
    <w:rsid w:val="00680AA0"/>
    <w:rsid w:val="00683BB0"/>
    <w:rsid w:val="00685074"/>
    <w:rsid w:val="0068730A"/>
    <w:rsid w:val="00693A54"/>
    <w:rsid w:val="006940A8"/>
    <w:rsid w:val="00694633"/>
    <w:rsid w:val="00696409"/>
    <w:rsid w:val="006A0280"/>
    <w:rsid w:val="006A4B4C"/>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3165"/>
    <w:rsid w:val="0071563E"/>
    <w:rsid w:val="0071604D"/>
    <w:rsid w:val="00716F9B"/>
    <w:rsid w:val="00717018"/>
    <w:rsid w:val="00717391"/>
    <w:rsid w:val="00723814"/>
    <w:rsid w:val="00726EE8"/>
    <w:rsid w:val="00727419"/>
    <w:rsid w:val="00730927"/>
    <w:rsid w:val="007326F3"/>
    <w:rsid w:val="0073460D"/>
    <w:rsid w:val="00740136"/>
    <w:rsid w:val="0074339B"/>
    <w:rsid w:val="00746761"/>
    <w:rsid w:val="00752701"/>
    <w:rsid w:val="0075523B"/>
    <w:rsid w:val="00763315"/>
    <w:rsid w:val="00764503"/>
    <w:rsid w:val="00770909"/>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E7FE4"/>
    <w:rsid w:val="007F1550"/>
    <w:rsid w:val="007F5BFF"/>
    <w:rsid w:val="0080032B"/>
    <w:rsid w:val="008045E5"/>
    <w:rsid w:val="00807993"/>
    <w:rsid w:val="008134DE"/>
    <w:rsid w:val="00820DAF"/>
    <w:rsid w:val="008231E2"/>
    <w:rsid w:val="008315D7"/>
    <w:rsid w:val="00831ECC"/>
    <w:rsid w:val="00832D3F"/>
    <w:rsid w:val="00840805"/>
    <w:rsid w:val="0084140D"/>
    <w:rsid w:val="008425BD"/>
    <w:rsid w:val="008445CA"/>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A673A"/>
    <w:rsid w:val="008B5150"/>
    <w:rsid w:val="008B55B8"/>
    <w:rsid w:val="008B6079"/>
    <w:rsid w:val="008C42E8"/>
    <w:rsid w:val="008D2F11"/>
    <w:rsid w:val="008E4953"/>
    <w:rsid w:val="008E5645"/>
    <w:rsid w:val="008E6270"/>
    <w:rsid w:val="008E7385"/>
    <w:rsid w:val="008E7C43"/>
    <w:rsid w:val="008F1860"/>
    <w:rsid w:val="008F2DE5"/>
    <w:rsid w:val="008F5045"/>
    <w:rsid w:val="008F6AD8"/>
    <w:rsid w:val="008F7EA2"/>
    <w:rsid w:val="009001C8"/>
    <w:rsid w:val="00900C57"/>
    <w:rsid w:val="009037E4"/>
    <w:rsid w:val="0090682F"/>
    <w:rsid w:val="0090749C"/>
    <w:rsid w:val="00907AF6"/>
    <w:rsid w:val="00911ABD"/>
    <w:rsid w:val="00916825"/>
    <w:rsid w:val="00923DF9"/>
    <w:rsid w:val="00925A65"/>
    <w:rsid w:val="00925D4D"/>
    <w:rsid w:val="00927804"/>
    <w:rsid w:val="00931BAC"/>
    <w:rsid w:val="00932498"/>
    <w:rsid w:val="0093286C"/>
    <w:rsid w:val="00934130"/>
    <w:rsid w:val="00934385"/>
    <w:rsid w:val="00935655"/>
    <w:rsid w:val="00946D79"/>
    <w:rsid w:val="009538EB"/>
    <w:rsid w:val="00954C5B"/>
    <w:rsid w:val="00954CC1"/>
    <w:rsid w:val="00956651"/>
    <w:rsid w:val="0096447F"/>
    <w:rsid w:val="009649F5"/>
    <w:rsid w:val="00965143"/>
    <w:rsid w:val="00971E13"/>
    <w:rsid w:val="00972AB1"/>
    <w:rsid w:val="00972E25"/>
    <w:rsid w:val="009807F2"/>
    <w:rsid w:val="00983212"/>
    <w:rsid w:val="009840F8"/>
    <w:rsid w:val="00990023"/>
    <w:rsid w:val="009900A2"/>
    <w:rsid w:val="00991217"/>
    <w:rsid w:val="00994A9F"/>
    <w:rsid w:val="00996760"/>
    <w:rsid w:val="009A2E58"/>
    <w:rsid w:val="009A3BE0"/>
    <w:rsid w:val="009B07E0"/>
    <w:rsid w:val="009B0E19"/>
    <w:rsid w:val="009B3C8A"/>
    <w:rsid w:val="009B586D"/>
    <w:rsid w:val="009C00D6"/>
    <w:rsid w:val="009C756F"/>
    <w:rsid w:val="009C7D1C"/>
    <w:rsid w:val="009D187D"/>
    <w:rsid w:val="009D5489"/>
    <w:rsid w:val="009E1086"/>
    <w:rsid w:val="009E6FFA"/>
    <w:rsid w:val="009F0E45"/>
    <w:rsid w:val="009F25DA"/>
    <w:rsid w:val="009F4E05"/>
    <w:rsid w:val="009F589D"/>
    <w:rsid w:val="00A00C6D"/>
    <w:rsid w:val="00A018D9"/>
    <w:rsid w:val="00A07F33"/>
    <w:rsid w:val="00A12DDC"/>
    <w:rsid w:val="00A15029"/>
    <w:rsid w:val="00A1685E"/>
    <w:rsid w:val="00A20BBB"/>
    <w:rsid w:val="00A2185A"/>
    <w:rsid w:val="00A2694E"/>
    <w:rsid w:val="00A27DF6"/>
    <w:rsid w:val="00A30694"/>
    <w:rsid w:val="00A341DC"/>
    <w:rsid w:val="00A34FD4"/>
    <w:rsid w:val="00A350E6"/>
    <w:rsid w:val="00A355A1"/>
    <w:rsid w:val="00A35CDB"/>
    <w:rsid w:val="00A4291B"/>
    <w:rsid w:val="00A45402"/>
    <w:rsid w:val="00A57BBC"/>
    <w:rsid w:val="00A601F0"/>
    <w:rsid w:val="00A64982"/>
    <w:rsid w:val="00A70EF8"/>
    <w:rsid w:val="00A72281"/>
    <w:rsid w:val="00A80F7F"/>
    <w:rsid w:val="00A81BFA"/>
    <w:rsid w:val="00A84BDE"/>
    <w:rsid w:val="00A85FBA"/>
    <w:rsid w:val="00A93A6E"/>
    <w:rsid w:val="00A94285"/>
    <w:rsid w:val="00A946D2"/>
    <w:rsid w:val="00A947DF"/>
    <w:rsid w:val="00AA17B4"/>
    <w:rsid w:val="00AA1A42"/>
    <w:rsid w:val="00AA4EBA"/>
    <w:rsid w:val="00AA71C4"/>
    <w:rsid w:val="00AB192A"/>
    <w:rsid w:val="00AB395C"/>
    <w:rsid w:val="00AB3E19"/>
    <w:rsid w:val="00AB5DAE"/>
    <w:rsid w:val="00AB6E89"/>
    <w:rsid w:val="00AC017F"/>
    <w:rsid w:val="00AC6E2E"/>
    <w:rsid w:val="00AE0369"/>
    <w:rsid w:val="00AE0A5E"/>
    <w:rsid w:val="00AE4065"/>
    <w:rsid w:val="00AE4439"/>
    <w:rsid w:val="00AE44B2"/>
    <w:rsid w:val="00AE5193"/>
    <w:rsid w:val="00AF1307"/>
    <w:rsid w:val="00AF20D0"/>
    <w:rsid w:val="00AF2E6D"/>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1F1E"/>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07D9"/>
    <w:rsid w:val="00B81674"/>
    <w:rsid w:val="00B85F52"/>
    <w:rsid w:val="00B86479"/>
    <w:rsid w:val="00B940BC"/>
    <w:rsid w:val="00B96E8B"/>
    <w:rsid w:val="00B96F32"/>
    <w:rsid w:val="00BA66CC"/>
    <w:rsid w:val="00BA6870"/>
    <w:rsid w:val="00BA7FA9"/>
    <w:rsid w:val="00BC1226"/>
    <w:rsid w:val="00BC3AF0"/>
    <w:rsid w:val="00BC46E1"/>
    <w:rsid w:val="00BE156A"/>
    <w:rsid w:val="00BE4291"/>
    <w:rsid w:val="00BF340E"/>
    <w:rsid w:val="00BF366D"/>
    <w:rsid w:val="00BF4739"/>
    <w:rsid w:val="00C0529B"/>
    <w:rsid w:val="00C05EEA"/>
    <w:rsid w:val="00C0667C"/>
    <w:rsid w:val="00C1367B"/>
    <w:rsid w:val="00C14BB6"/>
    <w:rsid w:val="00C20BBE"/>
    <w:rsid w:val="00C223DA"/>
    <w:rsid w:val="00C30873"/>
    <w:rsid w:val="00C34485"/>
    <w:rsid w:val="00C37A21"/>
    <w:rsid w:val="00C37AC1"/>
    <w:rsid w:val="00C43AB2"/>
    <w:rsid w:val="00C50B71"/>
    <w:rsid w:val="00C50E91"/>
    <w:rsid w:val="00C527F5"/>
    <w:rsid w:val="00C6023D"/>
    <w:rsid w:val="00C626DB"/>
    <w:rsid w:val="00C63A86"/>
    <w:rsid w:val="00C71B1D"/>
    <w:rsid w:val="00C72977"/>
    <w:rsid w:val="00C76AB6"/>
    <w:rsid w:val="00C771EA"/>
    <w:rsid w:val="00C77B9B"/>
    <w:rsid w:val="00C848CC"/>
    <w:rsid w:val="00C85CDA"/>
    <w:rsid w:val="00C879E7"/>
    <w:rsid w:val="00C90B9E"/>
    <w:rsid w:val="00C90F41"/>
    <w:rsid w:val="00C92224"/>
    <w:rsid w:val="00C92ADD"/>
    <w:rsid w:val="00C95FDD"/>
    <w:rsid w:val="00C96BD0"/>
    <w:rsid w:val="00CA3468"/>
    <w:rsid w:val="00CA47C1"/>
    <w:rsid w:val="00CA64E6"/>
    <w:rsid w:val="00CB19BE"/>
    <w:rsid w:val="00CB2FD2"/>
    <w:rsid w:val="00CB3F24"/>
    <w:rsid w:val="00CB5F2C"/>
    <w:rsid w:val="00CB7B3F"/>
    <w:rsid w:val="00CC2C92"/>
    <w:rsid w:val="00CE1163"/>
    <w:rsid w:val="00CE3571"/>
    <w:rsid w:val="00CF1AB1"/>
    <w:rsid w:val="00CF4431"/>
    <w:rsid w:val="00D002CF"/>
    <w:rsid w:val="00D016C2"/>
    <w:rsid w:val="00D01DEE"/>
    <w:rsid w:val="00D02095"/>
    <w:rsid w:val="00D021FB"/>
    <w:rsid w:val="00D067DD"/>
    <w:rsid w:val="00D14CE1"/>
    <w:rsid w:val="00D26AC0"/>
    <w:rsid w:val="00D30F0A"/>
    <w:rsid w:val="00D3422B"/>
    <w:rsid w:val="00D34927"/>
    <w:rsid w:val="00D34C69"/>
    <w:rsid w:val="00D35BE1"/>
    <w:rsid w:val="00D35CCA"/>
    <w:rsid w:val="00D372C4"/>
    <w:rsid w:val="00D41AF6"/>
    <w:rsid w:val="00D44E17"/>
    <w:rsid w:val="00D50F76"/>
    <w:rsid w:val="00D5381E"/>
    <w:rsid w:val="00D54D74"/>
    <w:rsid w:val="00D571BD"/>
    <w:rsid w:val="00D57DFC"/>
    <w:rsid w:val="00D7018B"/>
    <w:rsid w:val="00D71EA6"/>
    <w:rsid w:val="00D7217F"/>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1590"/>
    <w:rsid w:val="00DE233D"/>
    <w:rsid w:val="00DE2DB3"/>
    <w:rsid w:val="00DE3CDB"/>
    <w:rsid w:val="00DF0E65"/>
    <w:rsid w:val="00DF126A"/>
    <w:rsid w:val="00DF7785"/>
    <w:rsid w:val="00E0061D"/>
    <w:rsid w:val="00E05A73"/>
    <w:rsid w:val="00E05BDD"/>
    <w:rsid w:val="00E067BD"/>
    <w:rsid w:val="00E07E37"/>
    <w:rsid w:val="00E17D65"/>
    <w:rsid w:val="00E2583E"/>
    <w:rsid w:val="00E34FAC"/>
    <w:rsid w:val="00E35133"/>
    <w:rsid w:val="00E37C5D"/>
    <w:rsid w:val="00E42395"/>
    <w:rsid w:val="00E54694"/>
    <w:rsid w:val="00E54AD5"/>
    <w:rsid w:val="00E54E28"/>
    <w:rsid w:val="00E55074"/>
    <w:rsid w:val="00E56FA1"/>
    <w:rsid w:val="00E71049"/>
    <w:rsid w:val="00E72F6A"/>
    <w:rsid w:val="00E754EB"/>
    <w:rsid w:val="00E76685"/>
    <w:rsid w:val="00E77F00"/>
    <w:rsid w:val="00E822E0"/>
    <w:rsid w:val="00E86094"/>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0816"/>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4693"/>
    <w:rsid w:val="00F7535E"/>
    <w:rsid w:val="00F774C4"/>
    <w:rsid w:val="00F808B8"/>
    <w:rsid w:val="00F84226"/>
    <w:rsid w:val="00F86319"/>
    <w:rsid w:val="00FA0B62"/>
    <w:rsid w:val="00FA1981"/>
    <w:rsid w:val="00FA77AA"/>
    <w:rsid w:val="00FB3E87"/>
    <w:rsid w:val="00FC3C56"/>
    <w:rsid w:val="00FC5CD6"/>
    <w:rsid w:val="00FC68CF"/>
    <w:rsid w:val="00FC7368"/>
    <w:rsid w:val="00FC7AE1"/>
    <w:rsid w:val="00FD0140"/>
    <w:rsid w:val="00FD223B"/>
    <w:rsid w:val="00FE00F0"/>
    <w:rsid w:val="00FE14A4"/>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075F"/>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 w:type="character" w:styleId="UnresolvedMention">
    <w:name w:val="Unresolved Mention"/>
    <w:basedOn w:val="DefaultParagraphFont"/>
    <w:uiPriority w:val="99"/>
    <w:semiHidden/>
    <w:unhideWhenUsed/>
    <w:rsid w:val="0046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92173725">
      <w:bodyDiv w:val="1"/>
      <w:marLeft w:val="0"/>
      <w:marRight w:val="0"/>
      <w:marTop w:val="0"/>
      <w:marBottom w:val="0"/>
      <w:divBdr>
        <w:top w:val="none" w:sz="0" w:space="0" w:color="auto"/>
        <w:left w:val="none" w:sz="0" w:space="0" w:color="auto"/>
        <w:bottom w:val="none" w:sz="0" w:space="0" w:color="auto"/>
        <w:right w:val="none" w:sz="0" w:space="0" w:color="auto"/>
      </w:divBdr>
      <w:divsChild>
        <w:div w:id="624776143">
          <w:marLeft w:val="0"/>
          <w:marRight w:val="0"/>
          <w:marTop w:val="0"/>
          <w:marBottom w:val="0"/>
          <w:divBdr>
            <w:top w:val="none" w:sz="0" w:space="0" w:color="auto"/>
            <w:left w:val="none" w:sz="0" w:space="0" w:color="auto"/>
            <w:bottom w:val="none" w:sz="0" w:space="0" w:color="auto"/>
            <w:right w:val="none" w:sz="0" w:space="0" w:color="auto"/>
          </w:divBdr>
        </w:div>
        <w:div w:id="1194533467">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ossmark.crossref.org/dialog/?doi=10.47268/sasi.v26i3.247&amp;domain=pdf" TargetMode="External"/><Relationship Id="rId17" Type="http://schemas.openxmlformats.org/officeDocument/2006/relationships/hyperlink" Target="https://creativecommons.org/licenses/by/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7268/sasi.v30i1.XX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47268/sasi.v30i1.XXXXX" TargetMode="External"/><Relationship Id="rId23" Type="http://schemas.openxmlformats.org/officeDocument/2006/relationships/footer" Target="footer3.xml"/><Relationship Id="rId10" Type="http://schemas.openxmlformats.org/officeDocument/2006/relationships/hyperlink" Target="https://fhukum.unpatti.ac.id/jurnal/sa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romsgrove.ac.th/student-parent-school-agreemen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0CA28CA-2883-44E0-ACCE-2A7A24E4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C:\Users\Muchtar\Downloads\[HALREV] TEMPLATE 2021.dotx</Template>
  <TotalTime>1283</TotalTime>
  <Pages>12</Pages>
  <Words>5438</Words>
  <Characters>30999</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Berlianty, Teng. Hukum Organisasi Perusahaan. Sidoarjo: Zifatama Jawara, 2019.</vt:lpstr>
    </vt:vector>
  </TitlesOfParts>
  <Company/>
  <LinksUpToDate>false</LinksUpToDate>
  <CharactersWithSpaces>36365</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Safrin Salam</cp:lastModifiedBy>
  <cp:revision>78</cp:revision>
  <cp:lastPrinted>2024-01-08T16:00:00Z</cp:lastPrinted>
  <dcterms:created xsi:type="dcterms:W3CDTF">2023-05-06T05:24:00Z</dcterms:created>
  <dcterms:modified xsi:type="dcterms:W3CDTF">2025-05-09T16:42:00Z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