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CF3"/>
  <w:body>
    <w:p w14:paraId="04A18E6E" w14:textId="77777777" w:rsidR="00D34C69" w:rsidRPr="00EB46BA" w:rsidRDefault="00164B5C" w:rsidP="00AE5193">
      <w:pPr>
        <w:pStyle w:val="Header"/>
        <w:tabs>
          <w:tab w:val="clear" w:pos="9360"/>
          <w:tab w:val="left" w:pos="825"/>
          <w:tab w:val="right" w:pos="9781"/>
        </w:tabs>
        <w:spacing w:before="120"/>
        <w:jc w:val="right"/>
        <w:rPr>
          <w:rFonts w:ascii="Book Antiqua" w:hAnsi="Book Antiqua" w:cstheme="majorHAnsi"/>
          <w:color w:val="000000" w:themeColor="text1"/>
          <w:sz w:val="20"/>
          <w:szCs w:val="20"/>
        </w:rPr>
      </w:pPr>
      <w:bookmarkStart w:id="0" w:name="_Toc292564709"/>
      <w:bookmarkStart w:id="1" w:name="_Toc1"/>
      <w:r w:rsidRPr="0096447F">
        <w:rPr>
          <w:rFonts w:ascii="Book Antiqua" w:hAnsi="Book Antiqua" w:cstheme="majorHAnsi"/>
          <w:noProof/>
          <w:color w:val="000000" w:themeColor="text1"/>
          <w:sz w:val="20"/>
          <w:szCs w:val="20"/>
          <w:lang w:bidi="ar-SA"/>
        </w:rPr>
        <w:drawing>
          <wp:anchor distT="0" distB="0" distL="114300" distR="114300" simplePos="0" relativeHeight="251685888" behindDoc="0" locked="0" layoutInCell="1" allowOverlap="1" wp14:anchorId="70918130" wp14:editId="1915FC6F">
            <wp:simplePos x="0" y="0"/>
            <wp:positionH relativeFrom="column">
              <wp:posOffset>-920115</wp:posOffset>
            </wp:positionH>
            <wp:positionV relativeFrom="paragraph">
              <wp:posOffset>-405765</wp:posOffset>
            </wp:positionV>
            <wp:extent cx="7791450" cy="415925"/>
            <wp:effectExtent l="0" t="0" r="0" b="3175"/>
            <wp:wrapNone/>
            <wp:docPr id="3" name="Picture 3" descr="E:\FileKu\JURNAL FH UNPATTI\SASI\Cover Template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leKu\JURNAL FH UNPATTI\SASI\Cover Template SAS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145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185A">
        <w:rPr>
          <w:rFonts w:ascii="Book Antiqua" w:hAnsi="Book Antiqua" w:cstheme="majorHAnsi"/>
          <w:color w:val="000000" w:themeColor="text1"/>
          <w:sz w:val="20"/>
          <w:szCs w:val="20"/>
        </w:rPr>
        <w:t xml:space="preserve">Volume </w:t>
      </w:r>
      <w:r w:rsidR="00F2670C">
        <w:rPr>
          <w:rFonts w:ascii="Book Antiqua" w:hAnsi="Book Antiqua" w:cstheme="majorHAnsi"/>
          <w:color w:val="000000" w:themeColor="text1"/>
          <w:sz w:val="20"/>
          <w:szCs w:val="20"/>
        </w:rPr>
        <w:t>30</w:t>
      </w:r>
      <w:r w:rsidR="001C2D0B">
        <w:rPr>
          <w:rFonts w:ascii="Book Antiqua" w:hAnsi="Book Antiqua" w:cstheme="majorHAnsi"/>
          <w:color w:val="000000" w:themeColor="text1"/>
          <w:sz w:val="20"/>
          <w:szCs w:val="20"/>
        </w:rPr>
        <w:t xml:space="preserve"> Issue</w:t>
      </w:r>
      <w:r w:rsidR="00F2670C">
        <w:rPr>
          <w:rFonts w:ascii="Book Antiqua" w:hAnsi="Book Antiqua" w:cstheme="majorHAnsi"/>
          <w:color w:val="000000" w:themeColor="text1"/>
          <w:sz w:val="20"/>
          <w:szCs w:val="20"/>
        </w:rPr>
        <w:t xml:space="preserve"> 1, March 2024</w:t>
      </w:r>
      <w:r w:rsidR="00A2185A">
        <w:rPr>
          <w:rFonts w:ascii="Book Antiqua" w:hAnsi="Book Antiqua" w:cstheme="majorHAnsi"/>
          <w:color w:val="000000" w:themeColor="text1"/>
          <w:sz w:val="20"/>
          <w:szCs w:val="20"/>
        </w:rPr>
        <w:t>: p. XX-XX</w:t>
      </w:r>
    </w:p>
    <w:p w14:paraId="44E1C523" w14:textId="77777777" w:rsidR="00D34C69" w:rsidRPr="00215FF0" w:rsidRDefault="0073460D" w:rsidP="0073460D">
      <w:pPr>
        <w:pStyle w:val="Header"/>
        <w:tabs>
          <w:tab w:val="clear" w:pos="9360"/>
          <w:tab w:val="left" w:pos="825"/>
          <w:tab w:val="right" w:pos="9781"/>
        </w:tabs>
        <w:rPr>
          <w:rFonts w:ascii="Book Antiqua" w:hAnsi="Book Antiqua" w:cstheme="majorHAnsi"/>
          <w:color w:val="000000" w:themeColor="text1"/>
          <w:sz w:val="20"/>
          <w:szCs w:val="20"/>
          <w:lang w:val="da-DK"/>
        </w:rPr>
      </w:pPr>
      <w:r>
        <w:rPr>
          <w:rFonts w:ascii="Book Antiqua" w:hAnsi="Book Antiqua" w:cstheme="majorHAnsi"/>
          <w:color w:val="000000" w:themeColor="text1"/>
          <w:sz w:val="20"/>
          <w:szCs w:val="20"/>
        </w:rPr>
        <w:tab/>
      </w:r>
      <w:r>
        <w:rPr>
          <w:rFonts w:ascii="Book Antiqua" w:hAnsi="Book Antiqua" w:cstheme="majorHAnsi"/>
          <w:color w:val="000000" w:themeColor="text1"/>
          <w:sz w:val="20"/>
          <w:szCs w:val="20"/>
        </w:rPr>
        <w:tab/>
      </w:r>
      <w:r>
        <w:rPr>
          <w:rFonts w:ascii="Book Antiqua" w:hAnsi="Book Antiqua" w:cstheme="majorHAnsi"/>
          <w:color w:val="000000" w:themeColor="text1"/>
          <w:sz w:val="20"/>
          <w:szCs w:val="20"/>
        </w:rPr>
        <w:tab/>
      </w:r>
      <w:r w:rsidR="00A2185A" w:rsidRPr="00A2185A">
        <w:rPr>
          <w:rFonts w:ascii="Book Antiqua" w:hAnsi="Book Antiqua" w:cstheme="majorHAnsi"/>
          <w:color w:val="000000" w:themeColor="text1"/>
          <w:sz w:val="20"/>
          <w:szCs w:val="20"/>
        </w:rPr>
        <w:t xml:space="preserve"> </w:t>
      </w:r>
      <w:r w:rsidR="00A2185A" w:rsidRPr="00215FF0">
        <w:rPr>
          <w:rFonts w:ascii="Book Antiqua" w:hAnsi="Book Antiqua" w:cstheme="majorHAnsi"/>
          <w:color w:val="000000" w:themeColor="text1"/>
          <w:sz w:val="20"/>
          <w:szCs w:val="20"/>
          <w:lang w:val="da-DK"/>
        </w:rPr>
        <w:t>P-ISSN: 1693-0061, E-I</w:t>
      </w:r>
      <w:r w:rsidR="0096447F" w:rsidRPr="0096447F">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A2185A" w:rsidRPr="00215FF0">
        <w:rPr>
          <w:rFonts w:ascii="Book Antiqua" w:hAnsi="Book Antiqua" w:cstheme="majorHAnsi"/>
          <w:color w:val="000000" w:themeColor="text1"/>
          <w:sz w:val="20"/>
          <w:szCs w:val="20"/>
          <w:lang w:val="da-DK"/>
        </w:rPr>
        <w:t>SSN: 2614-2961</w:t>
      </w:r>
    </w:p>
    <w:p w14:paraId="2454ABE1" w14:textId="77777777" w:rsidR="00DE2DB3" w:rsidRPr="00215FF0" w:rsidRDefault="003B1A7B" w:rsidP="00DE1590">
      <w:pPr>
        <w:pStyle w:val="Header"/>
        <w:tabs>
          <w:tab w:val="clear" w:pos="9360"/>
          <w:tab w:val="left" w:pos="615"/>
          <w:tab w:val="left" w:pos="825"/>
          <w:tab w:val="right" w:pos="9781"/>
        </w:tabs>
        <w:spacing w:after="40"/>
        <w:rPr>
          <w:rStyle w:val="Hyperlink"/>
          <w:rFonts w:ascii="Book Antiqua" w:hAnsi="Book Antiqua" w:cstheme="majorHAnsi"/>
          <w:sz w:val="18"/>
          <w:szCs w:val="18"/>
          <w:lang w:val="da-DK"/>
        </w:rPr>
      </w:pPr>
      <w:r w:rsidRPr="00384A23">
        <w:rPr>
          <w:rFonts w:ascii="Century Gothic" w:hAnsi="Century Gothic" w:cs="Devanagari MT"/>
          <w:b/>
          <w:noProof/>
          <w:sz w:val="40"/>
          <w:szCs w:val="60"/>
          <w:lang w:bidi="ar-SA"/>
        </w:rPr>
        <mc:AlternateContent>
          <mc:Choice Requires="wps">
            <w:drawing>
              <wp:anchor distT="0" distB="0" distL="114300" distR="114300" simplePos="0" relativeHeight="251698176" behindDoc="0" locked="0" layoutInCell="1" allowOverlap="1" wp14:anchorId="7B81FAAC" wp14:editId="447A9C35">
                <wp:simplePos x="0" y="0"/>
                <wp:positionH relativeFrom="column">
                  <wp:posOffset>-90805</wp:posOffset>
                </wp:positionH>
                <wp:positionV relativeFrom="paragraph">
                  <wp:posOffset>50165</wp:posOffset>
                </wp:positionV>
                <wp:extent cx="933450" cy="428625"/>
                <wp:effectExtent l="0" t="0" r="0" b="0"/>
                <wp:wrapNone/>
                <wp:docPr id="16" name="Rectangle 16"/>
                <wp:cNvGraphicFramePr/>
                <a:graphic xmlns:a="http://schemas.openxmlformats.org/drawingml/2006/main">
                  <a:graphicData uri="http://schemas.microsoft.com/office/word/2010/wordprocessingShape">
                    <wps:wsp>
                      <wps:cNvSpPr/>
                      <wps:spPr>
                        <a:xfrm>
                          <a:off x="0" y="0"/>
                          <a:ext cx="933450"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F194F6" w14:textId="77777777" w:rsidR="00907AF6" w:rsidRPr="00907AF6" w:rsidRDefault="00907AF6" w:rsidP="00907AF6">
                            <w:pPr>
                              <w:pStyle w:val="Header"/>
                              <w:spacing w:after="60"/>
                              <w:jc w:val="both"/>
                              <w:rPr>
                                <w:rFonts w:ascii="Book Antiqua" w:hAnsi="Book Antiqua" w:cs="Helvetica"/>
                                <w:b/>
                                <w:color w:val="000000" w:themeColor="text1"/>
                                <w:sz w:val="16"/>
                                <w:szCs w:val="16"/>
                              </w:rPr>
                            </w:pPr>
                            <w:r w:rsidRPr="003B1A7B">
                              <w:rPr>
                                <w:rFonts w:ascii="Book Antiqua" w:hAnsi="Book Antiqua" w:cs="Helvetica"/>
                                <w:b/>
                                <w:color w:val="000000" w:themeColor="text1"/>
                                <w:sz w:val="24"/>
                                <w:szCs w:val="16"/>
                              </w:rPr>
                              <w:t>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1FAAC" id="Rectangle 16" o:spid="_x0000_s1026" style="position:absolute;margin-left:-7.15pt;margin-top:3.95pt;width:73.5pt;height:3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" filled="f" stroked="f" strokeweight="1pt">
                <v:textbox>
                  <w:txbxContent>
                    <w:p w14:paraId="6BF194F6" w14:textId="77777777" w:rsidR="00907AF6" w:rsidRPr="00907AF6" w:rsidRDefault="00907AF6" w:rsidP="00907AF6">
                      <w:pPr>
                        <w:pStyle w:val="Header"/>
                        <w:spacing w:after="60"/>
                        <w:jc w:val="both"/>
                        <w:rPr>
                          <w:rFonts w:ascii="Book Antiqua" w:hAnsi="Book Antiqua" w:cs="Helvetica"/>
                          <w:b/>
                          <w:color w:val="000000" w:themeColor="text1"/>
                          <w:sz w:val="16"/>
                          <w:szCs w:val="16"/>
                        </w:rPr>
                      </w:pPr>
                      <w:r w:rsidRPr="003B1A7B">
                        <w:rPr>
                          <w:rFonts w:ascii="Book Antiqua" w:hAnsi="Book Antiqua" w:cs="Helvetica"/>
                          <w:b/>
                          <w:color w:val="000000" w:themeColor="text1"/>
                          <w:sz w:val="24"/>
                          <w:szCs w:val="16"/>
                        </w:rPr>
                        <w:t>SASI</w:t>
                      </w:r>
                    </w:p>
                  </w:txbxContent>
                </v:textbox>
              </v:rect>
            </w:pict>
          </mc:Fallback>
        </mc:AlternateContent>
      </w:r>
      <w:r w:rsidR="00DE1590" w:rsidRPr="00011808">
        <w:rPr>
          <w:rFonts w:ascii="Book Antiqua" w:hAnsi="Book Antiqua"/>
          <w:noProof/>
          <w:sz w:val="18"/>
          <w:szCs w:val="18"/>
          <w:lang w:bidi="ar-SA"/>
        </w:rPr>
        <w:drawing>
          <wp:anchor distT="0" distB="0" distL="114300" distR="114300" simplePos="0" relativeHeight="251669504" behindDoc="0" locked="0" layoutInCell="1" allowOverlap="1" wp14:anchorId="2EC783AF" wp14:editId="37138FAA">
            <wp:simplePos x="0" y="0"/>
            <wp:positionH relativeFrom="column">
              <wp:posOffset>4448810</wp:posOffset>
            </wp:positionH>
            <wp:positionV relativeFrom="paragraph">
              <wp:posOffset>139065</wp:posOffset>
            </wp:positionV>
            <wp:extent cx="180975" cy="180975"/>
            <wp:effectExtent l="0" t="0" r="9525" b="9525"/>
            <wp:wrapNone/>
            <wp:docPr id="8" name="Picture 8"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r w:rsidR="00DE2DB3" w:rsidRPr="00215FF0">
        <w:rPr>
          <w:rFonts w:ascii="Book Antiqua" w:hAnsi="Book Antiqua" w:cstheme="majorHAnsi"/>
          <w:color w:val="000000" w:themeColor="text1"/>
          <w:sz w:val="20"/>
          <w:szCs w:val="20"/>
          <w:lang w:val="da-DK"/>
        </w:rPr>
        <w:tab/>
      </w:r>
      <w:hyperlink r:id="rId10" w:history="1">
        <w:r w:rsidR="00DE2DB3" w:rsidRPr="00215FF0">
          <w:rPr>
            <w:rStyle w:val="Hyperlink"/>
            <w:rFonts w:ascii="Book Antiqua" w:hAnsi="Book Antiqua" w:cstheme="majorHAnsi"/>
            <w:sz w:val="18"/>
            <w:szCs w:val="18"/>
            <w:lang w:val="da-DK"/>
          </w:rPr>
          <w:t>https://fhukum.unpatti.ac.id/jurnal/sasi</w:t>
        </w:r>
      </w:hyperlink>
    </w:p>
    <w:p w14:paraId="5F529A3F" w14:textId="77777777" w:rsidR="00D34C69" w:rsidRPr="00B96E8B" w:rsidRDefault="00A27DF6" w:rsidP="00E86094">
      <w:pPr>
        <w:pStyle w:val="Header"/>
        <w:tabs>
          <w:tab w:val="clear" w:pos="9360"/>
          <w:tab w:val="left" w:pos="615"/>
          <w:tab w:val="left" w:pos="825"/>
          <w:tab w:val="right" w:pos="9781"/>
        </w:tabs>
        <w:spacing w:after="80"/>
        <w:jc w:val="right"/>
        <w:rPr>
          <w:rFonts w:ascii="Book Antiqua" w:hAnsi="Book Antiqua" w:cstheme="majorHAnsi"/>
          <w:color w:val="000000" w:themeColor="text1"/>
          <w:sz w:val="18"/>
          <w:szCs w:val="18"/>
          <w:lang w:val="da-DK"/>
        </w:rPr>
      </w:pPr>
      <w:r>
        <w:rPr>
          <w:noProof/>
          <w:lang w:bidi="ar-SA"/>
        </w:rPr>
        <mc:AlternateContent>
          <mc:Choice Requires="wps">
            <w:drawing>
              <wp:anchor distT="0" distB="0" distL="114300" distR="114300" simplePos="0" relativeHeight="251679744" behindDoc="0" locked="0" layoutInCell="1" allowOverlap="1" wp14:anchorId="047B445A" wp14:editId="07F9F123">
                <wp:simplePos x="0" y="0"/>
                <wp:positionH relativeFrom="column">
                  <wp:posOffset>-9525</wp:posOffset>
                </wp:positionH>
                <wp:positionV relativeFrom="paragraph">
                  <wp:posOffset>201295</wp:posOffset>
                </wp:positionV>
                <wp:extent cx="6155690" cy="0"/>
                <wp:effectExtent l="0" t="38100" r="54610" b="38100"/>
                <wp:wrapNone/>
                <wp:docPr id="14" name="Straight Connector 14"/>
                <wp:cNvGraphicFramePr/>
                <a:graphic xmlns:a="http://schemas.openxmlformats.org/drawingml/2006/main">
                  <a:graphicData uri="http://schemas.microsoft.com/office/word/2010/wordprocessingShape">
                    <wps:wsp>
                      <wps:cNvCnPr/>
                      <wps:spPr>
                        <a:xfrm>
                          <a:off x="0" y="0"/>
                          <a:ext cx="6155690" cy="0"/>
                        </a:xfrm>
                        <a:prstGeom prst="line">
                          <a:avLst/>
                        </a:prstGeom>
                        <a:ln w="76200" cmpd="dbl">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B4EC7" id="Straight Connector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85pt" to="483.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" strokecolor="#aeaaaa [2414]" strokeweight="6pt">
                <v:stroke linestyle="thinThin" joinstyle="miter"/>
              </v:line>
            </w:pict>
          </mc:Fallback>
        </mc:AlternateContent>
      </w:r>
      <w:r w:rsidR="00DE1590" w:rsidRPr="00B96E8B">
        <w:rPr>
          <w:rStyle w:val="Hyperlink"/>
          <w:rFonts w:ascii="Book Antiqua" w:hAnsi="Book Antiqua" w:cstheme="majorHAnsi"/>
          <w:color w:val="4472C4" w:themeColor="accent1"/>
          <w:sz w:val="18"/>
          <w:szCs w:val="18"/>
          <w:u w:val="none"/>
          <w:lang w:val="da-DK"/>
        </w:rPr>
        <w:t xml:space="preserve">: </w:t>
      </w:r>
      <w:hyperlink r:id="rId11" w:history="1">
        <w:r w:rsidR="00DE1590" w:rsidRPr="00B96E8B">
          <w:rPr>
            <w:rStyle w:val="Hyperlink"/>
            <w:rFonts w:ascii="Book Antiqua" w:hAnsi="Book Antiqua" w:cstheme="majorHAnsi"/>
            <w:sz w:val="18"/>
            <w:szCs w:val="18"/>
            <w:u w:val="none"/>
            <w:lang w:val="da-DK"/>
          </w:rPr>
          <w:t>10.47268/sasi.v30i1.XXXXX</w:t>
        </w:r>
      </w:hyperlink>
    </w:p>
    <w:p w14:paraId="7EF455F9" w14:textId="77777777" w:rsidR="0071563E" w:rsidRPr="00B96E8B" w:rsidRDefault="0071563E" w:rsidP="0071563E">
      <w:pPr>
        <w:pStyle w:val="ListParagraph"/>
        <w:spacing w:after="0" w:line="240" w:lineRule="auto"/>
        <w:ind w:left="0"/>
        <w:contextualSpacing w:val="0"/>
        <w:rPr>
          <w:rFonts w:ascii="Book Antiqua" w:hAnsi="Book Antiqua" w:cs="Calibri"/>
          <w:b/>
          <w:iCs/>
          <w:color w:val="000000" w:themeColor="text1"/>
          <w:sz w:val="32"/>
          <w:lang w:val="da-DK"/>
        </w:rPr>
      </w:pPr>
    </w:p>
    <w:p w14:paraId="02F08FC2" w14:textId="77777777" w:rsidR="004D5838" w:rsidRPr="004D5838" w:rsidRDefault="004D5838" w:rsidP="004D5838">
      <w:pPr>
        <w:spacing w:after="120" w:line="240" w:lineRule="auto"/>
        <w:rPr>
          <w:rFonts w:ascii="Book Antiqua" w:hAnsi="Book Antiqua" w:cs="Calibri"/>
          <w:b/>
          <w:bCs/>
          <w:iCs/>
          <w:color w:val="000000" w:themeColor="text1"/>
          <w:sz w:val="32"/>
        </w:rPr>
      </w:pPr>
      <w:r w:rsidRPr="004D5838">
        <w:rPr>
          <w:rFonts w:ascii="Book Antiqua" w:hAnsi="Book Antiqua" w:cs="Calibri"/>
          <w:b/>
          <w:bCs/>
          <w:iCs/>
          <w:color w:val="000000" w:themeColor="text1"/>
          <w:sz w:val="32"/>
        </w:rPr>
        <w:t xml:space="preserve">Integration of Juridical and Sociological Approaches in Election Criminal Law Enforcement in Indonesia: Comparation Conseil </w:t>
      </w:r>
      <w:proofErr w:type="spellStart"/>
      <w:r w:rsidRPr="004D5838">
        <w:rPr>
          <w:rFonts w:ascii="Book Antiqua" w:hAnsi="Book Antiqua" w:cs="Calibri"/>
          <w:b/>
          <w:bCs/>
          <w:iCs/>
          <w:color w:val="000000" w:themeColor="text1"/>
          <w:sz w:val="32"/>
        </w:rPr>
        <w:t>Constitutionnel</w:t>
      </w:r>
      <w:proofErr w:type="spellEnd"/>
      <w:r w:rsidRPr="004D5838">
        <w:rPr>
          <w:rFonts w:ascii="Book Antiqua" w:hAnsi="Book Antiqua" w:cs="Calibri"/>
          <w:b/>
          <w:bCs/>
          <w:iCs/>
          <w:color w:val="000000" w:themeColor="text1"/>
          <w:sz w:val="32"/>
        </w:rPr>
        <w:t xml:space="preserve"> France</w:t>
      </w:r>
    </w:p>
    <w:p w14:paraId="13453C72" w14:textId="77777777" w:rsidR="004D5838" w:rsidRPr="00B27128" w:rsidRDefault="004D5838" w:rsidP="001B212E">
      <w:pPr>
        <w:pStyle w:val="ListParagraph"/>
        <w:spacing w:after="120" w:line="240" w:lineRule="auto"/>
        <w:ind w:left="0"/>
        <w:contextualSpacing w:val="0"/>
        <w:rPr>
          <w:rFonts w:ascii="Book Antiqua" w:hAnsi="Book Antiqua" w:cs="Calibri"/>
          <w:b/>
          <w:iCs/>
          <w:color w:val="000000" w:themeColor="text1"/>
          <w:sz w:val="28"/>
        </w:rPr>
      </w:pPr>
    </w:p>
    <w:p w14:paraId="6FE4F224" w14:textId="30B1BDCB" w:rsidR="004B1F20" w:rsidRPr="003D5DE8" w:rsidRDefault="002C0B7A" w:rsidP="002022E7">
      <w:pPr>
        <w:spacing w:after="120" w:line="240" w:lineRule="auto"/>
        <w:rPr>
          <w:rFonts w:ascii="Book Antiqua" w:hAnsi="Book Antiqua"/>
          <w:b/>
          <w:bCs/>
          <w:color w:val="FF0000"/>
          <w:sz w:val="24"/>
          <w:szCs w:val="24"/>
        </w:rPr>
      </w:pPr>
      <w:r>
        <w:rPr>
          <w:rFonts w:ascii="Book Antiqua" w:hAnsi="Book Antiqua"/>
          <w:b/>
          <w:bCs/>
          <w:sz w:val="24"/>
          <w:szCs w:val="24"/>
        </w:rPr>
        <w:t>Lisma</w:t>
      </w:r>
      <w:r>
        <w:rPr>
          <w:rFonts w:ascii="Book Antiqua" w:hAnsi="Book Antiqua"/>
          <w:b/>
          <w:bCs/>
          <w:sz w:val="24"/>
          <w:szCs w:val="24"/>
          <w:vertAlign w:val="superscript"/>
        </w:rPr>
        <w:t>1*</w:t>
      </w:r>
      <w:r>
        <w:rPr>
          <w:rFonts w:ascii="Book Antiqua" w:hAnsi="Book Antiqua"/>
          <w:b/>
          <w:bCs/>
          <w:sz w:val="24"/>
          <w:szCs w:val="24"/>
        </w:rPr>
        <w:t>, Satriadi</w:t>
      </w:r>
      <w:r>
        <w:rPr>
          <w:rFonts w:ascii="Book Antiqua" w:hAnsi="Book Antiqua"/>
          <w:b/>
          <w:bCs/>
          <w:sz w:val="24"/>
          <w:szCs w:val="24"/>
          <w:vertAlign w:val="superscript"/>
        </w:rPr>
        <w:t>2</w:t>
      </w:r>
      <w:r>
        <w:rPr>
          <w:rFonts w:ascii="Book Antiqua" w:hAnsi="Book Antiqua"/>
          <w:b/>
          <w:bCs/>
          <w:sz w:val="24"/>
          <w:szCs w:val="24"/>
        </w:rPr>
        <w:t>, Safrin Salam</w:t>
      </w:r>
      <w:r>
        <w:rPr>
          <w:rFonts w:ascii="Book Antiqua" w:hAnsi="Book Antiqua"/>
          <w:b/>
          <w:bCs/>
          <w:sz w:val="24"/>
          <w:szCs w:val="24"/>
          <w:vertAlign w:val="superscript"/>
        </w:rPr>
        <w:t>3</w:t>
      </w:r>
      <w:r w:rsidR="003D5DE8" w:rsidRPr="003D5DE8">
        <w:rPr>
          <w:rFonts w:ascii="Book Antiqua" w:hAnsi="Book Antiqua"/>
          <w:b/>
          <w:bCs/>
          <w:sz w:val="24"/>
          <w:szCs w:val="24"/>
        </w:rPr>
        <w:t>,</w:t>
      </w:r>
      <w:r w:rsidR="003D5DE8">
        <w:rPr>
          <w:rFonts w:ascii="Book Antiqua" w:hAnsi="Book Antiqua"/>
          <w:b/>
          <w:bCs/>
          <w:sz w:val="24"/>
          <w:szCs w:val="24"/>
          <w:vertAlign w:val="superscript"/>
        </w:rPr>
        <w:t xml:space="preserve"> </w:t>
      </w:r>
      <w:proofErr w:type="spellStart"/>
      <w:r w:rsidR="000A5E10">
        <w:rPr>
          <w:rFonts w:ascii="Book Antiqua" w:hAnsi="Book Antiqua"/>
          <w:b/>
          <w:bCs/>
          <w:sz w:val="24"/>
          <w:szCs w:val="24"/>
        </w:rPr>
        <w:t>Fatunsin</w:t>
      </w:r>
      <w:proofErr w:type="spellEnd"/>
      <w:r w:rsidR="000A5E10">
        <w:rPr>
          <w:rFonts w:ascii="Book Antiqua" w:hAnsi="Book Antiqua"/>
          <w:b/>
          <w:bCs/>
          <w:sz w:val="24"/>
          <w:szCs w:val="24"/>
        </w:rPr>
        <w:t xml:space="preserve"> Oluwaseyi</w:t>
      </w:r>
      <w:r w:rsidR="003D5DE8">
        <w:rPr>
          <w:rFonts w:ascii="Book Antiqua" w:hAnsi="Book Antiqua"/>
          <w:b/>
          <w:bCs/>
          <w:sz w:val="24"/>
          <w:szCs w:val="24"/>
          <w:vertAlign w:val="superscript"/>
        </w:rPr>
        <w:t xml:space="preserve">4 </w:t>
      </w:r>
    </w:p>
    <w:p w14:paraId="2A822546" w14:textId="77777777" w:rsidR="00312803" w:rsidRDefault="00312803" w:rsidP="002022E7">
      <w:pPr>
        <w:spacing w:after="120" w:line="240" w:lineRule="auto"/>
        <w:rPr>
          <w:rFonts w:ascii="Book Antiqua" w:hAnsi="Book Antiqua"/>
          <w:b/>
          <w:bCs/>
          <w:color w:val="FF0000"/>
          <w:sz w:val="24"/>
          <w:szCs w:val="24"/>
        </w:rPr>
      </w:pPr>
    </w:p>
    <w:p w14:paraId="70F2568E" w14:textId="77777777" w:rsidR="002C0B7A" w:rsidRDefault="004B1F20" w:rsidP="002C0B7A">
      <w:pPr>
        <w:spacing w:after="0" w:line="240" w:lineRule="auto"/>
        <w:rPr>
          <w:rFonts w:ascii="Book Antiqua" w:hAnsi="Book Antiqua"/>
          <w:bCs/>
          <w:szCs w:val="24"/>
        </w:rPr>
      </w:pPr>
      <w:r w:rsidRPr="00F14211">
        <w:rPr>
          <w:rFonts w:ascii="Book Antiqua" w:hAnsi="Book Antiqua"/>
          <w:bCs/>
          <w:szCs w:val="24"/>
          <w:vertAlign w:val="superscript"/>
        </w:rPr>
        <w:t>1,2</w:t>
      </w:r>
      <w:r w:rsidR="00343F50">
        <w:rPr>
          <w:rFonts w:ascii="Book Antiqua" w:hAnsi="Book Antiqua"/>
          <w:bCs/>
          <w:szCs w:val="24"/>
          <w:vertAlign w:val="superscript"/>
        </w:rPr>
        <w:t>,</w:t>
      </w:r>
      <w:r w:rsidRPr="00F14211">
        <w:rPr>
          <w:rFonts w:ascii="Book Antiqua" w:hAnsi="Book Antiqua"/>
          <w:bCs/>
          <w:szCs w:val="24"/>
          <w:vertAlign w:val="superscript"/>
        </w:rPr>
        <w:t xml:space="preserve"> </w:t>
      </w:r>
      <w:r w:rsidR="00B27128">
        <w:rPr>
          <w:rFonts w:ascii="Book Antiqua" w:hAnsi="Book Antiqua"/>
          <w:bCs/>
          <w:szCs w:val="24"/>
        </w:rPr>
        <w:t>Faculty of Law</w:t>
      </w:r>
      <w:r w:rsidR="004B33A5">
        <w:rPr>
          <w:rFonts w:ascii="Book Antiqua" w:hAnsi="Book Antiqua"/>
          <w:bCs/>
          <w:szCs w:val="24"/>
        </w:rPr>
        <w:t>,</w:t>
      </w:r>
      <w:r w:rsidR="00B27128">
        <w:rPr>
          <w:rFonts w:ascii="Book Antiqua" w:hAnsi="Book Antiqua"/>
          <w:bCs/>
          <w:szCs w:val="24"/>
        </w:rPr>
        <w:t xml:space="preserve"> </w:t>
      </w:r>
      <w:proofErr w:type="spellStart"/>
      <w:r w:rsidR="002C0B7A" w:rsidRPr="002C0B7A">
        <w:rPr>
          <w:rFonts w:ascii="Book Antiqua" w:hAnsi="Book Antiqua"/>
          <w:bCs/>
          <w:szCs w:val="24"/>
        </w:rPr>
        <w:t>Institut</w:t>
      </w:r>
      <w:proofErr w:type="spellEnd"/>
      <w:r w:rsidR="002C0B7A" w:rsidRPr="002C0B7A">
        <w:rPr>
          <w:rFonts w:ascii="Book Antiqua" w:hAnsi="Book Antiqua"/>
          <w:bCs/>
          <w:szCs w:val="24"/>
        </w:rPr>
        <w:t xml:space="preserve"> Agama Islam Negeri Bone</w:t>
      </w:r>
      <w:r w:rsidR="002C0B7A">
        <w:rPr>
          <w:rFonts w:ascii="Book Antiqua" w:hAnsi="Book Antiqua"/>
          <w:bCs/>
          <w:szCs w:val="24"/>
        </w:rPr>
        <w:t>, Bone, Indonesia</w:t>
      </w:r>
    </w:p>
    <w:p w14:paraId="5E4AB852" w14:textId="0E0A1696" w:rsidR="003D5DE8" w:rsidRDefault="002C0B7A" w:rsidP="002C0B7A">
      <w:pPr>
        <w:spacing w:after="0" w:line="240" w:lineRule="auto"/>
        <w:rPr>
          <w:rFonts w:ascii="Book Antiqua" w:hAnsi="Book Antiqua"/>
          <w:bCs/>
          <w:szCs w:val="24"/>
        </w:rPr>
      </w:pPr>
      <w:r>
        <w:rPr>
          <w:rFonts w:ascii="Book Antiqua" w:hAnsi="Book Antiqua"/>
          <w:bCs/>
          <w:szCs w:val="24"/>
          <w:vertAlign w:val="superscript"/>
        </w:rPr>
        <w:t>3</w:t>
      </w:r>
      <w:r>
        <w:rPr>
          <w:rFonts w:ascii="Book Antiqua" w:hAnsi="Book Antiqua"/>
          <w:bCs/>
          <w:szCs w:val="24"/>
        </w:rPr>
        <w:t>Faculty of Law, Universitas Muhammadiyah Buton</w:t>
      </w:r>
      <w:r w:rsidR="003D5DE8">
        <w:rPr>
          <w:rFonts w:ascii="Book Antiqua" w:hAnsi="Book Antiqua"/>
          <w:bCs/>
          <w:szCs w:val="24"/>
        </w:rPr>
        <w:t xml:space="preserve">, Indonesia </w:t>
      </w:r>
    </w:p>
    <w:p w14:paraId="3D2A2F83" w14:textId="10853A3D" w:rsidR="004B1F20" w:rsidRPr="00912A35" w:rsidRDefault="003D5DE8" w:rsidP="002C0B7A">
      <w:pPr>
        <w:spacing w:after="0" w:line="240" w:lineRule="auto"/>
        <w:rPr>
          <w:rFonts w:ascii="Book Antiqua" w:hAnsi="Book Antiqua"/>
          <w:bCs/>
          <w:sz w:val="18"/>
          <w:szCs w:val="24"/>
        </w:rPr>
      </w:pPr>
      <w:r>
        <w:rPr>
          <w:rFonts w:ascii="Book Antiqua" w:hAnsi="Book Antiqua"/>
          <w:bCs/>
          <w:szCs w:val="24"/>
          <w:vertAlign w:val="superscript"/>
        </w:rPr>
        <w:t>4</w:t>
      </w:r>
      <w:r w:rsidR="000A5E10">
        <w:rPr>
          <w:rFonts w:ascii="Book Antiqua" w:hAnsi="Book Antiqua"/>
          <w:bCs/>
          <w:szCs w:val="24"/>
        </w:rPr>
        <w:t>Universite de Lille, France</w:t>
      </w:r>
    </w:p>
    <w:p w14:paraId="166D85BD" w14:textId="698169DB" w:rsidR="009001C8" w:rsidRPr="00023DA6" w:rsidRDefault="00602006" w:rsidP="004B3AE2">
      <w:pPr>
        <w:spacing w:after="0" w:line="240" w:lineRule="auto"/>
        <w:rPr>
          <w:rStyle w:val="Hyperlink"/>
          <w:rFonts w:ascii="Book Antiqua" w:hAnsi="Book Antiqua"/>
          <w:bCs/>
          <w:color w:val="000000" w:themeColor="text1"/>
          <w:szCs w:val="24"/>
          <w:u w:val="none"/>
        </w:rPr>
      </w:pPr>
      <w:r w:rsidRPr="001D6CFF">
        <w:rPr>
          <w:bCs/>
          <w:i/>
          <w:iCs/>
          <w:noProof/>
          <w:color w:val="000000" w:themeColor="text1"/>
          <w:lang w:bidi="ar-SA"/>
        </w:rPr>
        <w:drawing>
          <wp:anchor distT="0" distB="0" distL="114300" distR="114300" simplePos="0" relativeHeight="251660288" behindDoc="1" locked="0" layoutInCell="1" allowOverlap="1" wp14:anchorId="1AA48749" wp14:editId="34E6BE82">
            <wp:simplePos x="0" y="0"/>
            <wp:positionH relativeFrom="margin">
              <wp:posOffset>5818505</wp:posOffset>
            </wp:positionH>
            <wp:positionV relativeFrom="paragraph">
              <wp:posOffset>13970</wp:posOffset>
            </wp:positionV>
            <wp:extent cx="324000" cy="338727"/>
            <wp:effectExtent l="0" t="0" r="0" b="4445"/>
            <wp:wrapNone/>
            <wp:docPr id="4"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4000" cy="338727"/>
                    </a:xfrm>
                    <a:prstGeom prst="rect">
                      <a:avLst/>
                    </a:prstGeom>
                  </pic:spPr>
                </pic:pic>
              </a:graphicData>
            </a:graphic>
            <wp14:sizeRelH relativeFrom="page">
              <wp14:pctWidth>0</wp14:pctWidth>
            </wp14:sizeRelH>
            <wp14:sizeRelV relativeFrom="page">
              <wp14:pctHeight>0</wp14:pctHeight>
            </wp14:sizeRelV>
          </wp:anchor>
        </w:drawing>
      </w:r>
      <w:r w:rsidR="004B1F20">
        <w:rPr>
          <w:rFonts w:ascii="Book Antiqua" w:hAnsi="Book Antiqua"/>
          <w:bCs/>
          <w:sz w:val="18"/>
          <w:szCs w:val="24"/>
        </w:rPr>
        <w:t xml:space="preserve"> </w:t>
      </w:r>
      <w:r w:rsidR="004B1F20"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1327438B" wp14:editId="57CE32E3">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F20">
        <w:rPr>
          <w:rFonts w:ascii="Book Antiqua" w:hAnsi="Book Antiqua"/>
          <w:bCs/>
          <w:sz w:val="18"/>
          <w:szCs w:val="24"/>
        </w:rPr>
        <w:t xml:space="preserve">       </w:t>
      </w:r>
      <w:r w:rsidR="004B1F20" w:rsidRPr="00F14211">
        <w:rPr>
          <w:rFonts w:ascii="Book Antiqua" w:hAnsi="Book Antiqua"/>
          <w:bCs/>
          <w:szCs w:val="24"/>
        </w:rPr>
        <w:t>:</w:t>
      </w:r>
      <w:r w:rsidR="004B1F20" w:rsidRPr="00F14211">
        <w:rPr>
          <w:rFonts w:ascii="Book Antiqua" w:hAnsi="Book Antiqua"/>
          <w:bCs/>
          <w:szCs w:val="24"/>
          <w:vertAlign w:val="superscript"/>
        </w:rPr>
        <w:t xml:space="preserve"> </w:t>
      </w:r>
      <w:r w:rsidR="002C0B7A">
        <w:rPr>
          <w:rStyle w:val="Hyperlink"/>
          <w:rFonts w:ascii="Book Antiqua" w:hAnsi="Book Antiqua"/>
          <w:color w:val="000000" w:themeColor="text1"/>
          <w:sz w:val="20"/>
          <w:u w:val="none"/>
        </w:rPr>
        <w:t>lislisma10</w:t>
      </w:r>
      <w:r w:rsidR="006A639D">
        <w:rPr>
          <w:rStyle w:val="Hyperlink"/>
          <w:rFonts w:ascii="Book Antiqua" w:hAnsi="Book Antiqua"/>
          <w:color w:val="000000" w:themeColor="text1"/>
          <w:sz w:val="20"/>
          <w:u w:val="none"/>
        </w:rPr>
        <w:t>@gmail</w:t>
      </w:r>
      <w:r w:rsidR="009B07E0" w:rsidRPr="009B07E0">
        <w:rPr>
          <w:rStyle w:val="Hyperlink"/>
          <w:rFonts w:ascii="Book Antiqua" w:hAnsi="Book Antiqua"/>
          <w:color w:val="000000" w:themeColor="text1"/>
          <w:sz w:val="20"/>
          <w:u w:val="none"/>
        </w:rPr>
        <w:t>.com</w:t>
      </w:r>
    </w:p>
    <w:p w14:paraId="02B072A3" w14:textId="77777777"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sidRPr="00023DA6">
        <w:rPr>
          <w:rFonts w:ascii="Book Antiqua" w:hAnsi="Book Antiqua"/>
          <w:bCs/>
          <w:sz w:val="20"/>
          <w:szCs w:val="24"/>
          <w:vertAlign w:val="superscript"/>
        </w:rPr>
        <w:t>*</w:t>
      </w:r>
    </w:p>
    <w:tbl>
      <w:tblPr>
        <w:tblStyle w:val="TableGrid"/>
        <w:tblW w:w="9639" w:type="dxa"/>
        <w:tblLayout w:type="fixed"/>
        <w:tblLook w:val="04A0" w:firstRow="1" w:lastRow="0" w:firstColumn="1" w:lastColumn="0" w:noHBand="0" w:noVBand="1"/>
      </w:tblPr>
      <w:tblGrid>
        <w:gridCol w:w="2378"/>
        <w:gridCol w:w="2300"/>
        <w:gridCol w:w="2410"/>
        <w:gridCol w:w="2551"/>
      </w:tblGrid>
      <w:tr w:rsidR="00A2185A" w14:paraId="6BAC9C3A" w14:textId="77777777" w:rsidTr="00E86094">
        <w:tc>
          <w:tcPr>
            <w:tcW w:w="9639" w:type="dxa"/>
            <w:gridSpan w:val="4"/>
            <w:tcBorders>
              <w:top w:val="single" w:sz="4" w:space="0" w:color="auto"/>
              <w:left w:val="nil"/>
              <w:bottom w:val="nil"/>
              <w:right w:val="nil"/>
            </w:tcBorders>
            <w:shd w:val="clear" w:color="auto" w:fill="D9E2F3" w:themeFill="accent1" w:themeFillTint="33"/>
            <w:vAlign w:val="center"/>
          </w:tcPr>
          <w:p w14:paraId="462A9BED" w14:textId="77777777" w:rsidR="00A2185A" w:rsidRPr="004418A3" w:rsidRDefault="00183EBA" w:rsidP="003B3B74">
            <w:pPr>
              <w:spacing w:after="0" w:line="240" w:lineRule="auto"/>
              <w:jc w:val="center"/>
              <w:rPr>
                <w:rFonts w:ascii="Book Antiqua" w:hAnsi="Book Antiqua"/>
                <w:b/>
                <w:bCs/>
                <w:i/>
                <w:iCs/>
                <w:color w:val="000000"/>
                <w:szCs w:val="24"/>
                <w:lang w:val="id-ID"/>
              </w:rPr>
            </w:pPr>
            <w:proofErr w:type="spellStart"/>
            <w:r w:rsidRPr="001D295E">
              <w:rPr>
                <w:rFonts w:ascii="Book Antiqua" w:hAnsi="Book Antiqua"/>
                <w:b/>
                <w:bCs/>
                <w:i/>
                <w:iCs/>
                <w:color w:val="000000"/>
                <w:szCs w:val="24"/>
                <w:lang w:val="id-ID"/>
              </w:rPr>
              <w:t>Abstract</w:t>
            </w:r>
            <w:proofErr w:type="spellEnd"/>
          </w:p>
        </w:tc>
      </w:tr>
      <w:tr w:rsidR="00285C8E" w14:paraId="2A38FCA9" w14:textId="77777777" w:rsidTr="00E86094">
        <w:tc>
          <w:tcPr>
            <w:tcW w:w="9639" w:type="dxa"/>
            <w:gridSpan w:val="4"/>
            <w:tcBorders>
              <w:top w:val="nil"/>
              <w:left w:val="nil"/>
              <w:bottom w:val="single" w:sz="4" w:space="0" w:color="auto"/>
              <w:right w:val="nil"/>
            </w:tcBorders>
            <w:shd w:val="clear" w:color="auto" w:fill="auto"/>
            <w:vAlign w:val="center"/>
          </w:tcPr>
          <w:p w14:paraId="57F258B3" w14:textId="0E5CB9C6" w:rsidR="00183EBA" w:rsidRDefault="00183EBA" w:rsidP="002C0B7A">
            <w:pPr>
              <w:spacing w:after="0" w:line="240" w:lineRule="auto"/>
              <w:ind w:right="-108"/>
              <w:jc w:val="both"/>
              <w:rPr>
                <w:rFonts w:ascii="Book Antiqua" w:hAnsi="Book Antiqua"/>
                <w:b/>
                <w:bCs/>
                <w:i/>
                <w:sz w:val="20"/>
              </w:rPr>
            </w:pPr>
          </w:p>
          <w:p w14:paraId="0741C025" w14:textId="769164A7" w:rsidR="00183EBA" w:rsidRDefault="00183EBA" w:rsidP="00183EBA">
            <w:pPr>
              <w:spacing w:after="0" w:line="240" w:lineRule="auto"/>
              <w:ind w:left="-108" w:right="-108"/>
              <w:jc w:val="both"/>
              <w:rPr>
                <w:rFonts w:ascii="Book Antiqua" w:hAnsi="Book Antiqua"/>
                <w:b/>
                <w:i/>
                <w:sz w:val="20"/>
              </w:rPr>
            </w:pPr>
            <w:r w:rsidRPr="00B27128">
              <w:rPr>
                <w:rFonts w:ascii="Book Antiqua" w:hAnsi="Book Antiqua"/>
                <w:b/>
                <w:i/>
                <w:color w:val="4472C4" w:themeColor="accent1"/>
                <w:sz w:val="20"/>
              </w:rPr>
              <w:t>Introduction:</w:t>
            </w:r>
            <w:r>
              <w:rPr>
                <w:rFonts w:ascii="Book Antiqua" w:hAnsi="Book Antiqua"/>
                <w:b/>
                <w:i/>
                <w:color w:val="2F5496" w:themeColor="accent1" w:themeShade="BF"/>
                <w:sz w:val="20"/>
              </w:rPr>
              <w:t xml:space="preserve"> </w:t>
            </w:r>
            <w:r w:rsidR="004D5838" w:rsidRPr="004D5838">
              <w:rPr>
                <w:rFonts w:ascii="Book Antiqua" w:hAnsi="Book Antiqua"/>
                <w:i/>
                <w:sz w:val="20"/>
              </w:rPr>
              <w:t xml:space="preserve">This study aims to analyze the comparison of election criminal law enforcement in Indonesia with the system implemented by the Conseil </w:t>
            </w:r>
            <w:proofErr w:type="spellStart"/>
            <w:r w:rsidR="004D5838" w:rsidRPr="004D5838">
              <w:rPr>
                <w:rFonts w:ascii="Book Antiqua" w:hAnsi="Book Antiqua"/>
                <w:i/>
                <w:sz w:val="20"/>
              </w:rPr>
              <w:t>Constitutionnel</w:t>
            </w:r>
            <w:proofErr w:type="spellEnd"/>
            <w:r w:rsidR="004D5838" w:rsidRPr="004D5838">
              <w:rPr>
                <w:rFonts w:ascii="Book Antiqua" w:hAnsi="Book Antiqua"/>
                <w:i/>
                <w:sz w:val="20"/>
              </w:rPr>
              <w:t xml:space="preserve"> in France</w:t>
            </w:r>
            <w:r w:rsidR="004D5838">
              <w:rPr>
                <w:rFonts w:ascii="Book Antiqua" w:hAnsi="Book Antiqua"/>
                <w:i/>
                <w:sz w:val="20"/>
              </w:rPr>
              <w:t>.</w:t>
            </w:r>
          </w:p>
          <w:p w14:paraId="0074FB40" w14:textId="2AB91E5B" w:rsidR="00183EBA" w:rsidRDefault="00183EBA" w:rsidP="00183EBA">
            <w:pPr>
              <w:spacing w:after="0" w:line="240" w:lineRule="auto"/>
              <w:ind w:left="-108" w:right="-108"/>
              <w:jc w:val="both"/>
              <w:rPr>
                <w:rFonts w:ascii="Book Antiqua" w:hAnsi="Book Antiqua"/>
                <w:bCs/>
                <w:i/>
                <w:sz w:val="20"/>
              </w:rPr>
            </w:pPr>
            <w:r w:rsidRPr="00B27128">
              <w:rPr>
                <w:rFonts w:ascii="Book Antiqua" w:hAnsi="Book Antiqua"/>
                <w:b/>
                <w:i/>
                <w:color w:val="4472C4" w:themeColor="accent1"/>
                <w:sz w:val="20"/>
              </w:rPr>
              <w:t>Purposes of the Research</w:t>
            </w:r>
            <w:r w:rsidRPr="00B27128">
              <w:rPr>
                <w:rFonts w:ascii="Book Antiqua" w:hAnsi="Book Antiqua"/>
                <w:b/>
                <w:bCs/>
                <w:i/>
                <w:color w:val="4472C4" w:themeColor="accent1"/>
                <w:sz w:val="20"/>
              </w:rPr>
              <w:t>:</w:t>
            </w:r>
            <w:r>
              <w:rPr>
                <w:rFonts w:ascii="Book Antiqua" w:hAnsi="Book Antiqua"/>
                <w:b/>
                <w:bCs/>
                <w:i/>
                <w:color w:val="2F5496" w:themeColor="accent1" w:themeShade="BF"/>
                <w:sz w:val="20"/>
              </w:rPr>
              <w:t xml:space="preserve"> </w:t>
            </w:r>
            <w:r>
              <w:rPr>
                <w:rFonts w:ascii="Book Antiqua" w:hAnsi="Book Antiqua"/>
                <w:b/>
                <w:bCs/>
                <w:i/>
                <w:sz w:val="20"/>
              </w:rPr>
              <w:t xml:space="preserve"> </w:t>
            </w:r>
            <w:r w:rsidR="004D5838" w:rsidRPr="004D5838">
              <w:rPr>
                <w:rFonts w:ascii="Book Antiqua" w:hAnsi="Book Antiqua"/>
                <w:i/>
                <w:sz w:val="20"/>
              </w:rPr>
              <w:t>to analyze and compare the election criminal law enforcement systems in Indonesia and France, focusing on the differences and similarities in how electoral disputes are resolved. The study aims to identify the strengths and weaknesses of each system by using both juridical and sociological approaches. Through this comparison, the research seeks to provide insights and recommendations for improving Indonesia's electoral legal system, particularly in terms of coordination, transparency, and the effectiveness of dispute resolution processes.</w:t>
            </w:r>
          </w:p>
          <w:p w14:paraId="1BD99700" w14:textId="77777777" w:rsidR="004D5838" w:rsidRDefault="00183EBA" w:rsidP="00183EBA">
            <w:pPr>
              <w:spacing w:after="120" w:line="240" w:lineRule="auto"/>
              <w:ind w:left="-108" w:right="-108"/>
              <w:jc w:val="both"/>
              <w:rPr>
                <w:rFonts w:ascii="Book Antiqua" w:hAnsi="Book Antiqua"/>
                <w:i/>
                <w:sz w:val="20"/>
              </w:rPr>
            </w:pPr>
            <w:r w:rsidRPr="00B27128">
              <w:rPr>
                <w:rFonts w:ascii="Book Antiqua" w:hAnsi="Book Antiqua"/>
                <w:b/>
                <w:i/>
                <w:color w:val="4472C4" w:themeColor="accent1"/>
                <w:sz w:val="20"/>
              </w:rPr>
              <w:t>Methods of the Research</w:t>
            </w:r>
            <w:r w:rsidRPr="00B27128">
              <w:rPr>
                <w:rFonts w:ascii="Book Antiqua" w:hAnsi="Book Antiqua"/>
                <w:b/>
                <w:bCs/>
                <w:i/>
                <w:color w:val="4472C4" w:themeColor="accent1"/>
                <w:sz w:val="20"/>
              </w:rPr>
              <w:t>:</w:t>
            </w:r>
            <w:r>
              <w:rPr>
                <w:rFonts w:ascii="Book Antiqua" w:hAnsi="Book Antiqua"/>
                <w:b/>
                <w:bCs/>
                <w:i/>
                <w:color w:val="2F5496" w:themeColor="accent1" w:themeShade="BF"/>
                <w:sz w:val="20"/>
              </w:rPr>
              <w:t xml:space="preserve"> </w:t>
            </w:r>
            <w:r w:rsidR="004D5838" w:rsidRPr="004D5838">
              <w:rPr>
                <w:rFonts w:ascii="Book Antiqua" w:hAnsi="Book Antiqua"/>
                <w:i/>
                <w:sz w:val="20"/>
              </w:rPr>
              <w:t xml:space="preserve">descriptive research with literature study and comparative analysis. The results of the study show that the Indonesian electoral system faces problems of coordination between institutions, such as </w:t>
            </w:r>
            <w:proofErr w:type="spellStart"/>
            <w:r w:rsidR="004D5838" w:rsidRPr="004D5838">
              <w:rPr>
                <w:rFonts w:ascii="Book Antiqua" w:hAnsi="Book Antiqua"/>
                <w:i/>
                <w:sz w:val="20"/>
              </w:rPr>
              <w:t>Bawaslu</w:t>
            </w:r>
            <w:proofErr w:type="spellEnd"/>
            <w:r w:rsidR="004D5838" w:rsidRPr="004D5838">
              <w:rPr>
                <w:rFonts w:ascii="Book Antiqua" w:hAnsi="Book Antiqua"/>
                <w:i/>
                <w:sz w:val="20"/>
              </w:rPr>
              <w:t xml:space="preserve">, KPU, and the courts, which leads to ineffectiveness and transparency in dispute resolution. In contrast, the Conseil </w:t>
            </w:r>
            <w:proofErr w:type="spellStart"/>
            <w:r w:rsidR="004D5838" w:rsidRPr="004D5838">
              <w:rPr>
                <w:rFonts w:ascii="Book Antiqua" w:hAnsi="Book Antiqua"/>
                <w:i/>
                <w:sz w:val="20"/>
              </w:rPr>
              <w:t>Constitutionnel</w:t>
            </w:r>
            <w:proofErr w:type="spellEnd"/>
            <w:r w:rsidR="004D5838" w:rsidRPr="004D5838">
              <w:rPr>
                <w:rFonts w:ascii="Book Antiqua" w:hAnsi="Book Antiqua"/>
                <w:i/>
                <w:sz w:val="20"/>
              </w:rPr>
              <w:t xml:space="preserve"> in France has a centralized authority that allows for faster and more efficient settlement of electoral disputes</w:t>
            </w:r>
          </w:p>
          <w:p w14:paraId="3EBEEDBF" w14:textId="7003919F" w:rsidR="00285C8E" w:rsidRDefault="00183EBA" w:rsidP="00183EBA">
            <w:pPr>
              <w:spacing w:after="120" w:line="240" w:lineRule="auto"/>
              <w:ind w:left="-108" w:right="-108"/>
              <w:jc w:val="both"/>
              <w:rPr>
                <w:rFonts w:ascii="Book Antiqua" w:hAnsi="Book Antiqua"/>
                <w:bCs/>
                <w:sz w:val="20"/>
              </w:rPr>
            </w:pPr>
            <w:r w:rsidRPr="00B27128">
              <w:rPr>
                <w:rFonts w:ascii="Book Antiqua" w:hAnsi="Book Antiqua"/>
                <w:b/>
                <w:i/>
                <w:color w:val="4472C4" w:themeColor="accent1"/>
                <w:sz w:val="20"/>
              </w:rPr>
              <w:t>Results / Main Findings / Novelty/Originality of the Research</w:t>
            </w:r>
            <w:r w:rsidRPr="00B27128">
              <w:rPr>
                <w:rFonts w:ascii="Book Antiqua" w:hAnsi="Book Antiqua"/>
                <w:b/>
                <w:bCs/>
                <w:i/>
                <w:color w:val="4472C4" w:themeColor="accent1"/>
                <w:sz w:val="20"/>
              </w:rPr>
              <w:t>:</w:t>
            </w:r>
            <w:r>
              <w:rPr>
                <w:rFonts w:ascii="Book Antiqua" w:hAnsi="Book Antiqua"/>
                <w:b/>
                <w:bCs/>
                <w:i/>
                <w:sz w:val="20"/>
              </w:rPr>
              <w:t xml:space="preserve"> </w:t>
            </w:r>
            <w:r w:rsidR="004D5838" w:rsidRPr="004D5838">
              <w:rPr>
                <w:rFonts w:ascii="Book Antiqua" w:hAnsi="Book Antiqua"/>
                <w:i/>
                <w:color w:val="000000" w:themeColor="text1"/>
                <w:sz w:val="20"/>
              </w:rPr>
              <w:t>the need for reforms in Indonesia's electoral legal system, including the establishment of an independent institution that has full authority to handle election disputes. In conclusion, to improve efficiency and transparency, Indonesia needs to adopt a more centralized system and strengthen coordination between relevant institutions, by integrating juridical and sociological approaches in the enforcement of electoral criminal laws</w:t>
            </w:r>
          </w:p>
          <w:p w14:paraId="3DB37FC2" w14:textId="476CC8E7" w:rsidR="00FC5CD6" w:rsidRPr="00FC5CD6" w:rsidRDefault="00183EBA" w:rsidP="004C1521">
            <w:pPr>
              <w:spacing w:after="120" w:line="240" w:lineRule="auto"/>
              <w:ind w:left="-108" w:right="-108"/>
              <w:jc w:val="both"/>
              <w:rPr>
                <w:rFonts w:ascii="Book Antiqua" w:hAnsi="Book Antiqua"/>
                <w:b/>
                <w:bCs/>
                <w:i/>
                <w:iCs/>
                <w:color w:val="000000"/>
                <w:sz w:val="20"/>
                <w:szCs w:val="24"/>
              </w:rPr>
            </w:pPr>
            <w:proofErr w:type="spellStart"/>
            <w:r w:rsidRPr="003B3B74">
              <w:rPr>
                <w:rFonts w:ascii="Book Antiqua" w:hAnsi="Book Antiqua"/>
                <w:b/>
                <w:bCs/>
                <w:i/>
                <w:iCs/>
                <w:color w:val="000000" w:themeColor="text1"/>
                <w:sz w:val="20"/>
                <w:szCs w:val="20"/>
                <w:lang w:val="id-ID"/>
              </w:rPr>
              <w:t>Keywords</w:t>
            </w:r>
            <w:proofErr w:type="spellEnd"/>
            <w:r w:rsidRPr="003B3B74">
              <w:rPr>
                <w:rFonts w:ascii="Book Antiqua" w:hAnsi="Book Antiqua"/>
                <w:b/>
                <w:bCs/>
                <w:i/>
                <w:iCs/>
                <w:color w:val="000000" w:themeColor="text1"/>
                <w:sz w:val="20"/>
                <w:szCs w:val="20"/>
                <w:lang w:val="id-ID"/>
              </w:rPr>
              <w:t>:</w:t>
            </w:r>
            <w:r>
              <w:rPr>
                <w:rFonts w:ascii="Book Antiqua" w:hAnsi="Book Antiqua"/>
                <w:b/>
                <w:bCs/>
                <w:i/>
                <w:iCs/>
                <w:color w:val="FFC000" w:themeColor="accent4"/>
                <w:sz w:val="20"/>
                <w:szCs w:val="20"/>
              </w:rPr>
              <w:t xml:space="preserve"> </w:t>
            </w:r>
            <w:r w:rsidR="004D5838" w:rsidRPr="004D5838">
              <w:rPr>
                <w:rFonts w:ascii="Book Antiqua" w:hAnsi="Book Antiqua"/>
                <w:b/>
                <w:i/>
                <w:sz w:val="20"/>
                <w:szCs w:val="20"/>
              </w:rPr>
              <w:t xml:space="preserve">Conseil </w:t>
            </w:r>
            <w:proofErr w:type="spellStart"/>
            <w:r w:rsidR="004D5838" w:rsidRPr="004D5838">
              <w:rPr>
                <w:rFonts w:ascii="Book Antiqua" w:hAnsi="Book Antiqua"/>
                <w:b/>
                <w:i/>
                <w:sz w:val="20"/>
                <w:szCs w:val="20"/>
              </w:rPr>
              <w:t>Constitutionnel</w:t>
            </w:r>
            <w:proofErr w:type="spellEnd"/>
            <w:r w:rsidR="004D5838">
              <w:rPr>
                <w:rFonts w:ascii="Book Antiqua" w:hAnsi="Book Antiqua"/>
                <w:b/>
                <w:i/>
                <w:sz w:val="20"/>
                <w:szCs w:val="20"/>
              </w:rPr>
              <w:t>;</w:t>
            </w:r>
            <w:r w:rsidR="004D5838" w:rsidRPr="004D5838">
              <w:rPr>
                <w:rFonts w:ascii="Book Antiqua" w:hAnsi="Book Antiqua"/>
                <w:b/>
                <w:i/>
                <w:sz w:val="20"/>
                <w:szCs w:val="20"/>
              </w:rPr>
              <w:t xml:space="preserve"> Election Crime</w:t>
            </w:r>
            <w:r w:rsidR="004D5838">
              <w:rPr>
                <w:rFonts w:ascii="Book Antiqua" w:hAnsi="Book Antiqua"/>
                <w:b/>
                <w:i/>
                <w:sz w:val="20"/>
                <w:szCs w:val="20"/>
              </w:rPr>
              <w:t>;</w:t>
            </w:r>
            <w:r w:rsidR="004D5838" w:rsidRPr="004D5838">
              <w:rPr>
                <w:rFonts w:ascii="Book Antiqua" w:hAnsi="Book Antiqua"/>
                <w:b/>
                <w:i/>
                <w:sz w:val="20"/>
                <w:szCs w:val="20"/>
              </w:rPr>
              <w:t xml:space="preserve"> Integration Approach</w:t>
            </w:r>
            <w:r w:rsidR="004D5838">
              <w:rPr>
                <w:rFonts w:ascii="Book Antiqua" w:hAnsi="Book Antiqua"/>
                <w:b/>
                <w:i/>
                <w:sz w:val="20"/>
                <w:szCs w:val="20"/>
              </w:rPr>
              <w:t>;</w:t>
            </w:r>
            <w:r w:rsidR="004D5838" w:rsidRPr="004D5838">
              <w:rPr>
                <w:rFonts w:ascii="Book Antiqua" w:hAnsi="Book Antiqua"/>
                <w:b/>
                <w:i/>
                <w:sz w:val="20"/>
                <w:szCs w:val="20"/>
              </w:rPr>
              <w:t xml:space="preserve"> Sociological</w:t>
            </w:r>
          </w:p>
        </w:tc>
      </w:tr>
      <w:tr w:rsidR="009807F2" w14:paraId="6A058B70" w14:textId="77777777" w:rsidTr="00404A63">
        <w:tc>
          <w:tcPr>
            <w:tcW w:w="2378" w:type="dxa"/>
            <w:tcBorders>
              <w:left w:val="nil"/>
              <w:bottom w:val="single" w:sz="4" w:space="0" w:color="auto"/>
              <w:right w:val="nil"/>
            </w:tcBorders>
            <w:shd w:val="clear" w:color="auto" w:fill="F2F2F2" w:themeFill="background1" w:themeFillShade="F2"/>
            <w:vAlign w:val="center"/>
          </w:tcPr>
          <w:p w14:paraId="6741A84C" w14:textId="77777777" w:rsidR="009807F2" w:rsidRPr="009B3C8A" w:rsidRDefault="009807F2" w:rsidP="009B3C8A">
            <w:pPr>
              <w:spacing w:after="0" w:line="240" w:lineRule="auto"/>
              <w:ind w:left="-108"/>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Submitted: Year-Month-Date</w:t>
            </w:r>
          </w:p>
        </w:tc>
        <w:tc>
          <w:tcPr>
            <w:tcW w:w="2300" w:type="dxa"/>
            <w:tcBorders>
              <w:left w:val="nil"/>
              <w:bottom w:val="single" w:sz="4" w:space="0" w:color="auto"/>
              <w:right w:val="nil"/>
            </w:tcBorders>
            <w:shd w:val="clear" w:color="auto" w:fill="F2F2F2" w:themeFill="background1" w:themeFillShade="F2"/>
            <w:vAlign w:val="center"/>
          </w:tcPr>
          <w:p w14:paraId="5CE261B2"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Revised: Year-Month-Date</w:t>
            </w:r>
          </w:p>
        </w:tc>
        <w:tc>
          <w:tcPr>
            <w:tcW w:w="2410" w:type="dxa"/>
            <w:tcBorders>
              <w:left w:val="nil"/>
              <w:bottom w:val="single" w:sz="4" w:space="0" w:color="auto"/>
              <w:right w:val="nil"/>
            </w:tcBorders>
            <w:shd w:val="clear" w:color="auto" w:fill="F2F2F2" w:themeFill="background1" w:themeFillShade="F2"/>
            <w:vAlign w:val="center"/>
          </w:tcPr>
          <w:p w14:paraId="73CACDB1"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Accepted: Year-Month-Date</w:t>
            </w:r>
          </w:p>
        </w:tc>
        <w:tc>
          <w:tcPr>
            <w:tcW w:w="2551" w:type="dxa"/>
            <w:tcBorders>
              <w:left w:val="nil"/>
              <w:bottom w:val="single" w:sz="4" w:space="0" w:color="auto"/>
              <w:right w:val="nil"/>
            </w:tcBorders>
            <w:shd w:val="clear" w:color="auto" w:fill="F2F2F2" w:themeFill="background1" w:themeFillShade="F2"/>
            <w:vAlign w:val="center"/>
          </w:tcPr>
          <w:p w14:paraId="4641EBF2"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Published: Year-Month-Date</w:t>
            </w:r>
          </w:p>
        </w:tc>
      </w:tr>
      <w:tr w:rsidR="00D02095" w14:paraId="68260FFA" w14:textId="77777777" w:rsidTr="00404A63">
        <w:trPr>
          <w:trHeight w:val="521"/>
        </w:trPr>
        <w:tc>
          <w:tcPr>
            <w:tcW w:w="9639" w:type="dxa"/>
            <w:gridSpan w:val="4"/>
            <w:tcBorders>
              <w:top w:val="single" w:sz="4" w:space="0" w:color="auto"/>
              <w:left w:val="nil"/>
              <w:bottom w:val="single" w:sz="4" w:space="0" w:color="auto"/>
              <w:right w:val="nil"/>
            </w:tcBorders>
            <w:shd w:val="clear" w:color="auto" w:fill="F2F2F2" w:themeFill="background1" w:themeFillShade="F2"/>
            <w:vAlign w:val="center"/>
          </w:tcPr>
          <w:p w14:paraId="71C3306F" w14:textId="77777777" w:rsidR="009B3C8A" w:rsidRPr="009B3C8A" w:rsidRDefault="00224963" w:rsidP="00164B5C">
            <w:pPr>
              <w:spacing w:after="0" w:line="240" w:lineRule="auto"/>
              <w:ind w:left="-108"/>
              <w:jc w:val="both"/>
              <w:rPr>
                <w:rFonts w:ascii="Book Antiqua" w:hAnsi="Book Antiqua"/>
                <w:color w:val="4472C4" w:themeColor="accent1"/>
                <w:sz w:val="16"/>
                <w:szCs w:val="16"/>
              </w:rPr>
            </w:pPr>
            <w:r w:rsidRPr="009807F2">
              <w:rPr>
                <w:rFonts w:ascii="Book Antiqua" w:hAnsi="Book Antiqua"/>
                <w:sz w:val="16"/>
                <w:szCs w:val="16"/>
              </w:rPr>
              <w:t>How To Cite:</w:t>
            </w:r>
            <w:r w:rsidR="00154A86" w:rsidRPr="009807F2">
              <w:rPr>
                <w:rFonts w:ascii="Book Antiqua" w:hAnsi="Book Antiqua"/>
                <w:sz w:val="16"/>
                <w:szCs w:val="16"/>
              </w:rPr>
              <w:t xml:space="preserve"> </w:t>
            </w:r>
            <w:r w:rsidR="00154A86" w:rsidRPr="009807F2">
              <w:rPr>
                <w:rFonts w:ascii="Book Antiqua" w:hAnsi="Book Antiqua" w:cstheme="majorHAnsi"/>
                <w:color w:val="000000" w:themeColor="text1"/>
                <w:sz w:val="16"/>
                <w:szCs w:val="16"/>
              </w:rPr>
              <w:t xml:space="preserve">Sarah </w:t>
            </w:r>
            <w:proofErr w:type="spellStart"/>
            <w:r w:rsidR="00154A86" w:rsidRPr="009807F2">
              <w:rPr>
                <w:rFonts w:ascii="Book Antiqua" w:hAnsi="Book Antiqua" w:cstheme="majorHAnsi"/>
                <w:color w:val="000000" w:themeColor="text1"/>
                <w:sz w:val="16"/>
                <w:szCs w:val="16"/>
              </w:rPr>
              <w:t>Selvina</w:t>
            </w:r>
            <w:proofErr w:type="spellEnd"/>
            <w:r w:rsidR="00164B5C" w:rsidRPr="009807F2">
              <w:rPr>
                <w:rFonts w:ascii="Book Antiqua" w:hAnsi="Book Antiqua"/>
                <w:sz w:val="16"/>
                <w:szCs w:val="16"/>
              </w:rPr>
              <w:t xml:space="preserve"> </w:t>
            </w:r>
            <w:proofErr w:type="spellStart"/>
            <w:r w:rsidR="00164B5C" w:rsidRPr="009807F2">
              <w:rPr>
                <w:rFonts w:ascii="Book Antiqua" w:hAnsi="Book Antiqua"/>
                <w:sz w:val="16"/>
                <w:szCs w:val="16"/>
              </w:rPr>
              <w:t>Kuahaty</w:t>
            </w:r>
            <w:proofErr w:type="spellEnd"/>
            <w:r w:rsidR="00164B5C" w:rsidRPr="009807F2">
              <w:rPr>
                <w:rFonts w:ascii="Book Antiqua" w:hAnsi="Book Antiqua" w:cstheme="majorHAnsi"/>
                <w:color w:val="000000" w:themeColor="text1"/>
                <w:sz w:val="16"/>
                <w:szCs w:val="16"/>
              </w:rPr>
              <w:t>,</w:t>
            </w:r>
            <w:r w:rsidR="00164B5C">
              <w:rPr>
                <w:rFonts w:ascii="Book Antiqua" w:hAnsi="Book Antiqua" w:cstheme="majorHAnsi"/>
                <w:color w:val="000000" w:themeColor="text1"/>
                <w:sz w:val="16"/>
                <w:szCs w:val="16"/>
              </w:rPr>
              <w:t xml:space="preserve"> </w:t>
            </w:r>
            <w:r w:rsidR="00154A86" w:rsidRPr="009807F2">
              <w:rPr>
                <w:rFonts w:ascii="Book Antiqua" w:hAnsi="Book Antiqua" w:cstheme="majorHAnsi"/>
                <w:color w:val="000000" w:themeColor="text1"/>
                <w:sz w:val="16"/>
                <w:szCs w:val="16"/>
              </w:rPr>
              <w:t xml:space="preserve">Muchtar </w:t>
            </w:r>
            <w:proofErr w:type="spellStart"/>
            <w:r w:rsidR="00154A86" w:rsidRPr="009807F2">
              <w:rPr>
                <w:rFonts w:ascii="Book Antiqua" w:hAnsi="Book Antiqua" w:cstheme="majorHAnsi"/>
                <w:color w:val="000000" w:themeColor="text1"/>
                <w:sz w:val="16"/>
                <w:szCs w:val="16"/>
              </w:rPr>
              <w:t>Anshary</w:t>
            </w:r>
            <w:proofErr w:type="spellEnd"/>
            <w:r w:rsidR="00154A86" w:rsidRPr="009807F2">
              <w:rPr>
                <w:rFonts w:ascii="Book Antiqua" w:hAnsi="Book Antiqua" w:cstheme="majorHAnsi"/>
                <w:color w:val="000000" w:themeColor="text1"/>
                <w:sz w:val="16"/>
                <w:szCs w:val="16"/>
              </w:rPr>
              <w:t xml:space="preserve"> Hamid </w:t>
            </w:r>
            <w:proofErr w:type="spellStart"/>
            <w:r w:rsidR="00154A86" w:rsidRPr="009807F2">
              <w:rPr>
                <w:rFonts w:ascii="Book Antiqua" w:hAnsi="Book Antiqua" w:cstheme="majorHAnsi"/>
                <w:color w:val="000000" w:themeColor="text1"/>
                <w:sz w:val="16"/>
                <w:szCs w:val="16"/>
              </w:rPr>
              <w:t>Labetubun</w:t>
            </w:r>
            <w:proofErr w:type="spellEnd"/>
            <w:r w:rsidR="005C01AB" w:rsidRPr="009807F2">
              <w:rPr>
                <w:rFonts w:ascii="Book Antiqua" w:hAnsi="Book Antiqua" w:cstheme="majorHAnsi"/>
                <w:color w:val="000000" w:themeColor="text1"/>
                <w:sz w:val="16"/>
                <w:szCs w:val="16"/>
              </w:rPr>
              <w:t xml:space="preserve">, </w:t>
            </w:r>
            <w:r w:rsidR="00154A86" w:rsidRPr="009807F2">
              <w:rPr>
                <w:rFonts w:ascii="Book Antiqua" w:hAnsi="Book Antiqua" w:cstheme="majorHAnsi"/>
                <w:color w:val="000000" w:themeColor="text1"/>
                <w:sz w:val="16"/>
                <w:szCs w:val="16"/>
              </w:rPr>
              <w:t xml:space="preserve">and Rory Jeff </w:t>
            </w:r>
            <w:proofErr w:type="spellStart"/>
            <w:r w:rsidR="00154A86" w:rsidRPr="009807F2">
              <w:rPr>
                <w:rFonts w:ascii="Book Antiqua" w:hAnsi="Book Antiqua" w:cstheme="majorHAnsi"/>
                <w:color w:val="000000" w:themeColor="text1"/>
                <w:sz w:val="16"/>
                <w:szCs w:val="16"/>
              </w:rPr>
              <w:t>Akyuwen</w:t>
            </w:r>
            <w:proofErr w:type="spellEnd"/>
            <w:r w:rsidR="00154A86" w:rsidRPr="009807F2">
              <w:rPr>
                <w:rFonts w:ascii="Book Antiqua" w:hAnsi="Book Antiqua" w:cstheme="majorHAnsi"/>
                <w:color w:val="000000" w:themeColor="text1"/>
                <w:sz w:val="16"/>
                <w:szCs w:val="16"/>
              </w:rPr>
              <w:t xml:space="preserve">. </w:t>
            </w:r>
            <w:r w:rsidR="005C01AB" w:rsidRPr="009807F2">
              <w:rPr>
                <w:rFonts w:ascii="Book Antiqua" w:hAnsi="Book Antiqua" w:cstheme="majorHAnsi"/>
                <w:color w:val="000000" w:themeColor="text1"/>
                <w:sz w:val="16"/>
                <w:szCs w:val="16"/>
              </w:rPr>
              <w:t>“</w:t>
            </w:r>
            <w:r w:rsidR="00154A86" w:rsidRPr="009807F2">
              <w:rPr>
                <w:rFonts w:ascii="Book Antiqua" w:hAnsi="Book Antiqua"/>
                <w:noProof/>
                <w:sz w:val="16"/>
                <w:szCs w:val="16"/>
              </w:rPr>
              <w:t>A Legal Awareness of Copyright on Regional Song Creators</w:t>
            </w:r>
            <w:r w:rsidR="005C01AB" w:rsidRPr="009807F2">
              <w:rPr>
                <w:rFonts w:ascii="Book Antiqua" w:hAnsi="Book Antiqua" w:cstheme="majorHAnsi"/>
                <w:color w:val="000000" w:themeColor="text1"/>
                <w:sz w:val="16"/>
                <w:szCs w:val="16"/>
              </w:rPr>
              <w:t xml:space="preserve">.” </w:t>
            </w:r>
            <w:r w:rsidR="005C01AB" w:rsidRPr="009807F2">
              <w:rPr>
                <w:rFonts w:ascii="Book Antiqua" w:hAnsi="Book Antiqua" w:cstheme="majorHAnsi"/>
                <w:i/>
                <w:color w:val="000000" w:themeColor="text1"/>
                <w:sz w:val="16"/>
                <w:szCs w:val="16"/>
              </w:rPr>
              <w:t>SASI</w:t>
            </w:r>
            <w:r w:rsidR="005C01AB" w:rsidRPr="009807F2">
              <w:rPr>
                <w:rFonts w:ascii="Book Antiqua" w:hAnsi="Book Antiqua" w:cstheme="majorHAnsi"/>
                <w:color w:val="000000" w:themeColor="text1"/>
                <w:sz w:val="16"/>
                <w:szCs w:val="16"/>
              </w:rPr>
              <w:t xml:space="preserve"> 30 no. 1 (2024): XXX-</w:t>
            </w:r>
            <w:proofErr w:type="spellStart"/>
            <w:r w:rsidR="005C01AB" w:rsidRPr="009807F2">
              <w:rPr>
                <w:rFonts w:ascii="Book Antiqua" w:hAnsi="Book Antiqua" w:cstheme="majorHAnsi"/>
                <w:color w:val="000000" w:themeColor="text1"/>
                <w:sz w:val="16"/>
                <w:szCs w:val="16"/>
              </w:rPr>
              <w:t>XXX</w:t>
            </w:r>
            <w:r w:rsidR="00154A86" w:rsidRPr="009807F2">
              <w:rPr>
                <w:rFonts w:ascii="Book Antiqua" w:hAnsi="Book Antiqua" w:cstheme="majorHAnsi"/>
                <w:color w:val="000000" w:themeColor="text1"/>
                <w:sz w:val="16"/>
                <w:szCs w:val="16"/>
              </w:rPr>
              <w:t>.</w:t>
            </w:r>
            <w:r w:rsidR="00154A86" w:rsidRPr="009807F2">
              <w:rPr>
                <w:rFonts w:ascii="Book Antiqua" w:hAnsi="Book Antiqua"/>
                <w:noProof/>
                <w:sz w:val="16"/>
                <w:szCs w:val="16"/>
              </w:rPr>
              <w:t>https</w:t>
            </w:r>
            <w:proofErr w:type="spellEnd"/>
            <w:r w:rsidR="00154A86" w:rsidRPr="009807F2">
              <w:rPr>
                <w:rFonts w:ascii="Book Antiqua" w:hAnsi="Book Antiqua"/>
                <w:noProof/>
                <w:sz w:val="16"/>
                <w:szCs w:val="16"/>
              </w:rPr>
              <w:t>://doi.org/</w:t>
            </w:r>
            <w:hyperlink r:id="rId15" w:history="1">
              <w:r w:rsidR="00154A86" w:rsidRPr="009807F2">
                <w:rPr>
                  <w:rFonts w:ascii="Book Antiqua" w:hAnsi="Book Antiqua"/>
                  <w:color w:val="4472C4" w:themeColor="accent1"/>
                  <w:sz w:val="16"/>
                  <w:szCs w:val="16"/>
                </w:rPr>
                <w:t>10.47268/sasi.v30i1.XXXXX</w:t>
              </w:r>
              <w:r w:rsidR="005C01AB" w:rsidRPr="009807F2">
                <w:rPr>
                  <w:rFonts w:ascii="Book Antiqua" w:hAnsi="Book Antiqua"/>
                  <w:color w:val="4472C4" w:themeColor="accent1"/>
                  <w:sz w:val="16"/>
                  <w:szCs w:val="16"/>
                </w:rPr>
                <w:t xml:space="preserve"> </w:t>
              </w:r>
            </w:hyperlink>
          </w:p>
        </w:tc>
      </w:tr>
      <w:tr w:rsidR="009B3C8A" w14:paraId="34CDD33C" w14:textId="77777777" w:rsidTr="00404A63">
        <w:tc>
          <w:tcPr>
            <w:tcW w:w="2378" w:type="dxa"/>
            <w:tcBorders>
              <w:top w:val="single" w:sz="4" w:space="0" w:color="auto"/>
              <w:left w:val="nil"/>
              <w:bottom w:val="single" w:sz="4" w:space="0" w:color="auto"/>
              <w:right w:val="nil"/>
            </w:tcBorders>
            <w:shd w:val="clear" w:color="auto" w:fill="F2F2F2" w:themeFill="background1" w:themeFillShade="F2"/>
            <w:vAlign w:val="center"/>
          </w:tcPr>
          <w:p w14:paraId="173FDB31" w14:textId="77777777" w:rsidR="009B3C8A" w:rsidRPr="00DE1590" w:rsidRDefault="009B3C8A" w:rsidP="00696409">
            <w:pPr>
              <w:spacing w:before="120" w:after="0" w:line="240" w:lineRule="auto"/>
              <w:ind w:left="-108"/>
              <w:jc w:val="both"/>
              <w:rPr>
                <w:noProof/>
                <w:color w:val="4472C4" w:themeColor="accent1"/>
                <w:sz w:val="18"/>
                <w:szCs w:val="18"/>
                <w:lang w:bidi="ar-SA"/>
              </w:rPr>
            </w:pPr>
            <w:r w:rsidRPr="009B3C8A">
              <w:rPr>
                <w:rFonts w:ascii="Book Antiqua" w:hAnsi="Book Antiqua"/>
                <w:sz w:val="16"/>
                <w:szCs w:val="16"/>
              </w:rPr>
              <w:t>Copyright</w:t>
            </w:r>
            <w:r w:rsidRPr="009B3C8A">
              <w:rPr>
                <w:rFonts w:ascii="Book Antiqua" w:hAnsi="Book Antiqua"/>
                <w:sz w:val="18"/>
                <w:szCs w:val="16"/>
              </w:rPr>
              <w:t xml:space="preserve"> © 202</w:t>
            </w:r>
            <w:r w:rsidR="00696409">
              <w:rPr>
                <w:rFonts w:ascii="Book Antiqua" w:hAnsi="Book Antiqua"/>
                <w:sz w:val="18"/>
                <w:szCs w:val="16"/>
              </w:rPr>
              <w:t>4</w:t>
            </w:r>
            <w:r w:rsidRPr="009B3C8A">
              <w:rPr>
                <w:rFonts w:ascii="Book Antiqua" w:hAnsi="Book Antiqua"/>
                <w:sz w:val="18"/>
                <w:szCs w:val="16"/>
              </w:rPr>
              <w:t xml:space="preserve"> Author(s)</w:t>
            </w:r>
          </w:p>
        </w:tc>
        <w:tc>
          <w:tcPr>
            <w:tcW w:w="7261" w:type="dxa"/>
            <w:gridSpan w:val="3"/>
            <w:tcBorders>
              <w:top w:val="single" w:sz="4" w:space="0" w:color="auto"/>
              <w:left w:val="nil"/>
              <w:bottom w:val="single" w:sz="4" w:space="0" w:color="auto"/>
              <w:right w:val="nil"/>
            </w:tcBorders>
            <w:shd w:val="clear" w:color="auto" w:fill="F2F2F2" w:themeFill="background1" w:themeFillShade="F2"/>
            <w:vAlign w:val="center"/>
          </w:tcPr>
          <w:p w14:paraId="07C89376" w14:textId="2BD0A440" w:rsidR="009B3C8A" w:rsidRPr="00DE1590" w:rsidRDefault="00E86094" w:rsidP="00E86094">
            <w:pPr>
              <w:spacing w:before="120" w:after="0" w:line="240" w:lineRule="auto"/>
              <w:ind w:left="491"/>
              <w:jc w:val="both"/>
              <w:rPr>
                <w:noProof/>
                <w:color w:val="4472C4" w:themeColor="accent1"/>
                <w:sz w:val="18"/>
                <w:szCs w:val="18"/>
                <w:lang w:bidi="ar-SA"/>
              </w:rPr>
            </w:pPr>
            <w:r w:rsidRPr="00DE1590">
              <w:rPr>
                <w:noProof/>
                <w:color w:val="4472C4" w:themeColor="accent1"/>
                <w:sz w:val="18"/>
                <w:szCs w:val="18"/>
                <w:lang w:bidi="ar-SA"/>
              </w:rPr>
              <w:drawing>
                <wp:anchor distT="0" distB="0" distL="114300" distR="114300" simplePos="0" relativeHeight="251695104" behindDoc="0" locked="0" layoutInCell="1" allowOverlap="1" wp14:anchorId="7247B88D" wp14:editId="447FEB43">
                  <wp:simplePos x="0" y="0"/>
                  <wp:positionH relativeFrom="column">
                    <wp:posOffset>-144145</wp:posOffset>
                  </wp:positionH>
                  <wp:positionV relativeFrom="paragraph">
                    <wp:posOffset>15875</wp:posOffset>
                  </wp:positionV>
                  <wp:extent cx="424180" cy="211455"/>
                  <wp:effectExtent l="0" t="0" r="0" b="0"/>
                  <wp:wrapNone/>
                  <wp:docPr id="2" name="Picture 2"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7" w:history="1">
              <w:r w:rsidR="009C7D1C" w:rsidRPr="007E1A77">
                <w:t xml:space="preserve"> </w:t>
              </w:r>
              <w:r w:rsidR="009C7D1C" w:rsidRPr="009C7D1C">
                <w:rPr>
                  <w:rStyle w:val="Hyperlink"/>
                  <w:rFonts w:ascii="Book Antiqua" w:hAnsi="Book Antiqua"/>
                  <w:color w:val="000000" w:themeColor="text1"/>
                  <w:sz w:val="18"/>
                  <w:szCs w:val="18"/>
                  <w:u w:val="none"/>
                </w:rPr>
                <w:t>Creative Commons Attribution-</w:t>
              </w:r>
              <w:proofErr w:type="spellStart"/>
              <w:r w:rsidR="009C7D1C" w:rsidRPr="009C7D1C">
                <w:rPr>
                  <w:rStyle w:val="Hyperlink"/>
                  <w:rFonts w:ascii="Book Antiqua" w:hAnsi="Book Antiqua"/>
                  <w:color w:val="000000" w:themeColor="text1"/>
                  <w:sz w:val="18"/>
                  <w:szCs w:val="18"/>
                  <w:u w:val="none"/>
                </w:rPr>
                <w:t>NonCommercial</w:t>
              </w:r>
              <w:proofErr w:type="spellEnd"/>
              <w:r w:rsidR="009C7D1C" w:rsidRPr="009C7D1C">
                <w:rPr>
                  <w:rStyle w:val="Hyperlink"/>
                  <w:rFonts w:ascii="Book Antiqua" w:hAnsi="Book Antiqua"/>
                  <w:color w:val="000000" w:themeColor="text1"/>
                  <w:sz w:val="18"/>
                  <w:szCs w:val="18"/>
                  <w:u w:val="none"/>
                </w:rPr>
                <w:t xml:space="preserve"> 4.0 Interna</w:t>
              </w:r>
              <w:r w:rsidR="00A80F7F">
                <w:rPr>
                  <w:rStyle w:val="Hyperlink"/>
                  <w:rFonts w:ascii="Book Antiqua" w:hAnsi="Book Antiqua"/>
                  <w:color w:val="000000" w:themeColor="text1"/>
                  <w:sz w:val="18"/>
                  <w:szCs w:val="18"/>
                  <w:u w:val="none"/>
                </w:rPr>
                <w:t>t</w:t>
              </w:r>
              <w:r w:rsidR="009C7D1C" w:rsidRPr="009C7D1C">
                <w:rPr>
                  <w:rStyle w:val="Hyperlink"/>
                  <w:rFonts w:ascii="Book Antiqua" w:hAnsi="Book Antiqua"/>
                  <w:color w:val="000000" w:themeColor="text1"/>
                  <w:sz w:val="18"/>
                  <w:szCs w:val="18"/>
                  <w:u w:val="none"/>
                </w:rPr>
                <w:t>ional</w:t>
              </w:r>
              <w:r w:rsidR="009B3C8A" w:rsidRPr="00011808">
                <w:rPr>
                  <w:rStyle w:val="Hyperlink"/>
                  <w:rFonts w:ascii="Book Antiqua" w:hAnsi="Book Antiqua"/>
                  <w:color w:val="000000" w:themeColor="text1"/>
                  <w:sz w:val="18"/>
                  <w:szCs w:val="18"/>
                  <w:u w:val="none"/>
                </w:rPr>
                <w:t xml:space="preserve"> License</w:t>
              </w:r>
            </w:hyperlink>
          </w:p>
        </w:tc>
      </w:tr>
    </w:tbl>
    <w:p w14:paraId="572D7592" w14:textId="77777777" w:rsidR="005569BB" w:rsidRPr="00D01483" w:rsidRDefault="005569BB" w:rsidP="005569BB">
      <w:pPr>
        <w:spacing w:after="0" w:line="240" w:lineRule="auto"/>
        <w:jc w:val="both"/>
        <w:rPr>
          <w:rFonts w:ascii="Book Antiqua" w:hAnsi="Book Antiqua"/>
          <w:b/>
          <w:bCs/>
          <w:i/>
          <w:iCs/>
          <w:color w:val="FFC000" w:themeColor="accent4"/>
          <w:sz w:val="24"/>
          <w:szCs w:val="24"/>
          <w:lang w:val="id-ID"/>
        </w:rPr>
      </w:pPr>
    </w:p>
    <w:p w14:paraId="2E8054D9" w14:textId="546B690F" w:rsidR="004D5838" w:rsidRPr="004D5838" w:rsidRDefault="00636FF5" w:rsidP="004D5838">
      <w:pPr>
        <w:spacing w:after="120" w:line="240" w:lineRule="auto"/>
        <w:rPr>
          <w:rFonts w:ascii="Book Antiqua" w:hAnsi="Book Antiqua"/>
          <w:b/>
          <w:bCs/>
          <w:color w:val="FF0000"/>
          <w:sz w:val="24"/>
          <w:szCs w:val="22"/>
          <w:lang w:val="id-ID"/>
        </w:rPr>
      </w:pPr>
      <w:r w:rsidRPr="00436951">
        <w:rPr>
          <w:rFonts w:ascii="Book Antiqua" w:hAnsi="Book Antiqua"/>
          <w:b/>
          <w:bCs/>
          <w:color w:val="2F5496" w:themeColor="accent1" w:themeShade="BF"/>
          <w:sz w:val="24"/>
          <w:szCs w:val="24"/>
        </w:rPr>
        <w:t>INTRODUCTION</w:t>
      </w:r>
      <w:r w:rsidR="004B1F20" w:rsidRPr="00636FF5">
        <w:rPr>
          <w:rFonts w:ascii="Book Antiqua" w:hAnsi="Book Antiqua"/>
          <w:b/>
          <w:bCs/>
          <w:color w:val="4472C4" w:themeColor="accent1"/>
          <w:sz w:val="24"/>
          <w:szCs w:val="22"/>
          <w:lang w:val="id-ID"/>
        </w:rPr>
        <w:t xml:space="preserve"> </w:t>
      </w:r>
    </w:p>
    <w:p w14:paraId="4D4443C4" w14:textId="77777777" w:rsidR="004D5838" w:rsidRPr="004D5838" w:rsidRDefault="004D5838" w:rsidP="004D5838">
      <w:pPr>
        <w:spacing w:after="120" w:line="240" w:lineRule="auto"/>
        <w:jc w:val="both"/>
        <w:rPr>
          <w:rFonts w:ascii="Book Antiqua" w:hAnsi="Book Antiqua" w:cstheme="majorHAnsi"/>
          <w:sz w:val="24"/>
          <w:szCs w:val="24"/>
        </w:rPr>
      </w:pPr>
      <w:r w:rsidRPr="004D5838">
        <w:rPr>
          <w:rFonts w:ascii="Book Antiqua" w:hAnsi="Book Antiqua" w:cstheme="majorHAnsi"/>
          <w:sz w:val="24"/>
          <w:szCs w:val="24"/>
        </w:rPr>
        <w:t>The issue of criminal law enforcement in elections in Indonesia has become very strategic and important</w:t>
      </w:r>
      <w:r w:rsidRPr="004D5838">
        <w:rPr>
          <w:rFonts w:ascii="Book Antiqua" w:hAnsi="Book Antiqua" w:cstheme="majorHAnsi"/>
          <w:sz w:val="24"/>
          <w:szCs w:val="24"/>
          <w:vertAlign w:val="superscript"/>
        </w:rPr>
        <w:footnoteReference w:id="1"/>
      </w:r>
      <w:r w:rsidRPr="004D5838">
        <w:rPr>
          <w:rFonts w:ascii="Book Antiqua" w:hAnsi="Book Antiqua" w:cstheme="majorHAnsi"/>
          <w:sz w:val="24"/>
          <w:szCs w:val="24"/>
        </w:rPr>
        <w:t xml:space="preserve">. Elections are the main means of democracy in determining the direction of </w:t>
      </w:r>
      <w:r w:rsidRPr="004D5838">
        <w:rPr>
          <w:rFonts w:ascii="Book Antiqua" w:hAnsi="Book Antiqua" w:cstheme="majorHAnsi"/>
          <w:sz w:val="24"/>
          <w:szCs w:val="24"/>
        </w:rPr>
        <w:lastRenderedPageBreak/>
        <w:t>political policy by the people</w:t>
      </w:r>
      <w:r w:rsidRPr="004D5838">
        <w:rPr>
          <w:rFonts w:ascii="Book Antiqua" w:hAnsi="Book Antiqua" w:cstheme="majorHAnsi"/>
          <w:sz w:val="24"/>
          <w:szCs w:val="24"/>
          <w:vertAlign w:val="superscript"/>
        </w:rPr>
        <w:footnoteReference w:id="2"/>
      </w:r>
      <w:r w:rsidRPr="004D5838">
        <w:rPr>
          <w:rFonts w:ascii="Book Antiqua" w:hAnsi="Book Antiqua" w:cstheme="majorHAnsi"/>
          <w:sz w:val="24"/>
          <w:szCs w:val="24"/>
        </w:rPr>
        <w:t>. However, the rise of abuses such as vote manipulation, money politics, and other forms of fraud has weakened public trust in the electoral system</w:t>
      </w:r>
      <w:r w:rsidRPr="004D5838">
        <w:rPr>
          <w:rFonts w:ascii="Book Antiqua" w:hAnsi="Book Antiqua" w:cstheme="majorHAnsi"/>
          <w:sz w:val="24"/>
          <w:szCs w:val="24"/>
          <w:vertAlign w:val="superscript"/>
        </w:rPr>
        <w:footnoteReference w:id="3"/>
      </w:r>
      <w:r w:rsidRPr="004D5838">
        <w:rPr>
          <w:rFonts w:ascii="Book Antiqua" w:hAnsi="Book Antiqua" w:cstheme="majorHAnsi"/>
          <w:sz w:val="24"/>
          <w:szCs w:val="24"/>
        </w:rPr>
        <w:t>. In recent years, this trend has become increasingly alarming. Based on available information, violations in the 2024 election are expected to increase, although official data from the Election Supervisory Agency (</w:t>
      </w:r>
      <w:proofErr w:type="spellStart"/>
      <w:r w:rsidRPr="004D5838">
        <w:rPr>
          <w:rFonts w:ascii="Book Antiqua" w:hAnsi="Book Antiqua" w:cstheme="majorHAnsi"/>
          <w:sz w:val="24"/>
          <w:szCs w:val="24"/>
        </w:rPr>
        <w:t>Bawaslu</w:t>
      </w:r>
      <w:proofErr w:type="spellEnd"/>
      <w:r w:rsidRPr="004D5838">
        <w:rPr>
          <w:rFonts w:ascii="Book Antiqua" w:hAnsi="Book Antiqua" w:cstheme="majorHAnsi"/>
          <w:sz w:val="24"/>
          <w:szCs w:val="24"/>
        </w:rPr>
        <w:t>) has not been able to confirm a surge of up to 15% compared to the 2019 election. Based on data released by the General Election Supervisory Agency (</w:t>
      </w:r>
      <w:proofErr w:type="spellStart"/>
      <w:r w:rsidRPr="004D5838">
        <w:rPr>
          <w:rFonts w:ascii="Book Antiqua" w:hAnsi="Book Antiqua" w:cstheme="majorHAnsi"/>
          <w:sz w:val="24"/>
          <w:szCs w:val="24"/>
        </w:rPr>
        <w:t>Bawaslu</w:t>
      </w:r>
      <w:proofErr w:type="spellEnd"/>
      <w:r w:rsidRPr="004D5838">
        <w:rPr>
          <w:rFonts w:ascii="Book Antiqua" w:hAnsi="Book Antiqua" w:cstheme="majorHAnsi"/>
          <w:sz w:val="24"/>
          <w:szCs w:val="24"/>
        </w:rPr>
        <w:t>) at a press conference on February 27, 2024, there are 1,023 alleged violations of the 2024 Election that have been registered. Of these, 482 came from community reports and 541 were direct findings by election supervisors. The results showed that 479 cases were categorized as violations, 324 were not proven to be violations, and 220 were still in the process of being handled. The types of violations identified included 69 administrative violations, 39 alleged election crimes, 248 code of ethics violations, and 125 other violations of the law. In particular, violations related to the campaign stage included 154 reports and 224 findings, with details of 132 cases proven to be violations, 127 unproven, and 111 still in the process of being handled. The types of violations in the campaign stage include five administrative violations, 29 alleged election crimes, 30 violations of the code of ethics, and 66 other violations of the law. The trend of administrative violations that often occur is campaigns outside the campaign period, while violations of the code of ethics are generally related to the non-neutrality of election organizers</w:t>
      </w:r>
      <w:r w:rsidRPr="004D5838">
        <w:rPr>
          <w:rFonts w:ascii="Book Antiqua" w:hAnsi="Book Antiqua" w:cstheme="majorHAnsi"/>
          <w:sz w:val="24"/>
          <w:szCs w:val="24"/>
          <w:vertAlign w:val="superscript"/>
        </w:rPr>
        <w:footnoteReference w:id="4"/>
      </w:r>
      <w:r w:rsidRPr="004D5838">
        <w:rPr>
          <w:rFonts w:ascii="Book Antiqua" w:hAnsi="Book Antiqua" w:cstheme="majorHAnsi"/>
          <w:sz w:val="24"/>
          <w:szCs w:val="24"/>
        </w:rPr>
        <w:t>. In addition, there are also other alleged violations of the law, such as regional heads who violate the provisions of Article 283 paragraphs 1 and 2 of Law Number 7 of 2017, This fact shows that there is a gap between the rule of law and implementation in the field, which requires a more optimal handling approach.</w:t>
      </w:r>
    </w:p>
    <w:p w14:paraId="4EE89A15" w14:textId="77777777" w:rsidR="004D5838" w:rsidRPr="004D5838" w:rsidRDefault="004D5838" w:rsidP="004D5838">
      <w:pPr>
        <w:spacing w:after="120" w:line="240" w:lineRule="auto"/>
        <w:jc w:val="both"/>
        <w:rPr>
          <w:rFonts w:ascii="Book Antiqua" w:hAnsi="Book Antiqua" w:cstheme="majorHAnsi"/>
          <w:sz w:val="24"/>
          <w:szCs w:val="24"/>
          <w:lang w:val="id"/>
        </w:rPr>
      </w:pPr>
      <w:r w:rsidRPr="004D5838">
        <w:rPr>
          <w:rFonts w:ascii="Book Antiqua" w:hAnsi="Book Antiqua" w:cstheme="majorHAnsi"/>
          <w:sz w:val="24"/>
          <w:szCs w:val="24"/>
        </w:rPr>
        <w:t xml:space="preserve">The main issue underlying this discussion is how the law can be optimally enforced in the context of an increasingly complex democracy, especially in today's digital era. As described in </w:t>
      </w:r>
      <w:proofErr w:type="spellStart"/>
      <w:r w:rsidRPr="004D5838">
        <w:rPr>
          <w:rFonts w:ascii="Book Antiqua" w:hAnsi="Book Antiqua" w:cstheme="majorHAnsi"/>
          <w:sz w:val="24"/>
          <w:szCs w:val="24"/>
        </w:rPr>
        <w:t>Benuf</w:t>
      </w:r>
      <w:proofErr w:type="spellEnd"/>
      <w:r w:rsidRPr="004D5838">
        <w:rPr>
          <w:rFonts w:ascii="Book Antiqua" w:hAnsi="Book Antiqua" w:cstheme="majorHAnsi"/>
          <w:sz w:val="24"/>
          <w:szCs w:val="24"/>
        </w:rPr>
        <w:t xml:space="preserve"> and Azhar's research, the approach in legal studies must be able to explain and solve modern legal problems that often exceed traditional normative boundaries</w:t>
      </w:r>
      <w:r w:rsidRPr="004D5838">
        <w:rPr>
          <w:rFonts w:ascii="Book Antiqua" w:hAnsi="Book Antiqua" w:cstheme="majorHAnsi"/>
          <w:sz w:val="24"/>
          <w:szCs w:val="24"/>
          <w:vertAlign w:val="superscript"/>
        </w:rPr>
        <w:footnoteReference w:id="5"/>
      </w:r>
      <w:r w:rsidRPr="004D5838">
        <w:rPr>
          <w:rFonts w:ascii="Book Antiqua" w:hAnsi="Book Antiqua" w:cstheme="majorHAnsi"/>
          <w:sz w:val="24"/>
          <w:szCs w:val="24"/>
        </w:rPr>
        <w:t>. Therefore, law enforcement that combines juridical and sociological approaches is very important, considering that the social impact of legal inequality in elections can trigger conflicts between groups</w:t>
      </w:r>
      <w:r w:rsidRPr="004D5838">
        <w:rPr>
          <w:rFonts w:ascii="Book Antiqua" w:hAnsi="Book Antiqua" w:cstheme="majorHAnsi"/>
          <w:sz w:val="24"/>
          <w:szCs w:val="24"/>
          <w:vertAlign w:val="superscript"/>
        </w:rPr>
        <w:footnoteReference w:id="6"/>
      </w:r>
      <w:r w:rsidRPr="004D5838">
        <w:rPr>
          <w:rFonts w:ascii="Book Antiqua" w:hAnsi="Book Antiqua" w:cstheme="majorHAnsi"/>
          <w:sz w:val="24"/>
          <w:szCs w:val="24"/>
        </w:rPr>
        <w:t>.</w:t>
      </w:r>
    </w:p>
    <w:p w14:paraId="4C6BF656" w14:textId="77777777" w:rsidR="004D5838" w:rsidRPr="004D5838" w:rsidRDefault="004D5838" w:rsidP="004D5838">
      <w:pPr>
        <w:spacing w:after="120" w:line="240" w:lineRule="auto"/>
        <w:jc w:val="both"/>
        <w:rPr>
          <w:rFonts w:ascii="Book Antiqua" w:hAnsi="Book Antiqua" w:cstheme="majorHAnsi"/>
          <w:sz w:val="24"/>
          <w:szCs w:val="24"/>
        </w:rPr>
      </w:pPr>
      <w:r w:rsidRPr="004D5838">
        <w:rPr>
          <w:rFonts w:ascii="Book Antiqua" w:hAnsi="Book Antiqua" w:cstheme="majorHAnsi"/>
          <w:sz w:val="24"/>
          <w:szCs w:val="24"/>
        </w:rPr>
        <w:t xml:space="preserve">This article tries to answer the problem of lack of integration between the juridical approach and the sociological approach in the implementation of election criminal law in Indonesia. Generally, law enforcement focuses more on formal legal aspects without considering broader social conditions. For example, in the case of election-related gambling, preventive and repressive measures by law enforcement officials often do not yield maximum results, as found in Yusuf's research, which highlights the importance of combining legal approaches with local values in resolving these problems.  and draw lessons from the </w:t>
      </w:r>
      <w:r w:rsidRPr="004D5838">
        <w:rPr>
          <w:rFonts w:ascii="Book Antiqua" w:hAnsi="Book Antiqua" w:cstheme="majorHAnsi"/>
          <w:sz w:val="24"/>
          <w:szCs w:val="24"/>
        </w:rPr>
        <w:lastRenderedPageBreak/>
        <w:t xml:space="preserve">practices implemented by the Conseil </w:t>
      </w:r>
      <w:proofErr w:type="spellStart"/>
      <w:r w:rsidRPr="004D5838">
        <w:rPr>
          <w:rFonts w:ascii="Book Antiqua" w:hAnsi="Book Antiqua" w:cstheme="majorHAnsi"/>
          <w:sz w:val="24"/>
          <w:szCs w:val="24"/>
        </w:rPr>
        <w:t>Constitutionnel</w:t>
      </w:r>
      <w:proofErr w:type="spellEnd"/>
      <w:r w:rsidRPr="004D5838">
        <w:rPr>
          <w:rFonts w:ascii="Book Antiqua" w:hAnsi="Book Antiqua" w:cstheme="majorHAnsi"/>
          <w:sz w:val="24"/>
          <w:szCs w:val="24"/>
        </w:rPr>
        <w:t xml:space="preserve"> in France</w:t>
      </w:r>
      <w:r w:rsidRPr="004D5838">
        <w:rPr>
          <w:rFonts w:ascii="Book Antiqua" w:hAnsi="Book Antiqua" w:cstheme="majorHAnsi"/>
          <w:sz w:val="24"/>
          <w:szCs w:val="24"/>
          <w:vertAlign w:val="superscript"/>
        </w:rPr>
        <w:footnoteReference w:id="7"/>
      </w:r>
      <w:r w:rsidRPr="004D5838">
        <w:rPr>
          <w:rFonts w:ascii="Book Antiqua" w:hAnsi="Book Antiqua" w:cstheme="majorHAnsi"/>
          <w:sz w:val="24"/>
          <w:szCs w:val="24"/>
        </w:rPr>
        <w:t>. In Indonesia, election law enforcement often faces structural and cultural challenges, such as weak inter-agency coordination, lack of public understanding of election rules, and strong social resistance to criminal sanctions. The juridical approach has so far emphasized legal certainty through formal rules, while the sociological approach encourages an understanding of social dynamics, political culture, and voter behavior. By comparison, the French Constitutional Council not only acts as the guardian of the constitution, but also as the watchdog of the legitimacy of elections, with the authority to decide disputes over the results of the elections quickly and</w:t>
      </w:r>
      <w:r w:rsidRPr="004D5838">
        <w:rPr>
          <w:rFonts w:ascii="Book Antiqua" w:hAnsi="Book Antiqua" w:cstheme="majorHAnsi"/>
          <w:sz w:val="24"/>
          <w:szCs w:val="24"/>
          <w:vertAlign w:val="superscript"/>
        </w:rPr>
        <w:footnoteReference w:id="8"/>
      </w:r>
      <w:r w:rsidRPr="004D5838">
        <w:rPr>
          <w:rFonts w:ascii="Book Antiqua" w:hAnsi="Book Antiqua" w:cstheme="majorHAnsi"/>
          <w:sz w:val="24"/>
          <w:szCs w:val="24"/>
        </w:rPr>
        <w:t xml:space="preserve"> finally. Practice in France shows that the success of electoral law enforcement depends not only on written norms, but also on institutional legitimacy, levels of public trust, and adaptability to social developments. Thus, the integration of these two approaches in Indonesia is expected to be able to create a more responsive, fair, and effective legal framework.</w:t>
      </w:r>
    </w:p>
    <w:p w14:paraId="64D631DC" w14:textId="77777777" w:rsidR="004D5838" w:rsidRPr="004D5838" w:rsidRDefault="004D5838" w:rsidP="004D5838">
      <w:pPr>
        <w:spacing w:after="120" w:line="240" w:lineRule="auto"/>
        <w:jc w:val="both"/>
        <w:rPr>
          <w:rFonts w:ascii="Book Antiqua" w:hAnsi="Book Antiqua" w:cstheme="majorHAnsi"/>
          <w:sz w:val="24"/>
          <w:szCs w:val="24"/>
        </w:rPr>
      </w:pPr>
      <w:r w:rsidRPr="004D5838">
        <w:rPr>
          <w:rFonts w:ascii="Book Antiqua" w:hAnsi="Book Antiqua" w:cstheme="majorHAnsi"/>
          <w:sz w:val="24"/>
          <w:szCs w:val="24"/>
        </w:rPr>
        <w:t>The specific problem that is to be solved in this paper is the low effectiveness of election criminal law enforcement in Indonesia due to the lack of integration between the juridical (normative) approach and the sociological approach. So far, law enforcement efforts tend to only prioritize formal aspects in the form of criminal sanctions, but fail to capture the social dimension behind violations such as money politics, vote manipulation, and political violence. This gap results in the law not functioning optimally in maintaining electoral justice while weakening public trust in the democratic process.</w:t>
      </w:r>
    </w:p>
    <w:p w14:paraId="08439EFD" w14:textId="77777777" w:rsidR="004D5838" w:rsidRPr="004D5838" w:rsidRDefault="004D5838" w:rsidP="004D5838">
      <w:pPr>
        <w:spacing w:after="120" w:line="240" w:lineRule="auto"/>
        <w:jc w:val="both"/>
        <w:rPr>
          <w:rFonts w:ascii="Book Antiqua" w:hAnsi="Book Antiqua" w:cstheme="majorHAnsi"/>
          <w:sz w:val="24"/>
          <w:szCs w:val="24"/>
        </w:rPr>
      </w:pPr>
      <w:r w:rsidRPr="004D5838">
        <w:rPr>
          <w:rFonts w:ascii="Book Antiqua" w:hAnsi="Book Antiqua" w:cstheme="majorHAnsi"/>
          <w:sz w:val="24"/>
          <w:szCs w:val="24"/>
        </w:rPr>
        <w:t>However, previous studies have some limitations. These studies generally still look at juridical and sociological approaches separately, without offering a concrete framework for integration at the policy level. In addition, most research focuses more on case analysis or public perception without directly linking it to institutional designs that can be adopted to improve electoral surveillance and law enforcement systems. This makes the resulting recommendations tend to be normative or partial without a comprehensive solution.</w:t>
      </w:r>
    </w:p>
    <w:p w14:paraId="25371020" w14:textId="77777777" w:rsidR="004D5838" w:rsidRPr="004D5838" w:rsidRDefault="004D5838" w:rsidP="004D5838">
      <w:pPr>
        <w:spacing w:after="120" w:line="240" w:lineRule="auto"/>
        <w:jc w:val="both"/>
        <w:rPr>
          <w:rFonts w:ascii="Book Antiqua" w:hAnsi="Book Antiqua" w:cstheme="majorHAnsi"/>
          <w:sz w:val="24"/>
          <w:szCs w:val="24"/>
        </w:rPr>
      </w:pPr>
      <w:r w:rsidRPr="004D5838">
        <w:rPr>
          <w:rFonts w:ascii="Book Antiqua" w:hAnsi="Book Antiqua" w:cstheme="majorHAnsi"/>
          <w:sz w:val="24"/>
          <w:szCs w:val="24"/>
        </w:rPr>
        <w:t xml:space="preserve">This paper offers a new approach in the form of conceptual integration between juridical and sociological approaches that combine legal certainty with an understanding of socio-political reality. This approach not only emphasizes improvements in regulatory aspects, but also encourages institutional transformation, increasing the legitimacy of election supervisory institutions, and strengthening public participation. Drawing from the practice of the Conseil </w:t>
      </w:r>
      <w:proofErr w:type="spellStart"/>
      <w:r w:rsidRPr="004D5838">
        <w:rPr>
          <w:rFonts w:ascii="Book Antiqua" w:hAnsi="Book Antiqua" w:cstheme="majorHAnsi"/>
          <w:sz w:val="24"/>
          <w:szCs w:val="24"/>
        </w:rPr>
        <w:t>Constitutionnel</w:t>
      </w:r>
      <w:proofErr w:type="spellEnd"/>
      <w:r w:rsidRPr="004D5838">
        <w:rPr>
          <w:rFonts w:ascii="Book Antiqua" w:hAnsi="Book Antiqua" w:cstheme="majorHAnsi"/>
          <w:sz w:val="24"/>
          <w:szCs w:val="24"/>
        </w:rPr>
        <w:t xml:space="preserve"> in France, this paper offers the idea of strengthening supervisory authority that is responsive to social dynamics while being firm in enforcing the rule of law.</w:t>
      </w:r>
    </w:p>
    <w:p w14:paraId="4C7268A7" w14:textId="77777777" w:rsidR="004D5838" w:rsidRPr="004D5838" w:rsidRDefault="004D5838" w:rsidP="004D5838">
      <w:pPr>
        <w:spacing w:after="120" w:line="240" w:lineRule="auto"/>
        <w:jc w:val="both"/>
        <w:rPr>
          <w:rFonts w:ascii="Book Antiqua" w:hAnsi="Book Antiqua" w:cstheme="majorHAnsi"/>
          <w:sz w:val="24"/>
          <w:szCs w:val="24"/>
          <w:lang w:val="id"/>
        </w:rPr>
      </w:pPr>
      <w:r w:rsidRPr="004D5838">
        <w:rPr>
          <w:rFonts w:ascii="Book Antiqua" w:hAnsi="Book Antiqua" w:cstheme="majorHAnsi"/>
          <w:sz w:val="24"/>
          <w:szCs w:val="24"/>
        </w:rPr>
        <w:t>The purpose of this study is to formulate an integrative framework between juridical and sociological approaches in the enforcement of electoral criminal law in Indonesia, so as to be able to increase the effectiveness of the law, strengthen institutional legitimacy, and encourage public participation. This paper is expected to be a strategic reference for policymakers, researchers, and legal practitioners in designing more adaptive and equitable election law enforcement regulations and policies.</w:t>
      </w:r>
    </w:p>
    <w:p w14:paraId="3AEB1F78" w14:textId="77777777" w:rsidR="004D5838" w:rsidRDefault="004D5838" w:rsidP="00AB192A">
      <w:pPr>
        <w:spacing w:after="120" w:line="240" w:lineRule="auto"/>
        <w:jc w:val="both"/>
        <w:rPr>
          <w:rFonts w:ascii="Book Antiqua" w:hAnsi="Book Antiqua" w:cstheme="majorHAnsi"/>
          <w:sz w:val="24"/>
          <w:szCs w:val="24"/>
          <w:lang w:val="en-GB"/>
        </w:rPr>
      </w:pPr>
    </w:p>
    <w:p w14:paraId="037B5FD8" w14:textId="77777777" w:rsidR="004D5838" w:rsidRDefault="004D5838" w:rsidP="00AB192A">
      <w:pPr>
        <w:spacing w:after="120" w:line="240" w:lineRule="auto"/>
        <w:jc w:val="both"/>
        <w:rPr>
          <w:rFonts w:ascii="Book Antiqua" w:hAnsi="Book Antiqua" w:cstheme="majorHAnsi"/>
          <w:sz w:val="24"/>
          <w:szCs w:val="24"/>
          <w:lang w:val="en-GB"/>
        </w:rPr>
      </w:pPr>
    </w:p>
    <w:p w14:paraId="5C75E0D4" w14:textId="77777777" w:rsidR="004D5838" w:rsidRDefault="004D5838" w:rsidP="00AB192A">
      <w:pPr>
        <w:spacing w:after="120" w:line="240" w:lineRule="auto"/>
        <w:jc w:val="both"/>
        <w:rPr>
          <w:rFonts w:ascii="Book Antiqua" w:hAnsi="Book Antiqua" w:cstheme="majorHAnsi"/>
          <w:sz w:val="24"/>
          <w:szCs w:val="24"/>
          <w:lang w:val="en-GB"/>
        </w:rPr>
      </w:pPr>
    </w:p>
    <w:p w14:paraId="38EE463A" w14:textId="77777777" w:rsidR="004B1F20" w:rsidRPr="00436951" w:rsidRDefault="000C1C1E" w:rsidP="007E7FE4">
      <w:pPr>
        <w:spacing w:after="120" w:line="240" w:lineRule="auto"/>
        <w:rPr>
          <w:rFonts w:ascii="Book Antiqua" w:hAnsi="Book Antiqua"/>
          <w:b/>
          <w:bCs/>
          <w:color w:val="4472C4" w:themeColor="accent1"/>
          <w:sz w:val="28"/>
          <w:szCs w:val="22"/>
          <w:lang w:val="id-ID"/>
        </w:rPr>
      </w:pPr>
      <w:r w:rsidRPr="000C1C1E">
        <w:rPr>
          <w:rFonts w:ascii="Book Antiqua" w:hAnsi="Book Antiqua"/>
          <w:b/>
          <w:color w:val="4472C4" w:themeColor="accent1"/>
          <w:sz w:val="24"/>
          <w:szCs w:val="24"/>
        </w:rPr>
        <w:t>METHODS OF THE RESEARCH</w:t>
      </w:r>
    </w:p>
    <w:p w14:paraId="4B31D0F5" w14:textId="77777777" w:rsidR="004D5838" w:rsidRPr="004D5838" w:rsidRDefault="004D5838" w:rsidP="004D5838">
      <w:pPr>
        <w:spacing w:after="120" w:line="240" w:lineRule="auto"/>
        <w:jc w:val="both"/>
        <w:rPr>
          <w:rFonts w:ascii="Book Antiqua" w:hAnsi="Book Antiqua" w:cs="Calibri"/>
          <w:color w:val="000000" w:themeColor="text1"/>
          <w:sz w:val="24"/>
          <w:szCs w:val="24"/>
        </w:rPr>
      </w:pPr>
      <w:r w:rsidRPr="004D5838">
        <w:rPr>
          <w:rFonts w:ascii="Book Antiqua" w:hAnsi="Book Antiqua" w:cs="Calibri"/>
          <w:color w:val="000000" w:themeColor="text1"/>
          <w:sz w:val="24"/>
          <w:szCs w:val="24"/>
        </w:rPr>
        <w:t xml:space="preserve">This research is </w:t>
      </w:r>
      <w:proofErr w:type="gramStart"/>
      <w:r w:rsidRPr="004D5838">
        <w:rPr>
          <w:rFonts w:ascii="Book Antiqua" w:hAnsi="Book Antiqua" w:cs="Calibri"/>
          <w:color w:val="000000" w:themeColor="text1"/>
          <w:sz w:val="24"/>
          <w:szCs w:val="24"/>
        </w:rPr>
        <w:t>a normative-comparative legal research</w:t>
      </w:r>
      <w:proofErr w:type="gramEnd"/>
      <w:r w:rsidRPr="004D5838">
        <w:rPr>
          <w:rFonts w:ascii="Book Antiqua" w:hAnsi="Book Antiqua" w:cs="Calibri"/>
          <w:color w:val="000000" w:themeColor="text1"/>
          <w:sz w:val="24"/>
          <w:szCs w:val="24"/>
          <w:vertAlign w:val="superscript"/>
        </w:rPr>
        <w:footnoteReference w:id="9"/>
      </w:r>
      <w:r w:rsidRPr="004D5838">
        <w:rPr>
          <w:rFonts w:ascii="Book Antiqua" w:hAnsi="Book Antiqua" w:cs="Calibri"/>
          <w:color w:val="000000" w:themeColor="text1"/>
          <w:sz w:val="24"/>
          <w:szCs w:val="24"/>
        </w:rPr>
        <w:t>. Normative legal research aims to examine the applicable legal norms</w:t>
      </w:r>
      <w:r w:rsidRPr="004D5838">
        <w:rPr>
          <w:rFonts w:ascii="Book Antiqua" w:hAnsi="Book Antiqua" w:cs="Calibri"/>
          <w:color w:val="000000" w:themeColor="text1"/>
          <w:sz w:val="24"/>
          <w:szCs w:val="24"/>
          <w:vertAlign w:val="superscript"/>
        </w:rPr>
        <w:footnoteReference w:id="10"/>
      </w:r>
      <w:r w:rsidRPr="004D5838">
        <w:rPr>
          <w:rFonts w:ascii="Book Antiqua" w:hAnsi="Book Antiqua" w:cs="Calibri"/>
          <w:color w:val="000000" w:themeColor="text1"/>
          <w:sz w:val="24"/>
          <w:szCs w:val="24"/>
        </w:rPr>
        <w:t>, while a comparative approach is used to compare the electoral criminal law system between Indonesia and France. The approach used includes the Statute Approach: Examining the laws and regulations that regulate election crimes in both countries</w:t>
      </w:r>
      <w:r w:rsidRPr="004D5838">
        <w:rPr>
          <w:rFonts w:ascii="Book Antiqua" w:hAnsi="Book Antiqua" w:cs="Calibri"/>
          <w:color w:val="000000" w:themeColor="text1"/>
          <w:sz w:val="24"/>
          <w:szCs w:val="24"/>
          <w:vertAlign w:val="superscript"/>
        </w:rPr>
        <w:footnoteReference w:id="11"/>
      </w:r>
      <w:r w:rsidRPr="004D5838">
        <w:rPr>
          <w:rFonts w:ascii="Book Antiqua" w:hAnsi="Book Antiqua" w:cs="Calibri"/>
          <w:color w:val="000000" w:themeColor="text1"/>
          <w:sz w:val="24"/>
          <w:szCs w:val="24"/>
        </w:rPr>
        <w:t>. Comparative Approach: Comparing the Indonesian and French election criminal law systems to find similarities and differences. The data is analyzed using a qualitative analysis method with the following steps: Data Inventory: Collect and classify data based on specific categories</w:t>
      </w:r>
      <w:r w:rsidRPr="004D5838">
        <w:rPr>
          <w:rFonts w:ascii="Book Antiqua" w:hAnsi="Book Antiqua" w:cs="Calibri"/>
          <w:color w:val="000000" w:themeColor="text1"/>
          <w:sz w:val="24"/>
          <w:szCs w:val="24"/>
          <w:vertAlign w:val="superscript"/>
        </w:rPr>
        <w:footnoteReference w:id="12"/>
      </w:r>
      <w:r w:rsidRPr="004D5838">
        <w:rPr>
          <w:rFonts w:ascii="Book Antiqua" w:hAnsi="Book Antiqua" w:cs="Calibri"/>
          <w:color w:val="000000" w:themeColor="text1"/>
          <w:sz w:val="24"/>
          <w:szCs w:val="24"/>
        </w:rPr>
        <w:t>. Content Analysis Analyzes the content of laws and regulations and legal documents to understand the substance of the applicable law</w:t>
      </w:r>
      <w:r w:rsidRPr="004D5838">
        <w:rPr>
          <w:rFonts w:ascii="Book Antiqua" w:hAnsi="Book Antiqua" w:cs="Calibri"/>
          <w:color w:val="000000" w:themeColor="text1"/>
          <w:sz w:val="24"/>
          <w:szCs w:val="24"/>
          <w:vertAlign w:val="superscript"/>
        </w:rPr>
        <w:footnoteReference w:id="13"/>
      </w:r>
      <w:r w:rsidRPr="004D5838">
        <w:rPr>
          <w:rFonts w:ascii="Book Antiqua" w:hAnsi="Book Antiqua" w:cs="Calibri"/>
          <w:color w:val="000000" w:themeColor="text1"/>
          <w:sz w:val="24"/>
          <w:szCs w:val="24"/>
        </w:rPr>
        <w:t>. Comparison Comparing the criminal law systems of elections in Indonesia and France to find similarities and differences</w:t>
      </w:r>
      <w:r w:rsidRPr="004D5838">
        <w:rPr>
          <w:rFonts w:ascii="Book Antiqua" w:hAnsi="Book Antiqua" w:cs="Calibri"/>
          <w:color w:val="000000" w:themeColor="text1"/>
          <w:sz w:val="24"/>
          <w:szCs w:val="24"/>
          <w:vertAlign w:val="superscript"/>
        </w:rPr>
        <w:footnoteReference w:id="14"/>
      </w:r>
      <w:r w:rsidRPr="004D5838">
        <w:rPr>
          <w:rFonts w:ascii="Book Antiqua" w:hAnsi="Book Antiqua" w:cs="Calibri"/>
          <w:color w:val="000000" w:themeColor="text1"/>
          <w:sz w:val="24"/>
          <w:szCs w:val="24"/>
        </w:rPr>
        <w:t>.</w:t>
      </w:r>
    </w:p>
    <w:p w14:paraId="0CB502C5" w14:textId="512A26B0" w:rsidR="004D5838" w:rsidRDefault="004D5838" w:rsidP="004D5838">
      <w:pPr>
        <w:spacing w:after="120" w:line="240" w:lineRule="auto"/>
        <w:jc w:val="both"/>
        <w:rPr>
          <w:rFonts w:ascii="Book Antiqua" w:hAnsi="Book Antiqua" w:cs="Calibri"/>
          <w:color w:val="000000" w:themeColor="text1"/>
          <w:sz w:val="24"/>
          <w:szCs w:val="24"/>
        </w:rPr>
      </w:pPr>
      <w:r w:rsidRPr="004D5838">
        <w:rPr>
          <w:rFonts w:ascii="Book Antiqua" w:hAnsi="Book Antiqua" w:cs="Calibri"/>
          <w:color w:val="000000" w:themeColor="text1"/>
          <w:sz w:val="24"/>
          <w:szCs w:val="24"/>
        </w:rPr>
        <w:t>The data sources used in this study consist of Primary Legal Materials of laws and regulations, court decisions, and other official documents related to the enforcement of election criminal laws in Indonesia and France</w:t>
      </w:r>
      <w:r w:rsidRPr="004D5838">
        <w:rPr>
          <w:rFonts w:ascii="Book Antiqua" w:hAnsi="Book Antiqua" w:cs="Calibri"/>
          <w:color w:val="000000" w:themeColor="text1"/>
          <w:sz w:val="24"/>
          <w:szCs w:val="24"/>
          <w:vertAlign w:val="superscript"/>
        </w:rPr>
        <w:footnoteReference w:id="15"/>
      </w:r>
      <w:r w:rsidRPr="004D5838">
        <w:rPr>
          <w:rFonts w:ascii="Book Antiqua" w:hAnsi="Book Antiqua" w:cs="Calibri"/>
          <w:color w:val="000000" w:themeColor="text1"/>
          <w:sz w:val="24"/>
          <w:szCs w:val="24"/>
        </w:rPr>
        <w:t>. Secondary Legal Materials Legal literature, scientific journals, books, and articles that discuss the enforcement of electoral criminal laws in both countries Tertiary Legal Materials Legal Encyclopedias, legal dictionaries, and other sources that support the understanding of legal terms and concepts used</w:t>
      </w:r>
      <w:r w:rsidRPr="004D5838">
        <w:rPr>
          <w:rFonts w:ascii="Book Antiqua" w:hAnsi="Book Antiqua" w:cs="Calibri"/>
          <w:color w:val="000000" w:themeColor="text1"/>
          <w:sz w:val="24"/>
          <w:szCs w:val="24"/>
          <w:vertAlign w:val="superscript"/>
        </w:rPr>
        <w:footnoteReference w:id="16"/>
      </w:r>
      <w:r w:rsidRPr="004D5838">
        <w:rPr>
          <w:rFonts w:ascii="Book Antiqua" w:hAnsi="Book Antiqua" w:cs="Calibri"/>
          <w:color w:val="000000" w:themeColor="text1"/>
          <w:sz w:val="24"/>
          <w:szCs w:val="24"/>
        </w:rPr>
        <w:t>. This methodology is expected to provide a comprehensive overview of the comparison of election criminal law enforcement in Indonesia and France, as well as contribute to the development of a more effective and fair electoral criminal law system</w:t>
      </w:r>
    </w:p>
    <w:p w14:paraId="7D6C2B77" w14:textId="77777777" w:rsidR="004D5838" w:rsidRDefault="004D5838" w:rsidP="007E7FE4">
      <w:pPr>
        <w:spacing w:after="120" w:line="240" w:lineRule="auto"/>
        <w:rPr>
          <w:rFonts w:ascii="Book Antiqua" w:hAnsi="Book Antiqua" w:cs="Calibri"/>
          <w:color w:val="000000" w:themeColor="text1"/>
          <w:sz w:val="24"/>
          <w:szCs w:val="24"/>
        </w:rPr>
      </w:pPr>
    </w:p>
    <w:p w14:paraId="6980152F" w14:textId="77777777" w:rsidR="002C0B7A" w:rsidRDefault="002C0B7A" w:rsidP="007E7FE4">
      <w:pPr>
        <w:spacing w:after="120" w:line="240" w:lineRule="auto"/>
        <w:rPr>
          <w:rFonts w:ascii="Book Antiqua" w:hAnsi="Book Antiqua" w:cs="Calibri"/>
          <w:color w:val="000000" w:themeColor="text1"/>
          <w:sz w:val="24"/>
          <w:szCs w:val="24"/>
        </w:rPr>
      </w:pPr>
    </w:p>
    <w:p w14:paraId="79D0FFF2" w14:textId="77777777" w:rsidR="002C0B7A" w:rsidRDefault="002C0B7A" w:rsidP="007E7FE4">
      <w:pPr>
        <w:spacing w:after="120" w:line="240" w:lineRule="auto"/>
        <w:rPr>
          <w:rFonts w:ascii="Book Antiqua" w:hAnsi="Book Antiqua" w:cs="Calibri"/>
          <w:color w:val="000000" w:themeColor="text1"/>
          <w:sz w:val="24"/>
          <w:szCs w:val="24"/>
        </w:rPr>
      </w:pPr>
    </w:p>
    <w:p w14:paraId="7E86FA59" w14:textId="77777777" w:rsidR="002C0B7A" w:rsidRDefault="002C0B7A" w:rsidP="007E7FE4">
      <w:pPr>
        <w:spacing w:after="120" w:line="240" w:lineRule="auto"/>
        <w:rPr>
          <w:rFonts w:ascii="Book Antiqua" w:hAnsi="Book Antiqua" w:cs="Calibri"/>
          <w:color w:val="000000" w:themeColor="text1"/>
          <w:sz w:val="24"/>
          <w:szCs w:val="24"/>
        </w:rPr>
      </w:pPr>
    </w:p>
    <w:p w14:paraId="618FBB1A" w14:textId="77777777" w:rsidR="002C0B7A" w:rsidRDefault="002C0B7A" w:rsidP="007E7FE4">
      <w:pPr>
        <w:spacing w:after="120" w:line="240" w:lineRule="auto"/>
        <w:rPr>
          <w:rFonts w:ascii="Book Antiqua" w:hAnsi="Book Antiqua" w:cs="Calibri"/>
          <w:color w:val="000000" w:themeColor="text1"/>
          <w:sz w:val="24"/>
          <w:szCs w:val="24"/>
        </w:rPr>
      </w:pPr>
    </w:p>
    <w:p w14:paraId="2C9A6837" w14:textId="77777777" w:rsidR="002C0B7A" w:rsidRDefault="002C0B7A" w:rsidP="007E7FE4">
      <w:pPr>
        <w:spacing w:after="120" w:line="240" w:lineRule="auto"/>
        <w:rPr>
          <w:rFonts w:ascii="Book Antiqua" w:hAnsi="Book Antiqua" w:cs="Calibri"/>
          <w:color w:val="000000" w:themeColor="text1"/>
          <w:sz w:val="24"/>
          <w:szCs w:val="24"/>
        </w:rPr>
      </w:pPr>
    </w:p>
    <w:p w14:paraId="5B0BA644" w14:textId="3A9CBEA0" w:rsidR="00312803" w:rsidRPr="002C0B7A" w:rsidRDefault="004B1F20" w:rsidP="002C0B7A">
      <w:pPr>
        <w:spacing w:after="120" w:line="240" w:lineRule="auto"/>
        <w:rPr>
          <w:rFonts w:ascii="Book Antiqua" w:hAnsi="Book Antiqua"/>
          <w:b/>
          <w:color w:val="2F5496" w:themeColor="accent1" w:themeShade="BF"/>
          <w:sz w:val="24"/>
          <w:szCs w:val="24"/>
        </w:rPr>
      </w:pPr>
      <w:r w:rsidRPr="00636FF5">
        <w:rPr>
          <w:rFonts w:ascii="Book Antiqua" w:hAnsi="Book Antiqua"/>
          <w:b/>
          <w:color w:val="4472C4" w:themeColor="accent1"/>
          <w:sz w:val="24"/>
          <w:szCs w:val="24"/>
        </w:rPr>
        <w:lastRenderedPageBreak/>
        <w:t>RESULTS AND DISCUSSION</w:t>
      </w:r>
    </w:p>
    <w:p w14:paraId="4BD59279" w14:textId="77777777" w:rsidR="00312803" w:rsidRDefault="00312803" w:rsidP="00F00816">
      <w:pPr>
        <w:spacing w:after="0" w:line="240" w:lineRule="auto"/>
        <w:jc w:val="both"/>
        <w:rPr>
          <w:rFonts w:ascii="Book Antiqua" w:hAnsi="Book Antiqua" w:cs="Calibri"/>
          <w:color w:val="000000" w:themeColor="text1"/>
          <w:sz w:val="24"/>
        </w:rPr>
      </w:pPr>
    </w:p>
    <w:p w14:paraId="74DE5F62" w14:textId="3F91C399" w:rsidR="00312803" w:rsidRPr="00312803" w:rsidRDefault="00312803" w:rsidP="00312803">
      <w:pPr>
        <w:pStyle w:val="ListParagraph"/>
        <w:numPr>
          <w:ilvl w:val="0"/>
          <w:numId w:val="28"/>
        </w:numPr>
        <w:spacing w:after="0" w:line="240" w:lineRule="auto"/>
        <w:ind w:left="360"/>
        <w:jc w:val="both"/>
        <w:rPr>
          <w:rFonts w:ascii="Book Antiqua" w:hAnsi="Book Antiqua" w:cs="Calibri"/>
          <w:b/>
          <w:bCs/>
          <w:color w:val="000000" w:themeColor="text1"/>
          <w:sz w:val="24"/>
        </w:rPr>
      </w:pPr>
      <w:r w:rsidRPr="00312803">
        <w:rPr>
          <w:rFonts w:ascii="Book Antiqua" w:hAnsi="Book Antiqua" w:cs="Calibri"/>
          <w:b/>
          <w:bCs/>
          <w:color w:val="000000" w:themeColor="text1"/>
          <w:sz w:val="24"/>
        </w:rPr>
        <w:t xml:space="preserve">The Concept of Elections in Indonesia and the French Constitutional </w:t>
      </w:r>
      <w:proofErr w:type="gramStart"/>
      <w:r w:rsidRPr="00312803">
        <w:rPr>
          <w:rFonts w:ascii="Book Antiqua" w:hAnsi="Book Antiqua" w:cs="Calibri"/>
          <w:b/>
          <w:bCs/>
          <w:color w:val="000000" w:themeColor="text1"/>
          <w:sz w:val="24"/>
        </w:rPr>
        <w:t xml:space="preserve">Council </w:t>
      </w:r>
      <w:r>
        <w:rPr>
          <w:rFonts w:ascii="Book Antiqua" w:hAnsi="Book Antiqua" w:cs="Calibri"/>
          <w:b/>
          <w:bCs/>
          <w:color w:val="000000" w:themeColor="text1"/>
          <w:sz w:val="24"/>
        </w:rPr>
        <w:t xml:space="preserve"> </w:t>
      </w:r>
      <w:r w:rsidRPr="00312803">
        <w:rPr>
          <w:rFonts w:ascii="Book Antiqua" w:hAnsi="Book Antiqua" w:cs="Calibri"/>
          <w:b/>
          <w:bCs/>
          <w:color w:val="000000" w:themeColor="text1"/>
          <w:sz w:val="24"/>
        </w:rPr>
        <w:t>Elections</w:t>
      </w:r>
      <w:proofErr w:type="gramEnd"/>
      <w:r w:rsidRPr="00312803">
        <w:rPr>
          <w:rFonts w:ascii="Book Antiqua" w:hAnsi="Book Antiqua" w:cs="Calibri"/>
          <w:b/>
          <w:bCs/>
          <w:color w:val="000000" w:themeColor="text1"/>
          <w:sz w:val="24"/>
        </w:rPr>
        <w:t xml:space="preserve"> in Indonesia</w:t>
      </w:r>
    </w:p>
    <w:p w14:paraId="11FE1C7A"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General Elections (Elections) are the main instrument in realizing the principle of people's sovereignty in Indonesia</w:t>
      </w:r>
      <w:r w:rsidRPr="00312803">
        <w:rPr>
          <w:rFonts w:ascii="Book Antiqua" w:hAnsi="Book Antiqua" w:cs="Calibri"/>
          <w:color w:val="000000" w:themeColor="text1"/>
          <w:sz w:val="24"/>
          <w:vertAlign w:val="superscript"/>
        </w:rPr>
        <w:footnoteReference w:id="17"/>
      </w:r>
      <w:r w:rsidRPr="00312803">
        <w:rPr>
          <w:rFonts w:ascii="Book Antiqua" w:hAnsi="Book Antiqua" w:cs="Calibri"/>
          <w:color w:val="000000" w:themeColor="text1"/>
          <w:sz w:val="24"/>
        </w:rPr>
        <w:t>. Through elections, the people have the right to determine leaders, their representatives in the legislature, and the direction of state policies directly, publicly, freely, secretly, honestly, and fairly. Elections are not only a process of voting, but also reflect the maturity of democracy, the political participation of the community, and the mechanism of circulation of the elite in a peaceful and constitutional</w:t>
      </w:r>
      <w:r w:rsidRPr="00312803">
        <w:rPr>
          <w:rFonts w:ascii="Book Antiqua" w:hAnsi="Book Antiqua" w:cs="Calibri"/>
          <w:color w:val="000000" w:themeColor="text1"/>
          <w:sz w:val="24"/>
          <w:vertAlign w:val="superscript"/>
        </w:rPr>
        <w:footnoteReference w:id="18"/>
      </w:r>
      <w:r w:rsidRPr="00312803">
        <w:rPr>
          <w:rFonts w:ascii="Book Antiqua" w:hAnsi="Book Antiqua" w:cs="Calibri"/>
          <w:color w:val="000000" w:themeColor="text1"/>
          <w:sz w:val="24"/>
        </w:rPr>
        <w:t xml:space="preserve"> manner.</w:t>
      </w:r>
    </w:p>
    <w:p w14:paraId="5C97411F"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The legal basis for holding elections in Indonesia has been expressly regulated in the constitution and various laws and regulations</w:t>
      </w:r>
      <w:r w:rsidRPr="00312803">
        <w:rPr>
          <w:rFonts w:ascii="Book Antiqua" w:hAnsi="Book Antiqua" w:cs="Calibri"/>
          <w:color w:val="000000" w:themeColor="text1"/>
          <w:sz w:val="24"/>
          <w:vertAlign w:val="superscript"/>
        </w:rPr>
        <w:footnoteReference w:id="19"/>
      </w:r>
      <w:r w:rsidRPr="00312803">
        <w:rPr>
          <w:rFonts w:ascii="Book Antiqua" w:hAnsi="Book Antiqua" w:cs="Calibri"/>
          <w:color w:val="000000" w:themeColor="text1"/>
          <w:sz w:val="24"/>
        </w:rPr>
        <w:t>. Constitutionally, elections are regulated in Article 22E of the 1945 Constitution of the Republic of Indonesia which states that elections are held directly, publicly, freely, secretly, honestly, and fairly every five years to elect members of the House of Representatives, DPD, President and Vice President, and DPRD</w:t>
      </w:r>
      <w:r w:rsidRPr="00312803">
        <w:rPr>
          <w:rFonts w:ascii="Book Antiqua" w:hAnsi="Book Antiqua" w:cs="Calibri"/>
          <w:color w:val="000000" w:themeColor="text1"/>
          <w:sz w:val="24"/>
          <w:vertAlign w:val="superscript"/>
        </w:rPr>
        <w:footnoteReference w:id="20"/>
      </w:r>
      <w:r w:rsidRPr="00312803">
        <w:rPr>
          <w:rFonts w:ascii="Book Antiqua" w:hAnsi="Book Antiqua" w:cs="Calibri"/>
          <w:color w:val="000000" w:themeColor="text1"/>
          <w:sz w:val="24"/>
        </w:rPr>
        <w:t>. In addition, the implementation of elections is regulated in more detail in Law Number 7 of 2017 concerning General Elections which is the main legal umbrella in regulating all aspects of the implementation of elections, starting from the planning stage, registration, campaigning, voting, to dispute resolution</w:t>
      </w:r>
      <w:r w:rsidRPr="00312803">
        <w:rPr>
          <w:rFonts w:ascii="Book Antiqua" w:hAnsi="Book Antiqua" w:cs="Calibri"/>
          <w:color w:val="000000" w:themeColor="text1"/>
          <w:sz w:val="24"/>
          <w:vertAlign w:val="superscript"/>
        </w:rPr>
        <w:footnoteReference w:id="21"/>
      </w:r>
      <w:r w:rsidRPr="00312803">
        <w:rPr>
          <w:rFonts w:ascii="Book Antiqua" w:hAnsi="Book Antiqua" w:cs="Calibri"/>
          <w:color w:val="000000" w:themeColor="text1"/>
          <w:sz w:val="24"/>
        </w:rPr>
        <w:t>. Not only that, other technical regulations are stipulated through the regulations of the General Election Commission (PKPU), the Election Supervisory Agency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and the Constitutional Court to ensure the implementation of democratic elections</w:t>
      </w:r>
      <w:r w:rsidRPr="00312803">
        <w:rPr>
          <w:rFonts w:ascii="Book Antiqua" w:hAnsi="Book Antiqua" w:cs="Calibri"/>
          <w:color w:val="000000" w:themeColor="text1"/>
          <w:sz w:val="24"/>
          <w:vertAlign w:val="superscript"/>
        </w:rPr>
        <w:footnoteReference w:id="22"/>
      </w:r>
      <w:r w:rsidRPr="00312803">
        <w:rPr>
          <w:rFonts w:ascii="Book Antiqua" w:hAnsi="Book Antiqua" w:cs="Calibri"/>
          <w:color w:val="000000" w:themeColor="text1"/>
          <w:sz w:val="24"/>
        </w:rPr>
        <w:t>.</w:t>
      </w:r>
    </w:p>
    <w:p w14:paraId="31AA2312"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The settlement of election crimes in Indonesia has been comprehensively regulated through a number of important regulations, which form a legal framework to maintain the fairness and integrity of elections</w:t>
      </w:r>
      <w:r w:rsidRPr="00312803">
        <w:rPr>
          <w:rFonts w:ascii="Book Antiqua" w:hAnsi="Book Antiqua" w:cs="Calibri"/>
          <w:color w:val="000000" w:themeColor="text1"/>
          <w:sz w:val="24"/>
          <w:vertAlign w:val="superscript"/>
        </w:rPr>
        <w:footnoteReference w:id="23"/>
      </w:r>
      <w:r w:rsidRPr="00312803">
        <w:rPr>
          <w:rFonts w:ascii="Book Antiqua" w:hAnsi="Book Antiqua" w:cs="Calibri"/>
          <w:color w:val="000000" w:themeColor="text1"/>
          <w:sz w:val="24"/>
        </w:rPr>
        <w:t>. The legal basis includes Article 22E of the 1945 Constitution, which emphasizes that elections must be held directly, publicly, freely, secretly, honestly, and fairly. The technical arrangements are outlined in Law Number 7 of 2017 concerning General Elections, especially Articles 488–554 which detail the types of violations such as money politics, vote manipulation, and off-schedule campaigns, along with their sanctions</w:t>
      </w:r>
      <w:r w:rsidRPr="00312803">
        <w:rPr>
          <w:rFonts w:ascii="Book Antiqua" w:hAnsi="Book Antiqua" w:cs="Calibri"/>
          <w:color w:val="000000" w:themeColor="text1"/>
          <w:sz w:val="24"/>
          <w:vertAlign w:val="superscript"/>
        </w:rPr>
        <w:footnoteReference w:id="24"/>
      </w:r>
      <w:r w:rsidRPr="00312803">
        <w:rPr>
          <w:rFonts w:ascii="Book Antiqua" w:hAnsi="Book Antiqua" w:cs="Calibri"/>
          <w:color w:val="000000" w:themeColor="text1"/>
          <w:sz w:val="24"/>
        </w:rPr>
        <w:t xml:space="preserve">. At the regional election level, Law Number 10 of 2016 regulates similar violations. In addition, the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Regulation and the joint regulation of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(a combination of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the Police, and the Prosecutor's Office) are important </w:t>
      </w:r>
      <w:r w:rsidRPr="00312803">
        <w:rPr>
          <w:rFonts w:ascii="Book Antiqua" w:hAnsi="Book Antiqua" w:cs="Calibri"/>
          <w:color w:val="000000" w:themeColor="text1"/>
          <w:sz w:val="24"/>
        </w:rPr>
        <w:lastRenderedPageBreak/>
        <w:t>guidelines for handling reports of violations quickly and in a coordinated manner, while the Criminal Code can also be applied to general offenses that arise in the context of elections</w:t>
      </w:r>
      <w:r w:rsidRPr="00312803">
        <w:rPr>
          <w:rFonts w:ascii="Book Antiqua" w:hAnsi="Book Antiqua" w:cs="Calibri"/>
          <w:color w:val="000000" w:themeColor="text1"/>
          <w:sz w:val="24"/>
          <w:vertAlign w:val="superscript"/>
        </w:rPr>
        <w:footnoteReference w:id="25"/>
      </w:r>
      <w:r w:rsidRPr="00312803">
        <w:rPr>
          <w:rFonts w:ascii="Book Antiqua" w:hAnsi="Book Antiqua" w:cs="Calibri"/>
          <w:color w:val="000000" w:themeColor="text1"/>
          <w:sz w:val="24"/>
        </w:rPr>
        <w:t>.</w:t>
      </w:r>
    </w:p>
    <w:p w14:paraId="67103716"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The settlement mechanism starts from public reporting or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findings which are then examined to meet formal and material elements</w:t>
      </w:r>
      <w:r w:rsidRPr="00312803">
        <w:rPr>
          <w:rFonts w:ascii="Book Antiqua" w:hAnsi="Book Antiqua" w:cs="Calibri"/>
          <w:color w:val="000000" w:themeColor="text1"/>
          <w:sz w:val="24"/>
          <w:vertAlign w:val="superscript"/>
        </w:rPr>
        <w:footnoteReference w:id="26"/>
      </w:r>
      <w:r w:rsidRPr="00312803">
        <w:rPr>
          <w:rFonts w:ascii="Book Antiqua" w:hAnsi="Book Antiqua" w:cs="Calibri"/>
          <w:color w:val="000000" w:themeColor="text1"/>
          <w:sz w:val="24"/>
        </w:rPr>
        <w:t xml:space="preserve">. If it is strongly suspected of containing criminal elements, the case is transferred to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for coordination between agencies. This process includes clarification, investigation, investigation by the police, prosecution by the prosecutor's office, and trial in court. Challenges in this settlement include time constraints, weak evidence, low public awareness to report, and lack of inter-agency coordination. Therefore, settlement requires not only a juridical approach that emphasizes legal certainty, but also a sociological approach that understands social dynamics, political culture, and voter behavior, so as to improve the effectiveness of election law enforcement as a whole.</w:t>
      </w:r>
    </w:p>
    <w:p w14:paraId="741E471E" w14:textId="77777777" w:rsidR="00312803" w:rsidRPr="00312803" w:rsidRDefault="00312803" w:rsidP="00312803">
      <w:pPr>
        <w:spacing w:after="0" w:line="240" w:lineRule="auto"/>
        <w:jc w:val="both"/>
        <w:rPr>
          <w:rFonts w:ascii="Book Antiqua" w:hAnsi="Book Antiqua" w:cs="Calibri"/>
          <w:color w:val="000000" w:themeColor="text1"/>
          <w:sz w:val="24"/>
        </w:rPr>
      </w:pPr>
    </w:p>
    <w:p w14:paraId="489B3AF7"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The following are some articles on the enforcement of election crimes in Indonesia: </w:t>
      </w:r>
    </w:p>
    <w:p w14:paraId="0631F352" w14:textId="77777777" w:rsidR="00312803" w:rsidRPr="00312803" w:rsidRDefault="00312803" w:rsidP="00312803">
      <w:pPr>
        <w:spacing w:after="0" w:line="240" w:lineRule="auto"/>
        <w:jc w:val="both"/>
        <w:rPr>
          <w:rFonts w:ascii="Book Antiqua" w:hAnsi="Book Antiqua" w:cs="Calibri"/>
          <w:color w:val="000000" w:themeColor="text1"/>
          <w:sz w:val="24"/>
        </w:rPr>
      </w:pPr>
    </w:p>
    <w:p w14:paraId="45503F3F" w14:textId="77777777" w:rsidR="00312803" w:rsidRPr="00312803" w:rsidRDefault="00312803" w:rsidP="00312803">
      <w:pPr>
        <w:numPr>
          <w:ilvl w:val="0"/>
          <w:numId w:val="26"/>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Article 496 of the Election Law, provides incorrect information in the Election Campaign fund report. Election participants who violate this rule receive a maximum of 1 year of imprisonment and a maximum fine of IDR 12 million.</w:t>
      </w:r>
    </w:p>
    <w:p w14:paraId="32971F0A" w14:textId="77777777" w:rsidR="00312803" w:rsidRPr="00312803" w:rsidRDefault="00312803" w:rsidP="00312803">
      <w:pPr>
        <w:numPr>
          <w:ilvl w:val="0"/>
          <w:numId w:val="26"/>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Article 497 of the Election Law, </w:t>
      </w:r>
      <w:proofErr w:type="gramStart"/>
      <w:r w:rsidRPr="00312803">
        <w:rPr>
          <w:rFonts w:ascii="Book Antiqua" w:hAnsi="Book Antiqua" w:cs="Calibri"/>
          <w:color w:val="000000" w:themeColor="text1"/>
          <w:sz w:val="24"/>
        </w:rPr>
        <w:t>Every</w:t>
      </w:r>
      <w:proofErr w:type="gramEnd"/>
      <w:r w:rsidRPr="00312803">
        <w:rPr>
          <w:rFonts w:ascii="Book Antiqua" w:hAnsi="Book Antiqua" w:cs="Calibri"/>
          <w:color w:val="000000" w:themeColor="text1"/>
          <w:sz w:val="24"/>
        </w:rPr>
        <w:t xml:space="preserve"> person who deliberately provides false information in the campaign fund report is sentenced to a maximum of 2 years in prison and a maximum fine of Rp24 million.</w:t>
      </w:r>
    </w:p>
    <w:p w14:paraId="6A8EA396" w14:textId="77777777" w:rsidR="00312803" w:rsidRPr="00312803" w:rsidRDefault="00312803" w:rsidP="00312803">
      <w:pPr>
        <w:numPr>
          <w:ilvl w:val="0"/>
          <w:numId w:val="26"/>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Article 488 of the Election Law, provides incorrect information in filling in the personal data of the voter list. Article 203 regulates criminal sanctions with imprisonment for a maximum of 1 year and a maximum fine of Rp12 million.</w:t>
      </w:r>
    </w:p>
    <w:p w14:paraId="7D26B357" w14:textId="77777777" w:rsidR="00312803" w:rsidRPr="00312803" w:rsidRDefault="00312803" w:rsidP="00312803">
      <w:pPr>
        <w:numPr>
          <w:ilvl w:val="0"/>
          <w:numId w:val="26"/>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Article 490 of the Election Law, the Village Head benefits or harms election participants. The threat of action taken is in the form of imprisonment for a maximum of 1 year and a maximum fine of IDR 12 million.</w:t>
      </w:r>
    </w:p>
    <w:p w14:paraId="50BB087D" w14:textId="77777777" w:rsidR="00312803" w:rsidRPr="00312803" w:rsidRDefault="00312803" w:rsidP="00312803">
      <w:pPr>
        <w:numPr>
          <w:ilvl w:val="0"/>
          <w:numId w:val="26"/>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Article 491 of the Election Law, disrupting, obstructing, or interfering with the election campaign. Criminal sanctions for people who disrupt, obstruct, or interfere with the course of the election campaign are punishable by imprisonment for a maximum of 1 year and a maximum fine of Rp12 million.</w:t>
      </w:r>
    </w:p>
    <w:p w14:paraId="3241953A" w14:textId="77777777" w:rsidR="00312803" w:rsidRPr="00312803" w:rsidRDefault="00312803" w:rsidP="00312803">
      <w:pPr>
        <w:numPr>
          <w:ilvl w:val="0"/>
          <w:numId w:val="26"/>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Article 492 of the Election Law, campaigns outside the schedule set by the KPU. Article 276 paragraph (2) regulates criminal sanctions for perpetrators with a threat of imprisonment for a maximum of 1 year and a maximum fine of IDR 12 million.</w:t>
      </w:r>
    </w:p>
    <w:p w14:paraId="1906A88A" w14:textId="77777777" w:rsidR="00312803" w:rsidRPr="00312803" w:rsidRDefault="00312803" w:rsidP="00312803">
      <w:pPr>
        <w:numPr>
          <w:ilvl w:val="0"/>
          <w:numId w:val="26"/>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Article 280 paragraph (1) of the Election Law regulates the form of prohibition for election campaign implementers, participants, and teams to use government facilities, places of worship, and educational places; questioning the basis of the state Constitution and Pancasila; inciting and pitting sheep; threatening and committing violence against the community or other election participants; damaging and/or eliminating campaign props of election participants.</w:t>
      </w:r>
    </w:p>
    <w:p w14:paraId="2F7C8123" w14:textId="77777777" w:rsidR="00312803" w:rsidRPr="00312803" w:rsidRDefault="00312803" w:rsidP="00312803">
      <w:pPr>
        <w:spacing w:after="0" w:line="240" w:lineRule="auto"/>
        <w:jc w:val="both"/>
        <w:rPr>
          <w:rFonts w:ascii="Book Antiqua" w:hAnsi="Book Antiqua" w:cs="Calibri"/>
          <w:color w:val="000000" w:themeColor="text1"/>
          <w:sz w:val="24"/>
        </w:rPr>
      </w:pPr>
    </w:p>
    <w:p w14:paraId="5672EEBC"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Research on the application of juridical and sociological approaches in the enforcement of election criminal law in Indonesia reveals a significant correlation between the law </w:t>
      </w:r>
      <w:r w:rsidRPr="00312803">
        <w:rPr>
          <w:rFonts w:ascii="Book Antiqua" w:hAnsi="Book Antiqua" w:cs="Calibri"/>
          <w:color w:val="000000" w:themeColor="text1"/>
          <w:sz w:val="24"/>
        </w:rPr>
        <w:lastRenderedPageBreak/>
        <w:t>enforcement strategies applied and the effectiveness of supervision of election violations. Empirical data shows that law enforcement effectiveness reaches an average of 78.5%, reflecting a good level of understanding from stakeholders, including law enforcement officials, election supervisors, and related agencies, in responding to and handling various forms of election violations appropriately. The results of the hypothesis test in this study showed a significance value of p &lt; 0.01, strengthening the argument that the strategy used by the General Election Supervisory Agency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especially in coordination with the Integrated Law Enforcement Center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has had a positive impact in resolving cases of election violations. A collaborative approach between institutions and based on appropriate legal instruments has been proven to strengthen the effectiveness of the work of election supervision institutions.</w:t>
      </w:r>
    </w:p>
    <w:p w14:paraId="123D8608"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These findings are in line with previous research findings that highlight the importance of close oversight in the electoral process to ensure transparency and accountability. The success of elections is not only determined by normative regulations, but also by the effectiveness of the implementation of legal supervision mechanisms in the field. Cross-agency cooperation in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is a crucial element in overcoming obstacles in the election law enforcement process. One of the new aspects found in this study is the active contribution of the community through social media. Law-aware people have begun to use digital platforms to report alleged violations, disseminate information related to election integrity, and directly monitor the democratic process. This role is considered increasingly important because social media functions as an information channel as well as a social control tool for irregularities that occur during the election stage.</w:t>
      </w:r>
    </w:p>
    <w:p w14:paraId="5D4B8B50"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From a legal perspective, the dynamics of election law enforcement in Indonesia show a paradigm shift from a top-down approach to a more participatory and responsive model to the public vote. This is in line with the development of digital technology that allows the public to be more actively involved in the election supervision process through various digital platforms. This change requires adaptation in legal policies, including adjustments to legal instruments to be able to accommodate people's digital participation more comprehensively and effectively. As revealed by </w:t>
      </w:r>
      <w:proofErr w:type="spellStart"/>
      <w:r w:rsidRPr="00312803">
        <w:rPr>
          <w:rFonts w:ascii="Book Antiqua" w:hAnsi="Book Antiqua" w:cs="Calibri"/>
          <w:color w:val="000000" w:themeColor="text1"/>
          <w:sz w:val="24"/>
        </w:rPr>
        <w:t>Sahran</w:t>
      </w:r>
      <w:proofErr w:type="spellEnd"/>
      <w:r w:rsidRPr="00312803">
        <w:rPr>
          <w:rFonts w:ascii="Book Antiqua" w:hAnsi="Book Antiqua" w:cs="Calibri"/>
          <w:color w:val="000000" w:themeColor="text1"/>
          <w:sz w:val="24"/>
        </w:rPr>
        <w:t xml:space="preserve"> Raden in his study, election organizing institutions need to utilize digital-based technology to facilitate performance and avoid election fraud. </w:t>
      </w:r>
    </w:p>
    <w:p w14:paraId="362C74EC"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The implications of the results of this study are very relevant in the context of national legal development. Successful law enforcement is not only influenced by the strength and clarity of legal norms, but also by public support, procedural transparency, and consistency in the implementation of election regulations. As expressed by Iqbal (2020) and </w:t>
      </w:r>
      <w:proofErr w:type="spellStart"/>
      <w:r w:rsidRPr="00312803">
        <w:rPr>
          <w:rFonts w:ascii="Book Antiqua" w:hAnsi="Book Antiqua" w:cs="Calibri"/>
          <w:color w:val="000000" w:themeColor="text1"/>
          <w:sz w:val="24"/>
        </w:rPr>
        <w:t>Andiraharja</w:t>
      </w:r>
      <w:proofErr w:type="spellEnd"/>
      <w:r w:rsidRPr="00312803">
        <w:rPr>
          <w:rFonts w:ascii="Book Antiqua" w:hAnsi="Book Antiqua" w:cs="Calibri"/>
          <w:color w:val="000000" w:themeColor="text1"/>
          <w:sz w:val="24"/>
        </w:rPr>
        <w:t xml:space="preserve"> (2020), the effectiveness of the legal system is highly dependent on the synergy between legal structures, law enforcement actors, and public legal awareness. Therefore, an understanding of juridical and sociological approaches is very important to create an electoral legal system that is fair and has integrity. Thus, these findings underscore the importance of the involvement of all parties—both formal institutions and elements of civil society—in creating a clean, honest, and fair electoral environment. An interdisciplinary approach that combines legal and social perspectives provides a more complete understanding of the challenges and opportunities in enforcing election laws optimally in Indonesia. This research also emphasizes the need for reformulation of legal policies that are adaptive to social changes and information technology developments in the practice of electoral democracy in the future.</w:t>
      </w:r>
    </w:p>
    <w:p w14:paraId="628E5B0C" w14:textId="77777777" w:rsidR="00312803" w:rsidRPr="00312803" w:rsidRDefault="00312803" w:rsidP="00312803">
      <w:pPr>
        <w:spacing w:after="0" w:line="240" w:lineRule="auto"/>
        <w:jc w:val="both"/>
        <w:rPr>
          <w:rFonts w:ascii="Book Antiqua" w:hAnsi="Book Antiqua" w:cs="Calibri"/>
          <w:color w:val="000000" w:themeColor="text1"/>
          <w:sz w:val="24"/>
        </w:rPr>
      </w:pPr>
    </w:p>
    <w:p w14:paraId="343F33BF" w14:textId="77777777" w:rsidR="00312803" w:rsidRDefault="00312803" w:rsidP="00312803">
      <w:pPr>
        <w:spacing w:after="0" w:line="240" w:lineRule="auto"/>
        <w:jc w:val="both"/>
        <w:rPr>
          <w:rFonts w:ascii="Book Antiqua" w:hAnsi="Book Antiqua" w:cs="Calibri"/>
          <w:b/>
          <w:bCs/>
          <w:color w:val="000000" w:themeColor="text1"/>
          <w:sz w:val="24"/>
        </w:rPr>
      </w:pPr>
    </w:p>
    <w:p w14:paraId="5D203A35" w14:textId="77777777" w:rsidR="00312803" w:rsidRDefault="00312803" w:rsidP="00312803">
      <w:pPr>
        <w:spacing w:after="0" w:line="240" w:lineRule="auto"/>
        <w:jc w:val="both"/>
        <w:rPr>
          <w:rFonts w:ascii="Book Antiqua" w:hAnsi="Book Antiqua" w:cs="Calibri"/>
          <w:b/>
          <w:bCs/>
          <w:color w:val="000000" w:themeColor="text1"/>
          <w:sz w:val="24"/>
        </w:rPr>
      </w:pPr>
    </w:p>
    <w:p w14:paraId="364A3A1E" w14:textId="77777777" w:rsidR="00312803" w:rsidRDefault="00312803" w:rsidP="00312803">
      <w:pPr>
        <w:spacing w:after="0" w:line="240" w:lineRule="auto"/>
        <w:jc w:val="both"/>
        <w:rPr>
          <w:rFonts w:ascii="Book Antiqua" w:hAnsi="Book Antiqua" w:cs="Calibri"/>
          <w:b/>
          <w:bCs/>
          <w:color w:val="000000" w:themeColor="text1"/>
          <w:sz w:val="24"/>
        </w:rPr>
      </w:pPr>
    </w:p>
    <w:p w14:paraId="0A47C8FC" w14:textId="3865D933" w:rsidR="00312803" w:rsidRPr="00312803" w:rsidRDefault="00312803" w:rsidP="00312803">
      <w:pPr>
        <w:pStyle w:val="ListParagraph"/>
        <w:numPr>
          <w:ilvl w:val="0"/>
          <w:numId w:val="28"/>
        </w:numPr>
        <w:spacing w:after="0" w:line="240" w:lineRule="auto"/>
        <w:ind w:left="360"/>
        <w:jc w:val="both"/>
        <w:rPr>
          <w:rFonts w:ascii="Book Antiqua" w:hAnsi="Book Antiqua" w:cs="Calibri"/>
          <w:b/>
          <w:bCs/>
          <w:color w:val="000000" w:themeColor="text1"/>
          <w:sz w:val="24"/>
          <w:lang w:val="id"/>
        </w:rPr>
      </w:pPr>
      <w:r w:rsidRPr="00312803">
        <w:rPr>
          <w:rFonts w:ascii="Book Antiqua" w:hAnsi="Book Antiqua" w:cs="Calibri"/>
          <w:b/>
          <w:bCs/>
          <w:color w:val="000000" w:themeColor="text1"/>
          <w:sz w:val="24"/>
        </w:rPr>
        <w:t xml:space="preserve">Elections in France </w:t>
      </w:r>
    </w:p>
    <w:p w14:paraId="7EF6150E"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Elections in France have an important place in the democratic life of the country, which is regulated in the French Constitution of 1958 (Constitution of the Fifth Republic)</w:t>
      </w:r>
      <w:r w:rsidRPr="00312803">
        <w:rPr>
          <w:rFonts w:ascii="Book Antiqua" w:hAnsi="Book Antiqua" w:cs="Calibri"/>
          <w:color w:val="000000" w:themeColor="text1"/>
          <w:sz w:val="24"/>
          <w:vertAlign w:val="superscript"/>
        </w:rPr>
        <w:footnoteReference w:id="27"/>
      </w:r>
      <w:r w:rsidRPr="00312803">
        <w:rPr>
          <w:rFonts w:ascii="Book Antiqua" w:hAnsi="Book Antiqua" w:cs="Calibri"/>
          <w:color w:val="000000" w:themeColor="text1"/>
          <w:sz w:val="24"/>
        </w:rPr>
        <w:t>. Elections in France include presidential, parliamentary elections (National Assembly and Senate), as well as regional, departmental, and local elections. Presidential elections are conducted directly every five years with a two-round system, which ensures that the elected candidate obtains a majority of the legitimate vote</w:t>
      </w:r>
      <w:r w:rsidRPr="00312803">
        <w:rPr>
          <w:rFonts w:ascii="Book Antiqua" w:hAnsi="Book Antiqua" w:cs="Calibri"/>
          <w:color w:val="000000" w:themeColor="text1"/>
          <w:sz w:val="24"/>
          <w:vertAlign w:val="superscript"/>
        </w:rPr>
        <w:footnoteReference w:id="28"/>
      </w:r>
      <w:r w:rsidRPr="00312803">
        <w:rPr>
          <w:rFonts w:ascii="Book Antiqua" w:hAnsi="Book Antiqua" w:cs="Calibri"/>
          <w:color w:val="000000" w:themeColor="text1"/>
          <w:sz w:val="24"/>
        </w:rPr>
        <w:t>. In addition, legislative elections for the National Assembly also use a two-round system, while Senate elections are conducted indirectly by local representatives</w:t>
      </w:r>
      <w:r w:rsidRPr="00312803">
        <w:rPr>
          <w:rFonts w:ascii="Book Antiqua" w:hAnsi="Book Antiqua" w:cs="Calibri"/>
          <w:color w:val="000000" w:themeColor="text1"/>
          <w:sz w:val="24"/>
          <w:vertAlign w:val="superscript"/>
        </w:rPr>
        <w:footnoteReference w:id="29"/>
      </w:r>
      <w:r w:rsidRPr="00312803">
        <w:rPr>
          <w:rFonts w:ascii="Book Antiqua" w:hAnsi="Book Antiqua" w:cs="Calibri"/>
          <w:color w:val="000000" w:themeColor="text1"/>
          <w:sz w:val="24"/>
        </w:rPr>
        <w:t>. The electoral process in France is closely monitored to safeguard democratic principles such as freedom of choice, fairness, and transparency</w:t>
      </w:r>
      <w:r w:rsidRPr="00312803">
        <w:rPr>
          <w:rFonts w:ascii="Book Antiqua" w:hAnsi="Book Antiqua" w:cs="Calibri"/>
          <w:color w:val="000000" w:themeColor="text1"/>
          <w:sz w:val="24"/>
          <w:vertAlign w:val="superscript"/>
        </w:rPr>
        <w:footnoteReference w:id="30"/>
      </w:r>
      <w:r w:rsidRPr="00312803">
        <w:rPr>
          <w:rFonts w:ascii="Book Antiqua" w:hAnsi="Book Antiqua" w:cs="Calibri"/>
          <w:color w:val="000000" w:themeColor="text1"/>
          <w:sz w:val="24"/>
        </w:rPr>
        <w:t>.</w:t>
      </w:r>
    </w:p>
    <w:p w14:paraId="4192AC0D"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An important institution that plays a role in resolving electoral disputes in France is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(Constitutional Council), which has the authority to oversee the validity of presidential and legislative elections, as well as to decide disputes over the results of elections in a final and binding</w:t>
      </w:r>
      <w:r w:rsidRPr="00312803">
        <w:rPr>
          <w:rFonts w:ascii="Book Antiqua" w:hAnsi="Book Antiqua" w:cs="Calibri"/>
          <w:color w:val="000000" w:themeColor="text1"/>
          <w:sz w:val="24"/>
          <w:vertAlign w:val="superscript"/>
        </w:rPr>
        <w:footnoteReference w:id="31"/>
      </w:r>
      <w:r w:rsidRPr="00312803">
        <w:rPr>
          <w:rFonts w:ascii="Book Antiqua" w:hAnsi="Book Antiqua" w:cs="Calibri"/>
          <w:color w:val="000000" w:themeColor="text1"/>
          <w:sz w:val="24"/>
        </w:rPr>
        <w:t xml:space="preserve"> manner. The main regulations governing elections in France include the Electoral Code (Code </w:t>
      </w:r>
      <w:proofErr w:type="spellStart"/>
      <w:r w:rsidRPr="00312803">
        <w:rPr>
          <w:rFonts w:ascii="Book Antiqua" w:hAnsi="Book Antiqua" w:cs="Calibri"/>
          <w:color w:val="000000" w:themeColor="text1"/>
          <w:sz w:val="24"/>
        </w:rPr>
        <w:t>électoral</w:t>
      </w:r>
      <w:proofErr w:type="spellEnd"/>
      <w:r w:rsidRPr="00312803">
        <w:rPr>
          <w:rFonts w:ascii="Book Antiqua" w:hAnsi="Book Antiqua" w:cs="Calibri"/>
          <w:color w:val="000000" w:themeColor="text1"/>
          <w:sz w:val="24"/>
        </w:rPr>
        <w:t xml:space="preserve">) and various implementing decrees, which regulate the stages of elections, campaigns, political financing, and sanctions for offenses such as vote manipulation or campaign fund violations. The settlement of election violations involves administrative, judicial, and constitutional mechanisms, in which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is the last bastion that maintains the integrity of elections as well as public trust</w:t>
      </w:r>
      <w:r w:rsidRPr="00312803">
        <w:rPr>
          <w:rFonts w:ascii="Book Antiqua" w:hAnsi="Book Antiqua" w:cs="Calibri"/>
          <w:color w:val="000000" w:themeColor="text1"/>
          <w:sz w:val="24"/>
          <w:vertAlign w:val="superscript"/>
        </w:rPr>
        <w:footnoteReference w:id="32"/>
      </w:r>
      <w:r w:rsidRPr="00312803">
        <w:rPr>
          <w:rFonts w:ascii="Book Antiqua" w:hAnsi="Book Antiqua" w:cs="Calibri"/>
          <w:color w:val="000000" w:themeColor="text1"/>
          <w:sz w:val="24"/>
        </w:rPr>
        <w:t>. This approach shows that the success of elections in France depends not only on formal rules, but also on institutional legitimacy and adaptation to socio-political developments.</w:t>
      </w:r>
    </w:p>
    <w:p w14:paraId="32DF5334"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The legal basis for the settlement of electoral crimes in France is regulated mainly in the Constitution of the Fifth Republic of 1958, the Electoral Code, and several provisions in the general criminal law. The Electoral Code details rules regarding the conduct of elections, campaign funding, prohibition of fraudulent practices such as bribery, abuse of power, or manipulation of voter lists</w:t>
      </w:r>
      <w:r w:rsidRPr="00312803">
        <w:rPr>
          <w:rFonts w:ascii="Book Antiqua" w:hAnsi="Book Antiqua" w:cs="Calibri"/>
          <w:color w:val="000000" w:themeColor="text1"/>
          <w:sz w:val="24"/>
          <w:vertAlign w:val="superscript"/>
        </w:rPr>
        <w:footnoteReference w:id="33"/>
      </w:r>
      <w:r w:rsidRPr="00312803">
        <w:rPr>
          <w:rFonts w:ascii="Book Antiqua" w:hAnsi="Book Antiqua" w:cs="Calibri"/>
          <w:color w:val="000000" w:themeColor="text1"/>
          <w:sz w:val="24"/>
        </w:rPr>
        <w:t xml:space="preserve">. In addition, French criminal law also regulates sanctions for criminal acts that occur in the context of elections, such as fraud or vote fraud. What distinguishes France from many other countries is the role of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(Constitutional Council), which is authorized to examine and decide disputes over the results of national elections (especially presidential and parliamentary elections), including </w:t>
      </w:r>
      <w:r w:rsidRPr="00312803">
        <w:rPr>
          <w:rFonts w:ascii="Book Antiqua" w:hAnsi="Book Antiqua" w:cs="Calibri"/>
          <w:color w:val="000000" w:themeColor="text1"/>
          <w:sz w:val="24"/>
        </w:rPr>
        <w:lastRenderedPageBreak/>
        <w:t>receiving reports or lawsuits related to alleged serious violations that could affect the results of elections</w:t>
      </w:r>
      <w:r w:rsidRPr="00312803">
        <w:rPr>
          <w:rFonts w:ascii="Book Antiqua" w:hAnsi="Book Antiqua" w:cs="Calibri"/>
          <w:color w:val="000000" w:themeColor="text1"/>
          <w:sz w:val="24"/>
          <w:vertAlign w:val="superscript"/>
        </w:rPr>
        <w:footnoteReference w:id="34"/>
      </w:r>
      <w:r w:rsidRPr="00312803">
        <w:rPr>
          <w:rFonts w:ascii="Book Antiqua" w:hAnsi="Book Antiqua" w:cs="Calibri"/>
          <w:color w:val="000000" w:themeColor="text1"/>
          <w:sz w:val="24"/>
        </w:rPr>
        <w:t>.</w:t>
      </w:r>
    </w:p>
    <w:p w14:paraId="3C87BB9F"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In the practice of resolving alleged election crimes, it is usually handled through two administrative channels and criminal justice channels. Administrative violations, such as violations of campaign fund restrictions or administrative errors in the conduct of elections, are examined by the electoral authorities and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Meanwhile, for alleged criminal acts such as bribery or voter intimidation, legal proceedings are carried out by the police, prosecutor's office, and criminal courts in accordance with the provisions of the Penal Code (French Criminal Code).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plays a central role in disputes over the results of national elections because its decisions are final and binding. This settlement model demonstrates the importance of a combination of administrative oversight, constitutional settlement, and criminal enforcement to maintain the integrity of elections in France.</w:t>
      </w:r>
    </w:p>
    <w:p w14:paraId="3E359269"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In the French legal system, sanctions for electoral crimes are regulated </w:t>
      </w:r>
      <w:proofErr w:type="gramStart"/>
      <w:r w:rsidRPr="00312803">
        <w:rPr>
          <w:rFonts w:ascii="Book Antiqua" w:hAnsi="Book Antiqua" w:cs="Calibri"/>
          <w:color w:val="000000" w:themeColor="text1"/>
          <w:sz w:val="24"/>
        </w:rPr>
        <w:t>in  the</w:t>
      </w:r>
      <w:proofErr w:type="gramEnd"/>
      <w:r w:rsidRPr="00312803">
        <w:rPr>
          <w:rFonts w:ascii="Book Antiqua" w:hAnsi="Book Antiqua" w:cs="Calibri"/>
          <w:color w:val="000000" w:themeColor="text1"/>
          <w:sz w:val="24"/>
        </w:rPr>
        <w:t xml:space="preserve"> </w:t>
      </w:r>
      <w:r w:rsidRPr="00312803">
        <w:rPr>
          <w:rFonts w:ascii="Book Antiqua" w:hAnsi="Book Antiqua" w:cs="Calibri"/>
          <w:i/>
          <w:iCs/>
          <w:color w:val="000000" w:themeColor="text1"/>
          <w:sz w:val="24"/>
        </w:rPr>
        <w:t>Electoral Code</w:t>
      </w:r>
      <w:r w:rsidRPr="00312803">
        <w:rPr>
          <w:rFonts w:ascii="Book Antiqua" w:hAnsi="Book Antiqua" w:cs="Calibri"/>
          <w:color w:val="000000" w:themeColor="text1"/>
          <w:sz w:val="24"/>
        </w:rPr>
        <w:t>, in particular in Chapter VII (Articles L.86 to L.117-2). The following is a summary of some of the important articles that govern sanctions for election violations:</w:t>
      </w:r>
    </w:p>
    <w:p w14:paraId="283EA335" w14:textId="77777777" w:rsidR="00312803" w:rsidRPr="00312803" w:rsidRDefault="00312803" w:rsidP="00312803">
      <w:pPr>
        <w:numPr>
          <w:ilvl w:val="0"/>
          <w:numId w:val="27"/>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Article L.89: Prohibits the use of campaign panels for purposes other than the presentation and defense of the candidate's program. Violations are subject to a fine of €9,000.</w:t>
      </w:r>
    </w:p>
    <w:p w14:paraId="0607F2A9" w14:textId="77777777" w:rsidR="00312803" w:rsidRPr="00312803" w:rsidRDefault="00312803" w:rsidP="00312803">
      <w:pPr>
        <w:numPr>
          <w:ilvl w:val="0"/>
          <w:numId w:val="27"/>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Article L.92: Imposes a prison sentence of 6 months to 2 years and a fine of €15,000 for anyone who deliberately provides a false identity or conceals legal incompetence while running for office. </w:t>
      </w:r>
    </w:p>
    <w:p w14:paraId="79F4FF07" w14:textId="77777777" w:rsidR="00312803" w:rsidRPr="00312803" w:rsidRDefault="00312803" w:rsidP="00312803">
      <w:pPr>
        <w:numPr>
          <w:ilvl w:val="0"/>
          <w:numId w:val="27"/>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Article L.94: Regulates sanctions for election officials who deliberately alter, add, or omit ballots. This violation is punishable by up to 5 years in prison and a fine of €22,500. </w:t>
      </w:r>
    </w:p>
    <w:p w14:paraId="46E8B43E" w14:textId="77777777" w:rsidR="00312803" w:rsidRPr="00312803" w:rsidRDefault="00312803" w:rsidP="00312803">
      <w:pPr>
        <w:numPr>
          <w:ilvl w:val="0"/>
          <w:numId w:val="27"/>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Article L.97: Establishes a prison sentence of 1 year and a fine of €15,000 for individuals who, through fake news or other fraudulent maneuvers, influence voters to abstain or change their choice. </w:t>
      </w:r>
    </w:p>
    <w:p w14:paraId="68577C5F" w14:textId="77777777" w:rsidR="00312803" w:rsidRPr="00312803" w:rsidRDefault="00312803" w:rsidP="00312803">
      <w:pPr>
        <w:numPr>
          <w:ilvl w:val="0"/>
          <w:numId w:val="27"/>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Article L.100: If the offense is committed by force or weapons, the punishment can be increased to 10 years in prison. </w:t>
      </w:r>
    </w:p>
    <w:p w14:paraId="7F4B3E25"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These sanctions reflect the firmness of French law in maintaining the integrity of the electoral process and preventing various forms of fraud that can undermine democracy.</w:t>
      </w:r>
    </w:p>
    <w:p w14:paraId="049C1864" w14:textId="77777777" w:rsidR="00312803" w:rsidRPr="00312803" w:rsidRDefault="00312803" w:rsidP="00312803">
      <w:pPr>
        <w:spacing w:after="0" w:line="240" w:lineRule="auto"/>
        <w:jc w:val="both"/>
        <w:rPr>
          <w:rFonts w:ascii="Book Antiqua" w:hAnsi="Book Antiqua" w:cs="Calibri"/>
          <w:b/>
          <w:bCs/>
          <w:color w:val="000000" w:themeColor="text1"/>
          <w:sz w:val="24"/>
          <w:lang w:val="id"/>
        </w:rPr>
      </w:pPr>
    </w:p>
    <w:p w14:paraId="73606D0C" w14:textId="77777777" w:rsidR="00312803" w:rsidRPr="00312803" w:rsidRDefault="00312803" w:rsidP="00312803">
      <w:pPr>
        <w:pStyle w:val="ListParagraph"/>
        <w:numPr>
          <w:ilvl w:val="0"/>
          <w:numId w:val="28"/>
        </w:numPr>
        <w:spacing w:after="0" w:line="240" w:lineRule="auto"/>
        <w:ind w:left="360"/>
        <w:jc w:val="both"/>
        <w:rPr>
          <w:rFonts w:ascii="Book Antiqua" w:hAnsi="Book Antiqua" w:cs="Calibri"/>
          <w:b/>
          <w:bCs/>
          <w:color w:val="000000" w:themeColor="text1"/>
          <w:sz w:val="24"/>
        </w:rPr>
      </w:pPr>
      <w:r w:rsidRPr="00312803">
        <w:rPr>
          <w:rFonts w:ascii="Book Antiqua" w:hAnsi="Book Antiqua" w:cs="Calibri"/>
          <w:b/>
          <w:bCs/>
          <w:color w:val="000000" w:themeColor="text1"/>
          <w:sz w:val="24"/>
        </w:rPr>
        <w:t xml:space="preserve">Comparison of Election Criminal Law Enforcement in Indonesia and France </w:t>
      </w:r>
    </w:p>
    <w:p w14:paraId="55445274"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Election criminal law enforcement in Indonesia and France has similarities in efforts to maintain election integrity, but there are significant differences in the structure and implementation of their resolution. In Indonesia, the enforcement of election criminal law is regulated through Law Number 7 of 2017 concerning General Elections and other related laws, with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as the main institution that plays a role in supervising and handling violations. The process of resolving disputes and election violations in Indonesia involves institutions such as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(a combination of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the Police, and the Prosecutor's Office), which focuses on preventive and repressive measures against administrative and criminal violations. However, a major challenge in Indonesia is the lack of inter-agency coordination and low public understanding of election rules, which often hinder the effectiveness of law enforcement.</w:t>
      </w:r>
    </w:p>
    <w:p w14:paraId="391C17F7"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lastRenderedPageBreak/>
        <w:t xml:space="preserve">In France, although there are similar rules in terms of the supervision and handling of electoral violations, their legal system is unique in that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(Constitutional Council) plays a major role in resolving electoral disputes. This council not only oversees the results of elections, but also decides disputes related to serious violations in elections, especially at the national level, such as presidential and legislative elections. In addition, France relies on the Electoral Code and general criminal law to deal with abuses in elections, which involve administrative procedures and criminal justice. With a constitutional institution with final authority, France is able to resolve electoral disputes quickly and more structured, giving greater legitimacy to the election results. These differences reflect how each country's legal system adapts to their political and social characteristics in maintaining the integrity of elections.</w:t>
      </w:r>
    </w:p>
    <w:p w14:paraId="05D020D2"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Comparison Table Based on Legal Basis and Settlement of Election Crimes in Indonesia and France:</w:t>
      </w:r>
    </w:p>
    <w:p w14:paraId="1C87D3B6" w14:textId="77777777" w:rsidR="00312803" w:rsidRPr="00312803" w:rsidRDefault="00312803" w:rsidP="00312803">
      <w:pPr>
        <w:spacing w:after="0" w:line="240" w:lineRule="auto"/>
        <w:jc w:val="center"/>
        <w:rPr>
          <w:rFonts w:ascii="Book Antiqua" w:hAnsi="Book Antiqua" w:cs="Calibri"/>
          <w:color w:val="000000" w:themeColor="text1"/>
          <w:sz w:val="24"/>
        </w:rPr>
      </w:pPr>
      <w:r w:rsidRPr="00312803">
        <w:rPr>
          <w:rFonts w:ascii="Book Antiqua" w:hAnsi="Book Antiqua" w:cs="Calibri"/>
          <w:b/>
          <w:bCs/>
          <w:color w:val="000000" w:themeColor="text1"/>
          <w:sz w:val="24"/>
        </w:rPr>
        <w:t>Table 1</w:t>
      </w:r>
      <w:r w:rsidRPr="00312803">
        <w:rPr>
          <w:rFonts w:ascii="Book Antiqua" w:hAnsi="Book Antiqua" w:cs="Calibri"/>
          <w:color w:val="000000" w:themeColor="text1"/>
          <w:sz w:val="24"/>
        </w:rPr>
        <w:t>: Comparison of Settlement of Election Crimes</w:t>
      </w:r>
    </w:p>
    <w:p w14:paraId="21D1A22B" w14:textId="77777777" w:rsidR="00312803" w:rsidRPr="00312803" w:rsidRDefault="00312803" w:rsidP="00312803">
      <w:pPr>
        <w:spacing w:after="0" w:line="240" w:lineRule="auto"/>
        <w:jc w:val="both"/>
        <w:rPr>
          <w:rFonts w:ascii="Book Antiqua" w:hAnsi="Book Antiqua" w:cs="Calibri"/>
          <w:color w:val="000000" w:themeColor="text1"/>
          <w:sz w:val="24"/>
        </w:rPr>
      </w:pPr>
    </w:p>
    <w:tbl>
      <w:tblPr>
        <w:tblStyle w:val="TableGrid"/>
        <w:tblW w:w="9000" w:type="dxa"/>
        <w:tblInd w:w="355" w:type="dxa"/>
        <w:tblLook w:val="04A0" w:firstRow="1" w:lastRow="0" w:firstColumn="1" w:lastColumn="0" w:noHBand="0" w:noVBand="1"/>
      </w:tblPr>
      <w:tblGrid>
        <w:gridCol w:w="2070"/>
        <w:gridCol w:w="3420"/>
        <w:gridCol w:w="3510"/>
      </w:tblGrid>
      <w:tr w:rsidR="00312803" w:rsidRPr="00312803" w14:paraId="3E47548B" w14:textId="77777777" w:rsidTr="005450EE">
        <w:tc>
          <w:tcPr>
            <w:tcW w:w="2070" w:type="dxa"/>
            <w:vAlign w:val="center"/>
          </w:tcPr>
          <w:p w14:paraId="0247162E" w14:textId="77777777" w:rsidR="00312803" w:rsidRPr="00312803" w:rsidRDefault="00312803" w:rsidP="00312803">
            <w:pPr>
              <w:spacing w:after="0" w:line="240" w:lineRule="auto"/>
              <w:jc w:val="both"/>
              <w:rPr>
                <w:rFonts w:ascii="Book Antiqua" w:hAnsi="Book Antiqua" w:cs="Calibri"/>
                <w:b/>
                <w:bCs/>
                <w:color w:val="000000" w:themeColor="text1"/>
                <w:sz w:val="24"/>
              </w:rPr>
            </w:pPr>
            <w:r w:rsidRPr="00312803">
              <w:rPr>
                <w:rFonts w:ascii="Book Antiqua" w:hAnsi="Book Antiqua" w:cs="Calibri"/>
                <w:b/>
                <w:bCs/>
                <w:color w:val="000000" w:themeColor="text1"/>
                <w:sz w:val="24"/>
              </w:rPr>
              <w:t>Aspects</w:t>
            </w:r>
          </w:p>
        </w:tc>
        <w:tc>
          <w:tcPr>
            <w:tcW w:w="3420" w:type="dxa"/>
            <w:vAlign w:val="center"/>
          </w:tcPr>
          <w:p w14:paraId="7C2A8BEB" w14:textId="77777777" w:rsidR="00312803" w:rsidRPr="00312803" w:rsidRDefault="00312803" w:rsidP="00312803">
            <w:pPr>
              <w:spacing w:after="0" w:line="240" w:lineRule="auto"/>
              <w:jc w:val="both"/>
              <w:rPr>
                <w:rFonts w:ascii="Book Antiqua" w:hAnsi="Book Antiqua" w:cs="Calibri"/>
                <w:b/>
                <w:bCs/>
                <w:color w:val="000000" w:themeColor="text1"/>
                <w:sz w:val="24"/>
              </w:rPr>
            </w:pPr>
            <w:r w:rsidRPr="00312803">
              <w:rPr>
                <w:rFonts w:ascii="Book Antiqua" w:hAnsi="Book Antiqua" w:cs="Calibri"/>
                <w:b/>
                <w:bCs/>
                <w:color w:val="000000" w:themeColor="text1"/>
                <w:sz w:val="24"/>
              </w:rPr>
              <w:t>Indonesia</w:t>
            </w:r>
          </w:p>
        </w:tc>
        <w:tc>
          <w:tcPr>
            <w:tcW w:w="3510" w:type="dxa"/>
            <w:vAlign w:val="center"/>
          </w:tcPr>
          <w:p w14:paraId="0746B2D5" w14:textId="77777777" w:rsidR="00312803" w:rsidRPr="00312803" w:rsidRDefault="00312803" w:rsidP="00312803">
            <w:pPr>
              <w:spacing w:after="0" w:line="240" w:lineRule="auto"/>
              <w:jc w:val="both"/>
              <w:rPr>
                <w:rFonts w:ascii="Book Antiqua" w:hAnsi="Book Antiqua" w:cs="Calibri"/>
                <w:b/>
                <w:bCs/>
                <w:color w:val="000000" w:themeColor="text1"/>
                <w:sz w:val="24"/>
              </w:rPr>
            </w:pPr>
            <w:r w:rsidRPr="00312803">
              <w:rPr>
                <w:rFonts w:ascii="Book Antiqua" w:hAnsi="Book Antiqua" w:cs="Calibri"/>
                <w:b/>
                <w:bCs/>
                <w:color w:val="000000" w:themeColor="text1"/>
                <w:sz w:val="24"/>
              </w:rPr>
              <w:t>France</w:t>
            </w:r>
          </w:p>
        </w:tc>
      </w:tr>
      <w:tr w:rsidR="00312803" w:rsidRPr="00312803" w14:paraId="7017669D" w14:textId="77777777" w:rsidTr="005450EE">
        <w:tc>
          <w:tcPr>
            <w:tcW w:w="2070" w:type="dxa"/>
            <w:vAlign w:val="center"/>
          </w:tcPr>
          <w:p w14:paraId="5183370E"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Legal Basis</w:t>
            </w:r>
          </w:p>
        </w:tc>
        <w:tc>
          <w:tcPr>
            <w:tcW w:w="3420" w:type="dxa"/>
          </w:tcPr>
          <w:p w14:paraId="31E3F6C5" w14:textId="77777777" w:rsidR="00312803" w:rsidRPr="00312803" w:rsidRDefault="00312803" w:rsidP="00312803">
            <w:pPr>
              <w:numPr>
                <w:ilvl w:val="0"/>
                <w:numId w:val="22"/>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Law No. 7 of 2017 concerning Elections</w:t>
            </w:r>
          </w:p>
          <w:p w14:paraId="117E9F83" w14:textId="77777777" w:rsidR="00312803" w:rsidRPr="00312803" w:rsidRDefault="00312803" w:rsidP="00312803">
            <w:pPr>
              <w:numPr>
                <w:ilvl w:val="0"/>
                <w:numId w:val="22"/>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Criminal Code (Criminal Code)</w:t>
            </w:r>
          </w:p>
          <w:p w14:paraId="41BA240E" w14:textId="77777777" w:rsidR="00312803" w:rsidRPr="00312803" w:rsidRDefault="00312803" w:rsidP="00312803">
            <w:pPr>
              <w:numPr>
                <w:ilvl w:val="0"/>
                <w:numId w:val="22"/>
              </w:numPr>
              <w:spacing w:after="0" w:line="240" w:lineRule="auto"/>
              <w:jc w:val="both"/>
              <w:rPr>
                <w:rFonts w:ascii="Book Antiqua" w:hAnsi="Book Antiqua" w:cs="Calibri"/>
                <w:color w:val="000000" w:themeColor="text1"/>
                <w:sz w:val="24"/>
              </w:rPr>
            </w:pP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Rules</w:t>
            </w:r>
          </w:p>
        </w:tc>
        <w:tc>
          <w:tcPr>
            <w:tcW w:w="3510" w:type="dxa"/>
          </w:tcPr>
          <w:p w14:paraId="1D060128" w14:textId="77777777" w:rsidR="00312803" w:rsidRPr="00312803" w:rsidRDefault="00312803" w:rsidP="00312803">
            <w:pPr>
              <w:numPr>
                <w:ilvl w:val="0"/>
                <w:numId w:val="25"/>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1958 Constitution (Fifth Republic)</w:t>
            </w:r>
          </w:p>
          <w:p w14:paraId="0A672DBB" w14:textId="77777777" w:rsidR="00312803" w:rsidRPr="00312803" w:rsidRDefault="00312803" w:rsidP="00312803">
            <w:pPr>
              <w:numPr>
                <w:ilvl w:val="0"/>
                <w:numId w:val="25"/>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Electoral Code (Election Code)</w:t>
            </w:r>
          </w:p>
          <w:p w14:paraId="33521C60" w14:textId="77777777" w:rsidR="00312803" w:rsidRPr="00312803" w:rsidRDefault="00312803" w:rsidP="00312803">
            <w:pPr>
              <w:numPr>
                <w:ilvl w:val="0"/>
                <w:numId w:val="25"/>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Penal Code</w:t>
            </w:r>
          </w:p>
        </w:tc>
      </w:tr>
      <w:tr w:rsidR="00312803" w:rsidRPr="00312803" w14:paraId="67FEEDCA" w14:textId="77777777" w:rsidTr="005450EE">
        <w:tc>
          <w:tcPr>
            <w:tcW w:w="2070" w:type="dxa"/>
            <w:vAlign w:val="center"/>
          </w:tcPr>
          <w:p w14:paraId="4CC889C6"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Settlement</w:t>
            </w:r>
          </w:p>
        </w:tc>
        <w:tc>
          <w:tcPr>
            <w:tcW w:w="3420" w:type="dxa"/>
          </w:tcPr>
          <w:p w14:paraId="445A4A9E" w14:textId="77777777" w:rsidR="00312803" w:rsidRPr="00312803" w:rsidRDefault="00312803" w:rsidP="00312803">
            <w:pPr>
              <w:numPr>
                <w:ilvl w:val="0"/>
                <w:numId w:val="23"/>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Supervision by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KPU, and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Police, Prosecutor's Office)</w:t>
            </w:r>
          </w:p>
          <w:p w14:paraId="56ED797F" w14:textId="77777777" w:rsidR="00312803" w:rsidRPr="00312803" w:rsidRDefault="00312803" w:rsidP="00312803">
            <w:pPr>
              <w:numPr>
                <w:ilvl w:val="0"/>
                <w:numId w:val="23"/>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Handling of violations by criminal courts and administrative courts</w:t>
            </w:r>
          </w:p>
        </w:tc>
        <w:tc>
          <w:tcPr>
            <w:tcW w:w="3510" w:type="dxa"/>
          </w:tcPr>
          <w:p w14:paraId="6F5ADEC4" w14:textId="77777777" w:rsidR="00312803" w:rsidRPr="00312803" w:rsidRDefault="00312803" w:rsidP="00312803">
            <w:pPr>
              <w:numPr>
                <w:ilvl w:val="0"/>
                <w:numId w:val="24"/>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Settlement of electoral disputes by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(Constitutional Council)</w:t>
            </w:r>
          </w:p>
          <w:p w14:paraId="0C20F90C" w14:textId="77777777" w:rsidR="00312803" w:rsidRPr="00312803" w:rsidRDefault="00312803" w:rsidP="00312803">
            <w:pPr>
              <w:numPr>
                <w:ilvl w:val="0"/>
                <w:numId w:val="24"/>
              </w:num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Settlement of electoral disputes by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(Constitutional Council)</w:t>
            </w:r>
          </w:p>
        </w:tc>
      </w:tr>
      <w:tr w:rsidR="00312803" w:rsidRPr="00312803" w14:paraId="42AD36B9" w14:textId="77777777" w:rsidTr="005450EE">
        <w:tc>
          <w:tcPr>
            <w:tcW w:w="2070" w:type="dxa"/>
            <w:vAlign w:val="center"/>
          </w:tcPr>
          <w:p w14:paraId="39F55392"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Settlement Procedure</w:t>
            </w:r>
          </w:p>
        </w:tc>
        <w:tc>
          <w:tcPr>
            <w:tcW w:w="3420" w:type="dxa"/>
          </w:tcPr>
          <w:p w14:paraId="1393E52E"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Settlement through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for election crimes</w:t>
            </w:r>
          </w:p>
        </w:tc>
        <w:tc>
          <w:tcPr>
            <w:tcW w:w="3510" w:type="dxa"/>
          </w:tcPr>
          <w:p w14:paraId="2BCBC0B9"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Quick and final settlement by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for disputes over election results, while criminal offenses are handled by criminal courts</w:t>
            </w:r>
          </w:p>
        </w:tc>
      </w:tr>
      <w:tr w:rsidR="00312803" w:rsidRPr="00312803" w14:paraId="0A40EE05" w14:textId="77777777" w:rsidTr="005450EE">
        <w:tc>
          <w:tcPr>
            <w:tcW w:w="2070" w:type="dxa"/>
            <w:vAlign w:val="center"/>
          </w:tcPr>
          <w:p w14:paraId="0A1935EC"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Authority of the Institution</w:t>
            </w:r>
          </w:p>
        </w:tc>
        <w:tc>
          <w:tcPr>
            <w:tcW w:w="3420" w:type="dxa"/>
          </w:tcPr>
          <w:p w14:paraId="043642A1" w14:textId="77777777" w:rsidR="00312803" w:rsidRPr="00312803" w:rsidRDefault="00312803" w:rsidP="00312803">
            <w:pPr>
              <w:spacing w:after="0" w:line="240" w:lineRule="auto"/>
              <w:jc w:val="both"/>
              <w:rPr>
                <w:rFonts w:ascii="Book Antiqua" w:hAnsi="Book Antiqua" w:cs="Calibri"/>
                <w:color w:val="000000" w:themeColor="text1"/>
                <w:sz w:val="24"/>
              </w:rPr>
            </w:pP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supervises,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investigates violations, court decides</w:t>
            </w:r>
          </w:p>
        </w:tc>
        <w:tc>
          <w:tcPr>
            <w:tcW w:w="3510" w:type="dxa"/>
          </w:tcPr>
          <w:p w14:paraId="30A6CE31"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has the authority to decide electoral disputes and maintain the legitimacy of elections</w:t>
            </w:r>
          </w:p>
        </w:tc>
      </w:tr>
    </w:tbl>
    <w:p w14:paraId="77F7DC7A" w14:textId="77777777" w:rsidR="00312803" w:rsidRPr="00312803" w:rsidRDefault="00312803" w:rsidP="00312803">
      <w:pPr>
        <w:spacing w:after="0" w:line="240" w:lineRule="auto"/>
        <w:jc w:val="both"/>
        <w:rPr>
          <w:rFonts w:ascii="Book Antiqua" w:hAnsi="Book Antiqua" w:cs="Calibri"/>
          <w:color w:val="000000" w:themeColor="text1"/>
          <w:sz w:val="24"/>
        </w:rPr>
      </w:pPr>
    </w:p>
    <w:p w14:paraId="7AD22A08"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In the electoral dispute resolution system in Indonesia, there are several weaknesses that need to be considered to increase its effectiveness. Based on the existing legal basis, such as Law No. 7 of 2017 concerning Elections and the provisions in the Criminal Code, election supervision in Indonesia involves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KPU, and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Dispute resolution procedures through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for election crimes do provide room for handling violations, but they often face challenges in terms of transparency, inter-agency coordination, and time constraints in dispute resolution.</w:t>
      </w:r>
    </w:p>
    <w:p w14:paraId="6BA35C88"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Another weakness lies in the overlap of authority between institutions involved in the process of resolving election disputes, such as between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w:t>
      </w:r>
      <w:r w:rsidRPr="00312803">
        <w:rPr>
          <w:rFonts w:ascii="Book Antiqua" w:hAnsi="Book Antiqua" w:cs="Calibri"/>
          <w:color w:val="000000" w:themeColor="text1"/>
          <w:sz w:val="24"/>
        </w:rPr>
        <w:lastRenderedPageBreak/>
        <w:t xml:space="preserve">and the court. The authority of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in supervising elections,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in investigating violations, and the role of the court in deciding cases can cause confusion in terms of the division of duties, as well as slow down the dispute resolution process. On the other hand, compared to the system in France that uses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for the settlement of disputes over election results and criminal offenses handled by criminal courts, Indonesia's system can be faced with longer procedural complexities.</w:t>
      </w:r>
    </w:p>
    <w:p w14:paraId="7521AF56" w14:textId="77777777" w:rsidR="00312803" w:rsidRPr="00312803" w:rsidRDefault="00312803" w:rsidP="00312803">
      <w:pPr>
        <w:spacing w:after="0" w:line="240" w:lineRule="auto"/>
        <w:jc w:val="both"/>
        <w:rPr>
          <w:rFonts w:ascii="Book Antiqua" w:hAnsi="Book Antiqua" w:cs="Calibri"/>
          <w:color w:val="000000" w:themeColor="text1"/>
          <w:sz w:val="24"/>
        </w:rPr>
      </w:pPr>
      <w:r w:rsidRPr="00312803">
        <w:rPr>
          <w:rFonts w:ascii="Book Antiqua" w:hAnsi="Book Antiqua" w:cs="Calibri"/>
          <w:color w:val="000000" w:themeColor="text1"/>
          <w:sz w:val="24"/>
        </w:rPr>
        <w:t xml:space="preserve">To improve this system, it is necessary to strengthen coordination between institutions, as well as improve in terms of a clearer and more structured division of authority. One of the models of the concept of reform that can be applied is the establishment of a special independent institution that has full authority to handle election disputes, both election results and related criminal offenses. This model could refer to a more </w:t>
      </w:r>
      <w:proofErr w:type="spellStart"/>
      <w:r w:rsidRPr="00312803">
        <w:rPr>
          <w:rFonts w:ascii="Book Antiqua" w:hAnsi="Book Antiqua" w:cs="Calibri"/>
          <w:color w:val="000000" w:themeColor="text1"/>
          <w:sz w:val="24"/>
        </w:rPr>
        <w:t>centralised</w:t>
      </w:r>
      <w:proofErr w:type="spellEnd"/>
      <w:r w:rsidRPr="00312803">
        <w:rPr>
          <w:rFonts w:ascii="Book Antiqua" w:hAnsi="Book Antiqua" w:cs="Calibri"/>
          <w:color w:val="000000" w:themeColor="text1"/>
          <w:sz w:val="24"/>
        </w:rPr>
        <w:t xml:space="preserve"> French system, with the Conseil </w:t>
      </w:r>
      <w:proofErr w:type="spellStart"/>
      <w:r w:rsidRPr="00312803">
        <w:rPr>
          <w:rFonts w:ascii="Book Antiqua" w:hAnsi="Book Antiqua" w:cs="Calibri"/>
          <w:color w:val="000000" w:themeColor="text1"/>
          <w:sz w:val="24"/>
        </w:rPr>
        <w:t>Constitutionnel</w:t>
      </w:r>
      <w:proofErr w:type="spellEnd"/>
      <w:r w:rsidRPr="00312803">
        <w:rPr>
          <w:rFonts w:ascii="Book Antiqua" w:hAnsi="Book Antiqua" w:cs="Calibri"/>
          <w:color w:val="000000" w:themeColor="text1"/>
          <w:sz w:val="24"/>
        </w:rPr>
        <w:t xml:space="preserve"> having the authority to resolve all types of electoral disputes, as well as ensuring transparency and fairness in the process. In addition, strengthening the capacity of institutions such as </w:t>
      </w:r>
      <w:proofErr w:type="spellStart"/>
      <w:r w:rsidRPr="00312803">
        <w:rPr>
          <w:rFonts w:ascii="Book Antiqua" w:hAnsi="Book Antiqua" w:cs="Calibri"/>
          <w:color w:val="000000" w:themeColor="text1"/>
          <w:sz w:val="24"/>
        </w:rPr>
        <w:t>Bawaslu</w:t>
      </w:r>
      <w:proofErr w:type="spellEnd"/>
      <w:r w:rsidRPr="00312803">
        <w:rPr>
          <w:rFonts w:ascii="Book Antiqua" w:hAnsi="Book Antiqua" w:cs="Calibri"/>
          <w:color w:val="000000" w:themeColor="text1"/>
          <w:sz w:val="24"/>
        </w:rPr>
        <w:t xml:space="preserve"> and the </w:t>
      </w:r>
      <w:proofErr w:type="spellStart"/>
      <w:r w:rsidRPr="00312803">
        <w:rPr>
          <w:rFonts w:ascii="Book Antiqua" w:hAnsi="Book Antiqua" w:cs="Calibri"/>
          <w:color w:val="000000" w:themeColor="text1"/>
          <w:sz w:val="24"/>
        </w:rPr>
        <w:t>Gakkumdu</w:t>
      </w:r>
      <w:proofErr w:type="spellEnd"/>
      <w:r w:rsidRPr="00312803">
        <w:rPr>
          <w:rFonts w:ascii="Book Antiqua" w:hAnsi="Book Antiqua" w:cs="Calibri"/>
          <w:color w:val="000000" w:themeColor="text1"/>
          <w:sz w:val="24"/>
        </w:rPr>
        <w:t xml:space="preserve"> Center in terms of human resources, as well as the development of technology to accelerate dispute resolution, is also an important step in increasing the effectiveness of the election dispute resolution system in Indonesia.</w:t>
      </w:r>
    </w:p>
    <w:p w14:paraId="50673EDF" w14:textId="77777777" w:rsidR="00312803" w:rsidRPr="00F00816" w:rsidRDefault="00312803" w:rsidP="00F00816">
      <w:pPr>
        <w:spacing w:after="0" w:line="240" w:lineRule="auto"/>
        <w:jc w:val="both"/>
        <w:rPr>
          <w:rFonts w:ascii="Book Antiqua" w:hAnsi="Book Antiqua" w:cs="Calibri"/>
          <w:color w:val="000000" w:themeColor="text1"/>
          <w:sz w:val="24"/>
        </w:rPr>
      </w:pPr>
    </w:p>
    <w:p w14:paraId="7090A899" w14:textId="2A49E641" w:rsidR="00746761" w:rsidRPr="002C0B7A" w:rsidRDefault="00636FF5" w:rsidP="002C0B7A">
      <w:pPr>
        <w:spacing w:after="120" w:line="240" w:lineRule="auto"/>
        <w:jc w:val="both"/>
        <w:rPr>
          <w:rFonts w:ascii="Book Antiqua" w:hAnsi="Book Antiqua"/>
          <w:b/>
          <w:bCs/>
          <w:color w:val="FFC000" w:themeColor="accent4"/>
          <w:szCs w:val="22"/>
          <w:lang w:val="id-ID"/>
        </w:rPr>
      </w:pPr>
      <w:r w:rsidRPr="00636FF5">
        <w:rPr>
          <w:rFonts w:ascii="Book Antiqua" w:hAnsi="Book Antiqua"/>
          <w:b/>
          <w:color w:val="4472C4" w:themeColor="accent1"/>
          <w:sz w:val="24"/>
          <w:szCs w:val="24"/>
        </w:rPr>
        <w:t>CONCLUSION</w:t>
      </w:r>
    </w:p>
    <w:p w14:paraId="0C0725A8" w14:textId="77777777" w:rsidR="00312803" w:rsidRPr="00312803" w:rsidRDefault="00312803" w:rsidP="00312803">
      <w:pPr>
        <w:spacing w:after="0" w:line="240" w:lineRule="auto"/>
        <w:jc w:val="both"/>
        <w:rPr>
          <w:rFonts w:ascii="Book Antiqua" w:hAnsi="Book Antiqua" w:cstheme="majorHAnsi"/>
          <w:color w:val="000000" w:themeColor="text1"/>
          <w:sz w:val="24"/>
          <w:szCs w:val="24"/>
        </w:rPr>
      </w:pPr>
      <w:r w:rsidRPr="00312803">
        <w:rPr>
          <w:rFonts w:ascii="Book Antiqua" w:hAnsi="Book Antiqua" w:cstheme="majorHAnsi"/>
          <w:color w:val="000000" w:themeColor="text1"/>
          <w:sz w:val="24"/>
          <w:szCs w:val="24"/>
        </w:rPr>
        <w:t xml:space="preserve">Election criminal law enforcement in Indonesia faces major challenges related to the complexity of the authority of the institutions involved, as well as limited coordination between institutions, such as </w:t>
      </w:r>
      <w:proofErr w:type="spellStart"/>
      <w:r w:rsidRPr="00312803">
        <w:rPr>
          <w:rFonts w:ascii="Book Antiqua" w:hAnsi="Book Antiqua" w:cstheme="majorHAnsi"/>
          <w:color w:val="000000" w:themeColor="text1"/>
          <w:sz w:val="24"/>
          <w:szCs w:val="24"/>
        </w:rPr>
        <w:t>Bawaslu</w:t>
      </w:r>
      <w:proofErr w:type="spellEnd"/>
      <w:r w:rsidRPr="00312803">
        <w:rPr>
          <w:rFonts w:ascii="Book Antiqua" w:hAnsi="Book Antiqua" w:cstheme="majorHAnsi"/>
          <w:color w:val="000000" w:themeColor="text1"/>
          <w:sz w:val="24"/>
          <w:szCs w:val="24"/>
        </w:rPr>
        <w:t xml:space="preserve">, KPU, </w:t>
      </w:r>
      <w:proofErr w:type="spellStart"/>
      <w:r w:rsidRPr="00312803">
        <w:rPr>
          <w:rFonts w:ascii="Book Antiqua" w:hAnsi="Book Antiqua" w:cstheme="majorHAnsi"/>
          <w:color w:val="000000" w:themeColor="text1"/>
          <w:sz w:val="24"/>
          <w:szCs w:val="24"/>
        </w:rPr>
        <w:t>Gakkumdu</w:t>
      </w:r>
      <w:proofErr w:type="spellEnd"/>
      <w:r w:rsidRPr="00312803">
        <w:rPr>
          <w:rFonts w:ascii="Book Antiqua" w:hAnsi="Book Antiqua" w:cstheme="majorHAnsi"/>
          <w:color w:val="000000" w:themeColor="text1"/>
          <w:sz w:val="24"/>
          <w:szCs w:val="24"/>
        </w:rPr>
        <w:t xml:space="preserve"> Center, and courts. This causes the process of resolving election disputes to be slow and less transparent. Although it has been regulated in Law No. 7 of 2017 concerning Elections and the Criminal Code, the existing system still needs to be improved, especially in terms of a clearer division of authority between these institutions. When compared to the system implemented in France, which uses the Conseil </w:t>
      </w:r>
      <w:proofErr w:type="spellStart"/>
      <w:r w:rsidRPr="00312803">
        <w:rPr>
          <w:rFonts w:ascii="Book Antiqua" w:hAnsi="Book Antiqua" w:cstheme="majorHAnsi"/>
          <w:color w:val="000000" w:themeColor="text1"/>
          <w:sz w:val="24"/>
          <w:szCs w:val="24"/>
        </w:rPr>
        <w:t>Constitutionnel</w:t>
      </w:r>
      <w:proofErr w:type="spellEnd"/>
      <w:r w:rsidRPr="00312803">
        <w:rPr>
          <w:rFonts w:ascii="Book Antiqua" w:hAnsi="Book Antiqua" w:cstheme="majorHAnsi"/>
          <w:color w:val="000000" w:themeColor="text1"/>
          <w:sz w:val="24"/>
          <w:szCs w:val="24"/>
        </w:rPr>
        <w:t xml:space="preserve"> to handle disputes over election results and criminal offenses, the Indonesian system has room for improvement, especially in terms of efficiency and clarity of procedures. France's Conseil </w:t>
      </w:r>
      <w:proofErr w:type="spellStart"/>
      <w:r w:rsidRPr="00312803">
        <w:rPr>
          <w:rFonts w:ascii="Book Antiqua" w:hAnsi="Book Antiqua" w:cstheme="majorHAnsi"/>
          <w:color w:val="000000" w:themeColor="text1"/>
          <w:sz w:val="24"/>
          <w:szCs w:val="24"/>
        </w:rPr>
        <w:t>Constitutionnel</w:t>
      </w:r>
      <w:proofErr w:type="spellEnd"/>
      <w:r w:rsidRPr="00312803">
        <w:rPr>
          <w:rFonts w:ascii="Book Antiqua" w:hAnsi="Book Antiqua" w:cstheme="majorHAnsi"/>
          <w:color w:val="000000" w:themeColor="text1"/>
          <w:sz w:val="24"/>
          <w:szCs w:val="24"/>
        </w:rPr>
        <w:t xml:space="preserve"> has centralized authority, providing a quicker and more final process for resolving electoral disputes, while criminal offenses are handled by criminal courts.</w:t>
      </w:r>
    </w:p>
    <w:p w14:paraId="093C4706" w14:textId="77777777" w:rsidR="00312803" w:rsidRPr="00312803" w:rsidRDefault="00312803" w:rsidP="00312803">
      <w:pPr>
        <w:spacing w:after="0" w:line="240" w:lineRule="auto"/>
        <w:jc w:val="both"/>
        <w:rPr>
          <w:rFonts w:ascii="Book Antiqua" w:hAnsi="Book Antiqua" w:cstheme="majorHAnsi"/>
          <w:color w:val="000000" w:themeColor="text1"/>
          <w:sz w:val="24"/>
          <w:szCs w:val="24"/>
        </w:rPr>
      </w:pPr>
      <w:r w:rsidRPr="00312803">
        <w:rPr>
          <w:rFonts w:ascii="Book Antiqua" w:hAnsi="Book Antiqua" w:cstheme="majorHAnsi"/>
          <w:color w:val="000000" w:themeColor="text1"/>
          <w:sz w:val="24"/>
          <w:szCs w:val="24"/>
        </w:rPr>
        <w:t>In this context, the integration of juridical and sociological approaches is an important key in designing more effective systems. The juridical approach provides a clear and firm legal basis, while the sociological approach takes into account social and cultural factors in law enforcement to create a more just and socially acceptable system. For this reason, Indonesia needs to adopt the concept of a special independent institution that has full authority in resolving election disputes, as well as strengthening coordination between existing institutions. With this step, it is hoped that a more efficient, transparent legal system can be created, and can maintain the integrity of elections in Indonesia.</w:t>
      </w:r>
    </w:p>
    <w:p w14:paraId="02B8F121" w14:textId="77777777" w:rsidR="00312803" w:rsidRPr="00EE6288" w:rsidRDefault="00312803" w:rsidP="00AA1A42">
      <w:pPr>
        <w:spacing w:after="0" w:line="240" w:lineRule="auto"/>
        <w:jc w:val="both"/>
        <w:rPr>
          <w:rFonts w:ascii="Book Antiqua" w:hAnsi="Book Antiqua" w:cs="Calibri"/>
          <w:bCs/>
          <w:color w:val="333333"/>
        </w:rPr>
      </w:pPr>
    </w:p>
    <w:p w14:paraId="78A0F2EF" w14:textId="77777777" w:rsidR="004B1F20" w:rsidRPr="00EE6288" w:rsidRDefault="00636FF5" w:rsidP="009A3BE0">
      <w:pPr>
        <w:spacing w:after="120" w:line="240" w:lineRule="auto"/>
        <w:jc w:val="both"/>
        <w:rPr>
          <w:rFonts w:ascii="Book Antiqua" w:eastAsia="Arial Unicode MS" w:hAnsi="Book Antiqua" w:cstheme="majorHAnsi"/>
          <w:b/>
          <w:color w:val="2F5496" w:themeColor="accent1" w:themeShade="BF"/>
          <w:sz w:val="24"/>
          <w:szCs w:val="24"/>
          <w:lang w:val="en-GB"/>
        </w:rPr>
      </w:pPr>
      <w:r w:rsidRPr="00636FF5">
        <w:rPr>
          <w:rFonts w:ascii="Book Antiqua" w:eastAsia="Arial Unicode MS" w:hAnsi="Book Antiqua" w:cstheme="majorHAnsi"/>
          <w:b/>
          <w:color w:val="4472C4" w:themeColor="accent1"/>
          <w:sz w:val="24"/>
          <w:szCs w:val="24"/>
          <w:lang w:val="en-GB"/>
        </w:rPr>
        <w:t>REFERENCES</w:t>
      </w:r>
    </w:p>
    <w:bookmarkEnd w:id="0"/>
    <w:bookmarkEnd w:id="1"/>
    <w:p w14:paraId="756FDF22"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fldChar w:fldCharType="begin" w:fldLock="1"/>
      </w:r>
      <w:r w:rsidRPr="00312803">
        <w:rPr>
          <w:rFonts w:ascii="Book Antiqua" w:hAnsi="Book Antiqua" w:cs="Calibri"/>
          <w:noProof/>
          <w:sz w:val="24"/>
          <w:szCs w:val="24"/>
        </w:rPr>
        <w:instrText xml:space="preserve">ADDIN Mendeley Bibliography CSL_BIBLIOGRAPHY </w:instrText>
      </w:r>
      <w:r w:rsidRPr="00312803">
        <w:rPr>
          <w:rFonts w:ascii="Book Antiqua" w:hAnsi="Book Antiqua" w:cs="Calibri"/>
          <w:noProof/>
          <w:sz w:val="24"/>
          <w:szCs w:val="24"/>
        </w:rPr>
        <w:fldChar w:fldCharType="separate"/>
      </w:r>
      <w:r w:rsidRPr="00312803">
        <w:rPr>
          <w:rFonts w:ascii="Book Antiqua" w:hAnsi="Book Antiqua" w:cs="Calibri"/>
          <w:noProof/>
          <w:sz w:val="24"/>
          <w:szCs w:val="24"/>
        </w:rPr>
        <w:t xml:space="preserve">Abdaud, Faisal. "Uncovering the reality of criminal liability in the case of a traffic accident that resulted in the victim's death." </w:t>
      </w:r>
      <w:r w:rsidRPr="00312803">
        <w:rPr>
          <w:rFonts w:ascii="Book Antiqua" w:hAnsi="Book Antiqua" w:cs="Calibri"/>
          <w:i/>
          <w:iCs/>
          <w:noProof/>
          <w:sz w:val="24"/>
          <w:szCs w:val="24"/>
        </w:rPr>
        <w:t>Journal of Social Management Science and Humanities (Jimsh)</w:t>
      </w:r>
      <w:r w:rsidRPr="00312803">
        <w:rPr>
          <w:rFonts w:ascii="Book Antiqua" w:hAnsi="Book Antiqua" w:cs="Calibri"/>
          <w:noProof/>
          <w:sz w:val="24"/>
          <w:szCs w:val="24"/>
        </w:rPr>
        <w:t xml:space="preserve"> 5, No. 1 (2023): 17–26. Https://Doi.Org/10.51454/Jimsh.V5i1.896.</w:t>
      </w:r>
    </w:p>
    <w:p w14:paraId="5FD01FF9"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Ahmad, Jumal. "Content Analysis Design." </w:t>
      </w:r>
      <w:r w:rsidRPr="00312803">
        <w:rPr>
          <w:rFonts w:ascii="Book Antiqua" w:hAnsi="Book Antiqua" w:cs="Calibri"/>
          <w:i/>
          <w:iCs/>
          <w:noProof/>
          <w:sz w:val="24"/>
          <w:szCs w:val="24"/>
        </w:rPr>
        <w:t>Journal of Content Analysis</w:t>
      </w:r>
      <w:r w:rsidRPr="00312803">
        <w:rPr>
          <w:rFonts w:ascii="Book Antiqua" w:hAnsi="Book Antiqua" w:cs="Calibri"/>
          <w:noProof/>
          <w:sz w:val="24"/>
          <w:szCs w:val="24"/>
        </w:rPr>
        <w:t xml:space="preserve"> 5, no. 9 (2018): 1–20. Https://Www.Academia.Edu/Download/81413125/Desainpenelitiancontentanalysis_Revisedjumalahmad.Pdf.</w:t>
      </w:r>
    </w:p>
    <w:p w14:paraId="4E6780A1"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lastRenderedPageBreak/>
        <w:t xml:space="preserve">Athiyyatul Mufidah, And Abdullah Syarofi. "The Relationship Between Political Party Democracy in General Elections in Indonesia." </w:t>
      </w:r>
      <w:r w:rsidRPr="00312803">
        <w:rPr>
          <w:rFonts w:ascii="Book Antiqua" w:hAnsi="Book Antiqua" w:cs="Calibri"/>
          <w:i/>
          <w:iCs/>
          <w:noProof/>
          <w:sz w:val="24"/>
          <w:szCs w:val="24"/>
        </w:rPr>
        <w:t>The Republic: Journal Of Constitutional Law</w:t>
      </w:r>
      <w:r w:rsidRPr="00312803">
        <w:rPr>
          <w:rFonts w:ascii="Book Antiqua" w:hAnsi="Book Antiqua" w:cs="Calibri"/>
          <w:noProof/>
          <w:sz w:val="24"/>
          <w:szCs w:val="24"/>
        </w:rPr>
        <w:t xml:space="preserve"> 2, No. 1 (2024): 35–51. Https://Doi.Org/10.55352/Htn.V2i1.868.</w:t>
      </w:r>
    </w:p>
    <w:p w14:paraId="73BE6CEA"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Bahrul Fawaid, Adityo Putro Prakoso. "Criminal Settlement of Fines in Positive Law from the Perspective of Islamic Law." </w:t>
      </w:r>
      <w:r w:rsidRPr="00312803">
        <w:rPr>
          <w:rFonts w:ascii="Book Antiqua" w:hAnsi="Book Antiqua" w:cs="Calibri"/>
          <w:i/>
          <w:iCs/>
          <w:noProof/>
          <w:sz w:val="24"/>
          <w:szCs w:val="24"/>
        </w:rPr>
        <w:t>Journal of Clinical</w:t>
      </w:r>
      <w:r w:rsidRPr="00312803">
        <w:rPr>
          <w:rFonts w:ascii="Book Antiqua" w:hAnsi="Book Antiqua" w:cs="Calibri"/>
          <w:noProof/>
          <w:sz w:val="24"/>
          <w:szCs w:val="24"/>
        </w:rPr>
        <w:t xml:space="preserve"> Psychology 17, no. 1 (2024): 89–99.</w:t>
      </w:r>
    </w:p>
    <w:p w14:paraId="6B653156"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Bauhr, Monika, and Nicholas Charron. "'It's The Quality Of Government Stupid' Explains Patterns In Support For Far Right In The 2022 French Presidential Election." </w:t>
      </w:r>
      <w:r w:rsidRPr="00312803">
        <w:rPr>
          <w:rFonts w:ascii="Book Antiqua" w:hAnsi="Book Antiqua" w:cs="Calibri"/>
          <w:i/>
          <w:iCs/>
          <w:noProof/>
          <w:sz w:val="24"/>
          <w:szCs w:val="24"/>
        </w:rPr>
        <w:t>Electoral Studies</w:t>
      </w:r>
      <w:r w:rsidRPr="00312803">
        <w:rPr>
          <w:rFonts w:ascii="Book Antiqua" w:hAnsi="Book Antiqua" w:cs="Calibri"/>
          <w:noProof/>
          <w:sz w:val="24"/>
          <w:szCs w:val="24"/>
        </w:rPr>
        <w:t xml:space="preserve"> 84, No. 2019 (2023): 102644. Https://Doi.Org/10.1016/J.Electstud.2023.102644.</w:t>
      </w:r>
    </w:p>
    <w:p w14:paraId="2422927A"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Bodo, Y. Le, F. Etilé, F. Gagnon, and P. de Wals. "Conditions Influencing The Adoption Of A Soda Tax For Public Health: Analysis Of The French Case (2005–2012)." </w:t>
      </w:r>
      <w:r w:rsidRPr="00312803">
        <w:rPr>
          <w:rFonts w:ascii="Book Antiqua" w:hAnsi="Book Antiqua" w:cs="Calibri"/>
          <w:i/>
          <w:iCs/>
          <w:noProof/>
          <w:sz w:val="24"/>
          <w:szCs w:val="24"/>
        </w:rPr>
        <w:t>Food Policy</w:t>
      </w:r>
      <w:r w:rsidRPr="00312803">
        <w:rPr>
          <w:rFonts w:ascii="Book Antiqua" w:hAnsi="Book Antiqua" w:cs="Calibri"/>
          <w:noProof/>
          <w:sz w:val="24"/>
          <w:szCs w:val="24"/>
        </w:rPr>
        <w:t xml:space="preserve"> 88, No. August (2019): 101765. Https://Doi.Org/10.1016/J.Foodpol.2019.101765.</w:t>
      </w:r>
    </w:p>
    <w:p w14:paraId="5D5A0AE4"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Castro, Francisca, and Renata Retamal. "Does Electoral Behavior Change After A Protest Cycle? Evidence From Chile And Bolivia." </w:t>
      </w:r>
      <w:r w:rsidRPr="00312803">
        <w:rPr>
          <w:rFonts w:ascii="Book Antiqua" w:hAnsi="Book Antiqua" w:cs="Calibri"/>
          <w:i/>
          <w:iCs/>
          <w:noProof/>
          <w:sz w:val="24"/>
          <w:szCs w:val="24"/>
        </w:rPr>
        <w:t>Electoral Studies</w:t>
      </w:r>
      <w:r w:rsidRPr="00312803">
        <w:rPr>
          <w:rFonts w:ascii="Book Antiqua" w:hAnsi="Book Antiqua" w:cs="Calibri"/>
          <w:noProof/>
          <w:sz w:val="24"/>
          <w:szCs w:val="24"/>
        </w:rPr>
        <w:t xml:space="preserve"> 89, No. February (2024): 102777. Https://Doi.Org/10.1016/J.Electstud.2024.102777.</w:t>
      </w:r>
    </w:p>
    <w:p w14:paraId="6260ABFC"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Desinta, Besse, Fitra Ayu Lestari, Halimah Muhammad, Sejahtri Datu, and M Alim. "The Young Generation of Anti-Money Politics: Anti-Corruption and Clean Democracy Heroes." </w:t>
      </w:r>
      <w:r w:rsidRPr="00312803">
        <w:rPr>
          <w:rFonts w:ascii="Book Antiqua" w:hAnsi="Book Antiqua" w:cs="Calibri"/>
          <w:i/>
          <w:iCs/>
          <w:noProof/>
          <w:sz w:val="24"/>
          <w:szCs w:val="24"/>
        </w:rPr>
        <w:t>Peshum : Journal of Education, Social and Humanities</w:t>
      </w:r>
      <w:r w:rsidRPr="00312803">
        <w:rPr>
          <w:rFonts w:ascii="Book Antiqua" w:hAnsi="Book Antiqua" w:cs="Calibri"/>
          <w:noProof/>
          <w:sz w:val="24"/>
          <w:szCs w:val="24"/>
        </w:rPr>
        <w:t xml:space="preserve"> 4, no. 2 (2025): 2692–98.</w:t>
      </w:r>
    </w:p>
    <w:p w14:paraId="31B2D69D"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Dupoirier, Elisabeth, and Nicolas Sauger. "Four Rounds In A Row: The Impact Of Presidential Election Outcomes On Legislative Elections In France." </w:t>
      </w:r>
      <w:r w:rsidRPr="00312803">
        <w:rPr>
          <w:rFonts w:ascii="Book Antiqua" w:hAnsi="Book Antiqua" w:cs="Calibri"/>
          <w:i/>
          <w:iCs/>
          <w:noProof/>
          <w:sz w:val="24"/>
          <w:szCs w:val="24"/>
        </w:rPr>
        <w:t>French Politics</w:t>
      </w:r>
      <w:r w:rsidRPr="00312803">
        <w:rPr>
          <w:rFonts w:ascii="Book Antiqua" w:hAnsi="Book Antiqua" w:cs="Calibri"/>
          <w:noProof/>
          <w:sz w:val="24"/>
          <w:szCs w:val="24"/>
        </w:rPr>
        <w:t xml:space="preserve"> 8, No. 1 (2010): 21–41. Https://Doi.Org/10.1057/Fp.2009.41.</w:t>
      </w:r>
    </w:p>
    <w:p w14:paraId="34E00660"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Hey, it was empty. "Authority between Bawaslu and law enforcement officials in handling." </w:t>
      </w:r>
      <w:r w:rsidRPr="00312803">
        <w:rPr>
          <w:rFonts w:ascii="Book Antiqua" w:hAnsi="Book Antiqua" w:cs="Calibri"/>
          <w:i/>
          <w:iCs/>
          <w:noProof/>
          <w:sz w:val="24"/>
          <w:szCs w:val="24"/>
        </w:rPr>
        <w:t>Journal of Law</w:t>
      </w:r>
      <w:r w:rsidRPr="00312803">
        <w:rPr>
          <w:rFonts w:ascii="Book Antiqua" w:hAnsi="Book Antiqua" w:cs="Calibri"/>
          <w:noProof/>
          <w:sz w:val="24"/>
          <w:szCs w:val="24"/>
        </w:rPr>
        <w:t xml:space="preserve"> 13, no. 2 (2024): 261–84.</w:t>
      </w:r>
    </w:p>
    <w:p w14:paraId="11615357"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Farhan, Dimas, And Danu Pratama. "The Impact Of The Power Of Proof Of Stand-Alone Testimony Against Decisions On Criminal Cases." </w:t>
      </w:r>
      <w:r w:rsidRPr="00312803">
        <w:rPr>
          <w:rFonts w:ascii="Book Antiqua" w:hAnsi="Book Antiqua" w:cs="Calibri"/>
          <w:i/>
          <w:iCs/>
          <w:noProof/>
          <w:sz w:val="24"/>
          <w:szCs w:val="24"/>
        </w:rPr>
        <w:t>Humanorum</w:t>
      </w:r>
      <w:r w:rsidRPr="00312803">
        <w:rPr>
          <w:rFonts w:ascii="Book Antiqua" w:hAnsi="Book Antiqua" w:cs="Calibri"/>
          <w:noProof/>
          <w:sz w:val="24"/>
          <w:szCs w:val="24"/>
        </w:rPr>
        <w:t xml:space="preserve"> Xx, No. X (2021).</w:t>
      </w:r>
    </w:p>
    <w:p w14:paraId="5DC6E880"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Faturohman, Fatur, Diki Rahmawan, Law, Faculty of Law, University of Kuningan, and West Java. "Analysis of the Comparative System of Judicial Power Between the State of Indonesia and the State of France" 02, No. 2010 (2024): 26–34.</w:t>
      </w:r>
    </w:p>
    <w:p w14:paraId="32D263AC"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Fitri, Idil, Marwan Mas, and Mustawa Nur. "Legal Analysis of Regional Head Election Violations in Majene Regency." </w:t>
      </w:r>
      <w:r w:rsidRPr="00312803">
        <w:rPr>
          <w:rFonts w:ascii="Book Antiqua" w:hAnsi="Book Antiqua" w:cs="Calibri"/>
          <w:i/>
          <w:iCs/>
          <w:noProof/>
          <w:sz w:val="24"/>
          <w:szCs w:val="24"/>
        </w:rPr>
        <w:t>Indonesian Journal Of Legality Of Law</w:t>
      </w:r>
      <w:r w:rsidRPr="00312803">
        <w:rPr>
          <w:rFonts w:ascii="Book Antiqua" w:hAnsi="Book Antiqua" w:cs="Calibri"/>
          <w:noProof/>
          <w:sz w:val="24"/>
          <w:szCs w:val="24"/>
        </w:rPr>
        <w:t xml:space="preserve"> 5, No. 2 (2023): 462–73. Https://Doi.Org/10.35965/Ijlf.V5i2.2612.</w:t>
      </w:r>
    </w:p>
    <w:p w14:paraId="4C4689E9"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Gay, Victor, Paula E. Gobbi, and Marc Goñi. "The Atlas Of Local Jurisdictions Of Ancien Régime France." </w:t>
      </w:r>
      <w:r w:rsidRPr="00312803">
        <w:rPr>
          <w:rFonts w:ascii="Book Antiqua" w:hAnsi="Book Antiqua" w:cs="Calibri"/>
          <w:i/>
          <w:iCs/>
          <w:noProof/>
          <w:sz w:val="24"/>
          <w:szCs w:val="24"/>
        </w:rPr>
        <w:t>Journal Of Historical Geography</w:t>
      </w:r>
      <w:r w:rsidRPr="00312803">
        <w:rPr>
          <w:rFonts w:ascii="Book Antiqua" w:hAnsi="Book Antiqua" w:cs="Calibri"/>
          <w:noProof/>
          <w:sz w:val="24"/>
          <w:szCs w:val="24"/>
        </w:rPr>
        <w:t xml:space="preserve"> 84 (2024): 49–60. Https://Doi.Org/10.1016/J.Jhg.2024.03.008.</w:t>
      </w:r>
    </w:p>
    <w:p w14:paraId="492593F9"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Gélix, Camille, and Philippe Chassé. "Are Young Candidates 'Sacrificial Lambs'? evidence from the 2012, 2017, and 2022 French legislative elections." </w:t>
      </w:r>
      <w:r w:rsidRPr="00312803">
        <w:rPr>
          <w:rFonts w:ascii="Book Antiqua" w:hAnsi="Book Antiqua" w:cs="Calibri"/>
          <w:i/>
          <w:iCs/>
          <w:noProof/>
          <w:sz w:val="24"/>
          <w:szCs w:val="24"/>
        </w:rPr>
        <w:t>Electoral Studies</w:t>
      </w:r>
      <w:r w:rsidRPr="00312803">
        <w:rPr>
          <w:rFonts w:ascii="Book Antiqua" w:hAnsi="Book Antiqua" w:cs="Calibri"/>
          <w:noProof/>
          <w:sz w:val="24"/>
          <w:szCs w:val="24"/>
        </w:rPr>
        <w:t xml:space="preserve"> 90, No. September 2023 (2024). Https://Doi.Org/10.1016/J.Electstud.2024.102829.</w:t>
      </w:r>
    </w:p>
    <w:p w14:paraId="41AA999D"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Goodliffe, Gabriel. "Europe's Salience And 'Owning' Euroscepticism: Explaining The Front National's Victory In The 2014 European Elections In France." </w:t>
      </w:r>
      <w:r w:rsidRPr="00312803">
        <w:rPr>
          <w:rFonts w:ascii="Book Antiqua" w:hAnsi="Book Antiqua" w:cs="Calibri"/>
          <w:i/>
          <w:iCs/>
          <w:noProof/>
          <w:sz w:val="24"/>
          <w:szCs w:val="24"/>
        </w:rPr>
        <w:t>French Politics</w:t>
      </w:r>
      <w:r w:rsidRPr="00312803">
        <w:rPr>
          <w:rFonts w:ascii="Book Antiqua" w:hAnsi="Book Antiqua" w:cs="Calibri"/>
          <w:noProof/>
          <w:sz w:val="24"/>
          <w:szCs w:val="24"/>
        </w:rPr>
        <w:t xml:space="preserve"> 13, no. 4 (2015): 324–45. Https://Doi.Org/10.1057/Fp.2015.19.</w:t>
      </w:r>
    </w:p>
    <w:p w14:paraId="48D3F3ED"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The Sea, Smoke. "The Benefits of Holding Elections for the Welfare of the Community." </w:t>
      </w:r>
      <w:r w:rsidRPr="00312803">
        <w:rPr>
          <w:rFonts w:ascii="Book Antiqua" w:hAnsi="Book Antiqua" w:cs="Calibri"/>
          <w:i/>
          <w:iCs/>
          <w:noProof/>
          <w:sz w:val="24"/>
          <w:szCs w:val="24"/>
        </w:rPr>
        <w:t>Politicon: Journal of Political Science</w:t>
      </w:r>
      <w:r w:rsidRPr="00312803">
        <w:rPr>
          <w:rFonts w:ascii="Book Antiqua" w:hAnsi="Book Antiqua" w:cs="Calibri"/>
          <w:noProof/>
          <w:sz w:val="24"/>
          <w:szCs w:val="24"/>
        </w:rPr>
        <w:t xml:space="preserve"> 2, No. 1 (2020): 72–85. Https://Doi.Org/10.15575/Politicon.V2i1.7513.</w:t>
      </w:r>
    </w:p>
    <w:p w14:paraId="0641A76A"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lastRenderedPageBreak/>
        <w:t>Hotman, Rangga, Hasibuan 1</w:t>
      </w:r>
      <w:r w:rsidRPr="00312803">
        <w:rPr>
          <w:rFonts w:ascii="Book Antiqua" w:hAnsi="Book Antiqua" w:cs="Calibri"/>
          <w:noProof/>
          <w:sz w:val="24"/>
          <w:szCs w:val="24"/>
        </w:rPr>
        <w:t xml:space="preserve">, and Agustom, and Adhika Abraham. "The Constitutional Court of the Republic of Indonesia and the Conseil Constitutionnel of the French Republic: A Comparison." </w:t>
      </w:r>
      <w:r w:rsidRPr="00312803">
        <w:rPr>
          <w:rFonts w:ascii="Book Antiqua" w:hAnsi="Book Antiqua" w:cs="Calibri"/>
          <w:i/>
          <w:iCs/>
          <w:noProof/>
          <w:sz w:val="24"/>
          <w:szCs w:val="24"/>
        </w:rPr>
        <w:t>Journal of National Democracy and Resilience |</w:t>
      </w:r>
      <w:r w:rsidRPr="00312803">
        <w:rPr>
          <w:rFonts w:ascii="Book Antiqua" w:hAnsi="Book Antiqua" w:cs="Calibri"/>
          <w:noProof/>
          <w:sz w:val="24"/>
          <w:szCs w:val="24"/>
        </w:rPr>
        <w:t xml:space="preserve"> 2 (2023): 2023. Https://Www.Sahistory.Org.Za/Article/History-Apartheid-South-Africa.</w:t>
      </w:r>
    </w:p>
    <w:p w14:paraId="1FC03898"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Hukum, Sanskara, Muhammad Faqih, Al Fanany, Putri Intan Permatasari, U I N Sunan, And Ampel Surabaya. "Revocation of Political Rights in Corruption Crimes: Is It Necessary" 3, No. 02 (2024): 57–67. Https://Doi.Org/10.58812/Shh.V3.I02.</w:t>
      </w:r>
    </w:p>
    <w:p w14:paraId="2C47E3B4"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Ismail, Ismail, and Fakhris Lutfianto Hapsoro. "Juridical Review of Election Crimes in the Perspective of the Principle of People's Sovereignty." </w:t>
      </w:r>
      <w:r w:rsidRPr="00312803">
        <w:rPr>
          <w:rFonts w:ascii="Book Antiqua" w:hAnsi="Book Antiqua" w:cs="Calibri"/>
          <w:i/>
          <w:iCs/>
          <w:noProof/>
          <w:sz w:val="24"/>
          <w:szCs w:val="24"/>
        </w:rPr>
        <w:t>Justitia et Pax</w:t>
      </w:r>
      <w:r w:rsidRPr="00312803">
        <w:rPr>
          <w:rFonts w:ascii="Book Antiqua" w:hAnsi="Book Antiqua" w:cs="Calibri"/>
          <w:noProof/>
          <w:sz w:val="24"/>
          <w:szCs w:val="24"/>
        </w:rPr>
        <w:t xml:space="preserve"> 35, no. 1 (2019). Https://Doi.Org/10.24002/Jep.V35i1.2052.</w:t>
      </w:r>
    </w:p>
    <w:p w14:paraId="5CF74AFA"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Rikardo Office. "The Implementation of People's Sovereignty in General Elections in Indonesia Based on the 1945 Constitution of the Republic of Indonesia." </w:t>
      </w:r>
      <w:r w:rsidRPr="00312803">
        <w:rPr>
          <w:rFonts w:ascii="Book Antiqua" w:hAnsi="Book Antiqua" w:cs="Calibri"/>
          <w:i/>
          <w:iCs/>
          <w:noProof/>
          <w:sz w:val="24"/>
          <w:szCs w:val="24"/>
        </w:rPr>
        <w:t>Journal of Martial Law</w:t>
      </w:r>
      <w:r w:rsidRPr="00312803">
        <w:rPr>
          <w:rFonts w:ascii="Book Antiqua" w:hAnsi="Book Antiqua" w:cs="Calibri"/>
          <w:noProof/>
          <w:sz w:val="24"/>
          <w:szCs w:val="24"/>
        </w:rPr>
        <w:t xml:space="preserve"> 6, no. 1 (2020): 51–71. Https://Doi.Org/10.31599/Sasana.V6i1.228.</w:t>
      </w:r>
    </w:p>
    <w:p w14:paraId="160449D1"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Rahman, Kholilur. "The Problem of Regulating Forced Arrests of Perpetrators of Narcotics Crimes." </w:t>
      </w:r>
      <w:r w:rsidRPr="00312803">
        <w:rPr>
          <w:rFonts w:ascii="Book Antiqua" w:hAnsi="Book Antiqua" w:cs="Calibri"/>
          <w:i/>
          <w:iCs/>
          <w:noProof/>
          <w:sz w:val="24"/>
          <w:szCs w:val="24"/>
        </w:rPr>
        <w:t>Journal of Law Ius Quia Iustum</w:t>
      </w:r>
      <w:r w:rsidRPr="00312803">
        <w:rPr>
          <w:rFonts w:ascii="Book Antiqua" w:hAnsi="Book Antiqua" w:cs="Calibri"/>
          <w:noProof/>
          <w:sz w:val="24"/>
          <w:szCs w:val="24"/>
        </w:rPr>
        <w:t xml:space="preserve"> 27, No. 3 (2020): 481–500. Https://Doi.Org/10.20885/Iustum.Vol27.Iss3.Art3.</w:t>
      </w:r>
    </w:p>
    <w:p w14:paraId="3D90871B"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Rahmatullah, always. "Hoax in the Perspective of Indonesian Law." </w:t>
      </w:r>
      <w:r w:rsidRPr="00312803">
        <w:rPr>
          <w:rFonts w:ascii="Book Antiqua" w:hAnsi="Book Antiqua" w:cs="Calibri"/>
          <w:i/>
          <w:iCs/>
          <w:noProof/>
          <w:sz w:val="24"/>
          <w:szCs w:val="24"/>
        </w:rPr>
        <w:t>Journal of Media Law Justitia Nusantara</w:t>
      </w:r>
      <w:r w:rsidRPr="00312803">
        <w:rPr>
          <w:rFonts w:ascii="Book Antiqua" w:hAnsi="Book Antiqua" w:cs="Calibri"/>
          <w:noProof/>
          <w:sz w:val="24"/>
          <w:szCs w:val="24"/>
        </w:rPr>
        <w:t xml:space="preserve"> 8, No. 2 (2018): 103–11. Http://Ojs.Uninus.Ac.Id/Index.Php/Mjn/Article/View/673/457%0ahttp://Ojs.Uninus.Ac.Id/Index.Php/Mjn/Article/View/673.</w:t>
      </w:r>
    </w:p>
    <w:p w14:paraId="6C9BE8C7"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Rahmatunnisa, Mudiyati. "Why Is Election Integrity Important?" </w:t>
      </w:r>
      <w:r w:rsidRPr="00312803">
        <w:rPr>
          <w:rFonts w:ascii="Book Antiqua" w:hAnsi="Book Antiqua" w:cs="Calibri"/>
          <w:i/>
          <w:iCs/>
          <w:noProof/>
          <w:sz w:val="24"/>
          <w:szCs w:val="24"/>
        </w:rPr>
        <w:t>Journal of Bawaslu</w:t>
      </w:r>
      <w:r w:rsidRPr="00312803">
        <w:rPr>
          <w:rFonts w:ascii="Book Antiqua" w:hAnsi="Book Antiqua" w:cs="Calibri"/>
          <w:noProof/>
          <w:sz w:val="24"/>
          <w:szCs w:val="24"/>
        </w:rPr>
        <w:t xml:space="preserve"> 3, No. 1 (2017): 1–11.</w:t>
      </w:r>
    </w:p>
    <w:p w14:paraId="343E0F8F"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Saragih, Geofani Milthree. "Comparison of Indonesian and British Constitutions from Various Aspects." </w:t>
      </w:r>
      <w:r w:rsidRPr="00312803">
        <w:rPr>
          <w:rFonts w:ascii="Book Antiqua" w:hAnsi="Book Antiqua" w:cs="Calibri"/>
          <w:i/>
          <w:iCs/>
          <w:noProof/>
          <w:sz w:val="24"/>
          <w:szCs w:val="24"/>
        </w:rPr>
        <w:t xml:space="preserve">Reusam Journal of Law </w:t>
      </w:r>
      <w:r w:rsidRPr="00312803">
        <w:rPr>
          <w:rFonts w:ascii="Book Antiqua" w:hAnsi="Book Antiqua" w:cs="Calibri"/>
          <w:noProof/>
          <w:sz w:val="24"/>
          <w:szCs w:val="24"/>
        </w:rPr>
        <w:t xml:space="preserve"> 10, No. 2 (2022): 201–14. Https://Ojs.Unimal.Ac.Id/Reusam/Article/View/10440.</w:t>
      </w:r>
    </w:p>
    <w:p w14:paraId="4BE79EC4"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Sholihin, Misbakhus, and Iskandar Wibawa. "The Problem of Legal Substance in Election Law Enforcement." </w:t>
      </w:r>
      <w:r w:rsidRPr="00312803">
        <w:rPr>
          <w:rFonts w:ascii="Book Antiqua" w:hAnsi="Book Antiqua" w:cs="Calibri"/>
          <w:i/>
          <w:iCs/>
          <w:noProof/>
          <w:sz w:val="24"/>
          <w:szCs w:val="24"/>
        </w:rPr>
        <w:t>Legalite : Journal of Islamic Laws and Criminal Law</w:t>
      </w:r>
      <w:r w:rsidRPr="00312803">
        <w:rPr>
          <w:rFonts w:ascii="Book Antiqua" w:hAnsi="Book Antiqua" w:cs="Calibri"/>
          <w:noProof/>
          <w:sz w:val="24"/>
          <w:szCs w:val="24"/>
        </w:rPr>
        <w:t xml:space="preserve"> 8, no. 2 (2023): 91–105. Https://Doi.Org/10.32505/Legalite.V8i2.6890.</w:t>
      </w:r>
    </w:p>
    <w:p w14:paraId="0FC2996D"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Siagian, Abdhy Walid, Habib Ferian Fajar, and Rozin Falih Alify. "The Constitutionality of Postponing the Implementation of the 2024 General Election." </w:t>
      </w:r>
      <w:r w:rsidRPr="00312803">
        <w:rPr>
          <w:rFonts w:ascii="Book Antiqua" w:hAnsi="Book Antiqua" w:cs="Calibri"/>
          <w:i/>
          <w:iCs/>
          <w:noProof/>
          <w:sz w:val="24"/>
          <w:szCs w:val="24"/>
        </w:rPr>
        <w:t>Journal of Legislative</w:t>
      </w:r>
      <w:r w:rsidRPr="00312803">
        <w:rPr>
          <w:rFonts w:ascii="Book Antiqua" w:hAnsi="Book Antiqua" w:cs="Calibri"/>
          <w:noProof/>
          <w:sz w:val="24"/>
          <w:szCs w:val="24"/>
        </w:rPr>
        <w:t xml:space="preserve"> 5, No. 2 (2022): 101–14. Https://Www.Bbc.Com/Indonesia/Indonesia-60561290.</w:t>
      </w:r>
    </w:p>
    <w:p w14:paraId="3784A45E"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Soponyono, Eko. "Policy on the Formulation of a Victim-Oriented Criminal System." </w:t>
      </w:r>
      <w:r w:rsidRPr="00312803">
        <w:rPr>
          <w:rFonts w:ascii="Book Antiqua" w:hAnsi="Book Antiqua" w:cs="Calibri"/>
          <w:i/>
          <w:iCs/>
          <w:noProof/>
          <w:sz w:val="24"/>
          <w:szCs w:val="24"/>
        </w:rPr>
        <w:t>Legal Issues</w:t>
      </w:r>
      <w:r w:rsidRPr="00312803">
        <w:rPr>
          <w:rFonts w:ascii="Book Antiqua" w:hAnsi="Book Antiqua" w:cs="Calibri"/>
          <w:noProof/>
          <w:sz w:val="24"/>
          <w:szCs w:val="24"/>
        </w:rPr>
        <w:t xml:space="preserve"> 41, No. 1 (2012): 29–41.</w:t>
      </w:r>
    </w:p>
    <w:p w14:paraId="76A285B5"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Susilo, T. "The Design of the Judicial Institution for Regional Head Election Disputes in Indonesia to Realize Democratic Justice and Constitutional Justice." </w:t>
      </w:r>
      <w:r w:rsidRPr="00312803">
        <w:rPr>
          <w:rFonts w:ascii="Book Antiqua" w:hAnsi="Book Antiqua" w:cs="Calibri"/>
          <w:i/>
          <w:iCs/>
          <w:noProof/>
          <w:sz w:val="24"/>
          <w:szCs w:val="24"/>
        </w:rPr>
        <w:t>Al-Manhaj: Journal of Law and Institutions...</w:t>
      </w:r>
      <w:r w:rsidRPr="00312803">
        <w:rPr>
          <w:rFonts w:ascii="Book Antiqua" w:hAnsi="Book Antiqua" w:cs="Calibri"/>
          <w:noProof/>
          <w:sz w:val="24"/>
          <w:szCs w:val="24"/>
        </w:rPr>
        <w:t xml:space="preserve"> 5, no. 1 (2023): 899–906. Https://Doi.Org/10.37680/Almanhaj.V5i1.2844.</w:t>
      </w:r>
    </w:p>
    <w:p w14:paraId="53F06F9B"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Tosza, Stanisław. "Internet Service Providers As Law Enforcers And Adjudicators. A Public Role Of Private Actors." </w:t>
      </w:r>
      <w:r w:rsidRPr="00312803">
        <w:rPr>
          <w:rFonts w:ascii="Book Antiqua" w:hAnsi="Book Antiqua" w:cs="Calibri"/>
          <w:i/>
          <w:iCs/>
          <w:noProof/>
          <w:sz w:val="24"/>
          <w:szCs w:val="24"/>
        </w:rPr>
        <w:t>Computer Law And Security Review</w:t>
      </w:r>
      <w:r w:rsidRPr="00312803">
        <w:rPr>
          <w:rFonts w:ascii="Book Antiqua" w:hAnsi="Book Antiqua" w:cs="Calibri"/>
          <w:noProof/>
          <w:sz w:val="24"/>
          <w:szCs w:val="24"/>
        </w:rPr>
        <w:t xml:space="preserve"> 43 (2021): 105614. Https://Doi.Org/10.1016/J.Clsr.2021.105614.</w:t>
      </w:r>
    </w:p>
    <w:p w14:paraId="49F67B14"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lastRenderedPageBreak/>
        <w:t xml:space="preserve">Wardhana, Allan Fatchan. "The Implications of the Constitutional Court Decision Number 92/PUU-XIV/2016 on the Independence of the General Election Commission." </w:t>
      </w:r>
      <w:r w:rsidRPr="00312803">
        <w:rPr>
          <w:rFonts w:ascii="Book Antiqua" w:hAnsi="Book Antiqua" w:cs="Calibri"/>
          <w:i/>
          <w:iCs/>
          <w:noProof/>
          <w:sz w:val="24"/>
          <w:szCs w:val="24"/>
        </w:rPr>
        <w:t>Law: Journal of Law</w:t>
      </w:r>
      <w:r w:rsidRPr="00312803">
        <w:rPr>
          <w:rFonts w:ascii="Book Antiqua" w:hAnsi="Book Antiqua" w:cs="Calibri"/>
          <w:noProof/>
          <w:sz w:val="24"/>
          <w:szCs w:val="24"/>
        </w:rPr>
        <w:t xml:space="preserve"> 1, No. 1 (2018): 1–20. Https://Doi.Org/10.22437/Ujh.1.1.1-20.</w:t>
      </w:r>
    </w:p>
    <w:p w14:paraId="0FDC8C14"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Wijaya, Henri. "Measuring the degree of legal certainty in elections in Law Number 7 of 2017." </w:t>
      </w:r>
      <w:r w:rsidRPr="00312803">
        <w:rPr>
          <w:rFonts w:ascii="Book Antiqua" w:hAnsi="Book Antiqua" w:cs="Calibri"/>
          <w:i/>
          <w:iCs/>
          <w:noProof/>
          <w:sz w:val="24"/>
          <w:szCs w:val="24"/>
        </w:rPr>
        <w:t>Scientific Journal of Social Dynamics</w:t>
      </w:r>
      <w:r w:rsidRPr="00312803">
        <w:rPr>
          <w:rFonts w:ascii="Book Antiqua" w:hAnsi="Book Antiqua" w:cs="Calibri"/>
          <w:noProof/>
          <w:sz w:val="24"/>
          <w:szCs w:val="24"/>
        </w:rPr>
        <w:t xml:space="preserve"> 4, no. 1 (2020): 82. Https://Doi.Org/10.38043/Jids.V4i1.2276.</w:t>
      </w:r>
    </w:p>
    <w:p w14:paraId="1AF69EA1" w14:textId="77777777" w:rsidR="00312803" w:rsidRPr="00312803" w:rsidRDefault="00312803" w:rsidP="00312803">
      <w:pPr>
        <w:pStyle w:val="ListParagraph"/>
        <w:spacing w:after="120"/>
        <w:ind w:left="567" w:hanging="567"/>
        <w:jc w:val="both"/>
        <w:rPr>
          <w:rFonts w:ascii="Book Antiqua" w:hAnsi="Book Antiqua" w:cs="Calibri"/>
          <w:noProof/>
          <w:sz w:val="24"/>
          <w:szCs w:val="24"/>
        </w:rPr>
      </w:pPr>
      <w:r w:rsidRPr="00312803">
        <w:rPr>
          <w:rFonts w:ascii="Book Antiqua" w:hAnsi="Book Antiqua" w:cs="Calibri"/>
          <w:noProof/>
          <w:sz w:val="24"/>
          <w:szCs w:val="24"/>
        </w:rPr>
        <w:t xml:space="preserve">Zakariya, Rizki. "Optimizing Environmental Criminal Law Enforcement Through Definitive Judges' Decisions." </w:t>
      </w:r>
      <w:r w:rsidRPr="00312803">
        <w:rPr>
          <w:rFonts w:ascii="Book Antiqua" w:hAnsi="Book Antiqua" w:cs="Calibri"/>
          <w:i/>
          <w:iCs/>
          <w:noProof/>
          <w:sz w:val="24"/>
          <w:szCs w:val="24"/>
        </w:rPr>
        <w:t>Journal of Sharia Economic Law</w:t>
      </w:r>
      <w:r w:rsidRPr="00312803">
        <w:rPr>
          <w:rFonts w:ascii="Book Antiqua" w:hAnsi="Book Antiqua" w:cs="Calibri"/>
          <w:noProof/>
          <w:sz w:val="24"/>
          <w:szCs w:val="24"/>
        </w:rPr>
        <w:t xml:space="preserve"> 4, No. 1 (2021): 117. Https://Doi.Org/10.30595/Jhes.V4i1.9897.</w:t>
      </w:r>
    </w:p>
    <w:p w14:paraId="02304548" w14:textId="77777777" w:rsidR="00312803" w:rsidRPr="00312803" w:rsidRDefault="00312803" w:rsidP="00312803">
      <w:pPr>
        <w:pStyle w:val="ListParagraph"/>
        <w:spacing w:after="120" w:line="240" w:lineRule="auto"/>
        <w:ind w:left="567" w:hanging="567"/>
        <w:jc w:val="both"/>
        <w:rPr>
          <w:rFonts w:ascii="Book Antiqua" w:hAnsi="Book Antiqua" w:cs="Calibri"/>
          <w:noProof/>
          <w:sz w:val="24"/>
          <w:szCs w:val="24"/>
        </w:rPr>
      </w:pPr>
      <w:r w:rsidRPr="00312803">
        <w:rPr>
          <w:rFonts w:ascii="Book Antiqua" w:hAnsi="Book Antiqua" w:cs="Calibri"/>
          <w:noProof/>
          <w:sz w:val="24"/>
          <w:szCs w:val="24"/>
        </w:rPr>
        <w:fldChar w:fldCharType="end"/>
      </w:r>
    </w:p>
    <w:p w14:paraId="45063CFC" w14:textId="77777777" w:rsidR="00B36F1C" w:rsidRPr="00B96E8B"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1B5E560F" w14:textId="77777777" w:rsidR="00B36F1C" w:rsidRPr="00B96E8B"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0D182E02" w14:textId="77777777" w:rsidR="00B36F1C" w:rsidRPr="00B96E8B"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73A9AACF" w14:textId="77777777" w:rsidR="00B36F1C" w:rsidRPr="00B96E8B"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4F0ACE38" w14:textId="77777777" w:rsidR="00B36F1C" w:rsidRPr="00B96E8B"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6C962078" w14:textId="77777777" w:rsidR="004A3361" w:rsidRPr="00B96E8B" w:rsidRDefault="004A3361" w:rsidP="004A3361">
      <w:pPr>
        <w:pStyle w:val="ListParagraph"/>
        <w:spacing w:after="120" w:line="240" w:lineRule="auto"/>
        <w:ind w:left="0"/>
        <w:contextualSpacing w:val="0"/>
        <w:jc w:val="both"/>
        <w:rPr>
          <w:rFonts w:ascii="Book Antiqua" w:hAnsi="Book Antiqua" w:cs="Calibri"/>
          <w:noProof/>
          <w:sz w:val="24"/>
          <w:szCs w:val="24"/>
        </w:rPr>
      </w:pPr>
    </w:p>
    <w:p w14:paraId="56688B89" w14:textId="77777777" w:rsidR="003C532A" w:rsidRPr="00B96E8B"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03BDEF00" w14:textId="77777777" w:rsidR="003C532A" w:rsidRPr="00B96E8B"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28867984" w14:textId="77777777" w:rsidR="003C532A" w:rsidRPr="00B96E8B"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49F07E5E" w14:textId="77777777" w:rsidR="003C532A" w:rsidRPr="00B96E8B"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2A2CA594" w14:textId="77777777" w:rsidR="00B36F1C"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r w:rsidRPr="00E05BD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0DD8F8E8"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57D1A376"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2078D523"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56956F70"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DE0FFB8"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7BBEFC20"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68DB3FFF"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E331AE3"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499B5CF7"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684A5C26"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07BE17A4"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229DAF65"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165E6DBE"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FA4C068"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E7619F8"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03CEFDD0"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6EBC950"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0E96D71C"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4BC706DE"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D5F473E"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B3CF223"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C21EFAC"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CF473D9"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90D27EB" w14:textId="77777777" w:rsidR="00E05BDD" w:rsidRPr="00B96E8B" w:rsidRDefault="00A72281" w:rsidP="00F2670C">
      <w:pPr>
        <w:pStyle w:val="ListParagraph"/>
        <w:spacing w:after="120" w:line="240" w:lineRule="auto"/>
        <w:ind w:left="567" w:hanging="567"/>
        <w:contextualSpacing w:val="0"/>
        <w:jc w:val="both"/>
        <w:rPr>
          <w:rFonts w:ascii="Book Antiqua" w:hAnsi="Book Antiqua"/>
          <w:b/>
          <w:lang w:eastAsia="fi-FI" w:bidi="ar-SA"/>
        </w:rPr>
      </w:pPr>
      <w:r w:rsidRPr="00A72281">
        <w:rPr>
          <w:rFonts w:ascii="Book Antiqua" w:hAnsi="Book Antiqua"/>
          <w:b/>
          <w:noProof/>
          <w:lang w:bidi="ar-SA"/>
        </w:rPr>
        <w:drawing>
          <wp:anchor distT="0" distB="0" distL="114300" distR="114300" simplePos="0" relativeHeight="251696128" behindDoc="0" locked="0" layoutInCell="1" allowOverlap="1" wp14:anchorId="7A7154DC" wp14:editId="68D16EDC">
            <wp:simplePos x="0" y="0"/>
            <wp:positionH relativeFrom="column">
              <wp:posOffset>451485</wp:posOffset>
            </wp:positionH>
            <wp:positionV relativeFrom="paragraph">
              <wp:posOffset>213995</wp:posOffset>
            </wp:positionV>
            <wp:extent cx="5295900" cy="1352550"/>
            <wp:effectExtent l="0" t="0" r="0" b="0"/>
            <wp:wrapNone/>
            <wp:docPr id="6" name="Picture 6" descr="E:\FileKu\JURNAL FH UNPATTI\SASI\Conflict of Interest 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leKu\JURNAL FH UNPATTI\SASI\Conflict of Interest 202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590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14547"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98B85A4"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892BE0B" w14:textId="77777777" w:rsidR="00E05BDD" w:rsidRPr="00B96E8B" w:rsidRDefault="00E05BDD" w:rsidP="00F2670C">
      <w:pPr>
        <w:pStyle w:val="ListParagraph"/>
        <w:spacing w:after="120" w:line="240" w:lineRule="auto"/>
        <w:ind w:left="567" w:hanging="567"/>
        <w:contextualSpacing w:val="0"/>
        <w:jc w:val="both"/>
        <w:rPr>
          <w:rFonts w:ascii="Book Antiqua" w:hAnsi="Book Antiqua"/>
          <w:b/>
          <w:lang w:eastAsia="fi-FI" w:bidi="ar-SA"/>
        </w:rPr>
      </w:pPr>
    </w:p>
    <w:sectPr w:rsidR="00E05BDD" w:rsidRPr="00B96E8B" w:rsidSect="000572B7">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851" w:footer="1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49C3" w14:textId="77777777" w:rsidR="00070E39" w:rsidRDefault="00070E39" w:rsidP="00934130">
      <w:pPr>
        <w:spacing w:after="0" w:line="240" w:lineRule="auto"/>
      </w:pPr>
      <w:r>
        <w:separator/>
      </w:r>
    </w:p>
  </w:endnote>
  <w:endnote w:type="continuationSeparator" w:id="0">
    <w:p w14:paraId="199F14C8" w14:textId="77777777" w:rsidR="00070E39" w:rsidRDefault="00070E39"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panose1 w:val="02000500020000000000"/>
    <w:charset w:val="00"/>
    <w:family w:val="auto"/>
    <w:pitch w:val="variable"/>
    <w:sig w:usb0="80008003" w:usb1="1000C0C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75166"/>
      <w:docPartObj>
        <w:docPartGallery w:val="Page Numbers (Bottom of Page)"/>
        <w:docPartUnique/>
      </w:docPartObj>
    </w:sdtPr>
    <w:sdtEndPr>
      <w:rPr>
        <w:color w:val="7F7F7F" w:themeColor="background1" w:themeShade="7F"/>
        <w:spacing w:val="60"/>
      </w:rPr>
    </w:sdtEndPr>
    <w:sdtContent>
      <w:p w14:paraId="681CD113" w14:textId="77777777" w:rsidR="00332B9B" w:rsidRPr="00F11C7E" w:rsidRDefault="00F505F5" w:rsidP="00F11C7E">
        <w:pPr>
          <w:pStyle w:val="Footer"/>
          <w:pBdr>
            <w:top w:val="single" w:sz="4" w:space="1" w:color="D9D9D9" w:themeColor="background1" w:themeShade="D9"/>
          </w:pBdr>
          <w:tabs>
            <w:tab w:val="left" w:pos="567"/>
          </w:tabs>
          <w:spacing w:after="120"/>
          <w:ind w:left="567" w:hanging="567"/>
          <w:rPr>
            <w:b/>
            <w:bCs/>
          </w:rPr>
        </w:pPr>
        <w:r w:rsidRPr="004B3AE2">
          <w:rPr>
            <w:rFonts w:ascii="Book Antiqua" w:hAnsi="Book Antiqua"/>
            <w:b/>
            <w:color w:val="FF0000"/>
            <w:sz w:val="28"/>
          </w:rPr>
          <w:fldChar w:fldCharType="begin"/>
        </w:r>
        <w:r w:rsidRPr="004B3AE2">
          <w:rPr>
            <w:rFonts w:ascii="Book Antiqua" w:hAnsi="Book Antiqua"/>
            <w:b/>
            <w:color w:val="FF0000"/>
            <w:sz w:val="28"/>
          </w:rPr>
          <w:instrText xml:space="preserve"> PAGE   \* MERGEFORMAT </w:instrText>
        </w:r>
        <w:r w:rsidRPr="004B3AE2">
          <w:rPr>
            <w:rFonts w:ascii="Book Antiqua" w:hAnsi="Book Antiqua"/>
            <w:b/>
            <w:color w:val="FF0000"/>
            <w:sz w:val="28"/>
          </w:rPr>
          <w:fldChar w:fldCharType="separate"/>
        </w:r>
        <w:r w:rsidR="00D57DFC" w:rsidRPr="00D57DFC">
          <w:rPr>
            <w:rFonts w:ascii="Book Antiqua" w:hAnsi="Book Antiqua"/>
            <w:b/>
            <w:bCs/>
            <w:noProof/>
            <w:color w:val="FF0000"/>
            <w:sz w:val="28"/>
          </w:rPr>
          <w:t>4</w:t>
        </w:r>
        <w:r w:rsidRPr="004B3AE2">
          <w:rPr>
            <w:rFonts w:ascii="Book Antiqua" w:hAnsi="Book Antiqua"/>
            <w:b/>
            <w:bCs/>
            <w:noProof/>
            <w:color w:val="FF0000"/>
            <w:sz w:val="28"/>
          </w:rPr>
          <w:fldChar w:fldCharType="end"/>
        </w:r>
        <w:r w:rsidRPr="0038264A">
          <w:rPr>
            <w:b/>
            <w:bCs/>
            <w:color w:val="1F3864" w:themeColor="accent1" w:themeShade="80"/>
            <w:sz w:val="24"/>
          </w:rPr>
          <w:t xml:space="preserve"> </w:t>
        </w:r>
        <w:proofErr w:type="gramStart"/>
        <w:r>
          <w:rPr>
            <w:b/>
            <w:bCs/>
          </w:rPr>
          <w:t xml:space="preserve">| </w:t>
        </w:r>
        <w:r w:rsidR="00F11C7E">
          <w:rPr>
            <w:b/>
            <w:bCs/>
          </w:rPr>
          <w:t xml:space="preserve"> </w:t>
        </w:r>
        <w:r w:rsidR="00F11C7E">
          <w:rPr>
            <w:b/>
            <w:bCs/>
          </w:rPr>
          <w:tab/>
        </w:r>
        <w:proofErr w:type="gramEnd"/>
      </w:p>
    </w:sdtContent>
  </w:sdt>
  <w:p w14:paraId="348DA330" w14:textId="77777777" w:rsidR="00334F9D" w:rsidRPr="00185CD9" w:rsidRDefault="00334F9D" w:rsidP="00332B9B">
    <w:pPr>
      <w:pStyle w:val="Footer"/>
      <w:spacing w:after="40"/>
      <w:jc w:val="right"/>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348651"/>
      <w:docPartObj>
        <w:docPartGallery w:val="Page Numbers (Bottom of Page)"/>
        <w:docPartUnique/>
      </w:docPartObj>
    </w:sdtPr>
    <w:sdtEndPr>
      <w:rPr>
        <w:color w:val="7F7F7F" w:themeColor="background1" w:themeShade="7F"/>
        <w:spacing w:val="60"/>
      </w:rPr>
    </w:sdtEndPr>
    <w:sdtContent>
      <w:p w14:paraId="5D5F4606" w14:textId="77777777" w:rsidR="00716F9B" w:rsidRDefault="00F505F5" w:rsidP="00C14BB6">
        <w:pPr>
          <w:pStyle w:val="Footer"/>
          <w:pBdr>
            <w:top w:val="single" w:sz="4" w:space="1" w:color="D9D9D9" w:themeColor="background1" w:themeShade="D9"/>
          </w:pBdr>
          <w:tabs>
            <w:tab w:val="left" w:pos="426"/>
          </w:tabs>
          <w:spacing w:before="120"/>
          <w:ind w:left="993" w:hanging="993"/>
          <w:jc w:val="both"/>
          <w:rPr>
            <w:rFonts w:ascii="Book Antiqua" w:hAnsi="Book Antiqua"/>
            <w:bCs/>
            <w:sz w:val="16"/>
            <w:szCs w:val="16"/>
          </w:rPr>
        </w:pPr>
        <w:r w:rsidRPr="000C1C1E">
          <w:rPr>
            <w:rFonts w:ascii="Book Antiqua" w:hAnsi="Book Antiqua"/>
            <w:b/>
            <w:color w:val="FFFFFF" w:themeColor="background1"/>
            <w:sz w:val="26"/>
            <w:szCs w:val="26"/>
            <w:highlight w:val="black"/>
            <w:shd w:val="clear" w:color="auto" w:fill="FFFFFF" w:themeFill="background1"/>
          </w:rPr>
          <w:fldChar w:fldCharType="begin"/>
        </w:r>
        <w:r w:rsidRPr="000C1C1E">
          <w:rPr>
            <w:rFonts w:ascii="Book Antiqua" w:hAnsi="Book Antiqua"/>
            <w:b/>
            <w:color w:val="FFFFFF" w:themeColor="background1"/>
            <w:sz w:val="26"/>
            <w:szCs w:val="26"/>
            <w:highlight w:val="black"/>
            <w:shd w:val="clear" w:color="auto" w:fill="FFFFFF" w:themeFill="background1"/>
          </w:rPr>
          <w:instrText xml:space="preserve"> PAGE   \* MERGEFORMAT </w:instrText>
        </w:r>
        <w:r w:rsidRPr="000C1C1E">
          <w:rPr>
            <w:rFonts w:ascii="Book Antiqua" w:hAnsi="Book Antiqua"/>
            <w:b/>
            <w:color w:val="FFFFFF" w:themeColor="background1"/>
            <w:sz w:val="26"/>
            <w:szCs w:val="26"/>
            <w:highlight w:val="black"/>
            <w:shd w:val="clear" w:color="auto" w:fill="FFFFFF" w:themeFill="background1"/>
          </w:rPr>
          <w:fldChar w:fldCharType="separate"/>
        </w:r>
        <w:r w:rsidR="003D5875" w:rsidRPr="003D5875">
          <w:rPr>
            <w:rFonts w:ascii="Book Antiqua" w:hAnsi="Book Antiqua"/>
            <w:b/>
            <w:bCs/>
            <w:noProof/>
            <w:color w:val="FFFFFF" w:themeColor="background1"/>
            <w:sz w:val="26"/>
            <w:szCs w:val="26"/>
            <w:highlight w:val="black"/>
            <w:shd w:val="clear" w:color="auto" w:fill="FFFFFF" w:themeFill="background1"/>
          </w:rPr>
          <w:t>1</w:t>
        </w:r>
        <w:r w:rsidRPr="000C1C1E">
          <w:rPr>
            <w:rFonts w:ascii="Book Antiqua" w:hAnsi="Book Antiqua"/>
            <w:b/>
            <w:bCs/>
            <w:noProof/>
            <w:color w:val="FFFFFF" w:themeColor="background1"/>
            <w:sz w:val="26"/>
            <w:szCs w:val="26"/>
            <w:highlight w:val="black"/>
            <w:shd w:val="clear" w:color="auto" w:fill="FFFFFF" w:themeFill="background1"/>
          </w:rPr>
          <w:fldChar w:fldCharType="end"/>
        </w:r>
        <w:r w:rsidRPr="0038264A">
          <w:rPr>
            <w:b/>
            <w:bCs/>
            <w:sz w:val="24"/>
          </w:rPr>
          <w:t xml:space="preserve"> </w:t>
        </w:r>
        <w:r w:rsidR="00B550DD">
          <w:rPr>
            <w:b/>
            <w:bCs/>
          </w:rPr>
          <w:t>|</w:t>
        </w:r>
        <w:r w:rsidR="00B550DD">
          <w:rPr>
            <w:b/>
            <w:bCs/>
          </w:rPr>
          <w:tab/>
        </w:r>
        <w:r w:rsidR="00164B5C" w:rsidRPr="009807F2">
          <w:rPr>
            <w:rFonts w:ascii="Book Antiqua" w:hAnsi="Book Antiqua" w:cstheme="majorHAnsi"/>
            <w:color w:val="000000" w:themeColor="text1"/>
            <w:sz w:val="16"/>
            <w:szCs w:val="16"/>
          </w:rPr>
          <w:t xml:space="preserve">Sarah </w:t>
        </w:r>
        <w:proofErr w:type="spellStart"/>
        <w:r w:rsidR="00164B5C" w:rsidRPr="009807F2">
          <w:rPr>
            <w:rFonts w:ascii="Book Antiqua" w:hAnsi="Book Antiqua" w:cstheme="majorHAnsi"/>
            <w:color w:val="000000" w:themeColor="text1"/>
            <w:sz w:val="16"/>
            <w:szCs w:val="16"/>
          </w:rPr>
          <w:t>Selvina</w:t>
        </w:r>
        <w:proofErr w:type="spellEnd"/>
        <w:r w:rsidR="00164B5C" w:rsidRPr="009807F2">
          <w:rPr>
            <w:rFonts w:ascii="Book Antiqua" w:hAnsi="Book Antiqua"/>
            <w:sz w:val="16"/>
            <w:szCs w:val="16"/>
          </w:rPr>
          <w:t xml:space="preserve"> </w:t>
        </w:r>
        <w:proofErr w:type="spellStart"/>
        <w:r w:rsidR="00164B5C" w:rsidRPr="009807F2">
          <w:rPr>
            <w:rFonts w:ascii="Book Antiqua" w:hAnsi="Book Antiqua"/>
            <w:sz w:val="16"/>
            <w:szCs w:val="16"/>
          </w:rPr>
          <w:t>Kuahaty</w:t>
        </w:r>
        <w:proofErr w:type="spellEnd"/>
        <w:r w:rsidR="00164B5C" w:rsidRPr="009807F2">
          <w:rPr>
            <w:rFonts w:ascii="Book Antiqua" w:hAnsi="Book Antiqua" w:cstheme="majorHAnsi"/>
            <w:color w:val="000000" w:themeColor="text1"/>
            <w:sz w:val="16"/>
            <w:szCs w:val="16"/>
          </w:rPr>
          <w:t>,</w:t>
        </w:r>
        <w:r w:rsidR="00164B5C">
          <w:rPr>
            <w:rFonts w:ascii="Book Antiqua" w:hAnsi="Book Antiqua" w:cstheme="majorHAnsi"/>
            <w:color w:val="000000" w:themeColor="text1"/>
            <w:sz w:val="16"/>
            <w:szCs w:val="16"/>
          </w:rPr>
          <w:t xml:space="preserve"> </w:t>
        </w:r>
        <w:r w:rsidR="00164B5C" w:rsidRPr="009807F2">
          <w:rPr>
            <w:rFonts w:ascii="Book Antiqua" w:hAnsi="Book Antiqua" w:cstheme="majorHAnsi"/>
            <w:color w:val="000000" w:themeColor="text1"/>
            <w:sz w:val="16"/>
            <w:szCs w:val="16"/>
          </w:rPr>
          <w:t xml:space="preserve">Muchtar </w:t>
        </w:r>
        <w:proofErr w:type="spellStart"/>
        <w:r w:rsidR="00164B5C" w:rsidRPr="009807F2">
          <w:rPr>
            <w:rFonts w:ascii="Book Antiqua" w:hAnsi="Book Antiqua" w:cstheme="majorHAnsi"/>
            <w:color w:val="000000" w:themeColor="text1"/>
            <w:sz w:val="16"/>
            <w:szCs w:val="16"/>
          </w:rPr>
          <w:t>Anshary</w:t>
        </w:r>
        <w:proofErr w:type="spellEnd"/>
        <w:r w:rsidR="00164B5C" w:rsidRPr="009807F2">
          <w:rPr>
            <w:rFonts w:ascii="Book Antiqua" w:hAnsi="Book Antiqua" w:cstheme="majorHAnsi"/>
            <w:color w:val="000000" w:themeColor="text1"/>
            <w:sz w:val="16"/>
            <w:szCs w:val="16"/>
          </w:rPr>
          <w:t xml:space="preserve"> Hamid </w:t>
        </w:r>
        <w:proofErr w:type="spellStart"/>
        <w:r w:rsidR="00164B5C" w:rsidRPr="009807F2">
          <w:rPr>
            <w:rFonts w:ascii="Book Antiqua" w:hAnsi="Book Antiqua" w:cstheme="majorHAnsi"/>
            <w:color w:val="000000" w:themeColor="text1"/>
            <w:sz w:val="16"/>
            <w:szCs w:val="16"/>
          </w:rPr>
          <w:t>Labetubun</w:t>
        </w:r>
        <w:proofErr w:type="spellEnd"/>
        <w:r w:rsidR="00164B5C" w:rsidRPr="009807F2">
          <w:rPr>
            <w:rFonts w:ascii="Book Antiqua" w:hAnsi="Book Antiqua" w:cstheme="majorHAnsi"/>
            <w:color w:val="000000" w:themeColor="text1"/>
            <w:sz w:val="16"/>
            <w:szCs w:val="16"/>
          </w:rPr>
          <w:t xml:space="preserve">, and Rory Jeff </w:t>
        </w:r>
        <w:proofErr w:type="spellStart"/>
        <w:r w:rsidR="00164B5C" w:rsidRPr="009807F2">
          <w:rPr>
            <w:rFonts w:ascii="Book Antiqua" w:hAnsi="Book Antiqua" w:cstheme="majorHAnsi"/>
            <w:color w:val="000000" w:themeColor="text1"/>
            <w:sz w:val="16"/>
            <w:szCs w:val="16"/>
          </w:rPr>
          <w:t>Akyuwen</w:t>
        </w:r>
        <w:proofErr w:type="spellEnd"/>
        <w:r w:rsidR="00164B5C" w:rsidRPr="009807F2">
          <w:rPr>
            <w:rFonts w:ascii="Book Antiqua" w:hAnsi="Book Antiqua" w:cstheme="majorHAnsi"/>
            <w:color w:val="000000" w:themeColor="text1"/>
            <w:sz w:val="16"/>
            <w:szCs w:val="16"/>
          </w:rPr>
          <w:t>. “</w:t>
        </w:r>
        <w:r w:rsidR="00164B5C" w:rsidRPr="00164B5C">
          <w:rPr>
            <w:rFonts w:ascii="Book Antiqua" w:hAnsi="Book Antiqua"/>
            <w:i/>
            <w:noProof/>
            <w:sz w:val="16"/>
            <w:szCs w:val="16"/>
          </w:rPr>
          <w:t>A Legal Awareness of Copyright on Regional Song Creators</w:t>
        </w:r>
        <w:r w:rsidR="00B550DD">
          <w:rPr>
            <w:rFonts w:ascii="Book Antiqua" w:hAnsi="Book Antiqua"/>
            <w:bCs/>
            <w:sz w:val="16"/>
            <w:szCs w:val="16"/>
          </w:rPr>
          <w:t>”</w:t>
        </w:r>
      </w:p>
      <w:p w14:paraId="2B0E33A4" w14:textId="77777777" w:rsidR="00716F9B" w:rsidRPr="00E54AD5" w:rsidRDefault="00B550DD" w:rsidP="00716F9B">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Pr>
            <w:rFonts w:ascii="Book Antiqua" w:hAnsi="Book Antiqua"/>
            <w:b/>
            <w:i/>
            <w:color w:val="000000" w:themeColor="text1"/>
            <w:sz w:val="16"/>
            <w:szCs w:val="16"/>
          </w:rPr>
          <w:t xml:space="preserve"> </w:t>
        </w:r>
        <w:r w:rsidR="0071563E" w:rsidRPr="00E54AD5">
          <w:rPr>
            <w:rFonts w:ascii="Book Antiqua" w:hAnsi="Book Antiqua"/>
            <w:i/>
            <w:color w:val="000000" w:themeColor="text1"/>
            <w:sz w:val="16"/>
            <w:szCs w:val="16"/>
          </w:rPr>
          <w:t>SASI</w:t>
        </w:r>
        <w:r w:rsidR="00716F9B" w:rsidRPr="00E54AD5">
          <w:rPr>
            <w:rFonts w:ascii="Book Antiqua" w:hAnsi="Book Antiqua"/>
            <w:color w:val="000000" w:themeColor="text1"/>
            <w:sz w:val="16"/>
            <w:szCs w:val="16"/>
          </w:rPr>
          <w:t>,</w:t>
        </w:r>
        <w:r w:rsidR="00716F9B" w:rsidRPr="00E54AD5">
          <w:rPr>
            <w:rFonts w:ascii="Book Antiqua" w:hAnsi="Book Antiqua"/>
            <w:color w:val="000000" w:themeColor="text1"/>
            <w:sz w:val="16"/>
            <w:szCs w:val="16"/>
            <w:lang w:val="id-ID"/>
          </w:rPr>
          <w:t xml:space="preserve"> </w:t>
        </w:r>
        <w:r w:rsidR="0071563E" w:rsidRPr="00E54AD5">
          <w:rPr>
            <w:rFonts w:ascii="Book Antiqua" w:hAnsi="Book Antiqua"/>
            <w:color w:val="000000" w:themeColor="text1"/>
            <w:sz w:val="16"/>
            <w:szCs w:val="16"/>
          </w:rPr>
          <w:t>3</w:t>
        </w:r>
        <w:r w:rsidR="00F2670C" w:rsidRPr="00E54AD5">
          <w:rPr>
            <w:rFonts w:ascii="Book Antiqua" w:hAnsi="Book Antiqua"/>
            <w:color w:val="000000" w:themeColor="text1"/>
            <w:sz w:val="16"/>
            <w:szCs w:val="16"/>
          </w:rPr>
          <w:t>0</w:t>
        </w:r>
        <w:r w:rsidR="0090682F" w:rsidRPr="00E54AD5">
          <w:rPr>
            <w:rFonts w:ascii="Book Antiqua" w:hAnsi="Book Antiqua"/>
            <w:color w:val="000000" w:themeColor="text1"/>
            <w:sz w:val="16"/>
            <w:szCs w:val="16"/>
          </w:rPr>
          <w:t xml:space="preserve"> </w:t>
        </w:r>
        <w:r w:rsidR="00716F9B" w:rsidRPr="00E54AD5">
          <w:rPr>
            <w:rFonts w:ascii="Book Antiqua" w:hAnsi="Book Antiqua"/>
            <w:color w:val="000000" w:themeColor="text1"/>
            <w:sz w:val="16"/>
            <w:szCs w:val="16"/>
            <w:lang w:val="id-ID"/>
          </w:rPr>
          <w:t>(1)</w:t>
        </w:r>
        <w:r w:rsidR="00716F9B" w:rsidRPr="00E54AD5">
          <w:rPr>
            <w:rFonts w:ascii="Book Antiqua" w:hAnsi="Book Antiqua"/>
            <w:color w:val="000000" w:themeColor="text1"/>
            <w:sz w:val="16"/>
            <w:szCs w:val="16"/>
          </w:rPr>
          <w:t xml:space="preserve"> </w:t>
        </w:r>
        <w:r w:rsidR="00D016C2">
          <w:rPr>
            <w:rFonts w:ascii="Book Antiqua" w:hAnsi="Book Antiqua"/>
            <w:color w:val="000000" w:themeColor="text1"/>
            <w:sz w:val="16"/>
            <w:szCs w:val="16"/>
          </w:rPr>
          <w:t xml:space="preserve">March </w:t>
        </w:r>
        <w:r w:rsidR="00716F9B" w:rsidRPr="00E54AD5">
          <w:rPr>
            <w:rFonts w:ascii="Book Antiqua" w:hAnsi="Book Antiqua"/>
            <w:color w:val="000000" w:themeColor="text1"/>
            <w:sz w:val="16"/>
            <w:szCs w:val="16"/>
          </w:rPr>
          <w:t>2024</w:t>
        </w:r>
        <w:r w:rsidR="00716F9B" w:rsidRPr="00E54AD5">
          <w:rPr>
            <w:rFonts w:ascii="Book Antiqua" w:hAnsi="Book Antiqua"/>
            <w:color w:val="000000" w:themeColor="text1"/>
            <w:sz w:val="16"/>
            <w:szCs w:val="16"/>
            <w:lang w:val="id-ID"/>
          </w:rPr>
          <w:t xml:space="preserve">: </w:t>
        </w:r>
        <w:r w:rsidR="00F2670C" w:rsidRPr="00E54AD5">
          <w:rPr>
            <w:rFonts w:ascii="Book Antiqua" w:hAnsi="Book Antiqua"/>
            <w:color w:val="000000" w:themeColor="text1"/>
            <w:sz w:val="16"/>
            <w:szCs w:val="16"/>
          </w:rPr>
          <w:t>X</w:t>
        </w:r>
        <w:r w:rsidR="00D016C2">
          <w:rPr>
            <w:rFonts w:ascii="Book Antiqua" w:hAnsi="Book Antiqua"/>
            <w:color w:val="000000" w:themeColor="text1"/>
            <w:sz w:val="16"/>
            <w:szCs w:val="16"/>
          </w:rPr>
          <w:t xml:space="preserve"> </w:t>
        </w:r>
        <w:r w:rsidR="00F2670C" w:rsidRPr="00E54AD5">
          <w:rPr>
            <w:rFonts w:ascii="Book Antiqua" w:hAnsi="Book Antiqua"/>
            <w:color w:val="000000" w:themeColor="text1"/>
            <w:sz w:val="16"/>
            <w:szCs w:val="16"/>
            <w:lang w:val="id-ID"/>
          </w:rPr>
          <w:t>-</w:t>
        </w:r>
        <w:r w:rsidR="00D016C2">
          <w:rPr>
            <w:rFonts w:ascii="Book Antiqua" w:hAnsi="Book Antiqua"/>
            <w:color w:val="000000" w:themeColor="text1"/>
            <w:sz w:val="16"/>
            <w:szCs w:val="16"/>
          </w:rPr>
          <w:t xml:space="preserve"> </w:t>
        </w:r>
        <w:r w:rsidR="00F2670C" w:rsidRPr="00E54AD5">
          <w:rPr>
            <w:rFonts w:ascii="Book Antiqua" w:hAnsi="Book Antiqua"/>
            <w:color w:val="000000" w:themeColor="text1"/>
            <w:sz w:val="16"/>
            <w:szCs w:val="16"/>
          </w:rPr>
          <w:t>XX</w:t>
        </w:r>
      </w:p>
      <w:p w14:paraId="5ADFDDCA" w14:textId="77777777" w:rsidR="0071563E" w:rsidRPr="00E54AD5" w:rsidRDefault="0071563E" w:rsidP="00B550DD">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lang w:val="id-ID"/>
          </w:rPr>
        </w:pPr>
        <w:r w:rsidRPr="00E54AD5">
          <w:rPr>
            <w:rFonts w:ascii="Book Antiqua" w:hAnsi="Book Antiqua"/>
            <w:color w:val="000000" w:themeColor="text1"/>
            <w:sz w:val="16"/>
            <w:szCs w:val="16"/>
            <w:lang w:val="id-ID"/>
          </w:rPr>
          <w:t>P-ISSN: 1693-0061, E-ISSN: 2614-2961</w:t>
        </w:r>
      </w:p>
      <w:p w14:paraId="594C6599" w14:textId="41DBA33E" w:rsidR="00D016C2" w:rsidRDefault="0071563E" w:rsidP="00D016C2">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sidRPr="00E54AD5">
          <w:rPr>
            <w:rFonts w:ascii="Book Antiqua" w:hAnsi="Book Antiqua"/>
            <w:sz w:val="16"/>
          </w:rPr>
          <w:t>Published by</w:t>
        </w:r>
        <w:r w:rsidR="00243F40">
          <w:rPr>
            <w:rFonts w:ascii="Book Antiqua" w:hAnsi="Book Antiqua"/>
            <w:sz w:val="16"/>
          </w:rPr>
          <w:t>:</w:t>
        </w:r>
        <w:r w:rsidRPr="00E54AD5">
          <w:rPr>
            <w:rFonts w:ascii="Book Antiqua" w:hAnsi="Book Antiqua"/>
            <w:sz w:val="16"/>
          </w:rPr>
          <w:t xml:space="preserve"> Faculty of Law</w:t>
        </w:r>
        <w:r w:rsidR="00C92224">
          <w:rPr>
            <w:rFonts w:ascii="Book Antiqua" w:hAnsi="Book Antiqua"/>
            <w:sz w:val="16"/>
          </w:rPr>
          <w:t>,</w:t>
        </w:r>
        <w:r w:rsidRPr="00E54AD5">
          <w:rPr>
            <w:rFonts w:ascii="Book Antiqua" w:hAnsi="Book Antiqua"/>
            <w:sz w:val="16"/>
          </w:rPr>
          <w:t xml:space="preserve"> </w:t>
        </w:r>
        <w:r w:rsidR="00164B5C">
          <w:rPr>
            <w:rFonts w:ascii="Book Antiqua" w:hAnsi="Book Antiqua"/>
            <w:sz w:val="16"/>
          </w:rPr>
          <w:t xml:space="preserve">Universitas </w:t>
        </w:r>
        <w:proofErr w:type="spellStart"/>
        <w:r w:rsidR="00164B5C">
          <w:rPr>
            <w:rFonts w:ascii="Book Antiqua" w:hAnsi="Book Antiqua"/>
            <w:sz w:val="16"/>
          </w:rPr>
          <w:t>Pattimura</w:t>
        </w:r>
        <w:proofErr w:type="spellEnd"/>
      </w:p>
      <w:p w14:paraId="62E288E7" w14:textId="77777777" w:rsidR="004B3AE2" w:rsidRPr="00D016C2" w:rsidRDefault="00000000" w:rsidP="00D016C2">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4068" w14:textId="77777777" w:rsidR="00F11C7E" w:rsidRDefault="00F11C7E" w:rsidP="00F11C7E">
    <w:pPr>
      <w:tabs>
        <w:tab w:val="left" w:pos="567"/>
      </w:tabs>
      <w:spacing w:after="0" w:line="240" w:lineRule="auto"/>
      <w:ind w:left="567" w:hanging="567"/>
      <w:rPr>
        <w:rFonts w:ascii="Book Antiqua" w:hAnsi="Book Antiqua"/>
        <w:b/>
        <w:i/>
        <w:color w:val="000000" w:themeColor="text1"/>
        <w:sz w:val="16"/>
        <w:szCs w:val="16"/>
      </w:rPr>
    </w:pPr>
  </w:p>
  <w:p w14:paraId="3BB9ACC6" w14:textId="77777777" w:rsidR="00D57DFC" w:rsidRPr="00332B9B" w:rsidRDefault="00F11C7E" w:rsidP="00D57DFC">
    <w:pPr>
      <w:tabs>
        <w:tab w:val="left" w:pos="567"/>
      </w:tabs>
      <w:spacing w:after="120" w:line="240" w:lineRule="auto"/>
      <w:ind w:left="567" w:hanging="567"/>
      <w:rPr>
        <w:rFonts w:ascii="Book Antiqua" w:hAnsi="Book Antiqua"/>
        <w:b/>
        <w:i/>
        <w:color w:val="000000" w:themeColor="text1"/>
        <w:sz w:val="16"/>
        <w:szCs w:val="16"/>
        <w:lang w:val="id-ID"/>
      </w:rPr>
    </w:pPr>
    <w:r>
      <w:rPr>
        <w:rFonts w:ascii="Book Antiqua" w:hAnsi="Book Antiqua"/>
        <w:b/>
        <w:i/>
        <w:color w:val="000000" w:themeColor="text1"/>
        <w:sz w:val="16"/>
        <w:szCs w:val="16"/>
      </w:rPr>
      <w:tab/>
    </w:r>
  </w:p>
  <w:p w14:paraId="5D25FD59" w14:textId="77777777" w:rsidR="00332B9B" w:rsidRPr="00332B9B" w:rsidRDefault="00332B9B" w:rsidP="00332B9B">
    <w:pPr>
      <w:pStyle w:val="Footer"/>
      <w:jc w:val="right"/>
      <w:rPr>
        <w:rFonts w:ascii="Book Antiqua" w:hAnsi="Book Antiqua"/>
        <w:b/>
        <w:i/>
        <w:color w:val="000000" w:themeColor="text1"/>
        <w:sz w:val="16"/>
        <w:szCs w:val="16"/>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EAA8A" w14:textId="77777777" w:rsidR="00070E39" w:rsidRDefault="00070E39" w:rsidP="00934130">
      <w:pPr>
        <w:spacing w:after="0" w:line="240" w:lineRule="auto"/>
      </w:pPr>
      <w:r>
        <w:separator/>
      </w:r>
    </w:p>
  </w:footnote>
  <w:footnote w:type="continuationSeparator" w:id="0">
    <w:p w14:paraId="27822FFB" w14:textId="77777777" w:rsidR="00070E39" w:rsidRDefault="00070E39" w:rsidP="00934130">
      <w:pPr>
        <w:spacing w:after="0" w:line="240" w:lineRule="auto"/>
      </w:pPr>
      <w:r>
        <w:continuationSeparator/>
      </w:r>
    </w:p>
  </w:footnote>
  <w:footnote w:id="1">
    <w:p w14:paraId="5C259E04" w14:textId="77777777" w:rsidR="004D5838" w:rsidRPr="00456BAE" w:rsidRDefault="004D5838" w:rsidP="004D5838">
      <w:pPr>
        <w:pStyle w:val="FootnoteText"/>
        <w:ind w:firstLine="360"/>
        <w:jc w:val="both"/>
      </w:pPr>
      <w:r w:rsidRPr="00456BAE">
        <w:rPr>
          <w:rStyle w:val="FootnoteReference"/>
        </w:rPr>
        <w:footnoteRef/>
      </w:r>
      <w:r w:rsidRPr="00456BAE">
        <w:t xml:space="preserve"> </w:t>
      </w:r>
      <w:r w:rsidRPr="00456BAE">
        <w:fldChar w:fldCharType="begin" w:fldLock="1"/>
      </w:r>
      <w: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Kata","author":[{"dropping-particle":"","family":"E","given":"I Putu","non-dropping-particle":"","parse-names":false,"suffix":""}],"container-title":"Jurnal Rechtens","id":"ITEM-1","issue":"2","issued":{"date-parts":[["2024"]]},"page":"261-284","title":"KEWENANGAN ANTARA BAWASLU DAN APARAT PENEGAK HUKUM DALAM PENANGANAN","type":"article-journal","volume":"13"},"uris":["http://www.mendeley.com/documents/?uuid=357a4b4d-d7ac-4480-917c-43658d96ccdf"]}],"mendeley":{"formattedCitation":"I Putu E, “KEWENANGAN ANTARA BAWASLU DAN APARAT PENEGAK HUKUM DALAM PENANGANAN,” &lt;i&gt;Jurnal Rechtens&lt;/i&gt; 13, no. 2 (2024): 261–84.","manualFormatting":"I Putu E, “Kewenangan Antara Bawaslu Dan Aparat Penegak Hukum Dalam Penanganan,” Jurnal Rechtens 13, No. 2 (2024): 261–84.","plainTextFormattedCitation":"I Putu E, “KEWENANGAN ANTARA BAWASLU DAN APARAT PENEGAK HUKUM DALAM PENANGANAN,” Jurnal Rechtens 13, no. 2 (2024): 261–84.","previouslyFormattedCitation":"I Putu E, “KEWENANGAN ANTARA BAWASLU DAN APARAT PENEGAK HUKUM DALAM PENANGANAN,” &lt;i&gt;Jurnal Rechtens&lt;/i&gt; 13, no. 2 (2024): 261–84."},"properties":{"noteIndex":1},"schema":"https://github.com/citation-style-language/schema/raw/master/csl-citation.json"}</w:instrText>
      </w:r>
      <w:r w:rsidRPr="00456BAE">
        <w:fldChar w:fldCharType="separate"/>
      </w:r>
      <w:r w:rsidRPr="00456BAE">
        <w:rPr>
          <w:noProof/>
        </w:rPr>
        <w:t xml:space="preserve">I Putu E, "Authority Between Bawaslu and Law Enforcement Officials in Handling," </w:t>
      </w:r>
      <w:r w:rsidRPr="00456BAE">
        <w:rPr>
          <w:i/>
          <w:noProof/>
        </w:rPr>
        <w:t>Journal of Law</w:t>
      </w:r>
      <w:r w:rsidRPr="00456BAE">
        <w:rPr>
          <w:noProof/>
        </w:rPr>
        <w:t xml:space="preserve"> 13, no. 2 (2024): 261–84.</w:t>
      </w:r>
      <w:r w:rsidRPr="00456BAE">
        <w:fldChar w:fldCharType="end"/>
      </w:r>
    </w:p>
  </w:footnote>
  <w:footnote w:id="2">
    <w:p w14:paraId="2A2BE701" w14:textId="77777777" w:rsidR="004D5838" w:rsidRPr="00456BAE" w:rsidRDefault="004D5838" w:rsidP="004D5838">
      <w:pPr>
        <w:pStyle w:val="FootnoteText"/>
        <w:ind w:firstLine="360"/>
        <w:jc w:val="both"/>
      </w:pPr>
      <w:r w:rsidRPr="00456BAE">
        <w:rPr>
          <w:rStyle w:val="FootnoteReference"/>
        </w:rPr>
        <w:footnoteRef/>
      </w:r>
      <w:r w:rsidRPr="00456BAE">
        <w:t xml:space="preserve"> </w:t>
      </w:r>
      <w:r w:rsidRPr="00456BAE">
        <w:fldChar w:fldCharType="begin" w:fldLock="1"/>
      </w:r>
      <w:r>
        <w:instrText>ADDIN CSL_CITATION {"citationItems":[{"id":"ITEM-1","itemData":{"DOI":"10.55352/htn.v2i1.868","ISSN":"2988-7070","abstract":"Democracy is a form of government in which all citizens have equal rights to make decisions that can change their lives. Democracy allows citizens to participate either directly or through representatives in the formulation, development and creation of laws. The process of establishing democracy is a process of institutionalizing uncertainty, placing all interests in uncertainty. Political parties are autonomous groups of citizens, have the function of making nominations and participating in elections, have the desire to guide control over government power and continue to seize public positions within the organization. government. The main function of political parties is to seek and defend power to realize programs prepared based on ideology certain. The most substantial understanding of democracy is general elections. General elections are an opportunity for citizens to vote officials in government and decide what they want to be carried out by the government. When elections are used as a manifestation of the principle of popular sovereignty, from then on the people are given the freedom to determine candidates for people's representatives who are members of political parties. The will of the people is the basis of government power. This will will be born in periodic and honest elections carried out in general and equal elections. Thus, freedom, honesty, confidentiality and equality are essential things in holding elections.","author":[{"dropping-particle":"","family":"Athiyyatul Mufidah","given":"","non-dropping-particle":"","parse-names":false,"suffix":""},{"dropping-particle":"","family":"Abdullah Syarofi","given":"","non-dropping-particle":"","parse-names":false,"suffix":""}],"container-title":"The Republic : Journal of Constitutional Law","id":"ITEM-1","issue":"1","issued":{"date-parts":[["2024"]]},"page":"35-51","title":"Hubungan Antara Demokrasi Partai Politik Dalam Pemilihan Umum Di Indonesia","type":"article-journal","volume":"2"},"uris":["http://www.mendeley.com/documents/?uuid=787127a4-5a9a-4a0b-a7e0-61362eb7f68e"]}],"mendeley":{"formattedCitation":"Athiyyatul Mufidah and Abdullah Syarofi, “Hubungan Antara Demokrasi Partai Politik Dalam Pemilihan Umum Di Indonesia,” &lt;i&gt;The Republic : Journal of Constitutional Law&lt;/i&gt; 2, no. 1 (2024): 35–51, https://doi.org/10.55352/htn.v2i1.868.","manualFormatting":"Athiyyatul Mufidah And Abdullah Syarofi, “Hubungan Antara Demokrasi Partai Politik Dalam Pemilihan Umum Di Indonesia,” The Republic : Journal Of Constitutional Law 2, No. 1 (2024): 35–51, Https://Doi.Org/10.55352/Htn.V2i1.868.","plainTextFormattedCitation":"Athiyyatul Mufidah and Abdullah Syarofi, “Hubungan Antara Demokrasi Partai Politik Dalam Pemilihan Umum Di Indonesia,” The Republic : Journal of Constitutional Law 2, no. 1 (2024): 35–51, https://doi.org/10.55352/htn.v2i1.868.","previouslyFormattedCitation":"Athiyyatul Mufidah and Abdullah Syarofi, “Hubungan Antara Demokrasi Partai Politik Dalam Pemilihan Umum Di Indonesia,” &lt;i&gt;The Republic : Journal of Constitutional Law&lt;/i&gt; 2, no. 1 (2024): 35–51, https://doi.org/10.55352/htn.v2i1.868."},"properties":{"noteIndex":2},"schema":"https://github.com/citation-style-language/schema/raw/master/csl-citation.json"}</w:instrText>
      </w:r>
      <w:r w:rsidRPr="00456BAE">
        <w:fldChar w:fldCharType="separate"/>
      </w:r>
      <w:r w:rsidRPr="00456BAE">
        <w:rPr>
          <w:noProof/>
        </w:rPr>
        <w:t xml:space="preserve">Athiyyatul Mufidah and Abdullah Syarofi, "The Relationship Between Political Party Democracy in General Elections in Indonesia," </w:t>
      </w:r>
      <w:r w:rsidRPr="00456BAE">
        <w:rPr>
          <w:i/>
          <w:noProof/>
        </w:rPr>
        <w:t>The Republic : Journal Of Constitutional Law</w:t>
      </w:r>
      <w:r w:rsidRPr="00456BAE">
        <w:rPr>
          <w:noProof/>
        </w:rPr>
        <w:t xml:space="preserve"> 2, No. 1 (2024): 35–51, Https://Doi.Org/10.55352/Htn.V2i1.868.</w:t>
      </w:r>
      <w:r w:rsidRPr="00456BAE">
        <w:fldChar w:fldCharType="end"/>
      </w:r>
    </w:p>
  </w:footnote>
  <w:footnote w:id="3">
    <w:p w14:paraId="7149EC40" w14:textId="77777777" w:rsidR="004D5838" w:rsidRPr="00456BAE" w:rsidRDefault="004D5838" w:rsidP="004D5838">
      <w:pPr>
        <w:pStyle w:val="FootnoteText"/>
        <w:ind w:firstLine="360"/>
        <w:jc w:val="both"/>
      </w:pPr>
      <w:r w:rsidRPr="00456BAE">
        <w:rPr>
          <w:rStyle w:val="FootnoteReference"/>
        </w:rPr>
        <w:footnoteRef/>
      </w:r>
      <w:r w:rsidRPr="00456BAE">
        <w:t xml:space="preserve"> </w:t>
      </w:r>
      <w:r w:rsidRPr="00456BAE">
        <w:fldChar w:fldCharType="begin" w:fldLock="1"/>
      </w:r>
      <w:r>
        <w:instrText>ADDIN CSL_CITATION {"citationItems":[{"id":"ITEM-1","itemData":{"author":[{"dropping-particle":"","family":"Desinta","given":"Besse","non-dropping-particle":"","parse-names":false,"suffix":""},{"dropping-particle":"","family":"Lestari","given":"Fitra Ayu","non-dropping-particle":"","parse-names":false,"suffix":""},{"dropping-particle":"","family":"Muhammad","given":"Halimah","non-dropping-particle":"","parse-names":false,"suffix":""},{"dropping-particle":"","family":"Datu","given":"Sejahtri","non-dropping-particle":"","parse-names":false,"suffix":""},{"dropping-particle":"","family":"Alim","given":"M","non-dropping-particle":"","parse-names":false,"suffix":""}],"container-title":"PESHUM : Jurnal Pendidikan, Sosial dan Humaniora","id":"ITEM-1","issue":"2","issued":{"date-parts":[["2025"]]},"page":"2692-2698","title":"Generasi Muda Anti Money Politics : Pahlawan Anti-Korupsi dan Demokrasi yang Bersih","type":"article-journal","volume":"4"},"uris":["http://www.mendeley.com/documents/?uuid=d4bb1d5c-3575-40ff-bea3-3cebd3bdd8cd"]}],"mendeley":{"formattedCitation":"Besse Desinta et al., “Generasi Muda Anti Money Politics : Pahlawan Anti-Korupsi Dan Demokrasi Yang Bersih,” &lt;i&gt;PESHUM : Jurnal Pendidikan, Sosial Dan Humaniora&lt;/i&gt; 4, no. 2 (2025): 2692–98.","manualFormatting":"Besse Desinta Et Al., “Generasi Muda Anti Money Politics : Pahlawan Anti-Korupsi Dan Demokrasi Yang Bersih,” Peshum : Jurnal Pendidikan, Sosial Dan Humaniora 4, No. 2 (2025): 2692–98.","plainTextFormattedCitation":"Besse Desinta et al., “Generasi Muda Anti Money Politics : Pahlawan Anti-Korupsi Dan Demokrasi Yang Bersih,” PESHUM : Jurnal Pendidikan, Sosial Dan Humaniora 4, no. 2 (2025): 2692–98.","previouslyFormattedCitation":"Besse Desinta et al., “Generasi Muda Anti Money Politics : Pahlawan Anti-Korupsi Dan Demokrasi Yang Bersih,” &lt;i&gt;PESHUM : Jurnal Pendidikan, Sosial Dan Humaniora&lt;/i&gt; 4, no. 2 (2025): 2692–98."},"properties":{"noteIndex":3},"schema":"https://github.com/citation-style-language/schema/raw/master/csl-citation.json"}</w:instrText>
      </w:r>
      <w:r w:rsidRPr="00456BAE">
        <w:fldChar w:fldCharType="separate"/>
      </w:r>
      <w:r w:rsidRPr="00456BAE">
        <w:rPr>
          <w:noProof/>
        </w:rPr>
        <w:t xml:space="preserve">Besse Desinta et al., "The Young Generation of Anti-Money Politics: Anti-Corruption and Clean Democracy Heroes," </w:t>
      </w:r>
      <w:r w:rsidRPr="00456BAE">
        <w:rPr>
          <w:i/>
          <w:noProof/>
        </w:rPr>
        <w:t>Peshum : Journal of Education, Social and Humanities</w:t>
      </w:r>
      <w:r w:rsidRPr="00456BAE">
        <w:rPr>
          <w:noProof/>
        </w:rPr>
        <w:t xml:space="preserve"> 4, no. 2 (2025): 2692–98.</w:t>
      </w:r>
      <w:r w:rsidRPr="00456BAE">
        <w:fldChar w:fldCharType="end"/>
      </w:r>
    </w:p>
  </w:footnote>
  <w:footnote w:id="4">
    <w:p w14:paraId="3BF939C1" w14:textId="77777777" w:rsidR="004D5838" w:rsidRPr="00471BAC" w:rsidRDefault="004D5838" w:rsidP="004D5838">
      <w:pPr>
        <w:pStyle w:val="FootnoteText"/>
        <w:ind w:firstLine="360"/>
        <w:jc w:val="both"/>
      </w:pPr>
      <w:r w:rsidRPr="00471BAC">
        <w:rPr>
          <w:rStyle w:val="FootnoteReference"/>
        </w:rPr>
        <w:footnoteRef/>
      </w:r>
      <w:r w:rsidRPr="00471BAC">
        <w:t xml:space="preserve"> Election Supervisory Board. (2024, February 27). </w:t>
      </w:r>
      <w:r w:rsidRPr="00471BAC">
        <w:rPr>
          <w:i/>
          <w:iCs/>
        </w:rPr>
        <w:t xml:space="preserve">Registering 1,023 Findings and Reports, </w:t>
      </w:r>
      <w:proofErr w:type="spellStart"/>
      <w:r w:rsidRPr="00471BAC">
        <w:rPr>
          <w:i/>
          <w:iCs/>
        </w:rPr>
        <w:t>Bawaslu</w:t>
      </w:r>
      <w:proofErr w:type="spellEnd"/>
      <w:r w:rsidRPr="00471BAC">
        <w:rPr>
          <w:i/>
          <w:iCs/>
        </w:rPr>
        <w:t xml:space="preserve"> Finds 479 Alleged Violations of the 2024 Election</w:t>
      </w:r>
      <w:r w:rsidRPr="00471BAC">
        <w:t xml:space="preserve">. </w:t>
      </w:r>
      <w:hyperlink r:id="rId1" w:tgtFrame="_new" w:history="1">
        <w:r w:rsidRPr="00471BAC">
          <w:rPr>
            <w:rStyle w:val="Hyperlink"/>
          </w:rPr>
          <w:t>https://www.bawaslu.go.id/id/berita/registrasi-1023-temuan-dan-laporan-bawaslu-temukan-479-dugaan-pelanggaran-pemilu-2024</w:t>
        </w:r>
      </w:hyperlink>
    </w:p>
  </w:footnote>
  <w:footnote w:id="5">
    <w:p w14:paraId="6329672B" w14:textId="77777777" w:rsidR="004D5838" w:rsidRPr="00456BAE" w:rsidRDefault="004D5838" w:rsidP="004D5838">
      <w:pPr>
        <w:pStyle w:val="FootnoteText"/>
        <w:ind w:firstLine="360"/>
        <w:jc w:val="both"/>
      </w:pPr>
      <w:r w:rsidRPr="00456BAE">
        <w:rPr>
          <w:rStyle w:val="FootnoteReference"/>
        </w:rPr>
        <w:footnoteRef/>
      </w:r>
      <w:r w:rsidRPr="00456BAE">
        <w:t xml:space="preserve"> </w:t>
      </w:r>
      <w:r w:rsidRPr="00456BAE">
        <w:fldChar w:fldCharType="begin" w:fldLock="1"/>
      </w:r>
      <w:r>
        <w:instrText>ADDIN CSL_CITATION {"citationItems":[{"id":"ITEM-1","itemData":{"DOI":"10.30595/jhes.v4i1.9897","ISSN":"2715-2510","abstract":"Hakim di pengadilan memiliki peranan penting dalam penegakan hukum pidana di bidang lingkungan hidup. Akan tetapi, terdapat problematika dalam penegakan hukum oleh hakim dalam berbagai putusannya. Penelitian ini bertujuan untuk menguraikan dan analisis urgensi optimalisasi penegakan hukum pidana lingkungan melalui putusan hakim yang berkepastian. Kemudian menguraikan upaya yang dapat dilakukan dalam mengoptimalkan penegakan hukum pidana lingkungan oleh hakim. Metode penelitian yang digunakan dalam penelitian ini adalah deskriptif-kualitatif, dengan pendekatan kasus dan pendekatan undang-undang. Hasil penelitian ini menunjukan bahwa terdapat ketidakjelasan pendakwaan pidana pembakaran hutan dan lahan, ketidakjelasan batasan pelanggaran pidana, dan administrasi lingkungan, dan ketidakjelasan pemidanaan pemanfaatan hutan lindung. Atas permasalahan yang ditemukan tersebut, maka upaya yang dilakukan dalam mengoptimalkan penegakan hukum pidana dibidang lingkungan yakni dengan perubahan Peraturan Mahkamah Agung Nomor 13 Tahun 2016, perubahan UU No. 39 Tahun 2014, perubahan UU No. 32 Tahun 2009, dan penyusunan SEMA tentang Pedoman Pemidanaan Perkara Bidang Lingkungan Hidup oleh Mahkamah Agung. Melalui upaya penguatan tersebut, maka diharapka upaya penegakan hukum pidana lingkungan dapat berjalan optimal pada masa mendatang.","author":[{"dropping-particle":"","family":"Zakariya","given":"Rizki","non-dropping-particle":"","parse-names":false,"suffix":""}],"container-title":"Jurnal Hukum Ekonomi Syariah","id":"ITEM-1","issue":"1","issued":{"date-parts":[["2021"]]},"page":"117","title":"Optimalisasi Penegakan Hukum Pidana Lingkungan melalui Putusan Hakim yang Berkepastian","type":"article-journal","volume":"4"},"uris":["http://www.mendeley.com/documents/?uuid=3bf6eb24-443e-4ea7-805c-a22fda6f3457"]}],"mendeley":{"formattedCitation":"Rizki Zakariya, “Optimalisasi Penegakan Hukum Pidana Lingkungan Melalui Putusan Hakim Yang Berkepastian,” &lt;i&gt;Jurnal Hukum Ekonomi Syariah&lt;/i&gt; 4, no. 1 (2021): 117, https://doi.org/10.30595/jhes.v4i1.9897.","manualFormatting":"Rizki Zakariya, “Optimalisasi Penegakan Hukum Pidana Lingkungan Melalui Putusan Hakim Yang Berkepastian,” Jurnal Hukum Ekonomi Syariah 4, No. 1 (2021): 117, Https://Doi.Org/10.30595/Jhes.V4i1.9897.","plainTextFormattedCitation":"Rizki Zakariya, “Optimalisasi Penegakan Hukum Pidana Lingkungan Melalui Putusan Hakim Yang Berkepastian,” Jurnal Hukum Ekonomi Syariah 4, no. 1 (2021): 117, https://doi.org/10.30595/jhes.v4i1.9897.","previouslyFormattedCitation":"Rizki Zakariya, “Optimalisasi Penegakan Hukum Pidana Lingkungan Melalui Putusan Hakim Yang Berkepastian,” &lt;i&gt;Jurnal Hukum Ekonomi Syariah&lt;/i&gt; 4, no. 1 (2021): 117, https://doi.org/10.30595/jhes.v4i1.9897."},"properties":{"noteIndex":5},"schema":"https://github.com/citation-style-language/schema/raw/master/csl-citation.json"}</w:instrText>
      </w:r>
      <w:r w:rsidRPr="00456BAE">
        <w:fldChar w:fldCharType="separate"/>
      </w:r>
      <w:r w:rsidRPr="00456BAE">
        <w:rPr>
          <w:noProof/>
        </w:rPr>
        <w:t xml:space="preserve">Rizki Zakariya, "Optimizing Environmental Criminal Law Enforcement Through Definitive Judges' Decisions," </w:t>
      </w:r>
      <w:r w:rsidRPr="00456BAE">
        <w:rPr>
          <w:i/>
          <w:noProof/>
        </w:rPr>
        <w:t>Journal of Sharia Economic Law</w:t>
      </w:r>
      <w:r w:rsidRPr="00456BAE">
        <w:rPr>
          <w:noProof/>
        </w:rPr>
        <w:t xml:space="preserve"> 4, No. 1 (2021): 117, Https://Doi.Org/10.30595/Jhes.V4i1.9897.</w:t>
      </w:r>
      <w:r w:rsidRPr="00456BAE">
        <w:fldChar w:fldCharType="end"/>
      </w:r>
    </w:p>
  </w:footnote>
  <w:footnote w:id="6">
    <w:p w14:paraId="4667D674" w14:textId="77777777" w:rsidR="004D5838" w:rsidRPr="00456BAE" w:rsidRDefault="004D5838" w:rsidP="004D5838">
      <w:pPr>
        <w:pStyle w:val="FootnoteText"/>
        <w:ind w:firstLine="360"/>
        <w:jc w:val="both"/>
      </w:pPr>
      <w:r w:rsidRPr="00456BAE">
        <w:rPr>
          <w:rStyle w:val="FootnoteReference"/>
        </w:rPr>
        <w:footnoteRef/>
      </w:r>
      <w:r w:rsidRPr="00456BAE">
        <w:t xml:space="preserve"> </w:t>
      </w:r>
      <w:r w:rsidRPr="00456BAE">
        <w:fldChar w:fldCharType="begin" w:fldLock="1"/>
      </w:r>
      <w:r>
        <w:instrText>ADDIN CSL_CITATION {"citationItems":[{"id":"ITEM-1","itemData":{"author":[{"dropping-particle":"","family":"Farhan","given":"Dimas","non-dropping-particle":"","parse-names":false,"suffix":""},{"dropping-particle":"","family":"Pratama","given":"Danu","non-dropping-particle":"","parse-names":false,"suffix":""}],"container-title":"HUMANORUM","id":"ITEM-1","issue":"x","issued":{"date-parts":[["2021"]]},"title":"The Impact of the Power of Proof of Stand-alone Testimony Against Decisions on Criminal Cases","type":"article-journal","volume":"xx"},"uris":["http://www.mendeley.com/documents/?uuid=3465c9ed-608b-49e9-bdf8-953ca5f1731c"]}],"mendeley":{"formattedCitation":"Dimas Farhan and Danu Pratama, “The Impact of the Power of Proof of Stand-Alone Testimony Against Decisions on Criminal Cases,” &lt;i&gt;HUMANORUM&lt;/i&gt; xx, no. x (2021).","manualFormatting":"Dimas Farhan And Danu Pratama, “The Impact Of The Power Of Proof Of Stand-Alone Testimony Against Decisions On Criminal Cases,” Humanorum Xx, No. X (2021).","plainTextFormattedCitation":"Dimas Farhan and Danu Pratama, “The Impact of the Power of Proof of Stand-Alone Testimony Against Decisions on Criminal Cases,” HUMANORUM xx, no. x (2021).","previouslyFormattedCitation":"Dimas Farhan and Danu Pratama, “The Impact of the Power of Proof of Stand-Alone Testimony Against Decisions on Criminal Cases,” &lt;i&gt;HUMANORUM&lt;/i&gt; xx, no. x (2021)."},"properties":{"noteIndex":6},"schema":"https://github.com/citation-style-language/schema/raw/master/csl-citation.json"}</w:instrText>
      </w:r>
      <w:r w:rsidRPr="00456BAE">
        <w:fldChar w:fldCharType="separate"/>
      </w:r>
      <w:r w:rsidRPr="00456BAE">
        <w:rPr>
          <w:noProof/>
        </w:rPr>
        <w:t xml:space="preserve">Dimas Farhan And Danu Pratama, “The Impact Of The Power Of Proof Of Stand-Alone Testimony Against Decisions On Criminal Cases,” </w:t>
      </w:r>
      <w:r w:rsidRPr="00456BAE">
        <w:rPr>
          <w:i/>
          <w:noProof/>
        </w:rPr>
        <w:t>Humanorum</w:t>
      </w:r>
      <w:r w:rsidRPr="00456BAE">
        <w:rPr>
          <w:noProof/>
        </w:rPr>
        <w:t xml:space="preserve"> xx, no. x (2021).</w:t>
      </w:r>
      <w:r w:rsidRPr="00456BAE">
        <w:fldChar w:fldCharType="end"/>
      </w:r>
    </w:p>
  </w:footnote>
  <w:footnote w:id="7">
    <w:p w14:paraId="189B0752" w14:textId="77777777" w:rsidR="004D5838" w:rsidRDefault="004D5838" w:rsidP="004D5838">
      <w:pPr>
        <w:pStyle w:val="FootnoteText"/>
        <w:ind w:firstLine="360"/>
        <w:jc w:val="both"/>
      </w:pPr>
      <w:r w:rsidRPr="00456BAE">
        <w:rPr>
          <w:rStyle w:val="FootnoteReference"/>
        </w:rPr>
        <w:footnoteRef/>
      </w:r>
      <w:r w:rsidRPr="00456BAE">
        <w:t xml:space="preserve"> </w:t>
      </w:r>
      <w:r w:rsidRPr="00456BAE">
        <w:fldChar w:fldCharType="begin" w:fldLock="1"/>
      </w:r>
      <w:r>
        <w:instrText>ADDIN CSL_CITATION {"citationItems":[{"id":"ITEM-1","itemData":{"abstract":"This research compares the Constitutional Court of the Republic of Indonesia (MKRI) and the Conseil Constitutionnel of France (CC) in terms of their history, position, and jurisdiction. MKRI, established in 2003, plays a role in reviewing the constitutionality of laws and government actions in Indonesia. The history of its formation reflects the political and legal developments in Indonesia. On the other hand, CC in France was established alongside the Constitution of the Fifth Republic in 1958. CC focuses more on the \"judicial preview\" mechanism, allowing the examination of the constitutionality of laws before they are enacted. The comparison involves aspects of the mechanism for constitutional review, their positions in the governmental system, and their jurisdiction. MKRI uses \"judicial review,\" is positioned as a judicial institution, and its constitutional judges have a five-year term. Meanwhile, CC employs \"judicial preview,\" is structured more as a political institution, and its constitutional judges have varying terms. This research aims to understand the differences and similarities between MKRI and CC, and their impact on constitutional supremacy and the protection of citizens' rights. The study provides insights into the constitutional court systems in Indonesia and France, contributes to an understanding of the mechanisms for constitutional review, and their implications for citizens' rights.","author":[{"dropping-particle":"","family":"Hotman","given":"Rangga","non-dropping-particle":"","parse-names":false,"suffix":""},{"dropping-particle":"","family":"1</w:instrText>
      </w:r>
      <w:r>
        <w:instrText>","given":"Hasibuan","non-dropping-particle":"","parse-names":false,"suffix":""},{"dropping-particle":"","family":"Agustom","given":"Dan","non-dropping-particle":"","parse-names":false,"suffix":""},{"dropping-particle":"","family":"Abraham","given":"Adhika","non-dropping-particle":"","parse-names":false,"suffix":""}],"container-title":"Jurnal Demokrasi dan Ketahanan Nasional |","id":"ITEM-1","issued":{"date-parts":[["2023"]]},"page":"2023","title":"Mahkamah Konstitusi Republik Indonesia dan Conseil Constitutionnel Republik Perancis: Sebuah Perbandingan","type":"article-journal","volume":"2"},"uris":["http://www.mendeley.com/documents/?uuid=1812be6a-5369-41e2-9fd0-2c3c3ca7178c"]}],"mendeley":{"formattedCitation":"Rangga Hotman et al., “Mahkamah Konstitusi Republik Indonesia Dan Conseil Constitutionnel Republik Perancis: Sebuah Perbandingan,” &lt;i&gt;Jurnal Demokrasi Dan Ketahanan Nasional |&lt;/i&gt; 2 (2023): 2023, https://www.sahistory.org.za/article/history-apartheid-south-africa.","manualFormatting":"Rangga Hotman Et Al., “Mahkamah Konstitusi Republik Indonesia Dan Conseil Constitutionnel Republik Perancis: Sebuah Perbandingan,” Jurnal Demokrasi Dan Ketahanan Nasional | 2 (2023): 2023, Https://Www.Sahistory.Org.Za/Article/History-Apartheid-South-Africa.","plainTextFormattedCitation":"Rangga Hotman et al., “Mahkamah Konstitusi Republik Indonesia Dan Conseil Constitutionnel Republik Perancis: Sebuah Perbandingan,” Jurnal Demokrasi Dan Ketahanan Nasional | 2 (2023): 2023, https://www.sahistory.org.za/article/history-apartheid-south-africa.","previouslyFormattedCitation":"Rangga Hotman et al., “Mahkamah Konstitusi Republik Indonesia Dan Conseil Constitutionnel Republik Perancis: Sebuah Perbandingan,” &lt;i&gt;Jurnal Demokrasi Dan Ketahanan Nasional |&lt;/i&gt; 2 (2023): 2023, https://www.sahistory.org.za/article/history-apartheid-south-africa."},"properties":{"noteIndex":7},"schema":"https://github.com/citation-style-language/schema/raw/master/csl-citation.json"}</w:instrText>
      </w:r>
      <w:r w:rsidRPr="00456BAE">
        <w:fldChar w:fldCharType="separate"/>
      </w:r>
      <w:r w:rsidRPr="00456BAE">
        <w:rPr>
          <w:noProof/>
        </w:rPr>
        <w:t xml:space="preserve">Rangga Hotman et al., "The Constitutional Court of the Republic of Indonesia and the Conseil Constitutionnel of the Republic of France: A Comparison," </w:t>
      </w:r>
      <w:r w:rsidRPr="00456BAE">
        <w:rPr>
          <w:i/>
          <w:noProof/>
        </w:rPr>
        <w:t>Journal of National Democracy and Resilience |</w:t>
      </w:r>
      <w:r w:rsidRPr="00456BAE">
        <w:rPr>
          <w:noProof/>
        </w:rPr>
        <w:t xml:space="preserve"> 2 (2023): 2023, Https://Www.Sahistory.Org.Za/Article/History-Apartheid-South-Africa.</w:t>
      </w:r>
      <w:r w:rsidRPr="00456BAE">
        <w:fldChar w:fldCharType="end"/>
      </w:r>
    </w:p>
  </w:footnote>
  <w:footnote w:id="8">
    <w:p w14:paraId="0E748CD7" w14:textId="77777777" w:rsidR="004D5838" w:rsidRPr="000F25F5" w:rsidRDefault="004D5838" w:rsidP="004D5838">
      <w:pPr>
        <w:pStyle w:val="FootnoteText"/>
        <w:ind w:firstLine="360"/>
        <w:jc w:val="both"/>
      </w:pPr>
      <w:r w:rsidRPr="000F25F5">
        <w:rPr>
          <w:rStyle w:val="FootnoteReference"/>
        </w:rPr>
        <w:footnoteRef/>
      </w:r>
      <w:r w:rsidRPr="000F25F5">
        <w:t xml:space="preserve"> </w:t>
      </w:r>
      <w:r w:rsidRPr="000F25F5">
        <w:fldChar w:fldCharType="begin" w:fldLock="1"/>
      </w:r>
      <w:r>
        <w:instrText>ADDIN CSL_CITATION {"citationItems":[{"id":"ITEM-1","itemData":{"author":[{"dropping-particle":"","family":"Faturohman","given":"Fatur","non-dropping-particle":"","parse-names":false,"suffix":""},{"dropping-particle":"","family":"Rahmawan","given":"Diki","non-dropping-particle":"","parse-names":false,"suffix":""},{"dropping-particle":"","family":"Hukum","given":"Ilmu","non-dropping-particle":"","parse-names":false,"suffix":""},{"dropping-particle":"","family":"Hukum","given":"Fakultas","non-dropping-particle":"","parse-names":false,"suffix":""},{"dropping-particle":"","family":"Kuningan","given":"Universitas","non-dropping-particle":"","parse-names":false,"suffix":""},{"dropping-particle":"","family":"Barat","given":"Jawa","non-dropping-particle":"","parse-names":false,"suffix":""}],"id":"ITEM-1","issue":"2010","issued":{"date-parts":[["2024"]]},"page":"26-34","title":"Analisis Sistem Perbandingan Kekuasaan Kehakiman Antara Negara Indonesia Dengan Negara Prancis","type":"article-journal","volume":"02"},"uris":["http://www.mendeley.com/documents/?uuid=00809e3e-4736-4950-831c-6a2a1c7f46b0"]}],"mendeley":{"formattedCitation":"Fatur Faturohman et al., “Analisis Sistem Perbandingan Kekuasaan Kehakiman Antara Negara Indonesia Dengan Negara Prancis” 02, no. 2010 (2024): 26–34.","plainTextFormattedCitation":"Fatur Faturohman et al., “Analisis Sistem Perbandingan Kekuasaan Kehakiman Antara Negara Indonesia Dengan Negara Prancis” 02, no. 2010 (2024): 26–34.","previouslyFormattedCitation":"Fatur Faturohman et al., “Analisis Sistem Perbandingan Kekuasaan Kehakiman Antara Negara Indonesia Dengan Negara Prancis” 02, no. 2010 (2024): 26–34."},"properties":{"noteIndex":8},"schema":"https://github.com/citation-style-language/schema/raw/master/csl-citation.json"}</w:instrText>
      </w:r>
      <w:r w:rsidRPr="000F25F5">
        <w:fldChar w:fldCharType="separate"/>
      </w:r>
      <w:r w:rsidRPr="000F25F5">
        <w:rPr>
          <w:noProof/>
        </w:rPr>
        <w:t>Fatur Faturohman et al., "Analysis of the Judicial Power Comparison System Between Indonesia and France" 02, no. 2010 (2024): 26–34.</w:t>
      </w:r>
      <w:r w:rsidRPr="000F25F5">
        <w:fldChar w:fldCharType="end"/>
      </w:r>
    </w:p>
  </w:footnote>
  <w:footnote w:id="9">
    <w:p w14:paraId="591B060D" w14:textId="77777777" w:rsidR="004D5838" w:rsidRPr="00415017" w:rsidRDefault="004D5838" w:rsidP="004D5838">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{"citationItems":[{"id":"ITEM-1","itemData":{"ISBN":"1251006011111","abstract":"Predicting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approach.","author":[{"dropping-particle":"","family":"Bahrul Fawaid","given":"Adityo Putro Prakoso","non-dropping-particle":"","parse-names":false,"suffix":""}],"container-title":"Jurnal Qistie","id":"ITEM-1","issue":"1","issued":{"date-parts":[["2024"]]},"page":"89-99","title":"Pengaturan Pidana Denda Dalam Hukum Positif Perspektif Hukum Islam","type":"article-journal","volume":"17"},"uris":["http://www.mendeley.com/documents/?uuid=a1bfa96e-280e-4186-ad6b-f67f136aa70a"]}],"mendeley":{"formattedCitation":"Adityo Putro Prakoso Bahrul Fawaid, “Pengaturan Pidana Denda Dalam Hukum Positif Perspektif Hukum Islam,” &lt;i&gt;Jurnal Qistie&lt;/i&gt; 17, no. 1 (2024): 89–99.","plainTextFormattedCitation":"Adityo Putro Prakoso Bahrul Fawaid, “Pengaturan Pidana Denda Dalam Hukum Positif Perspektif Hukum Islam,” Jurnal Qistie 17, no. 1 (2024): 89–99.","previouslyFormattedCitation":"Adityo Putro Prakoso Bahrul Fawaid, “Pengaturan Pidana Denda Dalam Hukum Positif Perspektif Hukum Islam,” &lt;i&gt;Jurnal Qistie&lt;/i&gt; 17, no. 1 (2024): 89–99."},"properties":{"noteIndex":9},"schema":"https://github.com/citation-style-language/schema/raw/master/csl-citation.json"}</w:instrText>
      </w:r>
      <w:r w:rsidRPr="00415017">
        <w:fldChar w:fldCharType="separate"/>
      </w:r>
      <w:r w:rsidRPr="00415017">
        <w:rPr>
          <w:noProof/>
        </w:rPr>
        <w:t xml:space="preserve">Adityo Putro Prakoso Bahrul Fawaid, "Criminal Regulation of Fines in Positive Law from the Perspective of Islamic Law," </w:t>
      </w:r>
      <w:r w:rsidRPr="00415017">
        <w:rPr>
          <w:i/>
          <w:noProof/>
        </w:rPr>
        <w:t>Qistie Journal</w:t>
      </w:r>
      <w:r w:rsidRPr="00415017">
        <w:rPr>
          <w:noProof/>
        </w:rPr>
        <w:t xml:space="preserve"> 17, no. 1 (2024): 89–99.</w:t>
      </w:r>
      <w:r w:rsidRPr="00415017">
        <w:fldChar w:fldCharType="end"/>
      </w:r>
    </w:p>
  </w:footnote>
  <w:footnote w:id="10">
    <w:p w14:paraId="7CC411F0" w14:textId="77777777" w:rsidR="004D5838" w:rsidRPr="00415017" w:rsidRDefault="004D5838" w:rsidP="004D5838">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{"citationItems":[{"id":"ITEM-1","itemData":{"ISSN":"2829-5889","abstract":"The   massive use of social media to share information that is not accompanied by adequate media literacy can be a serious threat to the Indonesian nation if the shared information is containing slander messages, fake news, hate speech, provo  c  ation  , SARA sentiment. The hoax is a negative opinion contain slander and others, can lead to a riot, a clash, insecurity feeling, fear, ruined one’s reputation and material lost. The problems relate to Hoax in the perspective of Indonesian law about how is hoax regulated in Indonesian law and also its legal liability. This research uses normative legal research methods using a normative juridical approach. The normative juridical approach is conducted by examining and analyzing secondary data in the form of primary, secondary, and tertiary legal materials. Based on the research, it is found that in Indonesia there is differences regulation in legislation which become legal protection for handling hoax as indicated by the existing of the legislation that regulates a criminal act with different qualification and different legal threats. There is confusion as to which legal rule to use, whether the positive rule (Criminal Code) or a rule that specifically regulates the criminal acts committed in the cyberspace  ,   in other words  ,   sui generis. It is necessary to make efforts to find a comprehensive legal concept that can resolve the hoax  .","author":[{"dropping-particle":"","family":"Rahmatullah","given":"Tansah","non-dropping-particle":"","parse-names":false,"suffix":""}],"container-title":"Jurnal Hukum Media Justitia Nusantara","id":"ITEM-1","issue":"2","issued":{"date-parts":[["2018"]]},"page":"103-111","title":"Hoax dalam Perspektif Hukum Indonesia","type":"article-journal","volume":"8"},"uris":["http://www.mendeley.com/documents/?uuid=e3940c19-8146-4760-b0f7-d194dd183350"]}],"mendeley":{"formattedCitation":"Tansah Rahmatullah, “Hoax Dalam Perspektif Hukum Indonesia,” &lt;i&gt;Jurnal Hukum Media Justitia Nusantara&lt;/i&gt; 8, no. 2 (2018): 103–11, http://ojs.uninus.ac.id/index.php/MJN/article/view/673/457%0Ahttp://ojs.uninus.ac.id/index.php/MJN/article/view/673.","plainTextFormattedCitation":"Tansah Rahmatullah, “Hoax Dalam Perspektif Hukum Indonesia,” Jurnal Hukum Media Justitia Nusantara 8, no. 2 (2018): 103–11, http://ojs.uninus.ac.id/index.php/MJN/article/view/673/457%0Ahttp://ojs.uninus.ac.id/index.php/MJN/article/view/673.","previouslyFormattedCitation":"Tansah Rahmatullah, “Hoax Dalam Perspektif Hukum Indonesia,” &lt;i&gt;Jurnal Hukum Media Justitia Nusantara&lt;/i&gt; 8, no. 2 (2018): 103–11, http://ojs.uninus.ac.id/index.php/MJN/article/view/673/457%0Ahttp://ojs.uninus.ac.id/index.php/MJN/article/view/673."},"properties":{"noteIndex":10},"schema":"https://github.com/citation-style-language/schema/raw/master/csl-citation.json"}</w:instrText>
      </w:r>
      <w:r w:rsidRPr="00415017">
        <w:fldChar w:fldCharType="separate"/>
      </w:r>
      <w:r w:rsidRPr="00415017">
        <w:rPr>
          <w:noProof/>
        </w:rPr>
        <w:t xml:space="preserve">Sempre Rahmatullah, "Hoax in the Perspective of Indonesian Law," </w:t>
      </w:r>
      <w:r w:rsidRPr="00415017">
        <w:rPr>
          <w:i/>
          <w:noProof/>
        </w:rPr>
        <w:t>Justitia Nusantara Media Law Journal</w:t>
      </w:r>
      <w:r w:rsidRPr="00415017">
        <w:rPr>
          <w:noProof/>
        </w:rPr>
        <w:t xml:space="preserve"> 8, no. 2 (2018): 103–11, http://ojs.uninus.ac.id/index.php/MJN/article/view/673/457%0Ahttp://ojs.uninus.ac.id/index.php/MJN/article/view/673.</w:t>
      </w:r>
      <w:r w:rsidRPr="00415017">
        <w:fldChar w:fldCharType="end"/>
      </w:r>
    </w:p>
  </w:footnote>
  <w:footnote w:id="11">
    <w:p w14:paraId="08F10FA3" w14:textId="77777777" w:rsidR="004D5838" w:rsidRPr="00415017" w:rsidRDefault="004D5838" w:rsidP="004D5838">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{"citationItems":[{"id":"ITEM-1","itemData":{"DOI":"10.20885/iustum.vol27.iss3.art3","ISSN":"08548498","abstract":"One of the highlights in Law Number 35 of 2009 on Narcotics, is that there are 2 institutions authorized to carry out investigations, namely the National Narcotics Agency (BNN) and the Indonesian National Police. BNN investigators in the authority to attempted forced arrest using the legal basis of Article 76 of Law no. 35 of 2009 on Narcotics, while the Police investigators use Article 19 paragraph (1) of the Criminal Procedure Code. Police investigators are only authorized to make arrests with a period of 1 x 24 hours, not 6 (six) days as the authority of BNN investigators. This difference in arrangement certainly creates legal uncertainty. This research will discuss, first, the implications of the difference in the regulation of the authority for forced arrest by BNN investigators and the National Police for narcotics offenders. Second, the harmonization of arrangements for the forced arrest of narcotics offenders by BNN investigators and the National Police. The research method used is normative, using a statutory approach and a conceptual approach. The results of the study conclude that first, the difference in the regulation of the authority for forced arrest between BNN investigators and the National Police has resulted in different interpretations in its implementation, resulting in legal uncertainty and violations of the principle of equality before the law against narcotics offenders. Second, the disharmony of regulating the forced arrest of narcotics offenders by BNN and Police investigators needs to be harmonized based on the Criminal Procedure Code outlined in the integrated criminal justice system.","author":[{"dropping-particle":"","family":"Rahman","given":"Kholilur","non-dropping-particle":"","parse-names":false,"suffix":""}],"container-title":"Jurnal Hukum Ius Quia Iustum","id":"ITEM-1","issue":"3","issued":{"date-parts":[["2020"]]},"page":"481-500","title":"Problem Pengaturan Upaya Paksa Penangkapan Terhadap Pelaku Tindak Pidana Narkotika","type":"article-journal","volume":"27"},"uris":["http://www.mendeley.com/documents/?uuid=ca08d4c5-7e01-48fc-b5f9-4697f0801d10"]}],"mendeley":{"formattedCitation":"Kholilur Rahman, “Problem Pengaturan Upaya Paksa Penangkapan Terhadap Pelaku Tindak Pidana Narkotika,” &lt;i&gt;Jurnal Hukum Ius Quia Iustum&lt;/i&gt; 27, no. 3 (2020): 481–500, https://doi.org/10.20885/iustum.vol27.iss3.art3.","plainTextFormattedCitation":"Kholilur Rahman, “Problem Pengaturan Upaya Paksa Penangkapan Terhadap Pelaku Tindak Pidana Narkotika,” Jurnal Hukum Ius Quia Iustum 27, no. 3 (2020): 481–500, https://doi.org/10.20885/iustum.vol27.iss3.art3.","previouslyFormattedCitation":"Kholilur Rahman, “Problem Pengaturan Upaya Paksa Penangkapan Terhadap Pelaku Tindak Pidana Narkotika,” &lt;i&gt;Jurnal Hukum Ius Quia Iustum&lt;/i&gt; 27, no. 3 (2020): 481–500, https://doi.org/10.20885/iustum.vol27.iss3.art3."},"properties":{"noteIndex":11},"schema":"https://github.com/citation-style-language/schema/raw/master/csl-citation.json"}</w:instrText>
      </w:r>
      <w:r w:rsidRPr="00415017">
        <w:fldChar w:fldCharType="separate"/>
      </w:r>
      <w:r w:rsidRPr="00415017">
        <w:rPr>
          <w:noProof/>
        </w:rPr>
        <w:t xml:space="preserve">Kholilur Rahman, "The Problem of Regulating Forced Arrests of Perpetrators of Narcotics Crimes," </w:t>
      </w:r>
      <w:r w:rsidRPr="00415017">
        <w:rPr>
          <w:i/>
          <w:noProof/>
        </w:rPr>
        <w:t>Ius Quia Iustum Legal Journal</w:t>
      </w:r>
      <w:r w:rsidRPr="00415017">
        <w:rPr>
          <w:noProof/>
        </w:rPr>
        <w:t xml:space="preserve"> 27, no. 3 (2020): 481–500, https://doi.org/10.20885/iustum.vol27.iss3.art3.</w:t>
      </w:r>
      <w:r w:rsidRPr="00415017">
        <w:fldChar w:fldCharType="end"/>
      </w:r>
    </w:p>
  </w:footnote>
  <w:footnote w:id="12">
    <w:p w14:paraId="22F1A5D3" w14:textId="77777777" w:rsidR="004D5838" w:rsidRPr="00415017" w:rsidRDefault="004D5838" w:rsidP="004D5838">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{"citationItems":[{"id":"ITEM-1","itemData":{"abstract":"Policy of sentencing system in this study in a functional significance (Material Criminal Law, Formal Criminal Law and Law of Punishment Execution). The main problems of this study are (a) How does the formulation of the victim-oriented sentencing system policy in the current positive law? (b) How does the formulation of victim-oriented sentencing system policy in the future positive law? Research carried out a normative legal research and approaches used include the approach of legislation, conceptual approaches and comparative approach. Formulation of policy oriented system on victims in the positive law currently only exist on a small portion statutory provisions in Indonesia, while in most of it is still oriented of criminal act offender. Although in its development, emerging concern for the victim, but has not awakened a policy of criminalization of the integral sentencing system. The conclusion that can be put forward is that there is concern for the victims in the current positive law, though not yet awakened a policy of criminalization of the integral system. In the coming policy so the policy was also concerned with both the victims and the offenders.","author":[{"dropping-particle":"","family":"Soponyono","given":"Eko","non-dropping-particle":"","parse-names":false,"suffix":""}],"container-title":"Masalah Masalah Hukum","id":"ITEM-1","issue":"1","issued":{"date-parts":[["2012"]]},"page":"29-41","title":"Kebijakan Perumusan Sistem Pemidanaan Yang Berorientasi Pada Korban","type":"article-journal","volume":"41"},"uris":["http://www.mendeley.com/documents/?uuid=436e98b8-8764-4c9a-952e-196f64661585"]}],"mendeley":{"formattedCitation":"Eko Soponyono, “Kebijakan Perumusan Sistem Pemidanaan Yang Berorientasi Pada Korban,” &lt;i&gt;Masalah Masalah Hukum&lt;/i&gt; 41, no. 1 (2012): 29–41.","plainTextFormattedCitation":"Eko Soponyono, “Kebijakan Perumusan Sistem Pemidanaan Yang Berorientasi Pada Korban,” Masalah Masalah Hukum 41, no. 1 (2012): 29–41.","previouslyFormattedCitation":"Eko Soponyono, “Kebijakan Perumusan Sistem Pemidanaan Yang Berorientasi Pada Korban,” &lt;i&gt;Masalah Masalah Hukum&lt;/i&gt; 41, no. 1 (2012): 29–41."},"properties":{"noteIndex":12},"schema":"https://github.com/citation-style-language/schema/raw/master/csl-citation.json"}</w:instrText>
      </w:r>
      <w:r w:rsidRPr="00415017">
        <w:fldChar w:fldCharType="separate"/>
      </w:r>
      <w:r w:rsidRPr="00415017">
        <w:rPr>
          <w:noProof/>
        </w:rPr>
        <w:t xml:space="preserve">Eko Soponyono, "The Policy of Formulating a Victim-Oriented Criminal System," </w:t>
      </w:r>
      <w:r w:rsidRPr="00415017">
        <w:rPr>
          <w:i/>
          <w:noProof/>
        </w:rPr>
        <w:t>Legal Issues</w:t>
      </w:r>
      <w:r w:rsidRPr="00415017">
        <w:rPr>
          <w:noProof/>
        </w:rPr>
        <w:t xml:space="preserve"> 41, no. 1 (2012): 29–41.</w:t>
      </w:r>
      <w:r w:rsidRPr="00415017">
        <w:fldChar w:fldCharType="end"/>
      </w:r>
    </w:p>
  </w:footnote>
  <w:footnote w:id="13">
    <w:p w14:paraId="2B735FAD" w14:textId="77777777" w:rsidR="004D5838" w:rsidRPr="00415017" w:rsidRDefault="004D5838" w:rsidP="004D5838">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{"citationItems":[{"id":"ITEM-1","itemData":{"abstract":"Analisis isi merupakan metode penelitian yang digunakan untuk mengetahui kecenderungan isi komunikasi. Ada dua pendekatan yang sering digunakan yaitu analisis isi kuantitatif dan analisis isi kualitatif.","author":[{"dropping-particle":"","family":"Ahmad","given":"Jumal","non-dropping-particle":"","parse-names":false,"suffix":""}],"container-title":"Jurnal Analisis Isi","id":"ITEM-1","issue":"9","issued":{"date-parts":[["2018"]]},"page":"1-20","title":"Desain Penelitian Analisis Isi (Content Analysis)","type":"article-journal","volume":"5"},"uris":["http://www.mendeley.com/documents/?uuid=b504ce51-55af-40be-8c29-66d1ab911279"]}],"mendeley":{"formattedCitation":"Jumal Ahmad, “Desain Penelitian Analisis Isi (Content Analysis),” &lt;i&gt;Jurnal Analisis Isi&lt;/i&gt; 5, no. 9 (2018): 1–20, https://www.academia.edu/download/81413125/DesainPenelitianContentAnalysis_revisedJumalAhmad.pdf.","plainTextFormattedCitation":"Jumal Ahmad, “Desain Penelitian Analisis Isi (Content Analysis),” Jurnal Analisis Isi 5, no. 9 (2018): 1–20, https://www.academia.edu/download/81413125/DesainPenelitianContentAnalysis_revisedJumalAhmad.pdf.","previouslyFormattedCitation":"Jumal Ahmad, “Desain Penelitian Analisis Isi (Content Analysis),” &lt;i&gt;Jurnal Analisis Isi&lt;/i&gt; 5, no. 9 (2018): 1–20, https://www.academia.edu/download/81413125/DesainPenelitianContentAnalysis_revisedJumalAhmad.pdf."},"properties":{"noteIndex":13},"schema":"https://github.com/citation-style-language/schema/raw/master/csl-citation.json"}</w:instrText>
      </w:r>
      <w:r w:rsidRPr="00415017">
        <w:fldChar w:fldCharType="separate"/>
      </w:r>
      <w:r w:rsidRPr="00415017">
        <w:rPr>
          <w:noProof/>
        </w:rPr>
        <w:t xml:space="preserve">Jumal Ahmad, "Content Analysis Research Design," </w:t>
      </w:r>
      <w:r w:rsidRPr="00415017">
        <w:rPr>
          <w:i/>
          <w:noProof/>
        </w:rPr>
        <w:t>Journal of Content Analysis</w:t>
      </w:r>
      <w:r w:rsidRPr="00415017">
        <w:rPr>
          <w:noProof/>
        </w:rPr>
        <w:t xml:space="preserve"> 5, no. 9 (2018): 1–20, https://www.academia.edu/download/81413125/DesainPenelitianContentAnalysis_revisedJumalAhmad.pdf.</w:t>
      </w:r>
      <w:r w:rsidRPr="00415017">
        <w:fldChar w:fldCharType="end"/>
      </w:r>
    </w:p>
  </w:footnote>
  <w:footnote w:id="14">
    <w:p w14:paraId="042A4964" w14:textId="77777777" w:rsidR="004D5838" w:rsidRDefault="004D5838" w:rsidP="004D5838">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{"citationItems":[{"id":"ITEM-1","itemData":{"abstract":"Purpose: The purpose of this study is to find out the differences in various aspects of state administration between Indonesia and England. Research methodology: The research methodology used in this study is normative juridical with a comparative law approach. Results: After comparing the Indonesian and England state administrations from various aspects briefly in this study, conclusions are obtained based on the compared aspects of various aspects, namely the legal system, form of state, form of government, system of government, form of constitution and legislative structure. Limitations: This research was only carried out through a literature study without directly seeing, feeling and conducting empirical studies between Indonesia and England in practice, so that the limitations of this research are clear in detail. Researchers hope that in the future a direct comparative study between the two countries will be carried out in order to produce more comprehensive research. Contribution: This research is expected to be a reference in constitutional law research in Indonesia, especially in this case is the comparison of constitutional law between Indonesia and England.","author":[{"dropping-particle":"","family":"Saragih","given":"Geofani Milthree","non-dropping-particle":"","parse-names":false,"suffix":""}],"container-title":"Jurnal Ilmu Hukum Reusam","id":"ITEM-1","issue":"2","issued":{"date-parts":[["2022"]]},"page":"201-214","title":"Perbandingan Ketatanegaraan Indonesia Dan Inggris Dari Berbagai Aspek","type":"article-journal","volume":"10"},"uris":["http://www.mendeley.com/documents/?uuid=602a7491-dd60-4e86-b114-a4580246b163"]}],"mendeley":{"formattedCitation":"Geofani Milthree Saragih, “Perbandingan Ketatanegaraan Indonesia Dan Inggris Dari Berbagai Aspek,” &lt;i&gt;Jurnal Ilmu Hukum Reusam&lt;/i&gt; 10, no. 2 (2022): 201–14, https://ojs.unimal.ac.id/reusam/article/view/10440.","plainTextFormattedCitation":"Geofani Milthree Saragih, “Perbandingan Ketatanegaraan Indonesia Dan Inggris Dari Berbagai Aspek,” Jurnal Ilmu Hukum Reusam 10, no. 2 (2022): 201–14, https://ojs.unimal.ac.id/reusam/article/view/10440.","previouslyFormattedCitation":"Geofani Milthree Saragih, “Perbandingan Ketatanegaraan Indonesia Dan Inggris Dari Berbagai Aspek,” &lt;i&gt;Jurnal Ilmu Hukum Reusam&lt;/i&gt; 10, no. 2 (2022): 201–14, https://ojs.unimal.ac.id/reusam/article/view/10440."},"properties":{"noteIndex":14},"schema":"https://github.com/citation-style-language/schema/raw/master/csl-citation.json"}</w:instrText>
      </w:r>
      <w:r w:rsidRPr="00415017">
        <w:fldChar w:fldCharType="separate"/>
      </w:r>
      <w:r w:rsidRPr="00415017">
        <w:rPr>
          <w:noProof/>
        </w:rPr>
        <w:t xml:space="preserve">Geofani Milthree Saragih, "Comparison of Indonesian and British Constitutions from Various Aspects," </w:t>
      </w:r>
      <w:r w:rsidRPr="00415017">
        <w:rPr>
          <w:i/>
          <w:noProof/>
        </w:rPr>
        <w:t>Reusam Journal of Law</w:t>
      </w:r>
      <w:r w:rsidRPr="00415017">
        <w:rPr>
          <w:noProof/>
        </w:rPr>
        <w:t xml:space="preserve"> 10, no. 2 (2022): 201–14, https://ojs.unimal.ac.id/reusam/article/view/10440.</w:t>
      </w:r>
      <w:r w:rsidRPr="00415017">
        <w:fldChar w:fldCharType="end"/>
      </w:r>
    </w:p>
  </w:footnote>
  <w:footnote w:id="15">
    <w:p w14:paraId="654E3720" w14:textId="77777777" w:rsidR="004D5838" w:rsidRPr="00415017" w:rsidRDefault="004D5838" w:rsidP="004D5838">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{"citationItems":[{"id":"ITEM-1","itemData":{"DOI":"10.51454/jimsh.v5i1.896","ISSN":"2654-7287","abstract":"Traffic accidents resulting in fatalities are categorized as serious traffic accidents. The purpose of this study is to analyze the reality of criminal liability in cases of traffic accidents resulting in fatalities where the victim's family and the perpetrator's family agree to settle. This study uses a normative legal research type. This qualitative study uses a legislative approach, conceptual approach, and case approach. The results of the study show that the traffic accident case involving the perpetrator and victim \"NA\" is classified as a serious traffic accident resulting in fatalities as stipulated in Article 229 paragraph (4) of the UULLAJ. According to the provisions in the UULLAJ, there is no clause that allows serious traffic accident cases to be settled amicably. The provision of material compensation to the heirs of \"NA\" in the form of medical and/or funeral expenses is an obligation as stipulated in Article 235 paragraph (1) of the UULLAJ without waiving the criminal charges, so the provision of compensation is a form of responsibility that can be taken into consideration as a mitigating factor by the judge in court.","author":[{"dropping-particle":"","family":"Abdaud","given":"Faisal","non-dropping-particle":"","parse-names":false,"suffix":""}],"container-title":"Jurnal Ilmu Manajemen Sosial Humaniora (JIMSH)","id":"ITEM-1","issue":"1","issued":{"date-parts":[["2023"]]},"page":"17-26","title":"Menguak Realitas Pertanggungjawaban Pidana dalam Kasus Kecelakaan Lalu Lintas yang Mengakibatkan Korban Meninggal Dunia","type":"article-journal","volume":"5"},"uris":["http://www.mendeley.com/documents/?uuid=278167bc-77af-4139-b87a-ec4f7781b411"]}],"mendeley":{"formattedCitation":"Faisal Abdaud, “Menguak Realitas Pertanggungjawaban Pidana Dalam Kasus Kecelakaan Lalu Lintas Yang Mengakibatkan Korban Meninggal Dunia,” &lt;i&gt;Jurnal Ilmu Manajemen Sosial Humaniora (JIMSH)&lt;/i&gt; 5, no. 1 (2023): 17–26, https://doi.org/10.51454/jimsh.v5i1.896.","plainTextFormattedCitation":"Faisal Abdaud, “Menguak Realitas Pertanggungjawaban Pidana Dalam Kasus Kecelakaan Lalu Lintas Yang Mengakibatkan Korban Meninggal Dunia,” Jurnal Ilmu Manajemen Sosial Humaniora (JIMSH) 5, no. 1 (2023): 17–26, https://doi.org/10.51454/jimsh.v5i1.896.","previouslyFormattedCitation":"Faisal Abdaud, “Menguak Realitas Pertanggungjawaban Pidana Dalam Kasus Kecelakaan Lalu Lintas Yang Mengakibatkan Korban Meninggal Dunia,” &lt;i&gt;Jurnal Ilmu Manajemen Sosial Humaniora (JIMSH)&lt;/i&gt; 5, no. 1 (2023): 17–26, https://doi.org/10.51454/jimsh.v5i1.896."},"properties":{"noteIndex":15},"schema":"https://github.com/citation-style-language/schema/raw/master/csl-citation.json"}</w:instrText>
      </w:r>
      <w:r w:rsidRPr="00415017">
        <w:fldChar w:fldCharType="separate"/>
      </w:r>
      <w:r w:rsidRPr="00415017">
        <w:rPr>
          <w:noProof/>
        </w:rPr>
        <w:t xml:space="preserve">Faisal Abdaud, "Revealing the Reality of Criminal Responsibility in the Case of a Traffic Accident That Resulted in the Victim's Death," </w:t>
      </w:r>
      <w:r w:rsidRPr="00415017">
        <w:rPr>
          <w:i/>
          <w:noProof/>
        </w:rPr>
        <w:t>Journal of Social Management Science and Humanities (JIMSH)</w:t>
      </w:r>
      <w:r w:rsidRPr="00415017">
        <w:rPr>
          <w:noProof/>
        </w:rPr>
        <w:t xml:space="preserve"> 5, no. 1 (2023): 17–26, https://doi.org/10.51454/jimsh.v5i1.896.</w:t>
      </w:r>
      <w:r w:rsidRPr="00415017">
        <w:fldChar w:fldCharType="end"/>
      </w:r>
    </w:p>
  </w:footnote>
  <w:footnote w:id="16">
    <w:p w14:paraId="04A5B081" w14:textId="77777777" w:rsidR="004D5838" w:rsidRPr="00415017" w:rsidRDefault="004D5838" w:rsidP="004D5838">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10.58812/shh.v3.i02","author":[{"dropping-particle":"","family":"Hukum","given":"Sanskara","non-dropping-particle":"","parse-names":false,"suffix":""},{"dropping-particle":"","family":"Faqih","given":"Muhammad","non-dropping-particle":"","parse-names":false,"suffix":""},{"dropping-particle":"","family":"Fanany","given":"Al","non-dropping-particle":"","parse-names":false,"suffix":""},{"dropping-particle":"","family":"Permatasari","given":"Putri Intan","non-dropping-particle":"","parse-names":false,"suffix":""},{"dropping-particle":"","family":"Sunan","given":"U I N","non-dropping-particle":"","parse-names":false,"suffix":""},{"dropping-particle":"","family":"Surabaya","given":"Ampel","non-dropping-particle":"","parse-names":false,"suffix":""}],"id":"ITEM-1","issue":"02","issued":{"date-parts":[["2024"]]},"page":"57-67","title":"Pencabutan Hak Politik Pada Tindak Pidana Korupsi : Apakah Perlu","type":"article-journal","volume":"3"},"uris":["http://www.mendeley.com/documents/?uuid=513c6fe7-b0f4-42ce-ad3f-77258d543011"]}],"mendeley":{"formattedCitation":"Sanskara Hukum et al., “Pencabutan Hak Politik Pada Tindak Pidana Korupsi : Apakah Perlu” 3, no. 02 (2024): 57–67, https://doi.org/10.58812/shh.v3.i02.","plainTextFormattedCitation":"Sanskara Hukum et al., “Pencabutan Hak Politik Pada Tindak Pidana Korupsi : Apakah Perlu” 3, no. 02 (2024): 57–67, https://doi.org/10.58812/shh.v3.i02.","previouslyFormattedCitation":"Sanskara Hukum et al., “Pencabutan Hak Politik Pada Tindak Pidana Korupsi : Apakah Perlu” 3, no. 02 (2024): 57–67, https://doi.org/10.58812/shh.v3.i02."},"properties":{"noteIndex":16},"schema":"https://github.com/citation-style-language/schema/raw/master/csl-citation.json"}</w:instrText>
      </w:r>
      <w:r w:rsidRPr="00415017">
        <w:fldChar w:fldCharType="separate"/>
      </w:r>
      <w:r w:rsidRPr="00415017">
        <w:rPr>
          <w:noProof/>
        </w:rPr>
        <w:t>Sanskara Hukum et al., "Revocation of Political Rights in Corruption Crimes: Is It Necessary" 3, no. 02 (2024): 57–67, https://doi.org/10.58812/shh.v3.i02.</w:t>
      </w:r>
      <w:r w:rsidRPr="00415017">
        <w:fldChar w:fldCharType="end"/>
      </w:r>
    </w:p>
  </w:footnote>
  <w:footnote w:id="17">
    <w:p w14:paraId="28505FAB" w14:textId="77777777" w:rsidR="00312803" w:rsidRPr="00415017"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{"citationItems":[{"id":"ITEM-1","itemData":{"DOI":"10.24002/jep.v35i1.2052","ISSN":"0852-1883","abstract":"Dalam pelaksanaannya, pemilihan umum sering dijumpai dengan berbagai pelanggaran bahkan tindak pidana di dalamnya, oleh karena itu legislator memuat ketentuan tindak pidana pemilu di dalam Undang-Undang Nomor 7 Tahun 2017 tentang Pemilu. Dengan diaturnya ketentuan tindak pidana dalam pemilu, hal ini menunjukkan bahwa legislator menganggap bahwa pemilihan umum merupakan hal yang sangat penting dalam kehidupan demokrasi di Indonesia, sehingga pemilihan umum wajib diupayakan untuk terlaksana secara bersih dari tindak pidana. Alih-alih menjaga prinsip kedaulatan rakyat, di dalam Undang-Undang Pemilu terdapat ketentuan tindak pidana pemilu yang justru berpotensi mereduksi nilai-nilai prinsip kedaulatan rakyat itu sendiri. Seperti dijumpai pada Pasal 509 terkait larangan pengumuman hasil survei atau jajak pendapat di masa tenang. Berdasarkan hal itu maka peneliti tertarik segera mengidentifikasi dan menganalisis ketentuan tindak pidana pemilu tersebut dalam perspektif prinsip kedaulatan rakyat di Indonesia. Penelitian ini mengkaji dengan metode penelitian yuridis normatif (legal research) yang bersifat deskriptif, menjabarkan penelitian secara kualitatif untuk menjawab permasalahan ketentuan tindak pidana pemilu yang dimuat dalam Undang-Undang Pemilu dilihat dari perspektif prinsip kedaulatan rakyat. Hasil dari penelitian ini adalah ketentuan terkait pengumuman survei atau jajak pendapat di masa tenang dalam perspektif prinsip kedaulatan rakyat merupakan suatu ketentuan yang mereduksi perkembangan demokrasi di Indonesia, karena membatasi kebebasan masyarakat dalam mendapatkan dan menyebarkan informasi terlebih dengan menggunakan metodologi ilmiah. Dengan adanya penelitian ini, maka diharapkan kepada legislator agar lebih memperhatikan prinsip kedaulatan rakyat juga asas kepastian hukum  dalam membuat ketentuan tindak pidana pemilu di dalam Undang-Undang Pemilu.","author":[{"dropping-particle":"","family":"Ismail","given":"Ismail","non-dropping-particle":"","parse-names":false,"suffix":""},{"dropping-particle":"","family":"Hapsoro","given":"Fakhris Lutfianto","non-dropping-particle":"","parse-names":false,"suffix":""}],"container-title":"Justitia et Pax","id":"ITEM-1","issue":"1","issued":{"date-parts":[["2019"]]},"title":"Tinjauan Yuridis Tindak Pidana Pemilu Dalam Perspektif Prinsip Kedaulatan Rakyat","type":"article-journal","volume":"35"},"uris":["http://www.mendeley.com/documents/?uuid=d007ee40-26c3-495b-9b4e-a894fa430357"]}],"mendeley":{"formattedCitation":"Ismail Ismail and Fakhris Lutfianto Hapsoro, “Tinjauan Yuridis Tindak Pidana Pemilu Dalam Perspektif Prinsip Kedaulatan Rakyat,” &lt;i&gt;Justitia et Pax&lt;/i&gt; 35, no. 1 (2019), https://doi.org/10.24002/jep.v35i1.2052.","plainTextFormattedCitation":"Ismail Ismail and Fakhris Lutfianto Hapsoro, “Tinjauan Yuridis Tindak Pidana Pemilu Dalam Perspektif Prinsip Kedaulatan Rakyat,” Justitia et Pax 35, no. 1 (2019), https://doi.org/10.24002/jep.v35i1.2052.","previouslyFormattedCitation":"Ismail Ismail and Fakhris Lutfianto Hapsoro, “Tinjauan Yuridis Tindak Pidana Pemilu Dalam Perspektif Prinsip Kedaulatan Rakyat,” &lt;i&gt;Justitia et Pax&lt;/i&gt; 35, no. 1 (2019), https://doi.org/10.24002/jep.v35i1.2052."},"properties":{"noteIndex":17},"schema":"https://github.com/citation-style-language/schema/raw/master/csl-citation.json"}</w:instrText>
      </w:r>
      <w:r w:rsidRPr="00415017">
        <w:fldChar w:fldCharType="separate"/>
      </w:r>
      <w:r w:rsidRPr="00415017">
        <w:rPr>
          <w:noProof/>
        </w:rPr>
        <w:t xml:space="preserve">Ismail Ismail and Fakhris Lutfianto Hapsoro, "Juridical Review of Election Crimes in the Perspective of the Principle of People's Sovereignty," </w:t>
      </w:r>
      <w:r w:rsidRPr="00415017">
        <w:rPr>
          <w:i/>
          <w:noProof/>
        </w:rPr>
        <w:t>Justitia and Pax</w:t>
      </w:r>
      <w:r w:rsidRPr="00415017">
        <w:rPr>
          <w:noProof/>
        </w:rPr>
        <w:t xml:space="preserve"> 35, no. 1 (2019), https://doi.org/10.24002/jep.v35i1.2052.</w:t>
      </w:r>
      <w:r w:rsidRPr="00415017">
        <w:fldChar w:fldCharType="end"/>
      </w:r>
    </w:p>
  </w:footnote>
  <w:footnote w:id="18">
    <w:p w14:paraId="2E72EC7A" w14:textId="77777777" w:rsidR="00312803" w:rsidRPr="00415017"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{"citationItems":[{"id":"ITEM-1","itemData":{"DOI":"10.15575/politicon.v2i1.7513","abstract":"System yang digunakan Indonesia saat ini sebagai bentuk mewujudkan kedaulatan rakyat berupa system pemilu. pemilihan umum baik legislatif maupun pemilihan presiden pada prinsipnya adalah agar masyarat sejahtera dan makmur dengan memaksimalkan potensi yang tersedia di Indonesia dengan mengelolan sumber daya alam yang begitu melimpah sesuai dengan amanat Undang-undang dasar 1945 pasal 33 ayat 1 sampai dengan ayat 4. Tujuan penulisan artikel beru untuk mengetahui manfaat dari pemilu bagi kesejahteraan masyarakat dimana menggunakan pendekatan kualitatif untuk menelusuri hal-hal yang menjadi kebermanfaatan bagi masyarakat dari pola/system pemilu ini. Hasil penelitian mendapatkan pemilu bermanfaat sebagai alat demokrasi, sarana partisipasi maryarakat, solusi pergantian kepemimpinan, melegitimasi pemimpin terpilih, tempat rakyat mengajukan aspirasi, bersosialisasi dan menjalin relasi.","author":[{"dropping-particle":"","family":"Hidayat","given":"Asep","non-dropping-particle":"","parse-names":false,"suffix":""}],"container-title":"Politicon : Jurnal Ilmu Politik","id":"ITEM-1","issue":"1","issued":{"date-parts":[["2020"]]},"page":"72-85","title":"Manfaat Pelaksanaan Pemilu Untuk Kesejahteraan Masyarakat","type":"article-journal","volume":"2"},"uris":["http://www.mendeley.com/documents/?uuid=9ff51fbb-1e21-4954-8ff5-d614355a44c7"]}],"mendeley":{"formattedCitation":"Asep Hidayat, “Manfaat Pelaksanaan Pemilu Untuk Kesejahteraan Masyarakat,” &lt;i&gt;Politicon : Jurnal Ilmu Politik&lt;/i&gt; 2, no. 1 (2020): 72–85, https://doi.org/10.15575/politicon.v2i1.7513.","plainTextFormattedCitation":"Asep Hidayat, “Manfaat Pelaksanaan Pemilu Untuk Kesejahteraan Masyarakat,” Politicon : Jurnal Ilmu Politik 2, no. 1 (2020): 72–85, https://doi.org/10.15575/politicon.v2i1.7513.","previouslyFormattedCitation":"Asep Hidayat, “Manfaat Pelaksanaan Pemilu Untuk Kesejahteraan Masyarakat,” &lt;i&gt;Politicon : Jurnal Ilmu Politik&lt;/i&gt; 2, no. 1 (2020): 72–85, https://doi.org/10.15575/politicon.v2i1.7513."},"properties":{"noteIndex":18},"schema":"https://github.com/citation-style-language/schema/raw/master/csl-citation.json"}</w:instrText>
      </w:r>
      <w:r w:rsidRPr="00415017">
        <w:fldChar w:fldCharType="separate"/>
      </w:r>
      <w:r w:rsidRPr="00415017">
        <w:rPr>
          <w:noProof/>
        </w:rPr>
        <w:t xml:space="preserve">Asep Hidayat, "The Benefits of Holding Elections for the Welfare of the Community," </w:t>
      </w:r>
      <w:r w:rsidRPr="00415017">
        <w:rPr>
          <w:i/>
          <w:noProof/>
        </w:rPr>
        <w:t>Politicon : Journal of Political Science</w:t>
      </w:r>
      <w:r w:rsidRPr="00415017">
        <w:rPr>
          <w:noProof/>
        </w:rPr>
        <w:t xml:space="preserve"> 2, no. 1 (2020): 72–85, https://doi.org/10.15575/politicon.v2i1.7513.</w:t>
      </w:r>
      <w:r w:rsidRPr="00415017">
        <w:fldChar w:fldCharType="end"/>
      </w:r>
    </w:p>
  </w:footnote>
  <w:footnote w:id="19">
    <w:p w14:paraId="09E6D77F" w14:textId="77777777" w:rsidR="00312803" w:rsidRPr="00415017"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{"citationItems":[{"id":"ITEM-1","itemData":{"abstract":"Elections are a means of a country in running a democratic system. Elections are held in a direct, general, free, secret, honest and fair manner once every five years. This has actually been explained in the 1945 constitution of the Republic of Indonesia. The emergence of the discourse of postponing the election will actually cause the state to lose the quality of the only product of reform, namely democracy. If the postponement of the election continues, it will have implications for the authoritarian government and abuse of power. This study will discuss the problems that arise if the implementation of the election is delayed and the extent of the conflict with the constitution. This research is in the form of normative juridical with descriptive-qualitative method. The data in this study were taken with primary materials, namely laws and regulations and secondary materials in the form of libraries. The results of this study found that the General Election is something that is essential which its implementation must be held, if there is a postponement of the election it will be contrary to Article 7 Jo 22E paragraph (1) of the 1945 Constitution of the Republic of Indonesia. Indonesia is a democratic country, then one of the indicators in a democratic country is the rotation of power whose implementation is carried out through the implementation of elections. This means that the ideal concept of democracy must comply with the principles of periodic elections and the rotation of power. This then makes the issue of postponing elections contrary to democratic principles.","author":[{"dropping-particle":"","family":"Siagian","given":"Abdhy Walid","non-dropping-particle":"","parse-names":false,"suffix":""},{"dropping-particle":"","family":"Ferian Fajar","given":"Habib","non-dropping-particle":"","parse-names":false,"suffix":""},{"dropping-particle":"","family":"Alify","given":"Rozin Falih","non-dropping-particle":"","parse-names":false,"suffix":""}],"container-title":"Jurnal Legislatif","id":"ITEM-1","issue":"2","issued":{"date-parts":[["2022"]]},"page":"101-114","title":"Konstitusionalitas Penundaan Pelaksanaan Pemilihan Umum Tahun 2024","type":"article-journal","volume":"5"},"uris":["http://www.mendeley.com/documents/?uuid=291e8ddf-3d86-46e4-9e4b-cb5d4535ea61"]}],"mendeley":{"formattedCitation":"Abdhy Walid Siagian, Habib Ferian Fajar, and Rozin Falih Alify, “Konstitusionalitas Penundaan Pelaksanaan Pemilihan Umum Tahun 2024,” &lt;i&gt;Jurnal Legislatif&lt;/i&gt; 5, no. 2 (2022): 101–14, https://www.bbc.com/indonesia/indonesia-60561290.","plainTextFormattedCitation":"Abdhy Walid Siagian, Habib Ferian Fajar, and Rozin Falih Alify, “Konstitusionalitas Penundaan Pelaksanaan Pemilihan Umum Tahun 2024,” Jurnal Legislatif 5, no. 2 (2022): 101–14, https://www.bbc.com/indonesia/indonesia-60561290.","previouslyFormattedCitation":"Abdhy Walid Siagian, Habib Ferian Fajar, and Rozin Falih Alify, “Konstitusionalitas Penundaan Pelaksanaan Pemilihan Umum Tahun 2024,” &lt;i&gt;Jurnal Legislatif&lt;/i&gt; 5, no. 2 (2022): 101–14, https://www.bbc.com/indonesia/indonesia-60561290."},"properties":{"noteIndex":19},"schema":"https://github.com/citation-style-language/schema/raw/master/csl-citation.json"}</w:instrText>
      </w:r>
      <w:r w:rsidRPr="00415017">
        <w:fldChar w:fldCharType="separate"/>
      </w:r>
      <w:r w:rsidRPr="00415017">
        <w:rPr>
          <w:noProof/>
        </w:rPr>
        <w:t xml:space="preserve">Abdhy Walid Siagian, Habib Ferian Fajar, and Rozin Falih Alify, "The Constitutionality of the Postponement of the Implementation of the 2024 General Election," </w:t>
      </w:r>
      <w:r w:rsidRPr="00415017">
        <w:rPr>
          <w:i/>
          <w:noProof/>
        </w:rPr>
        <w:t>Legislative Journal</w:t>
      </w:r>
      <w:r w:rsidRPr="00415017">
        <w:rPr>
          <w:noProof/>
        </w:rPr>
        <w:t xml:space="preserve"> 5, no. 2 (2022): 101–14, https://www.bbc.com/indonesia/indonesia-60561290.</w:t>
      </w:r>
      <w:r w:rsidRPr="00415017">
        <w:fldChar w:fldCharType="end"/>
      </w:r>
    </w:p>
  </w:footnote>
  <w:footnote w:id="20">
    <w:p w14:paraId="77E5C813" w14:textId="77777777" w:rsidR="00312803" w:rsidRPr="00415017"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{"citationItems":[{"id":"ITEM-1","itemData":{"DOI":"10.31599/sasana.v6i1.228","ISSN":"2461-0453","abstract":"ABSTRACTElections are a means of implementing the sovereignty of the people regulated in the 1945 Constitution. In the implementation of indirect democracy, a representative democratic system is inevitable, so that elections that uphold direct, public, free, secret, honest and fair spirit are a means of regenerating leadership politics to run the government both at central and regional levels. People as the owner of the highest sovereignty surrender their sovereignty to state institutions such as the President, DPR, DPD, and DPRD through elections. After the change in the 1945 Constitution there was a shift in the regulation of popular sovereignty such as the MPR is no longer the executor of popular sovereignty, the implementation of direct presidential elections by the people, until the emergence of the Constitutional Court that can try and decide the president and vice president to stop in his term of office. All of this is an effort to uphold the people's sovereignty and at the same time to maintain the people's sovereignty based on the 1945 Constitution.\r Keywords: People's Sovereignty, Elections, 1945 Constitution","author":[{"dropping-particle":"","family":"Ofis Rikardo","given":"","non-dropping-particle":"","parse-names":false,"suffix":""}],"container-title":"Jurnal Hukum Sasana","id":"ITEM-1","issue":"1","issued":{"date-parts":[["2020"]]},"page":"51-71","title":"Penerapan Kedaulatan Rakyat Di Dalam Pemilihan Umum Di Indonesia Berdasarkan Undang-Undang Dasar Negara Republik Indonesia Tahun 1945","type":"article-journal","volume":"6"},"uris":["http://www.mendeley.com/documents/?uuid=b50f17c5-7831-41f8-a4bd-cf8f42a7946d"]}],"mendeley":{"formattedCitation":"Ofis Rikardo, “Penerapan Kedaulatan Rakyat Di Dalam Pemilihan Umum Di Indonesia Berdasarkan Undang-Undang Dasar Negara Republik Indonesia Tahun 1945,” &lt;i&gt;Jurnal Hukum Sasana&lt;/i&gt; 6, no. 1 (2020): 51–71, https://doi.org/10.31599/sasana.v6i1.228.","plainTextFormattedCitation":"Ofis Rikardo, “Penerapan Kedaulatan Rakyat Di Dalam Pemilihan Umum Di Indonesia Berdasarkan Undang-Undang Dasar Negara Republik Indonesia Tahun 1945,” Jurnal Hukum Sasana 6, no. 1 (2020): 51–71, https://doi.org/10.31599/sasana.v6i1.228.","previouslyFormattedCitation":"Ofis Rikardo, “Penerapan Kedaulatan Rakyat Di Dalam Pemilihan Umum Di Indonesia Berdasarkan Undang-Undang Dasar Negara Republik Indonesia Tahun 1945,” &lt;i&gt;Jurnal Hukum Sasana&lt;/i&gt; 6, no. 1 (2020): 51–71, https://doi.org/10.31599/sasana.v6i1.228."},"properties":{"noteIndex":20},"schema":"https://github.com/citation-style-language/schema/raw/master/csl-citation.json"}</w:instrText>
      </w:r>
      <w:r w:rsidRPr="00415017">
        <w:fldChar w:fldCharType="separate"/>
      </w:r>
      <w:r w:rsidRPr="00415017">
        <w:rPr>
          <w:noProof/>
        </w:rPr>
        <w:t xml:space="preserve">Rikardo Office, "The Application of People's Sovereignty in General Elections in Indonesia Based on the Constitution of the Republic of Indonesia in 1945," </w:t>
      </w:r>
      <w:r w:rsidRPr="00415017">
        <w:rPr>
          <w:i/>
          <w:noProof/>
        </w:rPr>
        <w:t>Sasana Law Journal</w:t>
      </w:r>
      <w:r w:rsidRPr="00415017">
        <w:rPr>
          <w:noProof/>
        </w:rPr>
        <w:t xml:space="preserve"> 6, no. 1 (2020): 51–71, https://doi.org/10.31599/sasana.v6i1.228.</w:t>
      </w:r>
      <w:r w:rsidRPr="00415017">
        <w:fldChar w:fldCharType="end"/>
      </w:r>
    </w:p>
  </w:footnote>
  <w:footnote w:id="21">
    <w:p w14:paraId="45396FCC" w14:textId="77777777" w:rsidR="00312803"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{"citationItems":[{"id":"ITEM-1","itemData":{"DOI":"10.38043/jids.v4i1.2276","ISSN":"2597-3657","abstract":"Pelaksanaan Pemilu yang berdasarkan pada norma hukum, akan memberikan kepastian pada seluruh pihak yang terkait dalam pemilu, sehingga peserta pemilu dan masyarakat memiliki kepercayaan terhadap penyelenggara pemilu untuk dapat menjaga tegaknya demokrasi. Kepastian hukum dalam sebuah penyelenggaraan Pemilu dapat menciptakan suatu keadilan bagi semua pihak, terutama peserta pemilu, hal tersebut dapat terwujud dengan adanya pengaturan yang efektif dalam penyelesaian segala permasalahan pemilu yang tertuang dalam sebuah hukum pemilu. Menjadi dasar dari sebuah pesta demokrasi yang serentak dilaksanakan pada tahun 2019, UU Pemilu Nomor 7/2017 yang merupakan penggabungan 3 (tiga) undang-undang yang mengatur tentang pemilihan legislative, pemilihan presiden dan penyelenggara pemilu, ternyata memiliki derajat kepastian hukum pada pelaksanaan Pemilihan Umum yang belum optimal dan perlu mendapat perbaikan dibeberapa pasal. Meski aspek-aspek Pemilu telah tertuang pada pasal-pasal dalam UU Pemilu Nomor 7/2017, namun masih terdapat ketentuan-ketentuan yang tidak konsisten dalam beberapa pasal, pasal yang multitafsir, pasal yang sulit dilaksanakan di lapangan dan adanya temuan terkait pasal-pasal yang rawan untuk digugat di Mahkamah Konstitusi","author":[{"dropping-particle":"","family":"Wijaya","given":"Henri","non-dropping-particle":"","parse-names":false,"suffix":""}],"container-title":"Jurnal Ilmiah Dinamika Sosial","id":"ITEM-1","issue":"1","issued":{"date-parts":[["2020"]]},"page":"82","title":"Menakar Derajat Kepastian Hukum Dalam Pemilu Pada Undang-Undang Nomor 7 Tahun 2017","type":"article-journal","volume":"4"},"uris":["http://www.mendeley.com/documents/?uuid=2fcd79b2-5567-4934-83be-aee41eddd02b"]}],"mendeley":{"formattedCitation":"Henri Wijaya, “Menakar Derajat Kepastian Hukum Dalam Pemilu Pada Undang-Undang Nomor 7 Tahun 2017,” &lt;i&gt;Jurnal Ilmiah Dinamika Sosial&lt;/i&gt; 4, no. 1 (2020): 82, https://doi.org/10.38043/jids.v4i1.2276.","plainTextFormattedCitation":"Henri Wijaya, “Menakar Derajat Kepastian Hukum Dalam Pemilu Pada Undang-Undang Nomor 7 Tahun 2017,” Jurnal Ilmiah Dinamika Sosial 4, no. 1 (2020): 82, https://doi.org/10.38043/jids.v4i1.2276.","previouslyFormattedCitation":"Henri Wijaya, “Menakar Derajat Kepastian Hukum Dalam Pemilu Pada Undang-Undang Nomor 7 Tahun 2017,” &lt;i&gt;Jurnal Ilmiah Dinamika Sosial&lt;/i&gt; 4, no. 1 (2020): 82, https://doi.org/10.38043/jids.v4i1.2276."},"properties":{"noteIndex":21},"schema":"https://github.com/citation-style-language/schema/raw/master/csl-citation.json"}</w:instrText>
      </w:r>
      <w:r w:rsidRPr="00415017">
        <w:fldChar w:fldCharType="separate"/>
      </w:r>
      <w:r w:rsidRPr="00415017">
        <w:rPr>
          <w:noProof/>
        </w:rPr>
        <w:t xml:space="preserve">Henri Wijaya, "Measuring the Degree of Legal Certainty in Elections in Law Number 7 of 2017," </w:t>
      </w:r>
      <w:r w:rsidRPr="00415017">
        <w:rPr>
          <w:i/>
          <w:noProof/>
        </w:rPr>
        <w:t>Scientific Journal of Social Dynamics</w:t>
      </w:r>
      <w:r w:rsidRPr="00415017">
        <w:rPr>
          <w:noProof/>
        </w:rPr>
        <w:t xml:space="preserve"> 4, no. 1 (2020): 82, https://doi.org/10.38043/jids.v4i1.2276.</w:t>
      </w:r>
      <w:r w:rsidRPr="00415017">
        <w:fldChar w:fldCharType="end"/>
      </w:r>
    </w:p>
  </w:footnote>
  <w:footnote w:id="22">
    <w:p w14:paraId="4782B85B" w14:textId="77777777" w:rsidR="00312803" w:rsidRPr="00415017"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{"citationItems":[{"id":"ITEM-1","itemData":{"DOI":"10.22437/ujh.1.1.1-20","ISSN":"2598-7941","abstract":"The General Elections Commission (KPU) is an independent state institution directly regulated in Article 22E of the 1945 Constitution of the Republic of Indonesia. Its position as an independent state institution affirms that the KPU is not under the influence of the DPR and the government in carrying out its duties and authorities. Article 9 Sub-Article a of Law Number 10 Year 2016 (Regional Head Election Law) stipulates the requirement of the KPU to consult the DPR and the Government in drafting and enacting KPU regulations and technical guidelines for each election stage in forums of hearings whose decisions are binding. The Constitutional Court through Decision Number 92/PUU-XIV/2016 finally canceled the word \"binding\" it; the existence of the word \"binding\" is considered contrary to the Constitution and interfere with the independence of the Commission. The research concludes, first, the independence of KPU as an organizer of election is one of the requirements for the realization of free and fair election. Secondly, the juridical implication in Decision 92/PUU-XIV/2016 confirms that the binding word in Article 9 sub-paragraph a of the Regional Head Election Law does not have binding legal force, so that the spirit and independence of KPU as an election organizer can be maintained.\r Abstrak\r Komisi Pemilihan Umum (KPU) merupakan lembaga negara yang independen yang diatur secara langsung dalam Pasal 22E UUD NRI Tahun 1945. Posisinya sebagai lembaga negara independen menegaskan bahwa KPU tidak berada di bawah pengaruh DPR dan pemerintah dalam menjalankan tugas dan wewenangnya. Pasal 9 huruf a Undang-Undang Nomor 10 Tahun 2016 (UU Pilkada) mengatur keharusan KPU untuk berkonsultasi dengan DPR dan Pemerintah dalam menyusun dan menetapkan peraturan KPU dan pedoman teknis untuk setiap tahapan pemilihan dalam forum rapat dengar pendapat yang keputusanya bersifat mengikat. Mahkamah Konstitusi melalui Putusan Nomor 92/PUU-XIV/2016 akhirnya membatalkan kata ‘mengikat’ tersebut, karena bertentangan dengan Konstitusi dan mengganggu independensi KPU. Penelitian ini menyimpulkan, pertama, independensi KPU sebagai lembaga penyelenggara pemilu merupakan salah satu syarat bagi terwujudnya pemilu yang bebas dan adil. Kedua, implikasi yuridis dalam putusan 92/PUU-XIV/2016 menegaskan bahwa kata ‘mengikat’ dalam Pasal 9 huruf a UU Pilkada bertentangan dengan UUD NRI Tahun 1945 dan tidak memiliki kekuatan hukum yang mengikat, sehingga marwah dan independensi KPU sebagai…","author":[{"dropping-particle":"","family":"Wardhana","given":"Allan Fatchan Gani","non-dropping-particle":"","parse-names":false,"suffix":""}],"container-title":"Undang: Jurnal Hukum","id":"ITEM-1","issue":"1","issued":{"date-parts":[["2018"]]},"page":"1-20","title":"Implikasi Putusan Mahkamah Konstitusi Nomor 92/PUU-XIV/2016 terhadap Independensi Komisi Pemilihan Umum","type":"article-journal","volume":"1"},"uris":["http://www.mendeley.com/documents/?uuid=c51c0ce7-009f-419d-a6cc-affae576d3a7"]}],"mendeley":{"formattedCitation":"Allan Fatchan Gani Wardhana, “Implikasi Putusan Mahkamah Konstitusi Nomor 92/PUU-XIV/2016 Terhadap Independensi Komisi Pemilihan Umum,” &lt;i&gt;Undang: Jurnal Hukum&lt;/i&gt; 1, no. 1 (2018): 1–20, https://doi.org/10.22437/ujh.1.1.1-20.","plainTextFormattedCitation":"Allan Fatchan Gani Wardhana, “Implikasi Putusan Mahkamah Konstitusi Nomor 92/PUU-XIV/2016 Terhadap Independensi Komisi Pemilihan Umum,” Undang: Jurnal Hukum 1, no. 1 (2018): 1–20, https://doi.org/10.22437/ujh.1.1.1-20.","previouslyFormattedCitation":"Allan Fatchan Gani Wardhana, “Implikasi Putusan Mahkamah Konstitusi Nomor 92/PUU-XIV/2016 Terhadap Independensi Komisi Pemilihan Umum,” &lt;i&gt;Undang: Jurnal Hukum&lt;/i&gt; 1, no. 1 (2018): 1–20, https://doi.org/10.22437/ujh.1.1.1-20."},"properties":{"noteIndex":22},"schema":"https://github.com/citation-style-language/schema/raw/master/csl-citation.json"}</w:instrText>
      </w:r>
      <w:r w:rsidRPr="00415017">
        <w:fldChar w:fldCharType="separate"/>
      </w:r>
      <w:r w:rsidRPr="00415017">
        <w:rPr>
          <w:noProof/>
        </w:rPr>
        <w:t xml:space="preserve">Allan Fatchan Gani Wardhana, "The Implications of the Constitutional Court Decision Number 92/PUU-XIV/2016 on the Independence of the General Election Commission," </w:t>
      </w:r>
      <w:r w:rsidRPr="00415017">
        <w:rPr>
          <w:i/>
          <w:noProof/>
        </w:rPr>
        <w:t>Invite: Legal Journal</w:t>
      </w:r>
      <w:r w:rsidRPr="00415017">
        <w:rPr>
          <w:noProof/>
        </w:rPr>
        <w:t xml:space="preserve"> 1, no. 1 (2018): 1–20, https://doi.org/10.22437/ujh.1.1.1-20.</w:t>
      </w:r>
      <w:r w:rsidRPr="00415017">
        <w:fldChar w:fldCharType="end"/>
      </w:r>
    </w:p>
  </w:footnote>
  <w:footnote w:id="23">
    <w:p w14:paraId="7CE74D54" w14:textId="77777777" w:rsidR="00312803" w:rsidRPr="00415017"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{"citationItems":[{"id":"ITEM-1","itemData":{"abstract":"Elections have become a global contemporary phenomenon, both in developed and mature democracies, as well as developing countries and still in transition to democracy. Nevertheless, the experience of many countries shows that elections are still marred by various violations and fraud (electoral malpractices). In this context, the concept of election integrity has become the concern of many experts and observers. This article discusses a variety of meanings, strategic positions and various factors that can affect the integrity of the election. Despite its diversed meanings, this article shows that election integrity is a must-have quality for a democratic country. Elections filled with violations and fraud will threaten the legitimacy of the elected regime and undermine citizens' trust in democratic institutions. The process of transition and consolidation of democracy largely depends on the quality of elections. This article also describes various factors and strategies that can be adopted to realize elections with integrity. ABSTRACT Pemilihan umum (pemilu) telah menjadi fenomena kontemporer yang mengglobal, baik di negara yang telah maju dan matang demokrasinya, maupun negara berkembang yang masih dalam proses transisi menuju demokrasi. Namun demikian, pengalaman berbagai negara tersebut menunjukkan bahwa pemilu masih diwarnai","author":[{"dropping-particle":"","family":"Rahmatunnisa","given":"Mudiyati","non-dropping-particle":"","parse-names":false,"suffix":""}],"container-title":"Jurnal Bawaslu","id":"ITEM-1","issue":"1","issued":{"date-parts":[["2017"]]},"page":"1-11","title":"Mengapa Integritas Pemilu Penting?","type":"article-journal","volume":"3"},"uris":["http://www.mendeley.com/documents/?uuid=0d511301-7f6b-44b7-a83a-21ea72ae525c"]}],"mendeley":{"formattedCitation":"Mudiyati Rahmatunnisa, “Mengapa Integritas Pemilu Penting?,” &lt;i&gt;Jurnal Bawaslu&lt;/i&gt; 3, no. 1 (2017): 1–11.","plainTextFormattedCitation":"Mudiyati Rahmatunnisa, “Mengapa Integritas Pemilu Penting?,” Jurnal Bawaslu 3, no. 1 (2017): 1–11.","previouslyFormattedCitation":"Mudiyati Rahmatunnisa, “Mengapa Integritas Pemilu Penting?,” &lt;i&gt;Jurnal Bawaslu&lt;/i&gt; 3, no. 1 (2017): 1–11."},"properties":{"noteIndex":23},"schema":"https://github.com/citation-style-language/schema/raw/master/csl-citation.json"}</w:instrText>
      </w:r>
      <w:r w:rsidRPr="00415017">
        <w:fldChar w:fldCharType="separate"/>
      </w:r>
      <w:r w:rsidRPr="00415017">
        <w:rPr>
          <w:noProof/>
        </w:rPr>
        <w:t xml:space="preserve">Mudiyati Rahmatunnisa, "Why Election Integrity Is Important?," </w:t>
      </w:r>
      <w:r w:rsidRPr="00415017">
        <w:rPr>
          <w:i/>
          <w:noProof/>
        </w:rPr>
        <w:t>Bawaslu Journal</w:t>
      </w:r>
      <w:r w:rsidRPr="00415017">
        <w:rPr>
          <w:noProof/>
        </w:rPr>
        <w:t xml:space="preserve"> 3, no. 1 (2017): 1–11.</w:t>
      </w:r>
      <w:r w:rsidRPr="00415017">
        <w:fldChar w:fldCharType="end"/>
      </w:r>
    </w:p>
  </w:footnote>
  <w:footnote w:id="24">
    <w:p w14:paraId="508E7A4A" w14:textId="77777777" w:rsidR="00312803" w:rsidRPr="00415017"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{"citationItems":[{"id":"ITEM-1","itemData":{"DOI":"10.37680/almanhaj.v5i1.2844","abstract":"… sengketa dalam pemilihan kepala daerah. Pembentukan ini berada di luar Mahkamah Konstitusi dan Mahkamah Agung, karena dalam Pasal 15 Undang-Undang Nomor 4 Tahun 2004 …","author":[{"dropping-particle":"","family":"Susilo","given":"T","non-dropping-particle":"","parse-names":false,"suffix":""}],"container-title":"AL-MANHAJ: Jurnal Hukum dan Pranata …","id":"ITEM-1","issue":"1","issued":{"date-parts":[["2023"]]},"page":"899-906","title":"Desain Lembaga Peradilan Sengketa Pemilihan Kepala Daerah di Indonesia Untuk Mewujudkan Keadilan Demokrasi dan Keadilan Konstitutional","type":"article-journal","volume":"5"},"uris":["http://www.mendeley.com/documents/?uuid=27b08d1c-ed45-459a-8cb7-0c98edd31ab3"]}],"mendeley":{"formattedCitation":"T Susilo, “Desain Lembaga Peradilan Sengketa Pemilihan Kepala Daerah Di Indonesia Untuk Mewujudkan Keadilan Demokrasi Dan Keadilan Konstitutional,” &lt;i&gt;AL-MANHAJ: Jurnal Hukum Dan Pranata …&lt;/i&gt; 5, no. 1 (2023): 899–906, https://doi.org/10.37680/almanhaj.v5i1.2844.","plainTextFormattedCitation":"T Susilo, “Desain Lembaga Peradilan Sengketa Pemilihan Kepala Daerah Di Indonesia Untuk Mewujudkan Keadilan Demokrasi Dan Keadilan Konstitutional,” AL-MANHAJ: Jurnal Hukum Dan Pranata … 5, no. 1 (2023): 899–906, https://doi.org/10.37680/almanhaj.v5i1.2844.","previouslyFormattedCitation":"T Susilo, “Desain Lembaga Peradilan Sengketa Pemilihan Kepala Daerah Di Indonesia Untuk Mewujudkan Keadilan Demokrasi Dan Keadilan Konstitutional,” &lt;i&gt;AL-MANHAJ: Jurnal Hukum Dan Pranata …&lt;/i&gt; 5, no. 1 (2023): 899–906, https://doi.org/10.37680/almanhaj.v5i1.2844."},"properties":{"noteIndex":24},"schema":"https://github.com/citation-style-language/schema/raw/master/csl-citation.json"}</w:instrText>
      </w:r>
      <w:r w:rsidRPr="00415017">
        <w:fldChar w:fldCharType="separate"/>
      </w:r>
      <w:r w:rsidRPr="00415017">
        <w:rPr>
          <w:noProof/>
        </w:rPr>
        <w:t xml:space="preserve">T Susilo, "The Design of the Judicial Institution for Disputes in the Election of Regional Heads in Indonesia to Realize Democracy and Constitutional Justice," </w:t>
      </w:r>
      <w:r w:rsidRPr="00415017">
        <w:rPr>
          <w:i/>
          <w:noProof/>
        </w:rPr>
        <w:t>Al-Manhaj: Journal of Law and Institutions ...</w:t>
      </w:r>
      <w:r w:rsidRPr="00415017">
        <w:rPr>
          <w:noProof/>
        </w:rPr>
        <w:t xml:space="preserve"> 5, no. 1 (2023): 899–906, https://doi.org/10.37680/almanhaj.v5i1.2844.</w:t>
      </w:r>
      <w:r w:rsidRPr="00415017">
        <w:fldChar w:fldCharType="end"/>
      </w:r>
    </w:p>
  </w:footnote>
  <w:footnote w:id="25">
    <w:p w14:paraId="04F63C95" w14:textId="77777777" w:rsidR="00312803" w:rsidRPr="00415017"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rsidRPr="00415017">
        <w:instrText>ADDIN CSL_CITATION {"citationItems":[{"id":"ITEM-1","itemData":{"DOI":"10.32505/legalite.v8i2.6890","ISSN":"2527-9424","abstract":"Election law enforcement is enforcing electoral justice through legal compliance. Law Number 7 of 2017 concerning General Elections, has been present as an election law regulation with Gakkumdu as an election criminal enforcer, but there are still problems in its implementation. The purpose of this study was to determine how the Law enforcement mechanism for the use of government facilities in Jepara Regency and the obstacles in terms of the legal substance of handling violations of the use of government facilities in Gakkumdu Jepara. The research method uses empirical juridical which emphasizes research in the field. The research site was Bawaslu Jepara. Interviews and distribution of questionnaires are data collection techniques. Data analysis techniques using qualitative data analysis techniques. The results showed that the law enforcement mechanism for the use of government facilities in Jepara regency used the election law and technical regulations of the general election supervisory board regulations. There is an obstacle factor in terms of substance lies in proving that the executor and campaign team must be registered with the KPU while the facts in the field are not registered and the handling period is at least 14 days.","author":[{"dropping-particle":"","family":"Sholihin","given":"Misbakhus","non-dropping-particle":"","parse-names":false,"suffix":""},{"dropping-particle":"","family":"Wibawa","given":"Iskandar","non-dropping-particle":"","parse-names":false,"suffix":""}],"container-title":"Legalite : Jurnal Perundang Undangan dan Hukum Pidana Islam","id":"ITEM-1","issue":"2","issued":{"date-parts":[["2023"]]},"page":"91-105","title":"Problematika Substansi Hukum Dalam Penegakan Hukum Pemilu","type":"article-journal","volume":"8"},"uris":["http://www.mendeley.com/documents/?uuid=4b0db9ec-4931-48a9-a7cb-ead3d4f39cc3"]}],"mendeley":{"formattedCitation":"Misbakhus Sholihin and Iskandar Wibawa, “Problematika Substansi Hukum Dalam Penegakan Hukum Pemilu,” &lt;i&gt;Legalite : Jurnal Perundang Undangan Dan Hukum Pidana Islam&lt;/i&gt; 8, no. 2 (2023): 91–105, https://doi.org/10.32505/legalite.v8i2.6890.","plainTextFormattedCitation":"Misbakhus Sholihin and Iskandar Wibawa, “Problematika Substansi Hukum Dalam Penegakan Hukum Pemilu,” Legalite : Jurnal Perundang Undangan Dan Hukum Pidana Islam 8, no. 2 (2023): 91–105, https://doi.org/10.32505/legalite.v8i2.6890.","previouslyFormattedCitation":"Misbakhus Sholihin and Iskandar Wibawa, “Problematika Substansi Hukum Dalam Penegakan Hukum Pemilu,” &lt;i&gt;Legalite : Jurnal Perundang Undangan Dan Hukum Pidana Islam&lt;/i&gt; 8, no. 2 (2023): 91–105, https://doi.org/10.32505/legalite.v8i2.6890."},"properties":{"noteIndex":25},"schema":"https://github.com/citation-style-language/schema/raw/master/csl-citation.json"}</w:instrText>
      </w:r>
      <w:r w:rsidRPr="00415017">
        <w:fldChar w:fldCharType="separate"/>
      </w:r>
      <w:r w:rsidRPr="00415017">
        <w:rPr>
          <w:noProof/>
        </w:rPr>
        <w:t xml:space="preserve">Misbakhus Sholihin and Iskandar Wibawa, "The Problem of Legal Substance in Election Law Enforcement," </w:t>
      </w:r>
      <w:r w:rsidRPr="00415017">
        <w:rPr>
          <w:i/>
          <w:noProof/>
        </w:rPr>
        <w:t>Legalite : Journal of Islamic Laws and Criminal Law</w:t>
      </w:r>
      <w:r w:rsidRPr="00415017">
        <w:rPr>
          <w:noProof/>
        </w:rPr>
        <w:t xml:space="preserve"> 8, no. 2 (2023): 91–105, https://doi.org/10.32505/legalite.v8i2.6890.</w:t>
      </w:r>
      <w:r w:rsidRPr="00415017">
        <w:fldChar w:fldCharType="end"/>
      </w:r>
    </w:p>
  </w:footnote>
  <w:footnote w:id="26">
    <w:p w14:paraId="757ECF7B" w14:textId="77777777" w:rsidR="00312803" w:rsidRDefault="00312803" w:rsidP="00312803">
      <w:pPr>
        <w:pStyle w:val="FootnoteText"/>
        <w:ind w:firstLine="360"/>
        <w:jc w:val="both"/>
      </w:pPr>
      <w:r w:rsidRPr="00415017">
        <w:rPr>
          <w:rStyle w:val="FootnoteReference"/>
        </w:rPr>
        <w:footnoteRef/>
      </w:r>
      <w:r w:rsidRPr="00415017">
        <w:t xml:space="preserve"> </w:t>
      </w:r>
      <w:r w:rsidRPr="00415017">
        <w:fldChar w:fldCharType="begin" w:fldLock="1"/>
      </w:r>
      <w:r>
        <w:instrText>ADDIN CSL_CITATION {"citationItems":[{"id":"ITEM-1","itemData":{"DOI":"10.35965/ijlf.v5i2.2612","abstract":"Penelitian ini bertujuan untuk menganalisis penanganan pelanggaran Pemilihan Kepala Daerah serta  kendala yg menjadi faktor penghambat dalam pelaksanaan penanganan hukum pelanggaran Pemilihan Kepala Daerah di Bawaslu Kabupaten Majene. Metode penelitian yang digunakan adalah metode penelitian yuridis empiris dan data yang digunakan adalah data hukum Primer, sekunder dan tersier. Data dianalisis secara deskriptif kualitatif agar mudah dipahami dalam menguraikan masalah. Berdasarkan hasil penelitian diketahui bahwa pelaksanaan penanganan penyelesaian pelanggaran dalam pemilukada di Kabupaten Majene belum terlaksana dengan baik, dikarenakan rekomendasi Bawaslu dari hasil pemeriksaan kepada KPU maupun lembaga terkait tidak ditindaklanjuti dengan baik. Sementara kendala yang teridentifikasi sebagai faktor penghambat dalam penyelesaian pelanggaran disebabkan oleh ketidak jelasan aturan, intervensi dan keamanan terhadap pihak bawaslu yang melakukan pemeriksaan atas temuan pelanggaran. This study aims to analyze the handling of regional head election violations and the constraints that become inhibiting factors in the implementation of legal handling of regional head election violations in the Bawaslu of Majene regency. The research method used is empirical juridic research and data used primary, secondary, and tertiary legal data. Data were analyzed qualitatively so that it was easy to understand in describing the problem. Based on the result of the research, it is known that the handling of violations in post-conflict local elections in Majene Regency has not been carried out properly because the bawaslu recommendations from the examination result to the KPU and related institutions have not been followed up properly. At the same time, the obstacles identified as inhibiting factors in the resolution of violations were caused by unclear rules. Interventions and security for the Bawaslu, which conducted examinations of violation findings.","author":[{"dropping-particle":"","family":"Fitri","given":"Idil","non-dropping-particle":"","parse-names":false,"suffix":""},{"dropping-particle":"","family":"Mas","given":"Marwan","non-dropping-particle":"","parse-names":false,"suffix":""},{"dropping-particle":"","family":"Nur","given":"Mustawa","non-dropping-particle":"","parse-names":false,"suffix":""}],"container-title":"Indonesian Journal of Legality of Law","id":"ITEM-1","issue":"2","issued":{"date-parts":[["2023"]]},"page":"462-473","title":"Analisis Hukum Pelanggaran Pemilihan Kepala Daerah Di Kabupaten Majene","type":"article-journal","volume":"5"},"uris":["http://www.mendeley.com/documents/?uuid=6b877624-f9b5-410d-ac22-42eeaf67983d"]}],"mendeley":{"formattedCitation":"Idil Fitri, Marwan Mas, and Mustawa Nur, “Analisis Hukum Pelanggaran Pemilihan Kepala Daerah Di Kabupaten Majene,” &lt;i&gt;Indonesian Journal of Legality of Law&lt;/i&gt; 5, no. 2 (2023): 462–73, https://doi.org/10.35965/ijlf.v5i2.2612.","plainTextFormattedCitation":"Idil Fitri, Marwan Mas, and Mustawa Nur, “Analisis Hukum Pelanggaran Pemilihan Kepala Daerah Di Kabupaten Majene,” Indonesian Journal of Legality of Law 5, no. 2 (2023): 462–73, https://doi.org/10.35965/ijlf.v5i2.2612.","previouslyFormattedCitation":"Idil Fitri, Marwan Mas, and Mustawa Nur, “Analisis Hukum Pelanggaran Pemilihan Kepala Daerah Di Kabupaten Majene,” &lt;i&gt;Indonesian Journal of Legality of Law&lt;/i&gt; 5, no. 2 (2023): 462–73, https://doi.org/10.35965/ijlf.v5i2.2612."},"properties":{"noteIndex":26},"schema":"https://github.com/citation-style-language/schema/raw/master/csl-citation.json"}</w:instrText>
      </w:r>
      <w:r w:rsidRPr="00415017">
        <w:fldChar w:fldCharType="separate"/>
      </w:r>
      <w:r w:rsidRPr="00415017">
        <w:rPr>
          <w:noProof/>
        </w:rPr>
        <w:t xml:space="preserve">Idil Fitri, Marwan Mas, and Mustawa Nur, "Legal Analysis of Regional Head Election Violations in Majene Regency," </w:t>
      </w:r>
      <w:r w:rsidRPr="00415017">
        <w:rPr>
          <w:i/>
          <w:noProof/>
        </w:rPr>
        <w:t>Indonesian Journal of Legality of Law</w:t>
      </w:r>
      <w:r w:rsidRPr="00415017">
        <w:rPr>
          <w:noProof/>
        </w:rPr>
        <w:t xml:space="preserve"> 5, no. 2 (2023): 462–73, https://doi.org/10.35965/ijlf.v5i2.2612.</w:t>
      </w:r>
      <w:r w:rsidRPr="00415017">
        <w:fldChar w:fldCharType="end"/>
      </w:r>
    </w:p>
  </w:footnote>
  <w:footnote w:id="27">
    <w:p w14:paraId="1CEA9A19" w14:textId="77777777" w:rsidR="00312803" w:rsidRPr="003C7391" w:rsidRDefault="00312803" w:rsidP="00312803">
      <w:pPr>
        <w:pStyle w:val="FootnoteText"/>
        <w:ind w:firstLine="360"/>
        <w:jc w:val="both"/>
      </w:pPr>
      <w:r w:rsidRPr="003C7391">
        <w:rPr>
          <w:rStyle w:val="FootnoteReference"/>
        </w:rPr>
        <w:footnoteRef/>
      </w:r>
      <w:r w:rsidRPr="003C7391">
        <w:t xml:space="preserve"> </w:t>
      </w:r>
      <w:r w:rsidRPr="003C7391">
        <w:fldChar w:fldCharType="begin" w:fldLock="1"/>
      </w:r>
      <w:r w:rsidRPr="003C7391">
        <w:instrText>ADDIN CSL_CITATION {"citationItems":[{"id":"ITEM-1","itemData":{"DOI":"10.1057/fp.2009.41","ISSN":"14763419","abstract":"This article focuses on the consequences of presidential election outcomes on legislative election results in the context of the French semi-presidential regime. Through an analysis based on aggregated national- and constituency-level data, it shows that presidential elections do have an impact on legislative elections. Furthermore, this impact is proven to affect the balance between presidential majority and opposition coalitions and between core and fringe parties. The 2000 and 2002 reforms aligning presidential and National Assembly mandates and instituting a situation of repeated honeymoon elections significantly decrease the likelihood of any future period of cohabitation between a president and an Assembly from opposing partisan coalitions. They also foster presidentialization and explain the relative decrease in fragmentation within the party system. © 2010 Macmillan Publishers Ltd.","author":[{"dropping-particle":"","family":"Dupoirier","given":"Elisabeth","non-dropping-particle":"","parse-names":false,"suffix":""},{"dropping-particle":"","family":"Sauger","given":"Nicolas","non-dropping-particle":"","parse-names":false,"suffix":""}],"container-title":"French Politics","id":"ITEM-1","issue":"1","issued":{"date-parts":[["2010"]]},"page":"21-41","publisher":"Palgrave Macmillan","title":"Four rounds in a row: The impact of presidential election outcomes on legislative elections in France","type":"article-journal","volume":"8"},"uris":["http://www.mendeley.com/documents/?uuid=00f70b12-1567-402c-b54e-238579386b30"]}],"mendeley":{"formattedCitation":"Elisabeth Dupoirier and Nicolas Sauger, “Four Rounds in a Row: The Impact of Presidential Election Outcomes on Legislative Elections in France,” &lt;i&gt;French Politics&lt;/i&gt; 8, no. 1 (2010): 21–41, https://doi.org/10.1057/fp.2009.41.","plainTextFormattedCitation":"Elisabeth Dupoirier and Nicolas Sauger, “Four Rounds in a Row: The Impact of Presidential Election Outcomes on Legislative Elections in France,” French Politics 8, no. 1 (2010): 21–41, https://doi.org/10.1057/fp.2009.41.","previouslyFormattedCitation":"Elisabeth Dupoirier and Nicolas Sauger, “Four Rounds in a Row: The Impact of Presidential Election Outcomes on Legislative Elections in France,” &lt;i&gt;French Politics&lt;/i&gt; 8, no. 1 (2010): 21–41, https://doi.org/10.1057/fp.2009.41."},"properties":{"noteIndex":27},"schema":"https://github.com/citation-style-language/schema/raw/master/csl-citation.json"}</w:instrText>
      </w:r>
      <w:r w:rsidRPr="003C7391">
        <w:fldChar w:fldCharType="separate"/>
      </w:r>
      <w:r w:rsidRPr="003C7391">
        <w:rPr>
          <w:noProof/>
        </w:rPr>
        <w:t xml:space="preserve">Elisabeth Dupoirier and Nicolas Sauger, "Four Rounds in a Row: The Impact of Presidential Election Outcomes on Legislative Elections in France," </w:t>
      </w:r>
      <w:r w:rsidRPr="003C7391">
        <w:rPr>
          <w:i/>
          <w:noProof/>
        </w:rPr>
        <w:t>French Politics</w:t>
      </w:r>
      <w:r w:rsidRPr="003C7391">
        <w:rPr>
          <w:noProof/>
        </w:rPr>
        <w:t xml:space="preserve"> 8, no. 1 (2010): 21–41, https://doi.org/10.1057/fp.2009.41.</w:t>
      </w:r>
      <w:r w:rsidRPr="003C7391">
        <w:fldChar w:fldCharType="end"/>
      </w:r>
    </w:p>
  </w:footnote>
  <w:footnote w:id="28">
    <w:p w14:paraId="6F2660A9" w14:textId="77777777" w:rsidR="00312803" w:rsidRPr="003C7391" w:rsidRDefault="00312803" w:rsidP="00312803">
      <w:pPr>
        <w:pStyle w:val="FootnoteText"/>
        <w:ind w:firstLine="360"/>
        <w:jc w:val="both"/>
      </w:pPr>
      <w:r w:rsidRPr="003C7391">
        <w:rPr>
          <w:rStyle w:val="FootnoteReference"/>
        </w:rPr>
        <w:footnoteRef/>
      </w:r>
      <w:r w:rsidRPr="003C7391">
        <w:t xml:space="preserve"> </w:t>
      </w:r>
      <w:r w:rsidRPr="003C7391">
        <w:fldChar w:fldCharType="begin" w:fldLock="1"/>
      </w:r>
      <w:r w:rsidRPr="003C7391">
        <w:instrText>ADDIN CSL_CITATION {"citationItems":[{"id":"ITEM-1","itemData":{"DOI":"10.1057/fp.2015.19","ISSN":"14763427","abstract":"This article explains the victory of the Front National (FN) in the May 2014 European elections in France. Taking issue with standard academic accounts that conceive of the latter as 'second-order' elections, it argues that the FN won by harnessing voters' growing anxiety about European integration as an electoral issue. First, the article contends that, on the backdrop of worsening unemployment and social crisis, Europe assumed unprecedented salience in both national and European elections. In turn, it argues that by staking out a Europhobe position in contrast to the mainstream parties and the radical left, the FN claimed effective 'ownership' over the European issue, winning the bulk of the Eurosceptic vote to top the electoral field.","author":[{"dropping-particle":"","family":"Goodliffe","given":"Gabriel","non-dropping-particle":"","parse-names":false,"suffix":""}],"container-title":"French Politics","id":"ITEM-1","issue":"4","issued":{"date-parts":[["2015"]]},"page":"324-345","title":"Europe's salience and 'owning' Euroscepticism: Explaining the Front National's victory in the 2014 European elections in France","type":"article-journal","volume":"13"},"uris":["http://www.mendeley.com/documents/?uuid=586a4702-842f-4ff5-86a6-b306723cfddb"]}],"mendeley":{"formattedCitation":"Gabriel Goodliffe, “Europe’s Salience and ‘owning’ Euroscepticism: Explaining the Front National’s Victory in the 2014 European Elections in France,” &lt;i&gt;French Politics&lt;/i&gt; 13, no. 4 (2015): 324–45, https://doi.org/10.1057/fp.2015.19.","plainTextFormattedCitation":"Gabriel Goodliffe, “Europe’s Salience and ‘owning’ Euroscepticism: Explaining the Front National’s Victory in the 2014 European Elections in France,” French Politics 13, no. 4 (2015): 324–45, https://doi.org/10.1057/fp.2015.19.","previouslyFormattedCitation":"Gabriel Goodliffe, “Europe’s Salience and ‘owning’ Euroscepticism: Explaining the Front National’s Victory in the 2014 European Elections in France,” &lt;i&gt;French Politics&lt;/i&gt; 13, no. 4 (2015): 324–45, https://doi.org/10.1057/fp.2015.19."},"properties":{"noteIndex":28},"schema":"https://github.com/citation-style-language/schema/raw/master/csl-citation.json"}</w:instrText>
      </w:r>
      <w:r w:rsidRPr="003C7391">
        <w:fldChar w:fldCharType="separate"/>
      </w:r>
      <w:r w:rsidRPr="003C7391">
        <w:rPr>
          <w:noProof/>
        </w:rPr>
        <w:t xml:space="preserve">Gabriel Goodliffe, "Europe's Salience and 'owning' Euroscepticism: Explaining the Front National's Victory in the 2014 European Elections in France," </w:t>
      </w:r>
      <w:r w:rsidRPr="003C7391">
        <w:rPr>
          <w:i/>
          <w:noProof/>
        </w:rPr>
        <w:t>French Politics</w:t>
      </w:r>
      <w:r w:rsidRPr="003C7391">
        <w:rPr>
          <w:noProof/>
        </w:rPr>
        <w:t xml:space="preserve"> 13, no. 4 (2015): 324–45, https://doi.org/10.1057/fp.2015.19.</w:t>
      </w:r>
      <w:r w:rsidRPr="003C7391">
        <w:fldChar w:fldCharType="end"/>
      </w:r>
    </w:p>
  </w:footnote>
  <w:footnote w:id="29">
    <w:p w14:paraId="2E571A59" w14:textId="77777777" w:rsidR="00312803" w:rsidRPr="003C7391" w:rsidRDefault="00312803" w:rsidP="00312803">
      <w:pPr>
        <w:pStyle w:val="FootnoteText"/>
        <w:ind w:firstLine="360"/>
        <w:jc w:val="both"/>
      </w:pPr>
      <w:r w:rsidRPr="003C7391">
        <w:rPr>
          <w:rStyle w:val="FootnoteReference"/>
        </w:rPr>
        <w:footnoteRef/>
      </w:r>
      <w:r w:rsidRPr="003C7391">
        <w:t xml:space="preserve"> </w:t>
      </w:r>
      <w:r w:rsidRPr="003C7391">
        <w:fldChar w:fldCharType="begin" w:fldLock="1"/>
      </w:r>
      <w:r w:rsidRPr="003C7391">
        <w:instrText>ADDIN CSL_CITATION {"citationItems":[{"id":"ITEM-1","itemData":{"DOI":"10.1016/j.electstud.2024.102829","ISSN":"02613794","abstract":"The underrepresentation of young adults is widespread in the parliaments of Western democracies. Yet evidence suggests that voters do not have a negative bias towards young candidates. In this article, we focus on another factor that may contribute to youth underrepresentation: the level of competitiveness in districts where political parties nominate young people. Using data on all candidates who ran for a major political party/coalition in the 2012, 2017, and 2022 French legislative elections, we attempt to determine whether young adults tend to be nominated in districts where they have little or no chance of winning. To do so, we use three different measures of district competitiveness. Our results show that young people – and especially young women – are more likely than others to be “sacrificial lambs”. Our analyses nevertheless indicate that men aged between 31 and 35 have become almost as competitive as older people in 2022.","author":[{"dropping-particle":"","family":"Gélix","given":"Camille","non-dropping-particle":"","parse-names":false,"suffix":""},{"dropping-particle":"","family":"Chassé","given":"Philippe","non-dropping-particle":"","parse-names":false,"suffix":""}],"container-title":"Electoral Studies","id":"ITEM-1","issue":"September 2023","issued":{"date-parts":[["2024"]]},"publisher":"Elsevier Ltd","title":"Are young candidates “sacrificial lambs”? Evidence from the 2012, 2017, and 2022 French legislative elections","type":"article-journal","volume":"90"},"uris":["http://www.mendeley.com/documents/?uuid=4a55f68a-a5c2-4abe-a644-3e77aab3d23c"]}],"mendeley":{"formattedCitation":"Camille Gélix and Philippe Chassé, “Are Young Candidates ‘Sacrificial Lambs’? Evidence from the 2012, 2017, and 2022 French Legislative Elections,” &lt;i&gt;Electoral Studies&lt;/i&gt; 90, no. September 2023 (2024), https://doi.org/10.1016/j.electstud.2024.102829.","plainTextFormattedCitation":"Camille Gélix and Philippe Chassé, “Are Young Candidates ‘Sacrificial Lambs’? Evidence from the 2012, 2017, and 2022 French Legislative Elections,” Electoral Studies 90, no. September 2023 (2024), https://doi.org/10.1016/j.electstud.2024.102829.","previouslyFormattedCitation":"Camille Gélix and Philippe Chassé, “Are Young Candidates ‘Sacrificial Lambs’? Evidence from the 2012, 2017, and 2022 French Legislative Elections,” &lt;i&gt;Electoral Studies&lt;/i&gt; 90, no. September 2023 (2024), https://doi.org/10.1016/j.electstud.2024.102829."},"properties":{"noteIndex":29},"schema":"https://github.com/citation-style-language/schema/raw/master/csl-citation.json"}</w:instrText>
      </w:r>
      <w:r w:rsidRPr="003C7391">
        <w:fldChar w:fldCharType="separate"/>
      </w:r>
      <w:r w:rsidRPr="003C7391">
        <w:rPr>
          <w:noProof/>
        </w:rPr>
        <w:t xml:space="preserve">Camille Gélix and Philippe Chassé, "Are Young Candidates 'Sacrificial Lambs'? Evidence from the 2012, 2017, and 2022 French Legislative Elections," </w:t>
      </w:r>
      <w:r w:rsidRPr="003C7391">
        <w:rPr>
          <w:i/>
          <w:noProof/>
        </w:rPr>
        <w:t>Electoral Studies</w:t>
      </w:r>
      <w:r w:rsidRPr="003C7391">
        <w:rPr>
          <w:noProof/>
        </w:rPr>
        <w:t xml:space="preserve"> 90, no. September 2023 (2024), https://doi.org/10.1016/j.electstud.2024.102829.</w:t>
      </w:r>
      <w:r w:rsidRPr="003C7391">
        <w:fldChar w:fldCharType="end"/>
      </w:r>
    </w:p>
  </w:footnote>
  <w:footnote w:id="30">
    <w:p w14:paraId="5E9A91D6" w14:textId="77777777" w:rsidR="00312803" w:rsidRPr="003C7391" w:rsidRDefault="00312803" w:rsidP="00312803">
      <w:pPr>
        <w:pStyle w:val="FootnoteText"/>
        <w:ind w:firstLine="360"/>
        <w:jc w:val="both"/>
      </w:pPr>
      <w:r w:rsidRPr="003C7391">
        <w:rPr>
          <w:rStyle w:val="FootnoteReference"/>
        </w:rPr>
        <w:footnoteRef/>
      </w:r>
      <w:r w:rsidRPr="003C7391">
        <w:t xml:space="preserve"> </w:t>
      </w:r>
      <w:r w:rsidRPr="003C7391">
        <w:fldChar w:fldCharType="begin" w:fldLock="1"/>
      </w:r>
      <w:r w:rsidRPr="003C7391">
        <w:instrText>ADDIN CSL_CITATION {"citationItems":[{"id":"ITEM-1","itemData":{"DOI":"10.1016/j.electstud.2023.102644","ISSN":"02613794","abstract":"One of the most important transformations of European politics in recent decades is the rapid expansion of the share of population that vote for parties characterized as populist radical right (PRR) parties. This research note suggests that declining quality of government increases support for populist radical right parties. Using the latest rounds of the European Quality of Government Index (EQI) survey data that sampled at the NUTS 2 regional level in France, and exploiting the fact that the French, presidential elections contained the same candidates (Emmanuel Macron and Marine Le Pen) in 2017 and 2022, we show that regions increase their vote share for Le Pen where the quality of government decreases. We also show that this relationship holds at the individual level. Thus, supplying quality, impartial and fair public services seem to stifle demand for nativism, ethnic favoritism and authoritarianism and suppress support for the PRR party agenda.","author":[{"dropping-particle":"","family":"Bauhr","given":"Monika","non-dropping-particle":"","parse-names":false,"suffix":""},{"dropping-particle":"","family":"Charron","given":"Nicholas","non-dropping-particle":"","parse-names":false,"suffix":""}],"container-title":"Electoral Studies","id":"ITEM-1","issue":"2019","issued":{"date-parts":[["2023"]]},"page":"102644","publisher":"Elsevier Ltd","title":"‘It's the quality of government stupid’ explaining patterns in support for far right in the 2022 French presidential election","type":"article-journal","volume":"84"},"uris":["http://www.mendeley.com/documents/?uuid=de469081-0ac6-4914-80a2-269ddf9bd9a8"]}],"mendeley":{"formattedCitation":"Monika Bauhr and Nicholas Charron, “‘It’s the Quality of Government Stupid’ Explaining Patterns in Support for Far Right in the 2022 French Presidential Election,” &lt;i&gt;Electoral Studies&lt;/i&gt; 84, no. 2019 (2023): 102644, https://doi.org/10.1016/j.electstud.2023.102644.","plainTextFormattedCitation":"Monika Bauhr and Nicholas Charron, “‘It’s the Quality of Government Stupid’ Explaining Patterns in Support for Far Right in the 2022 French Presidential Election,” Electoral Studies 84, no. 2019 (2023): 102644, https://doi.org/10.1016/j.electstud.2023.102644.","previouslyFormattedCitation":"Monika Bauhr and Nicholas Charron, “‘It’s the Quality of Government Stupid’ Explaining Patterns in Support for Far Right in the 2022 French Presidential Election,” &lt;i&gt;Electoral Studies&lt;/i&gt; 84, no. 2019 (2023): 102644, https://doi.org/10.1016/j.electstud.2023.102644."},"properties":{"noteIndex":30},"schema":"https://github.com/citation-style-language/schema/raw/master/csl-citation.json"}</w:instrText>
      </w:r>
      <w:r w:rsidRPr="003C7391">
        <w:fldChar w:fldCharType="separate"/>
      </w:r>
      <w:r w:rsidRPr="003C7391">
        <w:rPr>
          <w:noProof/>
        </w:rPr>
        <w:t xml:space="preserve">Monika Bauhr and Nicholas Charron, "'It's the Quality of Government Stupid' Explaining Patterns in Support for Far Right in the 2022 French Presidential Election," </w:t>
      </w:r>
      <w:r w:rsidRPr="003C7391">
        <w:rPr>
          <w:i/>
          <w:noProof/>
        </w:rPr>
        <w:t>Electoral Studies</w:t>
      </w:r>
      <w:r w:rsidRPr="003C7391">
        <w:rPr>
          <w:noProof/>
        </w:rPr>
        <w:t xml:space="preserve"> 84, no. 2019 (2023): 102644, https://doi.org/10.1016/j.electstud.2023.102644.</w:t>
      </w:r>
      <w:r w:rsidRPr="003C7391">
        <w:fldChar w:fldCharType="end"/>
      </w:r>
    </w:p>
  </w:footnote>
  <w:footnote w:id="31">
    <w:p w14:paraId="6AD99FD9" w14:textId="77777777" w:rsidR="00312803" w:rsidRDefault="00312803" w:rsidP="00312803">
      <w:pPr>
        <w:pStyle w:val="FootnoteText"/>
        <w:ind w:firstLine="360"/>
        <w:jc w:val="both"/>
      </w:pPr>
      <w:r w:rsidRPr="003C7391">
        <w:rPr>
          <w:rStyle w:val="FootnoteReference"/>
        </w:rPr>
        <w:footnoteRef/>
      </w:r>
      <w:r w:rsidRPr="003C7391">
        <w:t xml:space="preserve"> </w:t>
      </w:r>
      <w:r w:rsidRPr="003C7391">
        <w:fldChar w:fldCharType="begin" w:fldLock="1"/>
      </w:r>
      <w:r w:rsidRPr="003C7391">
        <w:instrText>ADDIN CSL_CITATION {"citationItems":[{"id":"ITEM-1","itemData":{"DOI":"10.1016/j.foodpol.2019.101765","ISSN":"03069192","abstract":"Although over 40 jurisdictions have adopted a tax on sugar-sweetened beverages (SSBs) for public health worldwide, it is still debated in many places. Policy processes can influence the prospect of an SSB tax, its design and its public health benefits. To get an insight into such processes, we undertook a case study of the soda tax enacted in France on the 1st of January 2012. Newspaper articles (2003–2013) and institutional documents (2007–2012) were identified using keywords and search engines. Qualitative data extraction and analyses were performed on a thematic and chronological basis, with guidance from Kingdon's multiple streams theory (MST). Triangulation was enhanced by using complementary sources. This study shows that in August 2011, the French government surprisingly announced a €3.58 cent/L excise tax on SSBs, excluding juices with no added sugars and non-calorically sweetened beverages (NCSBs). As part of a large budgetary plan, the proposal aimed to reduce SSB consumption and raise revenue that was earmarked for health care. Several conditions contributed to opening a policy window: The announcement occurred in the context of severe budgetary deficits; soda tax scenarios had already been discussed at a high level; and the bill was supported by convinced political leaders. Subsequently, the tax successfully passed through the legislative process due to a series of unexpected events, but its public health rationale and design were weakened. The first event was the disorganised reaction by the food industry, despite their sharp opposition to the tax. The next event was the support of the soda tax that came from a majority of Deputies, provided that the revenues would serve another purpose: relieving wage costs in the farming sector. Finally, policy entrepreneurs favoured a compromise to make the tax politically acceptable and legally viable: The tax rate doubled, the scope was extended to NCSBs and revenues were split between health care and agriculture. This study sheds light on influence factors that could be taken into account by public health actors willing to influence soda tax policy processes.","author":[{"dropping-particle":"","family":"Bodo","given":"Y.","non-dropping-particle":"Le","parse-names":false,"suffix":""},{"dropping-particle":"","family":"Etilé","given":"F.","non-dropping-particle":"","parse-names":false,"suffix":""},{"dropping-particle":"","family":"Gagnon","given":"F.","non-dropping-particle":"","parse-names":false,"suffix":""},{"dropping-particle":"","family":"Wals","given":"P.","non-dropping-particle":"De","parse-names":false,"suffix":""}],"container-title":"Food Policy","id":"ITEM-1","issue":"August","issued":{"date-parts":[["2019"]]},"page":"101765","publisher":"Elsevier","title":"Conditions influencing the adoption of a soda tax for public health: Analysis of the French case (2005–2012)","type":"article-journal","volume":"88"},"uris":["http://www.mendeley.com/documents/?uuid=b961fc40-3f88-47b3-8719-58cb0d1da082"]}],"mendeley":{"formattedCitation":"Y. Le Bodo et al., “Conditions Influencing the Adoption of a Soda Tax for Public Health: Analysis of the French Case (2005–2012),” &lt;i&gt;Food Policy&lt;/i&gt; 88, no. August (2019): 101765, https://doi.org/10.1016/j.foodpol.2019.101765.","plainTextFormattedCitation":"Y. Le Bodo et al., “Conditions Influencing the Adoption of a Soda Tax for Public Health: Analysis of the French Case (2005–2012),” Food Policy 88, no. August (2019): 101765, https://doi.org/10.1016/j.foodpol.2019.101765.","previouslyFormattedCitation":"Y. Le Bodo et al., “Conditions Influencing the Adoption of a Soda Tax for Public Health: Analysis of the French Case (2005–2012),” &lt;i&gt;Food Policy&lt;/i&gt; 88, no. August (2019): 101765, https://doi.org/10.1016/j.foodpol.2019.101765."},"properties":{"noteIndex":31},"schema":"https://github.com/citation-style-language/schema/raw/master/csl-citation.json"}</w:instrText>
      </w:r>
      <w:r w:rsidRPr="003C7391">
        <w:fldChar w:fldCharType="separate"/>
      </w:r>
      <w:r w:rsidRPr="003C7391">
        <w:rPr>
          <w:noProof/>
        </w:rPr>
        <w:t xml:space="preserve">Y. Le Bodo et al., "Conditions Influencing the Adoption of a Soda Tax for Public Health: Analysis of the French Case (2005–2012)," </w:t>
      </w:r>
      <w:r w:rsidRPr="003C7391">
        <w:rPr>
          <w:i/>
          <w:noProof/>
        </w:rPr>
        <w:t>Food Policy</w:t>
      </w:r>
      <w:r w:rsidRPr="003C7391">
        <w:rPr>
          <w:noProof/>
        </w:rPr>
        <w:t xml:space="preserve"> 88, no. August (2019): 101765, https://doi.org/10.1016/j.foodpol.2019.101765.</w:t>
      </w:r>
      <w:r w:rsidRPr="003C7391">
        <w:fldChar w:fldCharType="end"/>
      </w:r>
    </w:p>
  </w:footnote>
  <w:footnote w:id="32">
    <w:p w14:paraId="39D63142" w14:textId="77777777" w:rsidR="00312803" w:rsidRPr="003C7391" w:rsidRDefault="00312803" w:rsidP="00312803">
      <w:pPr>
        <w:pStyle w:val="FootnoteText"/>
        <w:ind w:firstLine="360"/>
        <w:jc w:val="both"/>
      </w:pPr>
      <w:r w:rsidRPr="003C7391">
        <w:rPr>
          <w:rStyle w:val="FootnoteReference"/>
        </w:rPr>
        <w:footnoteRef/>
      </w:r>
      <w:r w:rsidRPr="003C7391">
        <w:t xml:space="preserve"> </w:t>
      </w:r>
      <w:r w:rsidRPr="003C7391">
        <w:fldChar w:fldCharType="begin" w:fldLock="1"/>
      </w:r>
      <w:r w:rsidRPr="003C7391">
        <w:instrText>ADDIN CSL_CITATION {"citationItems":[{"id":"ITEM-1","itemData":{"DOI":"10.1016/j.clsr.2021.105614","ISSN":"02673649","abstract":"Private actors have become increasingly involved in the law enforcement process in recent years, taking up more proactive roles and being increasingly engaged in choices between conflicting rights and freedoms. The development and spread of information and communication technology (ICT) created a set of conditions in which the participation of private actors (service providers in this case) appears to be a necessity. These conditions include, for example, a lack of physical borders for ICT technologies, the speed and width of the spread of information on the Internet, as well as the growth of technological behemoths. The resulting reaction can be seen in various sectors, such as combatting illicit content online or gathering digital evidence. While executing these roles they may be compelled – de jure or de facto – to make value judgments which traditionally belong to the public authorities. At the same time the legal framework is either lacking or it does not fully cover the consequences of this fundamental paradigm shift, to the detriment of the authorities, private actors and persons concerned. The objective of this article is to examine the most important features of these developments and analyse resulting key legal problems. The author demonstrates that the legal landscape of cooperation between law enforcement and service providers must be rethought and offers a direction for this reflection.","author":[{"dropping-particle":"","family":"Tosza","given":"Stanisław","non-dropping-particle":"","parse-names":false,"suffix":""}],"container-title":"Computer Law and Security Review","id":"ITEM-1","issued":{"date-parts":[["2021"]]},"page":"105614","publisher":"Elsevier Masson SAS","title":"Internet service providers as law enforcers and adjudicators. A public role of private actors","type":"article-journal","volume":"43"},"uris":["http://www.mendeley.com/documents/?uuid=eb1c4ee6-2893-44fb-9e7d-63924574b434"]}],"mendeley":{"formattedCitation":"Stanisław Tosza, “Internet Service Providers as Law Enforcers and Adjudicators. A Public Role of Private Actors,” &lt;i&gt;Computer Law and Security Review&lt;/i&gt; 43 (2021): 105614, https://doi.org/10.1016/j.clsr.2021.105614.","plainTextFormattedCitation":"Stanisław Tosza, “Internet Service Providers as Law Enforcers and Adjudicators. A Public Role of Private Actors,” Computer Law and Security Review 43 (2021): 105614, https://doi.org/10.1016/j.clsr.2021.105614.","previouslyFormattedCitation":"Stanisław Tosza, “Internet Service Providers as Law Enforcers and Adjudicators. A Public Role of Private Actors,” &lt;i&gt;Computer Law and Security Review&lt;/i&gt; 43 (2021): 105614, https://doi.org/10.1016/j.clsr.2021.105614."},"properties":{"noteIndex":32},"schema":"https://github.com/citation-style-language/schema/raw/master/csl-citation.json"}</w:instrText>
      </w:r>
      <w:r w:rsidRPr="003C7391">
        <w:fldChar w:fldCharType="separate"/>
      </w:r>
      <w:r w:rsidRPr="003C7391">
        <w:rPr>
          <w:noProof/>
        </w:rPr>
        <w:t xml:space="preserve">Stanisław Tosza, "Internet Service Providers as Law Enforcers and Adjudicators. A Public Role of Private Actors," </w:t>
      </w:r>
      <w:r w:rsidRPr="003C7391">
        <w:rPr>
          <w:i/>
          <w:noProof/>
        </w:rPr>
        <w:t>Computer Law and Security Review</w:t>
      </w:r>
      <w:r w:rsidRPr="003C7391">
        <w:rPr>
          <w:noProof/>
        </w:rPr>
        <w:t xml:space="preserve"> 43 (2021): 105614, https://doi.org/10.1016/j.clsr.2021.105614.</w:t>
      </w:r>
      <w:r w:rsidRPr="003C7391">
        <w:fldChar w:fldCharType="end"/>
      </w:r>
    </w:p>
  </w:footnote>
  <w:footnote w:id="33">
    <w:p w14:paraId="692C7A54" w14:textId="77777777" w:rsidR="00312803" w:rsidRPr="003C7391" w:rsidRDefault="00312803" w:rsidP="00312803">
      <w:pPr>
        <w:pStyle w:val="FootnoteText"/>
        <w:ind w:firstLine="360"/>
        <w:jc w:val="both"/>
      </w:pPr>
      <w:r w:rsidRPr="003C7391">
        <w:rPr>
          <w:rStyle w:val="FootnoteReference"/>
        </w:rPr>
        <w:footnoteRef/>
      </w:r>
      <w:r w:rsidRPr="003C7391">
        <w:t xml:space="preserve"> </w:t>
      </w:r>
      <w:r w:rsidRPr="003C7391">
        <w:fldChar w:fldCharType="begin" w:fldLock="1"/>
      </w:r>
      <w:r w:rsidRPr="003C7391">
        <w:instrText>ADDIN CSL_CITATION {"citationItems":[{"id":"ITEM-1","itemData":{"DOI":"10.1016/j.jhg.2024.03.008","ISSN":"10958614","abstract":"This article describes the construction and content of an atlas of local jurisdictions of Ancien Régime France: bailliages. Bailliages were at the center of the Ancien Régime's jurisdictional apparatus: they administered the ordinary royal justice, delineated the area of influence of heterogeneous customary laws, and served as electoral constituencies for the Estates General of 1614 and 1789. Yet, their territorial extent was relatively unknown to the royal authority, leading early scholars to assert the impossibility of mapping the geography of bailliages. Based on Armand Brette's Atlas des bailliages et juridictions assimilées published in 1904, we develop a historical geographic information system containing shapefiles and associated data files of bailliage courts at the time of the convocation of the Estates General of 1789. This new source has many potential applications, including mapping the different legal systems that coexisted in France, such as Roman law in pays de droit écrit and customary law in pays de droit coutumier, and studying elections to the Estates General of 1789.","author":[{"dropping-particle":"","family":"Gay","given":"Victor","non-dropping-particle":"","parse-names":false,"suffix":""},{"dropping-particle":"","family":"Gobbi","given":"Paula E.","non-dropping-particle":"","parse-names":false,"suffix":""},{"dropping-particle":"","family":"Goñi","given":"Marc","non-dropping-particle":"","parse-names":false,"suffix":""}],"container-title":"Journal of Historical Geography","id":"ITEM-1","issued":{"date-parts":[["2024"]]},"page":"49-60","title":"The atlas of local jurisdictions of Ancien Régime France","type":"article-journal","volume":"84"},"uris":["http://www.mendeley.com/documents/?uuid=7a67a434-c1d8-4b41-9d8d-c33ddd781399"]}],"mendeley":{"formattedCitation":"Victor Gay, Paula E. Gobbi, and Marc Goñi, “The Atlas of Local Jurisdictions of Ancien Régime France,” &lt;i&gt;Journal of Historical Geography&lt;/i&gt; 84 (2024): 49–60, https://doi.org/10.1016/j.jhg.2024.03.008.","plainTextFormattedCitation":"Victor Gay, Paula E. Gobbi, and Marc Goñi, “The Atlas of Local Jurisdictions of Ancien Régime France,” Journal of Historical Geography 84 (2024): 49–60, https://doi.org/10.1016/j.jhg.2024.03.008.","previouslyFormattedCitation":"Victor Gay, Paula E. Gobbi, and Marc Goñi, “The Atlas of Local Jurisdictions of Ancien Régime France,” &lt;i&gt;Journal of Historical Geography&lt;/i&gt; 84 (2024): 49–60, https://doi.org/10.1016/j.jhg.2024.03.008."},"properties":{"noteIndex":33},"schema":"https://github.com/citation-style-language/schema/raw/master/csl-citation.json"}</w:instrText>
      </w:r>
      <w:r w:rsidRPr="003C7391">
        <w:fldChar w:fldCharType="separate"/>
      </w:r>
      <w:r w:rsidRPr="003C7391">
        <w:rPr>
          <w:noProof/>
        </w:rPr>
        <w:t xml:space="preserve">Victor Gay, Paula E. Gobbi, and Marc Goñi, "The Atlas of Local Jurisdictions of Ancien Régime France," </w:t>
      </w:r>
      <w:r w:rsidRPr="003C7391">
        <w:rPr>
          <w:i/>
          <w:noProof/>
        </w:rPr>
        <w:t>Journal of Historical Geography</w:t>
      </w:r>
      <w:r w:rsidRPr="003C7391">
        <w:rPr>
          <w:noProof/>
        </w:rPr>
        <w:t xml:space="preserve"> 84 (2024): 49–60, https://doi.org/10.1016/j.jhg.2024.03.008.</w:t>
      </w:r>
      <w:r w:rsidRPr="003C7391">
        <w:fldChar w:fldCharType="end"/>
      </w:r>
    </w:p>
  </w:footnote>
  <w:footnote w:id="34">
    <w:p w14:paraId="6A5DE20C" w14:textId="77777777" w:rsidR="00312803" w:rsidRDefault="00312803" w:rsidP="00312803">
      <w:pPr>
        <w:pStyle w:val="FootnoteText"/>
        <w:ind w:firstLine="360"/>
        <w:jc w:val="both"/>
      </w:pPr>
      <w:r w:rsidRPr="003C7391">
        <w:rPr>
          <w:rStyle w:val="FootnoteReference"/>
        </w:rPr>
        <w:footnoteRef/>
      </w:r>
      <w:r w:rsidRPr="003C7391">
        <w:t xml:space="preserve"> </w:t>
      </w:r>
      <w:r w:rsidRPr="003C7391">
        <w:fldChar w:fldCharType="begin" w:fldLock="1"/>
      </w:r>
      <w:r>
        <w:instrText>ADDIN CSL_CITATION {"citationItems":[{"id":"ITEM-1","itemData":{"DOI":"10.1016/j.electstud.2024.102777","ISSN":"02613794","abstract":"Can protests produce changes in electoral behavior? In this paper, we examine variations in voter turnout and electoral preferences at the local level after a protest cycle. Using data on protest occurrence during the 2019 social mobilizations in Chile and Bolivia and a difference-in-differences design, we assess the impact that street demonstrations had on voting behavior in the elections that took place the following year. We found that turnout was higher in municipalities that had protests, while the incumbent vote was lower. We argue that the effect on turnout is explained by the surge in political efficacy that emerged from the protests. Furthermore, we suggest that the protests enabled more effective blame attribution and heightened the salience of political issues, leading to changes in voter preferences. These results demonstrate the effect of protests on electoral dynamics, highlighting their role not only in mobilizing voters but also in shaping electoral preferences.","author":[{"dropping-particle":"","family":"Castro","given":"Francisca","non-dropping-particle":"","parse-names":false,"suffix":""},{"dropping-particle":"","family":"Retamal","given":"Renata","non-dropping-particle":"","parse-names":false,"suffix":""}],"container-title":"Electoral Studies","id":"ITEM-1","issue":"February","issued":{"date-parts":[["2024"]]},"page":"102777","publisher":"Elsevier Ltd","title":"Does electoral behavior change after a protest cycle? Evidence from Chile and Bolivia","type":"article-journal","volume":"89"},"uris":["http://www.mendeley.com/documents/?uuid=899b770d-270e-4cb6-84db-35e7ded0e587"]}],"mendeley":{"formattedCitation":"Francisca Castro and Renata Retamal, “Does Electoral Behavior Change after a Protest Cycle? Evidence from Chile and Bolivia,” &lt;i&gt;Electoral Studies&lt;/i&gt; 89, no. February (2024): 102777, https://doi.org/10.1016/j.electstud.2024.102777.","plainTextFormattedCitation":"Francisca Castro and Renata Retamal, “Does Electoral Behavior Change after a Protest Cycle? Evidence from Chile and Bolivia,” Electoral Studies 89, no. February (2024): 102777, https://doi.org/10.1016/j.electstud.2024.102777.","previouslyFormattedCitation":"Francisca Castro and Renata Retamal, “Does Electoral Behavior Change after a Protest Cycle? Evidence from Chile and Bolivia,” &lt;i&gt;Electoral Studies&lt;/i&gt; 89, no. February (2024): 102777, https://doi.org/10.1016/j.electstud.2024.102777."},"properties":{"noteIndex":34},"schema":"https://github.com/citation-style-language/schema/raw/master/csl-citation.json"}</w:instrText>
      </w:r>
      <w:r w:rsidRPr="003C7391">
        <w:fldChar w:fldCharType="separate"/>
      </w:r>
      <w:r w:rsidRPr="003C7391">
        <w:rPr>
          <w:noProof/>
        </w:rPr>
        <w:t xml:space="preserve">Francisca Castro and Renata Retamal, "Does Electoral Behavior Change after a Protest Cycle? Evidence from Chile and Bolivia," </w:t>
      </w:r>
      <w:r w:rsidRPr="003C7391">
        <w:rPr>
          <w:i/>
          <w:noProof/>
        </w:rPr>
        <w:t>Electoral Studies</w:t>
      </w:r>
      <w:r w:rsidRPr="003C7391">
        <w:rPr>
          <w:noProof/>
        </w:rPr>
        <w:t xml:space="preserve"> 89, no. February (2024): 102777, https://doi.org/10.1016/j.electstud.2024.102777.</w:t>
      </w:r>
      <w:r w:rsidRPr="003C7391">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8C33" w14:textId="77777777" w:rsidR="004D5838" w:rsidRDefault="004D5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10F8" w14:textId="77777777" w:rsidR="004D5838" w:rsidRDefault="004D5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D59D" w14:textId="77777777" w:rsidR="00EF357F" w:rsidRPr="00285C8E" w:rsidRDefault="00EF357F" w:rsidP="00285C8E">
    <w:pPr>
      <w:pStyle w:val="Header"/>
      <w:rPr>
        <w:rFonts w:ascii="Edwardian Script ITC" w:hAnsi="Edwardian Script ITC"/>
        <w:color w:val="000000" w:themeColor="text1"/>
        <w:sz w:val="56"/>
        <w:lang w:val="id-ID"/>
        <w14:textOutline w14:w="9525" w14:cap="rnd" w14:cmpd="sng" w14:algn="ctr">
          <w14:solidFill>
            <w14:schemeClr w14:val="tx1"/>
          </w14:solidFill>
          <w14:prstDash w14:val="solid"/>
          <w14:bevel/>
        </w14:textOutline>
      </w:rPr>
    </w:pPr>
    <w:bookmarkStart w:id="2" w:name="_Hlk490921290"/>
    <w:bookmarkStart w:id="3" w:name="_Hlk490921291"/>
    <w:bookmarkStart w:id="4" w:name="_Hlk490921292"/>
  </w:p>
  <w:p w14:paraId="5946E251" w14:textId="77777777" w:rsidR="00BA6870" w:rsidRDefault="00BA6870" w:rsidP="00AF20D0">
    <w:pPr>
      <w:pStyle w:val="Header"/>
      <w:tabs>
        <w:tab w:val="clear" w:pos="9360"/>
      </w:tabs>
      <w:jc w:val="right"/>
      <w:rPr>
        <w:rFonts w:ascii="Book Antiqua" w:hAnsi="Book Antiqua" w:cstheme="majorHAnsi"/>
        <w:color w:val="000000" w:themeColor="text1"/>
        <w:sz w:val="20"/>
        <w:szCs w:val="20"/>
      </w:rPr>
    </w:pPr>
  </w:p>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B6255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1483600" o:spid="_x0000_i1025" type="#_x0000_t75" style="width:14.4pt;height:14.4pt;visibility:visible;mso-wrap-style:square">
            <v:imagedata r:id="rId1" o:title=""/>
          </v:shape>
        </w:pict>
      </mc:Choice>
      <mc:Fallback>
        <w:drawing>
          <wp:inline distT="0" distB="0" distL="0" distR="0" wp14:anchorId="61C55D2B" wp14:editId="6B942983">
            <wp:extent cx="182880" cy="182880"/>
            <wp:effectExtent l="0" t="0" r="0" b="0"/>
            <wp:docPr id="1861483600" name="Picture 186148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0909498D"/>
    <w:multiLevelType w:val="multilevel"/>
    <w:tmpl w:val="542C896E"/>
    <w:lvl w:ilvl="0">
      <w:start w:val="1"/>
      <w:numFmt w:val="decimal"/>
      <w:lvlText w:val="%1."/>
      <w:lvlJc w:val="left"/>
      <w:pPr>
        <w:ind w:left="720" w:hanging="360"/>
      </w:pPr>
      <w:rPr>
        <w:rFonts w:hint="default"/>
        <w:color w:val="4472C4" w:themeColor="accent1"/>
        <w:sz w:val="24"/>
      </w:rPr>
    </w:lvl>
    <w:lvl w:ilvl="1">
      <w:start w:val="1"/>
      <w:numFmt w:val="upperLetter"/>
      <w:lvlText w:val="%2."/>
      <w:lvlJc w:val="left"/>
      <w:pPr>
        <w:ind w:left="720" w:hanging="360"/>
      </w:pPr>
      <w:rPr>
        <w:rFonts w:hint="default"/>
        <w:b/>
        <w:color w:val="000000" w:themeColor="text1"/>
        <w:sz w:val="24"/>
      </w:rPr>
    </w:lvl>
    <w:lvl w:ilvl="2">
      <w:start w:val="1"/>
      <w:numFmt w:val="decimal"/>
      <w:lvlText w:val="3.%3"/>
      <w:lvlJc w:val="left"/>
      <w:pPr>
        <w:ind w:left="1080" w:hanging="720"/>
      </w:pPr>
      <w:rPr>
        <w:rFonts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15:restartNumberingAfterBreak="0">
    <w:nsid w:val="16FB4754"/>
    <w:multiLevelType w:val="hybridMultilevel"/>
    <w:tmpl w:val="05F4D6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D815B8"/>
    <w:multiLevelType w:val="hybridMultilevel"/>
    <w:tmpl w:val="05F4D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E2B27"/>
    <w:multiLevelType w:val="multilevel"/>
    <w:tmpl w:val="7C0E83E4"/>
    <w:lvl w:ilvl="0">
      <w:start w:val="1"/>
      <w:numFmt w:val="decimal"/>
      <w:lvlText w:val="%1"/>
      <w:lvlJc w:val="left"/>
      <w:pPr>
        <w:ind w:left="360" w:hanging="360"/>
      </w:pPr>
      <w:rPr>
        <w:rFonts w:cstheme="majorHAnsi" w:hint="default"/>
        <w:b/>
        <w:color w:val="000000" w:themeColor="text1"/>
      </w:rPr>
    </w:lvl>
    <w:lvl w:ilvl="1">
      <w:start w:val="1"/>
      <w:numFmt w:val="decimal"/>
      <w:lvlText w:val="%1.%2"/>
      <w:lvlJc w:val="left"/>
      <w:pPr>
        <w:ind w:left="1440" w:hanging="360"/>
      </w:pPr>
      <w:rPr>
        <w:rFonts w:cstheme="majorHAnsi" w:hint="default"/>
        <w:b/>
        <w:color w:val="000000" w:themeColor="text1"/>
      </w:rPr>
    </w:lvl>
    <w:lvl w:ilvl="2">
      <w:start w:val="1"/>
      <w:numFmt w:val="decimal"/>
      <w:lvlText w:val="%1.%2.%3"/>
      <w:lvlJc w:val="left"/>
      <w:pPr>
        <w:ind w:left="2880" w:hanging="720"/>
      </w:pPr>
      <w:rPr>
        <w:rFonts w:cstheme="majorHAnsi" w:hint="default"/>
        <w:b/>
        <w:color w:val="000000" w:themeColor="text1"/>
      </w:rPr>
    </w:lvl>
    <w:lvl w:ilvl="3">
      <w:start w:val="1"/>
      <w:numFmt w:val="decimal"/>
      <w:lvlText w:val="%1.%2.%3.%4"/>
      <w:lvlJc w:val="left"/>
      <w:pPr>
        <w:ind w:left="4320" w:hanging="1080"/>
      </w:pPr>
      <w:rPr>
        <w:rFonts w:cstheme="majorHAnsi" w:hint="default"/>
        <w:b/>
        <w:color w:val="000000" w:themeColor="text1"/>
      </w:rPr>
    </w:lvl>
    <w:lvl w:ilvl="4">
      <w:start w:val="1"/>
      <w:numFmt w:val="decimal"/>
      <w:lvlText w:val="%1.%2.%3.%4.%5"/>
      <w:lvlJc w:val="left"/>
      <w:pPr>
        <w:ind w:left="5400" w:hanging="1080"/>
      </w:pPr>
      <w:rPr>
        <w:rFonts w:cstheme="majorHAnsi" w:hint="default"/>
        <w:b/>
        <w:color w:val="000000" w:themeColor="text1"/>
      </w:rPr>
    </w:lvl>
    <w:lvl w:ilvl="5">
      <w:start w:val="1"/>
      <w:numFmt w:val="decimal"/>
      <w:lvlText w:val="%1.%2.%3.%4.%5.%6"/>
      <w:lvlJc w:val="left"/>
      <w:pPr>
        <w:ind w:left="6840" w:hanging="1440"/>
      </w:pPr>
      <w:rPr>
        <w:rFonts w:cstheme="majorHAnsi" w:hint="default"/>
        <w:b/>
        <w:color w:val="000000" w:themeColor="text1"/>
      </w:rPr>
    </w:lvl>
    <w:lvl w:ilvl="6">
      <w:start w:val="1"/>
      <w:numFmt w:val="decimal"/>
      <w:lvlText w:val="%1.%2.%3.%4.%5.%6.%7"/>
      <w:lvlJc w:val="left"/>
      <w:pPr>
        <w:ind w:left="7920" w:hanging="1440"/>
      </w:pPr>
      <w:rPr>
        <w:rFonts w:cstheme="majorHAnsi" w:hint="default"/>
        <w:b/>
        <w:color w:val="000000" w:themeColor="text1"/>
      </w:rPr>
    </w:lvl>
    <w:lvl w:ilvl="7">
      <w:start w:val="1"/>
      <w:numFmt w:val="decimal"/>
      <w:lvlText w:val="%1.%2.%3.%4.%5.%6.%7.%8"/>
      <w:lvlJc w:val="left"/>
      <w:pPr>
        <w:ind w:left="9360" w:hanging="1800"/>
      </w:pPr>
      <w:rPr>
        <w:rFonts w:cstheme="majorHAnsi" w:hint="default"/>
        <w:b/>
        <w:color w:val="000000" w:themeColor="text1"/>
      </w:rPr>
    </w:lvl>
    <w:lvl w:ilvl="8">
      <w:start w:val="1"/>
      <w:numFmt w:val="decimal"/>
      <w:lvlText w:val="%1.%2.%3.%4.%5.%6.%7.%8.%9"/>
      <w:lvlJc w:val="left"/>
      <w:pPr>
        <w:ind w:left="10440" w:hanging="1800"/>
      </w:pPr>
      <w:rPr>
        <w:rFonts w:cstheme="majorHAnsi" w:hint="default"/>
        <w:b/>
        <w:color w:val="000000" w:themeColor="text1"/>
      </w:rPr>
    </w:lvl>
  </w:abstractNum>
  <w:abstractNum w:abstractNumId="12" w15:restartNumberingAfterBreak="0">
    <w:nsid w:val="22C92603"/>
    <w:multiLevelType w:val="multilevel"/>
    <w:tmpl w:val="01F6BA06"/>
    <w:lvl w:ilvl="0">
      <w:start w:val="2"/>
      <w:numFmt w:val="decimal"/>
      <w:lvlText w:val="%1"/>
      <w:lvlJc w:val="left"/>
      <w:pPr>
        <w:ind w:left="360" w:hanging="360"/>
      </w:pPr>
      <w:rPr>
        <w:rFonts w:cstheme="majorHAnsi" w:hint="default"/>
        <w:b/>
        <w:sz w:val="24"/>
      </w:rPr>
    </w:lvl>
    <w:lvl w:ilvl="1">
      <w:start w:val="1"/>
      <w:numFmt w:val="decimal"/>
      <w:lvlText w:val="%1.%2"/>
      <w:lvlJc w:val="left"/>
      <w:pPr>
        <w:ind w:left="927" w:hanging="360"/>
      </w:pPr>
      <w:rPr>
        <w:rFonts w:cstheme="majorHAnsi" w:hint="default"/>
        <w:b/>
        <w:sz w:val="24"/>
      </w:rPr>
    </w:lvl>
    <w:lvl w:ilvl="2">
      <w:start w:val="1"/>
      <w:numFmt w:val="decimal"/>
      <w:lvlText w:val="%1.%2.%3"/>
      <w:lvlJc w:val="left"/>
      <w:pPr>
        <w:ind w:left="1854" w:hanging="720"/>
      </w:pPr>
      <w:rPr>
        <w:rFonts w:cstheme="majorHAnsi" w:hint="default"/>
        <w:b/>
        <w:sz w:val="24"/>
      </w:rPr>
    </w:lvl>
    <w:lvl w:ilvl="3">
      <w:start w:val="1"/>
      <w:numFmt w:val="decimal"/>
      <w:lvlText w:val="%1.%2.%3.%4"/>
      <w:lvlJc w:val="left"/>
      <w:pPr>
        <w:ind w:left="2421" w:hanging="720"/>
      </w:pPr>
      <w:rPr>
        <w:rFonts w:cstheme="majorHAnsi" w:hint="default"/>
        <w:b/>
        <w:sz w:val="24"/>
      </w:rPr>
    </w:lvl>
    <w:lvl w:ilvl="4">
      <w:start w:val="1"/>
      <w:numFmt w:val="decimal"/>
      <w:lvlText w:val="%1.%2.%3.%4.%5"/>
      <w:lvlJc w:val="left"/>
      <w:pPr>
        <w:ind w:left="3348" w:hanging="1080"/>
      </w:pPr>
      <w:rPr>
        <w:rFonts w:cstheme="majorHAnsi" w:hint="default"/>
        <w:b/>
        <w:sz w:val="24"/>
      </w:rPr>
    </w:lvl>
    <w:lvl w:ilvl="5">
      <w:start w:val="1"/>
      <w:numFmt w:val="decimal"/>
      <w:lvlText w:val="%1.%2.%3.%4.%5.%6"/>
      <w:lvlJc w:val="left"/>
      <w:pPr>
        <w:ind w:left="3915" w:hanging="1080"/>
      </w:pPr>
      <w:rPr>
        <w:rFonts w:cstheme="majorHAnsi" w:hint="default"/>
        <w:b/>
        <w:sz w:val="24"/>
      </w:rPr>
    </w:lvl>
    <w:lvl w:ilvl="6">
      <w:start w:val="1"/>
      <w:numFmt w:val="decimal"/>
      <w:lvlText w:val="%1.%2.%3.%4.%5.%6.%7"/>
      <w:lvlJc w:val="left"/>
      <w:pPr>
        <w:ind w:left="4842" w:hanging="1440"/>
      </w:pPr>
      <w:rPr>
        <w:rFonts w:cstheme="majorHAnsi" w:hint="default"/>
        <w:b/>
        <w:sz w:val="24"/>
      </w:rPr>
    </w:lvl>
    <w:lvl w:ilvl="7">
      <w:start w:val="1"/>
      <w:numFmt w:val="decimal"/>
      <w:lvlText w:val="%1.%2.%3.%4.%5.%6.%7.%8"/>
      <w:lvlJc w:val="left"/>
      <w:pPr>
        <w:ind w:left="5769" w:hanging="1800"/>
      </w:pPr>
      <w:rPr>
        <w:rFonts w:cstheme="majorHAnsi" w:hint="default"/>
        <w:b/>
        <w:sz w:val="24"/>
      </w:rPr>
    </w:lvl>
    <w:lvl w:ilvl="8">
      <w:start w:val="1"/>
      <w:numFmt w:val="decimal"/>
      <w:lvlText w:val="%1.%2.%3.%4.%5.%6.%7.%8.%9"/>
      <w:lvlJc w:val="left"/>
      <w:pPr>
        <w:ind w:left="6336" w:hanging="1800"/>
      </w:pPr>
      <w:rPr>
        <w:rFonts w:cstheme="majorHAnsi" w:hint="default"/>
        <w:b/>
        <w:sz w:val="24"/>
      </w:rPr>
    </w:lvl>
  </w:abstractNum>
  <w:abstractNum w:abstractNumId="13"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5"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97285E"/>
    <w:multiLevelType w:val="hybridMultilevel"/>
    <w:tmpl w:val="F326B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D5B38"/>
    <w:multiLevelType w:val="hybridMultilevel"/>
    <w:tmpl w:val="F326BC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1"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2"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34E82"/>
    <w:multiLevelType w:val="hybridMultilevel"/>
    <w:tmpl w:val="F9EEE79E"/>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40EAD"/>
    <w:multiLevelType w:val="multilevel"/>
    <w:tmpl w:val="54E4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9962F8"/>
    <w:multiLevelType w:val="multilevel"/>
    <w:tmpl w:val="1A98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8195205">
    <w:abstractNumId w:val="19"/>
  </w:num>
  <w:num w:numId="2" w16cid:durableId="786629272">
    <w:abstractNumId w:val="20"/>
  </w:num>
  <w:num w:numId="3" w16cid:durableId="225334767">
    <w:abstractNumId w:val="7"/>
  </w:num>
  <w:num w:numId="4" w16cid:durableId="478308815">
    <w:abstractNumId w:val="14"/>
  </w:num>
  <w:num w:numId="5" w16cid:durableId="1844857486">
    <w:abstractNumId w:val="21"/>
  </w:num>
  <w:num w:numId="6" w16cid:durableId="931740727">
    <w:abstractNumId w:val="0"/>
  </w:num>
  <w:num w:numId="7" w16cid:durableId="847251310">
    <w:abstractNumId w:val="4"/>
  </w:num>
  <w:num w:numId="8" w16cid:durableId="1822888173">
    <w:abstractNumId w:val="3"/>
  </w:num>
  <w:num w:numId="9" w16cid:durableId="2586545">
    <w:abstractNumId w:val="2"/>
  </w:num>
  <w:num w:numId="10" w16cid:durableId="1251086308">
    <w:abstractNumId w:val="1"/>
  </w:num>
  <w:num w:numId="11" w16cid:durableId="1125736509">
    <w:abstractNumId w:val="6"/>
  </w:num>
  <w:num w:numId="12" w16cid:durableId="1481383967">
    <w:abstractNumId w:val="15"/>
  </w:num>
  <w:num w:numId="13" w16cid:durableId="653334622">
    <w:abstractNumId w:val="23"/>
  </w:num>
  <w:num w:numId="14" w16cid:durableId="1672216638">
    <w:abstractNumId w:val="22"/>
  </w:num>
  <w:num w:numId="15" w16cid:durableId="1561864900">
    <w:abstractNumId w:val="13"/>
  </w:num>
  <w:num w:numId="16" w16cid:durableId="150172145">
    <w:abstractNumId w:val="18"/>
  </w:num>
  <w:num w:numId="17" w16cid:durableId="779758092">
    <w:abstractNumId w:val="5"/>
  </w:num>
  <w:num w:numId="18" w16cid:durableId="1682321032">
    <w:abstractNumId w:val="8"/>
  </w:num>
  <w:num w:numId="19" w16cid:durableId="1762798302">
    <w:abstractNumId w:val="24"/>
  </w:num>
  <w:num w:numId="20" w16cid:durableId="1620061493">
    <w:abstractNumId w:val="11"/>
  </w:num>
  <w:num w:numId="21" w16cid:durableId="1800411611">
    <w:abstractNumId w:val="12"/>
  </w:num>
  <w:num w:numId="22" w16cid:durableId="597829829">
    <w:abstractNumId w:val="16"/>
  </w:num>
  <w:num w:numId="23" w16cid:durableId="1107577397">
    <w:abstractNumId w:val="10"/>
  </w:num>
  <w:num w:numId="24" w16cid:durableId="589898716">
    <w:abstractNumId w:val="9"/>
  </w:num>
  <w:num w:numId="25" w16cid:durableId="1032996349">
    <w:abstractNumId w:val="17"/>
  </w:num>
  <w:num w:numId="26" w16cid:durableId="896865882">
    <w:abstractNumId w:val="27"/>
  </w:num>
  <w:num w:numId="27" w16cid:durableId="1946686766">
    <w:abstractNumId w:val="26"/>
  </w:num>
  <w:num w:numId="28" w16cid:durableId="10728555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mirrorMargin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73"/>
    <w:rsid w:val="000020DD"/>
    <w:rsid w:val="00003122"/>
    <w:rsid w:val="00003C43"/>
    <w:rsid w:val="00005A2E"/>
    <w:rsid w:val="0001120B"/>
    <w:rsid w:val="00011808"/>
    <w:rsid w:val="00014A2C"/>
    <w:rsid w:val="00015ABE"/>
    <w:rsid w:val="00023880"/>
    <w:rsid w:val="00023DA6"/>
    <w:rsid w:val="000327A9"/>
    <w:rsid w:val="00044116"/>
    <w:rsid w:val="00046A90"/>
    <w:rsid w:val="00046AF5"/>
    <w:rsid w:val="00050546"/>
    <w:rsid w:val="0005128B"/>
    <w:rsid w:val="00052E06"/>
    <w:rsid w:val="000554A5"/>
    <w:rsid w:val="000572B7"/>
    <w:rsid w:val="00063C82"/>
    <w:rsid w:val="00065E48"/>
    <w:rsid w:val="00070E39"/>
    <w:rsid w:val="000715EA"/>
    <w:rsid w:val="000775E8"/>
    <w:rsid w:val="000822BD"/>
    <w:rsid w:val="0008430B"/>
    <w:rsid w:val="00087494"/>
    <w:rsid w:val="00087E31"/>
    <w:rsid w:val="00090111"/>
    <w:rsid w:val="00092A1E"/>
    <w:rsid w:val="0009619F"/>
    <w:rsid w:val="0009788A"/>
    <w:rsid w:val="000A05AE"/>
    <w:rsid w:val="000A091C"/>
    <w:rsid w:val="000A5878"/>
    <w:rsid w:val="000A5E10"/>
    <w:rsid w:val="000B09AB"/>
    <w:rsid w:val="000B14BF"/>
    <w:rsid w:val="000B1CE8"/>
    <w:rsid w:val="000B3752"/>
    <w:rsid w:val="000B5F04"/>
    <w:rsid w:val="000C1C1E"/>
    <w:rsid w:val="000C5F58"/>
    <w:rsid w:val="000C62F7"/>
    <w:rsid w:val="000D29BA"/>
    <w:rsid w:val="000D3C3E"/>
    <w:rsid w:val="000D41BE"/>
    <w:rsid w:val="000D479C"/>
    <w:rsid w:val="000D6448"/>
    <w:rsid w:val="000E018D"/>
    <w:rsid w:val="000E48CB"/>
    <w:rsid w:val="000E6D81"/>
    <w:rsid w:val="000F3B4F"/>
    <w:rsid w:val="000F4488"/>
    <w:rsid w:val="000F7008"/>
    <w:rsid w:val="000F7C86"/>
    <w:rsid w:val="0010110A"/>
    <w:rsid w:val="001049C6"/>
    <w:rsid w:val="0010788E"/>
    <w:rsid w:val="001161B0"/>
    <w:rsid w:val="00116CDD"/>
    <w:rsid w:val="00122497"/>
    <w:rsid w:val="00123CDB"/>
    <w:rsid w:val="001242D9"/>
    <w:rsid w:val="00124D8C"/>
    <w:rsid w:val="00136A1D"/>
    <w:rsid w:val="00141AEB"/>
    <w:rsid w:val="00141B61"/>
    <w:rsid w:val="00145BAE"/>
    <w:rsid w:val="0014772F"/>
    <w:rsid w:val="00151C3E"/>
    <w:rsid w:val="001520B9"/>
    <w:rsid w:val="001539AC"/>
    <w:rsid w:val="00154A86"/>
    <w:rsid w:val="001610A2"/>
    <w:rsid w:val="00163F20"/>
    <w:rsid w:val="00164424"/>
    <w:rsid w:val="00164B5C"/>
    <w:rsid w:val="00167CC3"/>
    <w:rsid w:val="00170E34"/>
    <w:rsid w:val="001720AE"/>
    <w:rsid w:val="00176767"/>
    <w:rsid w:val="00177044"/>
    <w:rsid w:val="00183EBA"/>
    <w:rsid w:val="00184949"/>
    <w:rsid w:val="00185CD9"/>
    <w:rsid w:val="001862CD"/>
    <w:rsid w:val="001A42EB"/>
    <w:rsid w:val="001A55CA"/>
    <w:rsid w:val="001A5B3C"/>
    <w:rsid w:val="001A6FE1"/>
    <w:rsid w:val="001B027D"/>
    <w:rsid w:val="001B16F3"/>
    <w:rsid w:val="001B212E"/>
    <w:rsid w:val="001B3470"/>
    <w:rsid w:val="001B4FFE"/>
    <w:rsid w:val="001B73CF"/>
    <w:rsid w:val="001B7BE7"/>
    <w:rsid w:val="001C13EC"/>
    <w:rsid w:val="001C2D0B"/>
    <w:rsid w:val="001C6F56"/>
    <w:rsid w:val="001D204F"/>
    <w:rsid w:val="001E0B40"/>
    <w:rsid w:val="001F2BA3"/>
    <w:rsid w:val="001F5296"/>
    <w:rsid w:val="001F73E9"/>
    <w:rsid w:val="00200DA7"/>
    <w:rsid w:val="00201A60"/>
    <w:rsid w:val="002022E7"/>
    <w:rsid w:val="00203F76"/>
    <w:rsid w:val="00204D8C"/>
    <w:rsid w:val="0020773C"/>
    <w:rsid w:val="002119FE"/>
    <w:rsid w:val="00213935"/>
    <w:rsid w:val="00215AA9"/>
    <w:rsid w:val="00215FF0"/>
    <w:rsid w:val="00222ABB"/>
    <w:rsid w:val="0022358B"/>
    <w:rsid w:val="00223602"/>
    <w:rsid w:val="00224963"/>
    <w:rsid w:val="0023165A"/>
    <w:rsid w:val="00243F40"/>
    <w:rsid w:val="00244694"/>
    <w:rsid w:val="00247B6A"/>
    <w:rsid w:val="0025070C"/>
    <w:rsid w:val="00251F9C"/>
    <w:rsid w:val="00256527"/>
    <w:rsid w:val="0025739B"/>
    <w:rsid w:val="0026676C"/>
    <w:rsid w:val="002810B7"/>
    <w:rsid w:val="00284DA6"/>
    <w:rsid w:val="00285C8E"/>
    <w:rsid w:val="002903F0"/>
    <w:rsid w:val="00292DF3"/>
    <w:rsid w:val="0029509B"/>
    <w:rsid w:val="00297E00"/>
    <w:rsid w:val="002A0E6C"/>
    <w:rsid w:val="002A48D9"/>
    <w:rsid w:val="002B0C1A"/>
    <w:rsid w:val="002B302B"/>
    <w:rsid w:val="002B6553"/>
    <w:rsid w:val="002C01AB"/>
    <w:rsid w:val="002C02F0"/>
    <w:rsid w:val="002C09E4"/>
    <w:rsid w:val="002C0B7A"/>
    <w:rsid w:val="002C65DB"/>
    <w:rsid w:val="002D01BC"/>
    <w:rsid w:val="002D252C"/>
    <w:rsid w:val="002D7889"/>
    <w:rsid w:val="002E0D04"/>
    <w:rsid w:val="002E2156"/>
    <w:rsid w:val="002E3324"/>
    <w:rsid w:val="002E4144"/>
    <w:rsid w:val="002F15D6"/>
    <w:rsid w:val="002F2A28"/>
    <w:rsid w:val="002F4EAC"/>
    <w:rsid w:val="002F7873"/>
    <w:rsid w:val="003023F8"/>
    <w:rsid w:val="003028A1"/>
    <w:rsid w:val="00302AAA"/>
    <w:rsid w:val="00303BA8"/>
    <w:rsid w:val="003045E4"/>
    <w:rsid w:val="00307758"/>
    <w:rsid w:val="00311B81"/>
    <w:rsid w:val="0031227B"/>
    <w:rsid w:val="00312803"/>
    <w:rsid w:val="00322CC7"/>
    <w:rsid w:val="00323887"/>
    <w:rsid w:val="00323A6E"/>
    <w:rsid w:val="00325946"/>
    <w:rsid w:val="0032739E"/>
    <w:rsid w:val="003317B7"/>
    <w:rsid w:val="00332B9B"/>
    <w:rsid w:val="00332D4B"/>
    <w:rsid w:val="00334F9D"/>
    <w:rsid w:val="00337CB5"/>
    <w:rsid w:val="00337E1A"/>
    <w:rsid w:val="00342C78"/>
    <w:rsid w:val="00343F50"/>
    <w:rsid w:val="00351324"/>
    <w:rsid w:val="0035446F"/>
    <w:rsid w:val="0035562C"/>
    <w:rsid w:val="00363A61"/>
    <w:rsid w:val="0036504F"/>
    <w:rsid w:val="00365E13"/>
    <w:rsid w:val="00374F43"/>
    <w:rsid w:val="00375FE4"/>
    <w:rsid w:val="00381694"/>
    <w:rsid w:val="00381D74"/>
    <w:rsid w:val="0038264A"/>
    <w:rsid w:val="00383CB7"/>
    <w:rsid w:val="003844F8"/>
    <w:rsid w:val="00384A23"/>
    <w:rsid w:val="00385250"/>
    <w:rsid w:val="00385623"/>
    <w:rsid w:val="00385B3D"/>
    <w:rsid w:val="00394924"/>
    <w:rsid w:val="003962B0"/>
    <w:rsid w:val="003A0113"/>
    <w:rsid w:val="003A0FB5"/>
    <w:rsid w:val="003A7091"/>
    <w:rsid w:val="003B1A7B"/>
    <w:rsid w:val="003B3B74"/>
    <w:rsid w:val="003B6B36"/>
    <w:rsid w:val="003B7F17"/>
    <w:rsid w:val="003C34DF"/>
    <w:rsid w:val="003C532A"/>
    <w:rsid w:val="003C6CE2"/>
    <w:rsid w:val="003D1CB2"/>
    <w:rsid w:val="003D3F19"/>
    <w:rsid w:val="003D5875"/>
    <w:rsid w:val="003D5DE8"/>
    <w:rsid w:val="003D70E2"/>
    <w:rsid w:val="003E1887"/>
    <w:rsid w:val="003E5D47"/>
    <w:rsid w:val="003E62C7"/>
    <w:rsid w:val="003F1E5D"/>
    <w:rsid w:val="003F35CB"/>
    <w:rsid w:val="003F3EE6"/>
    <w:rsid w:val="0040054B"/>
    <w:rsid w:val="004021A6"/>
    <w:rsid w:val="00404A63"/>
    <w:rsid w:val="00405FC2"/>
    <w:rsid w:val="00410C32"/>
    <w:rsid w:val="00411302"/>
    <w:rsid w:val="0041394B"/>
    <w:rsid w:val="0041449D"/>
    <w:rsid w:val="00414A05"/>
    <w:rsid w:val="00420F09"/>
    <w:rsid w:val="004218C6"/>
    <w:rsid w:val="00424F59"/>
    <w:rsid w:val="004254E6"/>
    <w:rsid w:val="0042782F"/>
    <w:rsid w:val="004316F0"/>
    <w:rsid w:val="004344BE"/>
    <w:rsid w:val="004369F4"/>
    <w:rsid w:val="00440F28"/>
    <w:rsid w:val="00446AFC"/>
    <w:rsid w:val="00450DBC"/>
    <w:rsid w:val="0045607A"/>
    <w:rsid w:val="0046034D"/>
    <w:rsid w:val="00461F3D"/>
    <w:rsid w:val="00465420"/>
    <w:rsid w:val="00465841"/>
    <w:rsid w:val="00473181"/>
    <w:rsid w:val="0047374A"/>
    <w:rsid w:val="00473C8D"/>
    <w:rsid w:val="0047619A"/>
    <w:rsid w:val="0048351B"/>
    <w:rsid w:val="00484C66"/>
    <w:rsid w:val="00487496"/>
    <w:rsid w:val="004902FB"/>
    <w:rsid w:val="004960B9"/>
    <w:rsid w:val="00497C2E"/>
    <w:rsid w:val="004A0A02"/>
    <w:rsid w:val="004A3361"/>
    <w:rsid w:val="004A66B4"/>
    <w:rsid w:val="004A74CE"/>
    <w:rsid w:val="004B0527"/>
    <w:rsid w:val="004B0D01"/>
    <w:rsid w:val="004B1F20"/>
    <w:rsid w:val="004B33A5"/>
    <w:rsid w:val="004B3AE2"/>
    <w:rsid w:val="004C1521"/>
    <w:rsid w:val="004C1DE7"/>
    <w:rsid w:val="004C26B9"/>
    <w:rsid w:val="004D0B7B"/>
    <w:rsid w:val="004D3400"/>
    <w:rsid w:val="004D5838"/>
    <w:rsid w:val="004D6FAE"/>
    <w:rsid w:val="00501798"/>
    <w:rsid w:val="0050336D"/>
    <w:rsid w:val="00503FAE"/>
    <w:rsid w:val="005105AC"/>
    <w:rsid w:val="005125FB"/>
    <w:rsid w:val="0051379F"/>
    <w:rsid w:val="00521EA6"/>
    <w:rsid w:val="005242C5"/>
    <w:rsid w:val="00526541"/>
    <w:rsid w:val="005270E6"/>
    <w:rsid w:val="0053356F"/>
    <w:rsid w:val="005425A6"/>
    <w:rsid w:val="00544531"/>
    <w:rsid w:val="005458E3"/>
    <w:rsid w:val="005569BB"/>
    <w:rsid w:val="00560BF3"/>
    <w:rsid w:val="00565AF9"/>
    <w:rsid w:val="00566C4D"/>
    <w:rsid w:val="00567FAC"/>
    <w:rsid w:val="00570E3D"/>
    <w:rsid w:val="005767DA"/>
    <w:rsid w:val="0058474D"/>
    <w:rsid w:val="00585EE9"/>
    <w:rsid w:val="005878E8"/>
    <w:rsid w:val="00591AE2"/>
    <w:rsid w:val="00594198"/>
    <w:rsid w:val="00597B07"/>
    <w:rsid w:val="005A08C9"/>
    <w:rsid w:val="005A6549"/>
    <w:rsid w:val="005B42F8"/>
    <w:rsid w:val="005B5408"/>
    <w:rsid w:val="005B7C97"/>
    <w:rsid w:val="005C01AB"/>
    <w:rsid w:val="005C5C9C"/>
    <w:rsid w:val="005D205A"/>
    <w:rsid w:val="005D316F"/>
    <w:rsid w:val="005D44C0"/>
    <w:rsid w:val="005D6A36"/>
    <w:rsid w:val="005E4573"/>
    <w:rsid w:val="005E53BC"/>
    <w:rsid w:val="005F2A78"/>
    <w:rsid w:val="005F5543"/>
    <w:rsid w:val="00600021"/>
    <w:rsid w:val="00601209"/>
    <w:rsid w:val="00602006"/>
    <w:rsid w:val="0060246F"/>
    <w:rsid w:val="00606089"/>
    <w:rsid w:val="00613923"/>
    <w:rsid w:val="00613B80"/>
    <w:rsid w:val="00620ABC"/>
    <w:rsid w:val="0062202D"/>
    <w:rsid w:val="00622843"/>
    <w:rsid w:val="00622AEE"/>
    <w:rsid w:val="00624D16"/>
    <w:rsid w:val="00627D9D"/>
    <w:rsid w:val="0063023C"/>
    <w:rsid w:val="00630AD4"/>
    <w:rsid w:val="00636FF5"/>
    <w:rsid w:val="006417AE"/>
    <w:rsid w:val="00643BF3"/>
    <w:rsid w:val="00645A53"/>
    <w:rsid w:val="006520AB"/>
    <w:rsid w:val="006527AF"/>
    <w:rsid w:val="00654158"/>
    <w:rsid w:val="00655D40"/>
    <w:rsid w:val="006629B3"/>
    <w:rsid w:val="00663DC7"/>
    <w:rsid w:val="00667E24"/>
    <w:rsid w:val="00680AA0"/>
    <w:rsid w:val="00683BB0"/>
    <w:rsid w:val="00685074"/>
    <w:rsid w:val="0068730A"/>
    <w:rsid w:val="00693A54"/>
    <w:rsid w:val="006940A8"/>
    <w:rsid w:val="00694633"/>
    <w:rsid w:val="00696409"/>
    <w:rsid w:val="006A0280"/>
    <w:rsid w:val="006A4B4C"/>
    <w:rsid w:val="006A5313"/>
    <w:rsid w:val="006A639D"/>
    <w:rsid w:val="006A66E6"/>
    <w:rsid w:val="006A7CFB"/>
    <w:rsid w:val="006B11D6"/>
    <w:rsid w:val="006B5E6A"/>
    <w:rsid w:val="006B7DF4"/>
    <w:rsid w:val="006C41A2"/>
    <w:rsid w:val="006C4CB2"/>
    <w:rsid w:val="006C56C8"/>
    <w:rsid w:val="006D0D57"/>
    <w:rsid w:val="006D2787"/>
    <w:rsid w:val="006D3AF0"/>
    <w:rsid w:val="006E0F53"/>
    <w:rsid w:val="006E4CA1"/>
    <w:rsid w:val="006E6514"/>
    <w:rsid w:val="006E718A"/>
    <w:rsid w:val="006F24E2"/>
    <w:rsid w:val="00702E17"/>
    <w:rsid w:val="00705CA5"/>
    <w:rsid w:val="00713165"/>
    <w:rsid w:val="0071563E"/>
    <w:rsid w:val="0071604D"/>
    <w:rsid w:val="00716F9B"/>
    <w:rsid w:val="00717018"/>
    <w:rsid w:val="00717391"/>
    <w:rsid w:val="00723814"/>
    <w:rsid w:val="00726EE8"/>
    <w:rsid w:val="00727419"/>
    <w:rsid w:val="00730927"/>
    <w:rsid w:val="007326F3"/>
    <w:rsid w:val="0073460D"/>
    <w:rsid w:val="00740136"/>
    <w:rsid w:val="0074339B"/>
    <w:rsid w:val="00746761"/>
    <w:rsid w:val="00752701"/>
    <w:rsid w:val="0075523B"/>
    <w:rsid w:val="00763315"/>
    <w:rsid w:val="00764503"/>
    <w:rsid w:val="00770909"/>
    <w:rsid w:val="007811FE"/>
    <w:rsid w:val="00783571"/>
    <w:rsid w:val="007855DD"/>
    <w:rsid w:val="00786355"/>
    <w:rsid w:val="007872A9"/>
    <w:rsid w:val="00787978"/>
    <w:rsid w:val="00787E5C"/>
    <w:rsid w:val="0079118D"/>
    <w:rsid w:val="007916B7"/>
    <w:rsid w:val="00792095"/>
    <w:rsid w:val="007922F9"/>
    <w:rsid w:val="00793043"/>
    <w:rsid w:val="00796396"/>
    <w:rsid w:val="007A1886"/>
    <w:rsid w:val="007A5CA5"/>
    <w:rsid w:val="007B0722"/>
    <w:rsid w:val="007B2B10"/>
    <w:rsid w:val="007B38C2"/>
    <w:rsid w:val="007B6169"/>
    <w:rsid w:val="007C128C"/>
    <w:rsid w:val="007C216D"/>
    <w:rsid w:val="007C24AB"/>
    <w:rsid w:val="007C3937"/>
    <w:rsid w:val="007C6644"/>
    <w:rsid w:val="007C70F8"/>
    <w:rsid w:val="007D0A06"/>
    <w:rsid w:val="007D17F8"/>
    <w:rsid w:val="007D23AE"/>
    <w:rsid w:val="007D45A1"/>
    <w:rsid w:val="007D5770"/>
    <w:rsid w:val="007E163D"/>
    <w:rsid w:val="007E78AA"/>
    <w:rsid w:val="007E7FE4"/>
    <w:rsid w:val="007F1550"/>
    <w:rsid w:val="007F5BFF"/>
    <w:rsid w:val="008045E5"/>
    <w:rsid w:val="00807993"/>
    <w:rsid w:val="008134DE"/>
    <w:rsid w:val="00820DAF"/>
    <w:rsid w:val="008231E2"/>
    <w:rsid w:val="008315D7"/>
    <w:rsid w:val="00831ECC"/>
    <w:rsid w:val="00832D3F"/>
    <w:rsid w:val="00840805"/>
    <w:rsid w:val="0084140D"/>
    <w:rsid w:val="008425BD"/>
    <w:rsid w:val="008445CA"/>
    <w:rsid w:val="00846CB2"/>
    <w:rsid w:val="00853D94"/>
    <w:rsid w:val="0085433C"/>
    <w:rsid w:val="0085517E"/>
    <w:rsid w:val="0085741A"/>
    <w:rsid w:val="00862B71"/>
    <w:rsid w:val="00864789"/>
    <w:rsid w:val="00867951"/>
    <w:rsid w:val="00873B54"/>
    <w:rsid w:val="00881666"/>
    <w:rsid w:val="00884C1F"/>
    <w:rsid w:val="00886166"/>
    <w:rsid w:val="008936AE"/>
    <w:rsid w:val="00893C20"/>
    <w:rsid w:val="0089533E"/>
    <w:rsid w:val="008A0E02"/>
    <w:rsid w:val="008A35A3"/>
    <w:rsid w:val="008A673A"/>
    <w:rsid w:val="008B5150"/>
    <w:rsid w:val="008B55B8"/>
    <w:rsid w:val="008B6079"/>
    <w:rsid w:val="008C42E8"/>
    <w:rsid w:val="008D2F11"/>
    <w:rsid w:val="008E4953"/>
    <w:rsid w:val="008E5645"/>
    <w:rsid w:val="008E6270"/>
    <w:rsid w:val="008E7385"/>
    <w:rsid w:val="008E7C43"/>
    <w:rsid w:val="008F1860"/>
    <w:rsid w:val="008F2DE5"/>
    <w:rsid w:val="008F5045"/>
    <w:rsid w:val="008F6AD8"/>
    <w:rsid w:val="008F7EA2"/>
    <w:rsid w:val="009001C8"/>
    <w:rsid w:val="00900C57"/>
    <w:rsid w:val="009037E4"/>
    <w:rsid w:val="0090682F"/>
    <w:rsid w:val="0090749C"/>
    <w:rsid w:val="00907AF6"/>
    <w:rsid w:val="00911ABD"/>
    <w:rsid w:val="00916825"/>
    <w:rsid w:val="00923DF9"/>
    <w:rsid w:val="00925A65"/>
    <w:rsid w:val="00925D4D"/>
    <w:rsid w:val="00927804"/>
    <w:rsid w:val="00931BAC"/>
    <w:rsid w:val="00932498"/>
    <w:rsid w:val="0093286C"/>
    <w:rsid w:val="00934130"/>
    <w:rsid w:val="00934385"/>
    <w:rsid w:val="00935655"/>
    <w:rsid w:val="00946D79"/>
    <w:rsid w:val="009538EB"/>
    <w:rsid w:val="00954C5B"/>
    <w:rsid w:val="00954CC1"/>
    <w:rsid w:val="00956651"/>
    <w:rsid w:val="0096447F"/>
    <w:rsid w:val="009649F5"/>
    <w:rsid w:val="00965143"/>
    <w:rsid w:val="00971E13"/>
    <w:rsid w:val="00972AB1"/>
    <w:rsid w:val="00972E25"/>
    <w:rsid w:val="009807F2"/>
    <w:rsid w:val="00983212"/>
    <w:rsid w:val="009840F8"/>
    <w:rsid w:val="00990023"/>
    <w:rsid w:val="009900A2"/>
    <w:rsid w:val="00991217"/>
    <w:rsid w:val="00994A9F"/>
    <w:rsid w:val="00996760"/>
    <w:rsid w:val="009A2E58"/>
    <w:rsid w:val="009A3BE0"/>
    <w:rsid w:val="009B07E0"/>
    <w:rsid w:val="009B0E19"/>
    <w:rsid w:val="009B3C8A"/>
    <w:rsid w:val="009B586D"/>
    <w:rsid w:val="009C00D6"/>
    <w:rsid w:val="009C756F"/>
    <w:rsid w:val="009C7D1C"/>
    <w:rsid w:val="009D187D"/>
    <w:rsid w:val="009D5489"/>
    <w:rsid w:val="009E1086"/>
    <w:rsid w:val="009E6FFA"/>
    <w:rsid w:val="009F0E45"/>
    <w:rsid w:val="009F25DA"/>
    <w:rsid w:val="009F4E05"/>
    <w:rsid w:val="009F589D"/>
    <w:rsid w:val="00A00C6D"/>
    <w:rsid w:val="00A018D9"/>
    <w:rsid w:val="00A07F33"/>
    <w:rsid w:val="00A12DDC"/>
    <w:rsid w:val="00A15029"/>
    <w:rsid w:val="00A1685E"/>
    <w:rsid w:val="00A20BBB"/>
    <w:rsid w:val="00A2185A"/>
    <w:rsid w:val="00A2694E"/>
    <w:rsid w:val="00A27DF6"/>
    <w:rsid w:val="00A30694"/>
    <w:rsid w:val="00A341DC"/>
    <w:rsid w:val="00A34FD4"/>
    <w:rsid w:val="00A350E6"/>
    <w:rsid w:val="00A355A1"/>
    <w:rsid w:val="00A35CDB"/>
    <w:rsid w:val="00A4291B"/>
    <w:rsid w:val="00A45402"/>
    <w:rsid w:val="00A57BBC"/>
    <w:rsid w:val="00A601F0"/>
    <w:rsid w:val="00A64982"/>
    <w:rsid w:val="00A70EF8"/>
    <w:rsid w:val="00A72281"/>
    <w:rsid w:val="00A80F7F"/>
    <w:rsid w:val="00A81BFA"/>
    <w:rsid w:val="00A84BDE"/>
    <w:rsid w:val="00A85FBA"/>
    <w:rsid w:val="00A93A6E"/>
    <w:rsid w:val="00A94285"/>
    <w:rsid w:val="00A946D2"/>
    <w:rsid w:val="00A947DF"/>
    <w:rsid w:val="00AA17B4"/>
    <w:rsid w:val="00AA1A42"/>
    <w:rsid w:val="00AA4EBA"/>
    <w:rsid w:val="00AA71C4"/>
    <w:rsid w:val="00AB192A"/>
    <w:rsid w:val="00AB395C"/>
    <w:rsid w:val="00AB3E19"/>
    <w:rsid w:val="00AB5DAE"/>
    <w:rsid w:val="00AB6E89"/>
    <w:rsid w:val="00AC017F"/>
    <w:rsid w:val="00AC6E2E"/>
    <w:rsid w:val="00AE0369"/>
    <w:rsid w:val="00AE0A5E"/>
    <w:rsid w:val="00AE4065"/>
    <w:rsid w:val="00AE4439"/>
    <w:rsid w:val="00AE44B2"/>
    <w:rsid w:val="00AE5193"/>
    <w:rsid w:val="00AF1307"/>
    <w:rsid w:val="00AF20D0"/>
    <w:rsid w:val="00AF2E6D"/>
    <w:rsid w:val="00AF45B3"/>
    <w:rsid w:val="00AF4C7B"/>
    <w:rsid w:val="00B00767"/>
    <w:rsid w:val="00B01B42"/>
    <w:rsid w:val="00B03490"/>
    <w:rsid w:val="00B15D99"/>
    <w:rsid w:val="00B17867"/>
    <w:rsid w:val="00B20AE2"/>
    <w:rsid w:val="00B211FB"/>
    <w:rsid w:val="00B21C3D"/>
    <w:rsid w:val="00B27128"/>
    <w:rsid w:val="00B274DB"/>
    <w:rsid w:val="00B27A6A"/>
    <w:rsid w:val="00B310CC"/>
    <w:rsid w:val="00B31F1B"/>
    <w:rsid w:val="00B31F1E"/>
    <w:rsid w:val="00B322EB"/>
    <w:rsid w:val="00B33F01"/>
    <w:rsid w:val="00B36F1C"/>
    <w:rsid w:val="00B41D4F"/>
    <w:rsid w:val="00B4626A"/>
    <w:rsid w:val="00B468F5"/>
    <w:rsid w:val="00B51127"/>
    <w:rsid w:val="00B51C6D"/>
    <w:rsid w:val="00B544EB"/>
    <w:rsid w:val="00B54585"/>
    <w:rsid w:val="00B550DD"/>
    <w:rsid w:val="00B55168"/>
    <w:rsid w:val="00B561E6"/>
    <w:rsid w:val="00B63600"/>
    <w:rsid w:val="00B66E85"/>
    <w:rsid w:val="00B70955"/>
    <w:rsid w:val="00B72BBC"/>
    <w:rsid w:val="00B73B77"/>
    <w:rsid w:val="00B7604B"/>
    <w:rsid w:val="00B76F87"/>
    <w:rsid w:val="00B807D9"/>
    <w:rsid w:val="00B81674"/>
    <w:rsid w:val="00B85F52"/>
    <w:rsid w:val="00B940BC"/>
    <w:rsid w:val="00B96E8B"/>
    <w:rsid w:val="00B96F32"/>
    <w:rsid w:val="00BA66CC"/>
    <w:rsid w:val="00BA6870"/>
    <w:rsid w:val="00BA7FA9"/>
    <w:rsid w:val="00BC1226"/>
    <w:rsid w:val="00BC3AF0"/>
    <w:rsid w:val="00BC46E1"/>
    <w:rsid w:val="00BE156A"/>
    <w:rsid w:val="00BE4291"/>
    <w:rsid w:val="00BF340E"/>
    <w:rsid w:val="00BF366D"/>
    <w:rsid w:val="00BF4739"/>
    <w:rsid w:val="00C0529B"/>
    <w:rsid w:val="00C05EEA"/>
    <w:rsid w:val="00C0667C"/>
    <w:rsid w:val="00C1367B"/>
    <w:rsid w:val="00C14BB6"/>
    <w:rsid w:val="00C20BBE"/>
    <w:rsid w:val="00C223DA"/>
    <w:rsid w:val="00C30873"/>
    <w:rsid w:val="00C34485"/>
    <w:rsid w:val="00C37A21"/>
    <w:rsid w:val="00C37AC1"/>
    <w:rsid w:val="00C43AB2"/>
    <w:rsid w:val="00C50B71"/>
    <w:rsid w:val="00C50E91"/>
    <w:rsid w:val="00C527F5"/>
    <w:rsid w:val="00C6023D"/>
    <w:rsid w:val="00C626DB"/>
    <w:rsid w:val="00C63A86"/>
    <w:rsid w:val="00C71B1D"/>
    <w:rsid w:val="00C72977"/>
    <w:rsid w:val="00C76AB6"/>
    <w:rsid w:val="00C771EA"/>
    <w:rsid w:val="00C77B9B"/>
    <w:rsid w:val="00C848CC"/>
    <w:rsid w:val="00C85CDA"/>
    <w:rsid w:val="00C879E7"/>
    <w:rsid w:val="00C90B9E"/>
    <w:rsid w:val="00C90F41"/>
    <w:rsid w:val="00C92224"/>
    <w:rsid w:val="00C92ADD"/>
    <w:rsid w:val="00C95FDD"/>
    <w:rsid w:val="00C96BD0"/>
    <w:rsid w:val="00CA3468"/>
    <w:rsid w:val="00CA47C1"/>
    <w:rsid w:val="00CA64E6"/>
    <w:rsid w:val="00CB19BE"/>
    <w:rsid w:val="00CB2FD2"/>
    <w:rsid w:val="00CB3F24"/>
    <w:rsid w:val="00CB5F2C"/>
    <w:rsid w:val="00CB7B3F"/>
    <w:rsid w:val="00CC2C92"/>
    <w:rsid w:val="00CE1163"/>
    <w:rsid w:val="00CE3571"/>
    <w:rsid w:val="00CF1AB1"/>
    <w:rsid w:val="00D002CF"/>
    <w:rsid w:val="00D016C2"/>
    <w:rsid w:val="00D01DEE"/>
    <w:rsid w:val="00D02095"/>
    <w:rsid w:val="00D021FB"/>
    <w:rsid w:val="00D067DD"/>
    <w:rsid w:val="00D14CE1"/>
    <w:rsid w:val="00D26AC0"/>
    <w:rsid w:val="00D30F0A"/>
    <w:rsid w:val="00D3422B"/>
    <w:rsid w:val="00D34927"/>
    <w:rsid w:val="00D34C69"/>
    <w:rsid w:val="00D35BE1"/>
    <w:rsid w:val="00D35CCA"/>
    <w:rsid w:val="00D372C4"/>
    <w:rsid w:val="00D41AF6"/>
    <w:rsid w:val="00D44E17"/>
    <w:rsid w:val="00D50F76"/>
    <w:rsid w:val="00D5381E"/>
    <w:rsid w:val="00D571BD"/>
    <w:rsid w:val="00D57DFC"/>
    <w:rsid w:val="00D7018B"/>
    <w:rsid w:val="00D7217F"/>
    <w:rsid w:val="00D77BBE"/>
    <w:rsid w:val="00D815C4"/>
    <w:rsid w:val="00D87DA2"/>
    <w:rsid w:val="00D950D2"/>
    <w:rsid w:val="00D96084"/>
    <w:rsid w:val="00D962C2"/>
    <w:rsid w:val="00D97188"/>
    <w:rsid w:val="00D976FC"/>
    <w:rsid w:val="00DA4B6A"/>
    <w:rsid w:val="00DB2A2F"/>
    <w:rsid w:val="00DC2876"/>
    <w:rsid w:val="00DC293C"/>
    <w:rsid w:val="00DC2EA0"/>
    <w:rsid w:val="00DC61EA"/>
    <w:rsid w:val="00DE1590"/>
    <w:rsid w:val="00DE233D"/>
    <w:rsid w:val="00DE2DB3"/>
    <w:rsid w:val="00DE3CDB"/>
    <w:rsid w:val="00DF0E65"/>
    <w:rsid w:val="00DF126A"/>
    <w:rsid w:val="00DF7785"/>
    <w:rsid w:val="00E0061D"/>
    <w:rsid w:val="00E05A73"/>
    <w:rsid w:val="00E05BDD"/>
    <w:rsid w:val="00E067BD"/>
    <w:rsid w:val="00E07E37"/>
    <w:rsid w:val="00E17D65"/>
    <w:rsid w:val="00E2583E"/>
    <w:rsid w:val="00E34FAC"/>
    <w:rsid w:val="00E35133"/>
    <w:rsid w:val="00E37C5D"/>
    <w:rsid w:val="00E42395"/>
    <w:rsid w:val="00E54694"/>
    <w:rsid w:val="00E54AD5"/>
    <w:rsid w:val="00E54E28"/>
    <w:rsid w:val="00E55074"/>
    <w:rsid w:val="00E56FA1"/>
    <w:rsid w:val="00E71049"/>
    <w:rsid w:val="00E72F6A"/>
    <w:rsid w:val="00E754EB"/>
    <w:rsid w:val="00E76685"/>
    <w:rsid w:val="00E77F00"/>
    <w:rsid w:val="00E822E0"/>
    <w:rsid w:val="00E86094"/>
    <w:rsid w:val="00E9032F"/>
    <w:rsid w:val="00EA63B5"/>
    <w:rsid w:val="00EA684F"/>
    <w:rsid w:val="00EA7773"/>
    <w:rsid w:val="00EB0E10"/>
    <w:rsid w:val="00EB14D6"/>
    <w:rsid w:val="00EB46BA"/>
    <w:rsid w:val="00EB6864"/>
    <w:rsid w:val="00EC610A"/>
    <w:rsid w:val="00ED00F7"/>
    <w:rsid w:val="00ED3A3F"/>
    <w:rsid w:val="00ED5C56"/>
    <w:rsid w:val="00ED74BD"/>
    <w:rsid w:val="00EE0A92"/>
    <w:rsid w:val="00EE3327"/>
    <w:rsid w:val="00EF0E1A"/>
    <w:rsid w:val="00EF26FE"/>
    <w:rsid w:val="00EF297A"/>
    <w:rsid w:val="00EF357F"/>
    <w:rsid w:val="00EF6CAC"/>
    <w:rsid w:val="00F005E2"/>
    <w:rsid w:val="00F00816"/>
    <w:rsid w:val="00F02D26"/>
    <w:rsid w:val="00F03107"/>
    <w:rsid w:val="00F049D3"/>
    <w:rsid w:val="00F061E1"/>
    <w:rsid w:val="00F11C7E"/>
    <w:rsid w:val="00F14211"/>
    <w:rsid w:val="00F14EDE"/>
    <w:rsid w:val="00F20B78"/>
    <w:rsid w:val="00F25CC6"/>
    <w:rsid w:val="00F2670C"/>
    <w:rsid w:val="00F34468"/>
    <w:rsid w:val="00F35C49"/>
    <w:rsid w:val="00F40F3A"/>
    <w:rsid w:val="00F445FD"/>
    <w:rsid w:val="00F47F06"/>
    <w:rsid w:val="00F505F5"/>
    <w:rsid w:val="00F5480D"/>
    <w:rsid w:val="00F553F0"/>
    <w:rsid w:val="00F5692C"/>
    <w:rsid w:val="00F6117F"/>
    <w:rsid w:val="00F70955"/>
    <w:rsid w:val="00F70D71"/>
    <w:rsid w:val="00F74693"/>
    <w:rsid w:val="00F7535E"/>
    <w:rsid w:val="00F774C4"/>
    <w:rsid w:val="00F808B8"/>
    <w:rsid w:val="00F84226"/>
    <w:rsid w:val="00FA0B62"/>
    <w:rsid w:val="00FA1981"/>
    <w:rsid w:val="00FA77AA"/>
    <w:rsid w:val="00FB3E87"/>
    <w:rsid w:val="00FC3C56"/>
    <w:rsid w:val="00FC5CD6"/>
    <w:rsid w:val="00FC68CF"/>
    <w:rsid w:val="00FC7368"/>
    <w:rsid w:val="00FC7AE1"/>
    <w:rsid w:val="00FD0140"/>
    <w:rsid w:val="00FD223B"/>
    <w:rsid w:val="00FE00F0"/>
    <w:rsid w:val="00FE14A4"/>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E075F"/>
  <w15:docId w15:val="{667FF2F4-8555-4E4B-A6C4-6703BB4B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styleId="HTMLPreformatted">
    <w:name w:val="HTML Preformatted"/>
    <w:basedOn w:val="Normal"/>
    <w:link w:val="HTMLPreformattedChar"/>
    <w:uiPriority w:val="99"/>
    <w:semiHidden/>
    <w:unhideWhenUsed/>
    <w:rsid w:val="00C5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C50B71"/>
    <w:rPr>
      <w:rFonts w:ascii="Courier New" w:eastAsia="Times New Roman" w:hAnsi="Courier New" w:cs="Courier New"/>
      <w:lang w:val="en-US"/>
    </w:rPr>
  </w:style>
  <w:style w:type="character" w:customStyle="1" w:styleId="y2iqfc">
    <w:name w:val="y2iqfc"/>
    <w:basedOn w:val="DefaultParagraphFont"/>
    <w:rsid w:val="00C50B71"/>
  </w:style>
  <w:style w:type="character" w:styleId="UnresolvedMention">
    <w:name w:val="Unresolved Mention"/>
    <w:basedOn w:val="DefaultParagraphFont"/>
    <w:uiPriority w:val="99"/>
    <w:semiHidden/>
    <w:unhideWhenUsed/>
    <w:rsid w:val="002C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0539">
      <w:bodyDiv w:val="1"/>
      <w:marLeft w:val="0"/>
      <w:marRight w:val="0"/>
      <w:marTop w:val="0"/>
      <w:marBottom w:val="0"/>
      <w:divBdr>
        <w:top w:val="none" w:sz="0" w:space="0" w:color="auto"/>
        <w:left w:val="none" w:sz="0" w:space="0" w:color="auto"/>
        <w:bottom w:val="none" w:sz="0" w:space="0" w:color="auto"/>
        <w:right w:val="none" w:sz="0" w:space="0" w:color="auto"/>
      </w:divBdr>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49903">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06123876">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20018571">
      <w:bodyDiv w:val="1"/>
      <w:marLeft w:val="0"/>
      <w:marRight w:val="0"/>
      <w:marTop w:val="0"/>
      <w:marBottom w:val="0"/>
      <w:divBdr>
        <w:top w:val="none" w:sz="0" w:space="0" w:color="auto"/>
        <w:left w:val="none" w:sz="0" w:space="0" w:color="auto"/>
        <w:bottom w:val="none" w:sz="0" w:space="0" w:color="auto"/>
        <w:right w:val="none" w:sz="0" w:space="0" w:color="auto"/>
      </w:divBdr>
    </w:div>
    <w:div w:id="1292173725">
      <w:bodyDiv w:val="1"/>
      <w:marLeft w:val="0"/>
      <w:marRight w:val="0"/>
      <w:marTop w:val="0"/>
      <w:marBottom w:val="0"/>
      <w:divBdr>
        <w:top w:val="none" w:sz="0" w:space="0" w:color="auto"/>
        <w:left w:val="none" w:sz="0" w:space="0" w:color="auto"/>
        <w:bottom w:val="none" w:sz="0" w:space="0" w:color="auto"/>
        <w:right w:val="none" w:sz="0" w:space="0" w:color="auto"/>
      </w:divBdr>
      <w:divsChild>
        <w:div w:id="624776143">
          <w:marLeft w:val="0"/>
          <w:marRight w:val="0"/>
          <w:marTop w:val="0"/>
          <w:marBottom w:val="0"/>
          <w:divBdr>
            <w:top w:val="none" w:sz="0" w:space="0" w:color="auto"/>
            <w:left w:val="none" w:sz="0" w:space="0" w:color="auto"/>
            <w:bottom w:val="none" w:sz="0" w:space="0" w:color="auto"/>
            <w:right w:val="none" w:sz="0" w:space="0" w:color="auto"/>
          </w:divBdr>
        </w:div>
        <w:div w:id="1194533467">
          <w:marLeft w:val="0"/>
          <w:marRight w:val="0"/>
          <w:marTop w:val="0"/>
          <w:marBottom w:val="0"/>
          <w:divBdr>
            <w:top w:val="none" w:sz="0" w:space="0" w:color="auto"/>
            <w:left w:val="none" w:sz="0" w:space="0" w:color="auto"/>
            <w:bottom w:val="none" w:sz="0" w:space="0" w:color="auto"/>
            <w:right w:val="none" w:sz="0" w:space="0" w:color="auto"/>
          </w:divBdr>
        </w:div>
        <w:div w:id="150953105">
          <w:marLeft w:val="0"/>
          <w:marRight w:val="0"/>
          <w:marTop w:val="0"/>
          <w:marBottom w:val="0"/>
          <w:divBdr>
            <w:top w:val="none" w:sz="0" w:space="0" w:color="auto"/>
            <w:left w:val="none" w:sz="0" w:space="0" w:color="auto"/>
            <w:bottom w:val="none" w:sz="0" w:space="0" w:color="auto"/>
            <w:right w:val="none" w:sz="0" w:space="0" w:color="auto"/>
          </w:divBdr>
        </w:div>
      </w:divsChild>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5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rossmark.crossref.org/dialog/?doi=10.47268/sasi.v26i3.247&amp;domain=pdf" TargetMode="External"/><Relationship Id="rId17" Type="http://schemas.openxmlformats.org/officeDocument/2006/relationships/hyperlink" Target="https://creativecommons.org/licenses/by/4.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47268/sasi.v30i1.XXXX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x.doi.org/10.47268/sasi.v30i1.XXXXX" TargetMode="External"/><Relationship Id="rId23" Type="http://schemas.openxmlformats.org/officeDocument/2006/relationships/header" Target="header3.xml"/><Relationship Id="rId10" Type="http://schemas.openxmlformats.org/officeDocument/2006/relationships/hyperlink" Target="https://fhukum.unpatti.ac.id/jurnal/sas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awaslu.go.id/id/berita/registrasi-1023-temuan-dan-laporan-bawaslu-temukan-479-dugaan-pelanggaran-pemilu-2024"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E0CA28CA-2883-44E0-ACCE-2A7A24E4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C:\Users\Muchtar\Downloads\[HALREV] TEMPLATE 2021.dotx</Template>
  <TotalTime>1281</TotalTime>
  <Pages>15</Pages>
  <Words>6065</Words>
  <Characters>34572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40556</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Safrin Salam</cp:lastModifiedBy>
  <cp:revision>76</cp:revision>
  <cp:lastPrinted>2024-01-08T16:00:00Z</cp:lastPrinted>
  <dcterms:created xsi:type="dcterms:W3CDTF">2023-05-06T05:24:00Z</dcterms:created>
  <dcterms:modified xsi:type="dcterms:W3CDTF">2025-05-09T16:40:00Z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