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B737D" w14:textId="77777777" w:rsidR="00CD641B" w:rsidRDefault="008343F8" w:rsidP="008343F8">
      <w:pPr>
        <w:spacing w:line="240" w:lineRule="auto"/>
        <w:jc w:val="center"/>
        <w:rPr>
          <w:rFonts w:ascii="Book Antiqua" w:eastAsia="Times New Roman" w:hAnsi="Book Antiqua" w:cs="Times New Roman"/>
          <w:b/>
          <w:sz w:val="32"/>
          <w:szCs w:val="24"/>
        </w:rPr>
      </w:pPr>
      <w:bookmarkStart w:id="0" w:name="_GoBack"/>
      <w:r w:rsidRPr="008343F8">
        <w:rPr>
          <w:rFonts w:ascii="Book Antiqua" w:eastAsia="Times New Roman" w:hAnsi="Book Antiqua" w:cs="Times New Roman"/>
          <w:b/>
          <w:sz w:val="32"/>
          <w:szCs w:val="24"/>
        </w:rPr>
        <w:t xml:space="preserve">Customary Law as an Instrument </w:t>
      </w:r>
      <w:proofErr w:type="gramStart"/>
      <w:r w:rsidRPr="008343F8">
        <w:rPr>
          <w:rFonts w:ascii="Book Antiqua" w:eastAsia="Times New Roman" w:hAnsi="Book Antiqua" w:cs="Times New Roman"/>
          <w:b/>
          <w:sz w:val="32"/>
          <w:szCs w:val="24"/>
        </w:rPr>
        <w:t>For</w:t>
      </w:r>
      <w:proofErr w:type="gramEnd"/>
      <w:r w:rsidRPr="008343F8">
        <w:rPr>
          <w:rFonts w:ascii="Book Antiqua" w:eastAsia="Times New Roman" w:hAnsi="Book Antiqua" w:cs="Times New Roman"/>
          <w:b/>
          <w:sz w:val="32"/>
          <w:szCs w:val="24"/>
        </w:rPr>
        <w:t xml:space="preserve"> Equitable Spatial Planning: Efforts to Prevent Social Bankruptcy </w:t>
      </w:r>
      <w:bookmarkEnd w:id="0"/>
      <w:r w:rsidR="00CD641B" w:rsidRPr="008343F8">
        <w:rPr>
          <w:rFonts w:ascii="Book Antiqua" w:eastAsia="Times New Roman" w:hAnsi="Book Antiqua" w:cs="Times New Roman"/>
          <w:b/>
          <w:sz w:val="32"/>
          <w:szCs w:val="24"/>
        </w:rPr>
        <w:t xml:space="preserve">and </w:t>
      </w:r>
      <w:r w:rsidRPr="008343F8">
        <w:rPr>
          <w:rFonts w:ascii="Book Antiqua" w:eastAsia="Times New Roman" w:hAnsi="Book Antiqua" w:cs="Times New Roman"/>
          <w:b/>
          <w:sz w:val="32"/>
          <w:szCs w:val="24"/>
        </w:rPr>
        <w:t xml:space="preserve">Promote </w:t>
      </w:r>
    </w:p>
    <w:p w14:paraId="130A6BC3" w14:textId="77777777" w:rsidR="008C661B" w:rsidRPr="008343F8" w:rsidRDefault="008343F8" w:rsidP="008343F8">
      <w:pPr>
        <w:spacing w:line="240" w:lineRule="auto"/>
        <w:jc w:val="center"/>
        <w:rPr>
          <w:rFonts w:ascii="Book Antiqua" w:eastAsia="Times New Roman" w:hAnsi="Book Antiqua" w:cs="Times New Roman"/>
          <w:b/>
          <w:sz w:val="32"/>
          <w:szCs w:val="24"/>
        </w:rPr>
      </w:pPr>
      <w:r w:rsidRPr="008343F8">
        <w:rPr>
          <w:rFonts w:ascii="Book Antiqua" w:eastAsia="Times New Roman" w:hAnsi="Book Antiqua" w:cs="Times New Roman"/>
          <w:b/>
          <w:sz w:val="32"/>
          <w:szCs w:val="24"/>
        </w:rPr>
        <w:t>Community Welfare</w:t>
      </w:r>
    </w:p>
    <w:p w14:paraId="11D4DA28" w14:textId="77777777" w:rsidR="00D55EF3" w:rsidRPr="008343F8" w:rsidRDefault="00D55EF3" w:rsidP="008C661B">
      <w:pPr>
        <w:spacing w:line="240" w:lineRule="auto"/>
        <w:rPr>
          <w:rFonts w:ascii="Book Antiqua" w:eastAsia="Times New Roman" w:hAnsi="Book Antiqua" w:cs="Times New Roman"/>
          <w:szCs w:val="24"/>
        </w:rPr>
      </w:pPr>
    </w:p>
    <w:p w14:paraId="2DC1DA7E" w14:textId="77777777" w:rsidR="00C94DD5" w:rsidRPr="00FD79DD" w:rsidRDefault="00C94DD5" w:rsidP="00C94DD5">
      <w:pPr>
        <w:spacing w:after="120" w:line="240" w:lineRule="auto"/>
        <w:rPr>
          <w:rFonts w:ascii="Book Antiqua" w:hAnsi="Book Antiqua"/>
          <w:b/>
          <w:bCs/>
          <w:szCs w:val="24"/>
        </w:rPr>
      </w:pPr>
      <w:r w:rsidRPr="00045B06">
        <w:rPr>
          <w:rFonts w:ascii="Book Antiqua" w:hAnsi="Book Antiqua"/>
          <w:b/>
          <w:bCs/>
          <w:szCs w:val="24"/>
        </w:rPr>
        <w:t>Muhammad Ali</w:t>
      </w:r>
      <w:r w:rsidRPr="00FD79DD">
        <w:rPr>
          <w:rFonts w:ascii="Book Antiqua" w:hAnsi="Book Antiqua"/>
          <w:b/>
          <w:bCs/>
          <w:szCs w:val="24"/>
          <w:vertAlign w:val="superscript"/>
        </w:rPr>
        <w:t>1</w:t>
      </w:r>
      <w:r w:rsidRPr="00FD79DD">
        <w:rPr>
          <w:rFonts w:ascii="Book Antiqua" w:hAnsi="Book Antiqua"/>
          <w:b/>
          <w:bCs/>
          <w:szCs w:val="24"/>
        </w:rPr>
        <w:t xml:space="preserve">, </w:t>
      </w:r>
      <w:proofErr w:type="spellStart"/>
      <w:r w:rsidRPr="00FD79DD">
        <w:rPr>
          <w:rFonts w:ascii="Book Antiqua" w:hAnsi="Book Antiqua"/>
          <w:b/>
          <w:bCs/>
          <w:szCs w:val="24"/>
        </w:rPr>
        <w:t>Atika</w:t>
      </w:r>
      <w:proofErr w:type="spellEnd"/>
      <w:r w:rsidRPr="00FD79DD">
        <w:rPr>
          <w:rFonts w:ascii="Book Antiqua" w:hAnsi="Book Antiqua"/>
          <w:b/>
          <w:bCs/>
          <w:szCs w:val="24"/>
        </w:rPr>
        <w:t xml:space="preserve"> Sunarto</w:t>
      </w:r>
      <w:r w:rsidRPr="00FD79DD">
        <w:rPr>
          <w:rFonts w:ascii="Book Antiqua" w:hAnsi="Book Antiqua"/>
          <w:b/>
          <w:bCs/>
          <w:szCs w:val="24"/>
          <w:vertAlign w:val="superscript"/>
        </w:rPr>
        <w:t>2</w:t>
      </w:r>
      <w:r w:rsidRPr="00FD79DD">
        <w:rPr>
          <w:rFonts w:ascii="Book Antiqua" w:hAnsi="Book Antiqua"/>
          <w:b/>
          <w:bCs/>
          <w:szCs w:val="24"/>
        </w:rPr>
        <w:t xml:space="preserve">, </w:t>
      </w:r>
      <w:proofErr w:type="spellStart"/>
      <w:r w:rsidRPr="00FD79DD">
        <w:rPr>
          <w:rFonts w:ascii="Book Antiqua" w:hAnsi="Book Antiqua"/>
          <w:b/>
          <w:bCs/>
          <w:szCs w:val="24"/>
        </w:rPr>
        <w:t>Azizan</w:t>
      </w:r>
      <w:proofErr w:type="spellEnd"/>
      <w:r w:rsidRPr="00FD79DD">
        <w:rPr>
          <w:rFonts w:ascii="Book Antiqua" w:hAnsi="Book Antiqua"/>
          <w:b/>
          <w:bCs/>
          <w:szCs w:val="24"/>
        </w:rPr>
        <w:t xml:space="preserve"> Khair</w:t>
      </w:r>
      <w:r w:rsidRPr="00FD79DD">
        <w:rPr>
          <w:rFonts w:ascii="Book Antiqua" w:hAnsi="Book Antiqua"/>
          <w:b/>
          <w:bCs/>
          <w:szCs w:val="24"/>
          <w:vertAlign w:val="superscript"/>
        </w:rPr>
        <w:t>3</w:t>
      </w:r>
    </w:p>
    <w:p w14:paraId="00E7E2D4" w14:textId="77777777" w:rsidR="00C94DD5" w:rsidRDefault="00C94DD5" w:rsidP="00C94DD5">
      <w:pPr>
        <w:spacing w:line="240" w:lineRule="auto"/>
        <w:rPr>
          <w:rFonts w:ascii="Book Antiqua" w:hAnsi="Book Antiqua"/>
          <w:bCs/>
          <w:szCs w:val="24"/>
        </w:rPr>
      </w:pPr>
      <w:r w:rsidRPr="00045B06">
        <w:rPr>
          <w:rFonts w:ascii="Book Antiqua" w:hAnsi="Book Antiqua"/>
          <w:bCs/>
          <w:szCs w:val="24"/>
          <w:vertAlign w:val="superscript"/>
        </w:rPr>
        <w:t xml:space="preserve">1,2, </w:t>
      </w:r>
      <w:r w:rsidRPr="00045B06">
        <w:rPr>
          <w:rFonts w:ascii="Book Antiqua" w:hAnsi="Book Antiqua"/>
          <w:bCs/>
          <w:szCs w:val="24"/>
        </w:rPr>
        <w:t xml:space="preserve">Faculty of Law, </w:t>
      </w:r>
      <w:proofErr w:type="spellStart"/>
      <w:r w:rsidRPr="00045B06">
        <w:rPr>
          <w:rFonts w:ascii="Book Antiqua" w:hAnsi="Book Antiqua"/>
          <w:bCs/>
          <w:szCs w:val="24"/>
        </w:rPr>
        <w:t>Universitas</w:t>
      </w:r>
      <w:proofErr w:type="spellEnd"/>
      <w:r w:rsidRPr="00045B06">
        <w:rPr>
          <w:rFonts w:ascii="Book Antiqua" w:hAnsi="Book Antiqua"/>
          <w:bCs/>
          <w:szCs w:val="24"/>
        </w:rPr>
        <w:t xml:space="preserve"> Prima Indonesia</w:t>
      </w:r>
      <w:r w:rsidRPr="00045B06">
        <w:rPr>
          <w:rFonts w:ascii="Book Antiqua" w:hAnsi="Book Antiqua"/>
          <w:bCs/>
          <w:szCs w:val="24"/>
          <w:lang w:val="id-ID"/>
        </w:rPr>
        <w:t>,</w:t>
      </w:r>
      <w:r w:rsidRPr="00045B06">
        <w:rPr>
          <w:rFonts w:ascii="Book Antiqua" w:hAnsi="Book Antiqua"/>
          <w:bCs/>
          <w:szCs w:val="24"/>
        </w:rPr>
        <w:t xml:space="preserve"> Medan, Indonesia.</w:t>
      </w:r>
    </w:p>
    <w:p w14:paraId="5AF58454" w14:textId="77777777" w:rsidR="00C94DD5" w:rsidRDefault="00C94DD5" w:rsidP="00C94DD5">
      <w:pPr>
        <w:spacing w:line="240" w:lineRule="auto"/>
        <w:rPr>
          <w:rFonts w:ascii="Book Antiqua" w:hAnsi="Book Antiqua"/>
          <w:bCs/>
          <w:szCs w:val="24"/>
        </w:rPr>
      </w:pPr>
      <w:r w:rsidRPr="00173B08">
        <w:rPr>
          <w:rFonts w:ascii="Book Antiqua" w:hAnsi="Book Antiqua"/>
          <w:bCs/>
          <w:szCs w:val="24"/>
          <w:vertAlign w:val="superscript"/>
        </w:rPr>
        <w:t>3,</w:t>
      </w:r>
      <w:r>
        <w:rPr>
          <w:rFonts w:ascii="Book Antiqua" w:hAnsi="Book Antiqua"/>
          <w:bCs/>
          <w:szCs w:val="24"/>
        </w:rPr>
        <w:t xml:space="preserve"> </w:t>
      </w:r>
      <w:r w:rsidRPr="00045B06">
        <w:rPr>
          <w:rFonts w:ascii="Book Antiqua" w:hAnsi="Book Antiqua"/>
          <w:bCs/>
          <w:szCs w:val="24"/>
        </w:rPr>
        <w:t xml:space="preserve">Faculty of Law, </w:t>
      </w:r>
      <w:proofErr w:type="spellStart"/>
      <w:r w:rsidRPr="00045B06">
        <w:rPr>
          <w:rFonts w:ascii="Book Antiqua" w:hAnsi="Book Antiqua"/>
          <w:bCs/>
          <w:szCs w:val="24"/>
        </w:rPr>
        <w:t>Universitas</w:t>
      </w:r>
      <w:proofErr w:type="spellEnd"/>
      <w:r w:rsidRPr="00045B06">
        <w:rPr>
          <w:rFonts w:ascii="Book Antiqua" w:hAnsi="Book Antiqua"/>
          <w:bCs/>
          <w:szCs w:val="24"/>
        </w:rPr>
        <w:t xml:space="preserve"> </w:t>
      </w:r>
      <w:r>
        <w:rPr>
          <w:rFonts w:ascii="Book Antiqua" w:hAnsi="Book Antiqua"/>
          <w:bCs/>
          <w:szCs w:val="24"/>
        </w:rPr>
        <w:t>Sumatera Utara</w:t>
      </w:r>
      <w:r w:rsidRPr="00045B06">
        <w:rPr>
          <w:rFonts w:ascii="Book Antiqua" w:hAnsi="Book Antiqua"/>
          <w:bCs/>
          <w:szCs w:val="24"/>
          <w:lang w:val="id-ID"/>
        </w:rPr>
        <w:t>,</w:t>
      </w:r>
      <w:r w:rsidRPr="00045B06">
        <w:rPr>
          <w:rFonts w:ascii="Book Antiqua" w:hAnsi="Book Antiqua"/>
          <w:bCs/>
          <w:szCs w:val="24"/>
        </w:rPr>
        <w:t xml:space="preserve"> Medan, Indonesia.</w:t>
      </w:r>
    </w:p>
    <w:p w14:paraId="17E275E4" w14:textId="77777777" w:rsidR="00C94DD5" w:rsidRPr="00973EF7" w:rsidRDefault="00C94DD5" w:rsidP="00C94DD5">
      <w:pPr>
        <w:spacing w:line="240" w:lineRule="auto"/>
        <w:rPr>
          <w:rFonts w:ascii="Book Antiqua" w:hAnsi="Book Antiqua"/>
          <w:bCs/>
          <w:sz w:val="14"/>
          <w:szCs w:val="14"/>
        </w:rPr>
      </w:pPr>
    </w:p>
    <w:p w14:paraId="65D175EE" w14:textId="77777777" w:rsidR="00C94DD5" w:rsidRPr="00045B06" w:rsidRDefault="00C94DD5" w:rsidP="00C94DD5">
      <w:pPr>
        <w:spacing w:line="240" w:lineRule="auto"/>
        <w:rPr>
          <w:rStyle w:val="Hyperlink"/>
          <w:rFonts w:ascii="Book Antiqua" w:hAnsi="Book Antiqua"/>
          <w:bCs/>
          <w:color w:val="000000" w:themeColor="text1"/>
          <w:szCs w:val="24"/>
        </w:rPr>
      </w:pPr>
      <w:r w:rsidRPr="00045B06">
        <w:rPr>
          <w:rFonts w:ascii="Book Antiqua" w:hAnsi="Book Antiqua"/>
          <w:bCs/>
          <w:i/>
          <w:iCs/>
          <w:noProof/>
          <w:color w:val="000000" w:themeColor="text1"/>
        </w:rPr>
        <w:drawing>
          <wp:anchor distT="0" distB="0" distL="114300" distR="114300" simplePos="0" relativeHeight="251662336" behindDoc="1" locked="0" layoutInCell="1" allowOverlap="1" wp14:anchorId="17A63C9A" wp14:editId="5F6F9285">
            <wp:simplePos x="0" y="0"/>
            <wp:positionH relativeFrom="margin">
              <wp:posOffset>5818505</wp:posOffset>
            </wp:positionH>
            <wp:positionV relativeFrom="paragraph">
              <wp:posOffset>13970</wp:posOffset>
            </wp:positionV>
            <wp:extent cx="324000" cy="338727"/>
            <wp:effectExtent l="0" t="0" r="0" b="4445"/>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Pr="00045B06">
        <w:rPr>
          <w:rFonts w:ascii="Book Antiqua" w:hAnsi="Book Antiqua"/>
          <w:bCs/>
          <w:szCs w:val="24"/>
        </w:rPr>
        <w:t xml:space="preserve"> </w:t>
      </w:r>
      <w:r w:rsidRPr="00045B06">
        <w:rPr>
          <w:rFonts w:ascii="Book Antiqua" w:hAnsi="Book Antiqua"/>
          <w:bCs/>
          <w:i/>
          <w:iCs/>
          <w:noProof/>
          <w:color w:val="000000" w:themeColor="text1"/>
        </w:rPr>
        <w:drawing>
          <wp:anchor distT="0" distB="0" distL="114300" distR="114300" simplePos="0" relativeHeight="251663360" behindDoc="0" locked="0" layoutInCell="1" allowOverlap="1" wp14:anchorId="5654E975" wp14:editId="128D11FC">
            <wp:simplePos x="0" y="0"/>
            <wp:positionH relativeFrom="column">
              <wp:posOffset>0</wp:posOffset>
            </wp:positionH>
            <wp:positionV relativeFrom="paragraph">
              <wp:posOffset>0</wp:posOffset>
            </wp:positionV>
            <wp:extent cx="208169" cy="144000"/>
            <wp:effectExtent l="0" t="0" r="1905" b="8890"/>
            <wp:wrapNone/>
            <wp:docPr id="5" name="Picture 5"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B06">
        <w:rPr>
          <w:rFonts w:ascii="Book Antiqua" w:hAnsi="Book Antiqua"/>
          <w:bCs/>
          <w:szCs w:val="24"/>
        </w:rPr>
        <w:t xml:space="preserve">       :</w:t>
      </w:r>
      <w:r w:rsidRPr="00045B06">
        <w:rPr>
          <w:rFonts w:ascii="Book Antiqua" w:hAnsi="Book Antiqua"/>
          <w:bCs/>
          <w:szCs w:val="24"/>
          <w:vertAlign w:val="superscript"/>
        </w:rPr>
        <w:t xml:space="preserve"> </w:t>
      </w:r>
      <w:r w:rsidRPr="00045B06">
        <w:rPr>
          <w:rStyle w:val="Hyperlink"/>
          <w:rFonts w:ascii="Book Antiqua" w:hAnsi="Book Antiqua"/>
          <w:color w:val="000000" w:themeColor="text1"/>
        </w:rPr>
        <w:t>muhammadali@gmail.com</w:t>
      </w:r>
    </w:p>
    <w:p w14:paraId="2FA61DF4" w14:textId="77777777" w:rsidR="00C94DD5" w:rsidRPr="00045B06" w:rsidRDefault="00C94DD5" w:rsidP="00C94DD5">
      <w:pPr>
        <w:pStyle w:val="FootnoteText"/>
        <w:jc w:val="both"/>
        <w:rPr>
          <w:rFonts w:ascii="Book Antiqua" w:hAnsi="Book Antiqua"/>
          <w:bCs/>
          <w:sz w:val="24"/>
          <w:szCs w:val="24"/>
        </w:rPr>
      </w:pPr>
      <w:r w:rsidRPr="00045B06">
        <w:rPr>
          <w:rFonts w:ascii="Book Antiqua" w:hAnsi="Book Antiqua"/>
          <w:bCs/>
          <w:sz w:val="24"/>
          <w:szCs w:val="24"/>
        </w:rPr>
        <w:t>Corresponding Author</w:t>
      </w:r>
    </w:p>
    <w:p w14:paraId="12D7E219" w14:textId="77777777" w:rsidR="008343F8" w:rsidRPr="00045B06" w:rsidRDefault="008343F8" w:rsidP="008343F8">
      <w:pPr>
        <w:pStyle w:val="FootnoteText"/>
        <w:jc w:val="both"/>
        <w:rPr>
          <w:rFonts w:ascii="Book Antiqua" w:hAnsi="Book Antiqua"/>
          <w:bCs/>
          <w:sz w:val="24"/>
          <w:szCs w:val="24"/>
        </w:rPr>
      </w:pPr>
    </w:p>
    <w:tbl>
      <w:tblPr>
        <w:tblStyle w:val="TableGrid"/>
        <w:tblW w:w="9639" w:type="dxa"/>
        <w:tblInd w:w="108" w:type="dxa"/>
        <w:tblLayout w:type="fixed"/>
        <w:tblLook w:val="04A0" w:firstRow="1" w:lastRow="0" w:firstColumn="1" w:lastColumn="0" w:noHBand="0" w:noVBand="1"/>
      </w:tblPr>
      <w:tblGrid>
        <w:gridCol w:w="9639"/>
      </w:tblGrid>
      <w:tr w:rsidR="008343F8" w:rsidRPr="003E2BEB" w14:paraId="301990D1" w14:textId="77777777" w:rsidTr="00A43BE4">
        <w:tc>
          <w:tcPr>
            <w:tcW w:w="9639" w:type="dxa"/>
            <w:tcBorders>
              <w:top w:val="single" w:sz="4" w:space="0" w:color="auto"/>
              <w:left w:val="nil"/>
              <w:bottom w:val="nil"/>
              <w:right w:val="nil"/>
            </w:tcBorders>
            <w:shd w:val="clear" w:color="auto" w:fill="DBE5F1" w:themeFill="accent1" w:themeFillTint="33"/>
            <w:vAlign w:val="center"/>
          </w:tcPr>
          <w:p w14:paraId="7F09A55B" w14:textId="77777777" w:rsidR="008343F8" w:rsidRPr="003E2BEB" w:rsidRDefault="008343F8" w:rsidP="003E2BEB">
            <w:pPr>
              <w:jc w:val="center"/>
              <w:rPr>
                <w:rFonts w:ascii="Book Antiqua" w:hAnsi="Book Antiqua"/>
                <w:b/>
                <w:bCs/>
                <w:i/>
                <w:iCs/>
                <w:color w:val="000000"/>
                <w:szCs w:val="24"/>
                <w:lang w:val="id-ID"/>
              </w:rPr>
            </w:pPr>
            <w:r w:rsidRPr="003E2BEB">
              <w:rPr>
                <w:rFonts w:ascii="Book Antiqua" w:hAnsi="Book Antiqua"/>
                <w:b/>
                <w:bCs/>
                <w:i/>
                <w:iCs/>
                <w:color w:val="000000"/>
                <w:szCs w:val="24"/>
                <w:lang w:val="id-ID"/>
              </w:rPr>
              <w:t>Abstract</w:t>
            </w:r>
          </w:p>
        </w:tc>
      </w:tr>
      <w:tr w:rsidR="008343F8" w:rsidRPr="003E2BEB" w14:paraId="681D6552" w14:textId="77777777" w:rsidTr="00A43BE4">
        <w:tc>
          <w:tcPr>
            <w:tcW w:w="9639" w:type="dxa"/>
            <w:tcBorders>
              <w:top w:val="nil"/>
              <w:left w:val="nil"/>
              <w:bottom w:val="single" w:sz="4" w:space="0" w:color="auto"/>
              <w:right w:val="nil"/>
            </w:tcBorders>
            <w:shd w:val="clear" w:color="auto" w:fill="auto"/>
            <w:vAlign w:val="center"/>
          </w:tcPr>
          <w:p w14:paraId="5FD56609" w14:textId="77777777" w:rsidR="008343F8" w:rsidRPr="003E2BEB" w:rsidRDefault="008343F8" w:rsidP="003E2BEB">
            <w:pPr>
              <w:pStyle w:val="NormalWeb"/>
              <w:spacing w:before="0" w:beforeAutospacing="0" w:after="0" w:afterAutospacing="0"/>
              <w:ind w:left="-108" w:right="-108"/>
              <w:jc w:val="both"/>
              <w:rPr>
                <w:rFonts w:ascii="Book Antiqua" w:hAnsi="Book Antiqua"/>
                <w:i/>
              </w:rPr>
            </w:pPr>
            <w:r w:rsidRPr="003E2BEB">
              <w:rPr>
                <w:rFonts w:ascii="Book Antiqua" w:hAnsi="Book Antiqua"/>
                <w:b/>
                <w:i/>
                <w:color w:val="00B0F0"/>
              </w:rPr>
              <w:t>Introduction</w:t>
            </w:r>
            <w:r w:rsidRPr="003E2BEB">
              <w:rPr>
                <w:rFonts w:ascii="Book Antiqua" w:hAnsi="Book Antiqua"/>
                <w:i/>
              </w:rPr>
              <w:t>: This study examines the role of customary law as an instrument of equitable spatial planning in preventing socio-economic bankruptcy and improving the welfare of indigenous peoples in Indonesia. As a living and dynamic legal system, customary law has values of ecological balance, deliberation, and prohibition of land conversion without community consent. However, in practice, many regional spatial planning policies have not integrated customary norms, leading to spatial conflicts and social disintegration.</w:t>
            </w:r>
          </w:p>
          <w:p w14:paraId="18B84562" w14:textId="77777777" w:rsidR="008343F8" w:rsidRPr="003E2BEB" w:rsidRDefault="003E2BEB" w:rsidP="003E2BEB">
            <w:pPr>
              <w:pStyle w:val="NormalWeb"/>
              <w:spacing w:before="0" w:beforeAutospacing="0" w:after="0" w:afterAutospacing="0"/>
              <w:ind w:left="-108" w:right="-108"/>
              <w:jc w:val="both"/>
              <w:rPr>
                <w:rFonts w:ascii="Book Antiqua" w:hAnsi="Book Antiqua"/>
                <w:i/>
              </w:rPr>
            </w:pPr>
            <w:r w:rsidRPr="003E2BEB">
              <w:rPr>
                <w:rFonts w:ascii="Book Antiqua" w:hAnsi="Book Antiqua"/>
                <w:b/>
                <w:i/>
                <w:color w:val="00B0F0"/>
              </w:rPr>
              <w:t>Purposes of the Research</w:t>
            </w:r>
            <w:r w:rsidR="008343F8" w:rsidRPr="003E2BEB">
              <w:rPr>
                <w:rFonts w:ascii="Book Antiqua" w:hAnsi="Book Antiqua"/>
                <w:i/>
              </w:rPr>
              <w:t xml:space="preserve">: To </w:t>
            </w:r>
            <w:proofErr w:type="spellStart"/>
            <w:r w:rsidR="008343F8" w:rsidRPr="003E2BEB">
              <w:rPr>
                <w:rFonts w:ascii="Book Antiqua" w:hAnsi="Book Antiqua"/>
                <w:i/>
              </w:rPr>
              <w:t>analyze</w:t>
            </w:r>
            <w:proofErr w:type="spellEnd"/>
            <w:r w:rsidR="008343F8" w:rsidRPr="003E2BEB">
              <w:rPr>
                <w:rFonts w:ascii="Book Antiqua" w:hAnsi="Book Antiqua"/>
                <w:i/>
              </w:rPr>
              <w:t xml:space="preserve"> how customary law can be used as a normative and practical basis for equitable spatial planning and how the integration of local values can prevent social bankruptcy and strengthen the welfare of indigenous peoples.</w:t>
            </w:r>
          </w:p>
          <w:p w14:paraId="704A7978" w14:textId="4057A901" w:rsidR="003E2BEB" w:rsidRPr="00973EF7" w:rsidRDefault="003E2BEB" w:rsidP="00973EF7">
            <w:pPr>
              <w:pStyle w:val="NormalWeb"/>
              <w:spacing w:before="0" w:beforeAutospacing="0" w:after="0" w:afterAutospacing="0"/>
              <w:ind w:left="-108" w:right="-108"/>
              <w:jc w:val="both"/>
              <w:rPr>
                <w:rFonts w:ascii="Book Antiqua" w:hAnsi="Book Antiqua"/>
                <w:bCs/>
                <w:i/>
              </w:rPr>
            </w:pPr>
            <w:r w:rsidRPr="003E2BEB">
              <w:rPr>
                <w:rFonts w:ascii="Book Antiqua" w:hAnsi="Book Antiqua"/>
                <w:b/>
                <w:i/>
                <w:color w:val="00B0F0"/>
              </w:rPr>
              <w:t>Methods of the Research:</w:t>
            </w:r>
            <w:r w:rsidR="00973EF7">
              <w:rPr>
                <w:rFonts w:ascii="Book Antiqua" w:hAnsi="Book Antiqua"/>
                <w:b/>
                <w:i/>
                <w:color w:val="00B0F0"/>
              </w:rPr>
              <w:t xml:space="preserve"> </w:t>
            </w:r>
            <w:r w:rsidR="00973EF7" w:rsidRPr="00973EF7">
              <w:rPr>
                <w:rFonts w:ascii="Book Antiqua" w:hAnsi="Book Antiqua"/>
                <w:bCs/>
                <w:i/>
              </w:rPr>
              <w:t xml:space="preserve">This study uses a normative juridical method combined with a socio-legal approach to explain the interaction between positive legal norms and customary legal social practices in spatial management and case studies of customary land conflicts in Salang </w:t>
            </w:r>
            <w:proofErr w:type="spellStart"/>
            <w:r w:rsidR="00973EF7" w:rsidRPr="00973EF7">
              <w:rPr>
                <w:rFonts w:ascii="Book Antiqua" w:hAnsi="Book Antiqua"/>
                <w:bCs/>
                <w:i/>
              </w:rPr>
              <w:t>Tungir</w:t>
            </w:r>
            <w:proofErr w:type="spellEnd"/>
            <w:r w:rsidR="00973EF7" w:rsidRPr="00973EF7">
              <w:rPr>
                <w:rFonts w:ascii="Book Antiqua" w:hAnsi="Book Antiqua"/>
                <w:bCs/>
                <w:i/>
              </w:rPr>
              <w:t xml:space="preserve"> Village (Deli Serdang Regency) and Aras </w:t>
            </w:r>
            <w:proofErr w:type="spellStart"/>
            <w:r w:rsidR="00973EF7" w:rsidRPr="00973EF7">
              <w:rPr>
                <w:rFonts w:ascii="Book Antiqua" w:hAnsi="Book Antiqua"/>
                <w:bCs/>
                <w:i/>
              </w:rPr>
              <w:t>Napal</w:t>
            </w:r>
            <w:proofErr w:type="spellEnd"/>
            <w:r w:rsidR="00973EF7" w:rsidRPr="00973EF7">
              <w:rPr>
                <w:rFonts w:ascii="Book Antiqua" w:hAnsi="Book Antiqua"/>
                <w:bCs/>
                <w:i/>
              </w:rPr>
              <w:t xml:space="preserve"> Village (</w:t>
            </w:r>
            <w:proofErr w:type="spellStart"/>
            <w:r w:rsidR="00973EF7" w:rsidRPr="00973EF7">
              <w:rPr>
                <w:rFonts w:ascii="Book Antiqua" w:hAnsi="Book Antiqua"/>
                <w:bCs/>
                <w:i/>
              </w:rPr>
              <w:t>Langkat</w:t>
            </w:r>
            <w:proofErr w:type="spellEnd"/>
            <w:r w:rsidR="00973EF7" w:rsidRPr="00973EF7">
              <w:rPr>
                <w:rFonts w:ascii="Book Antiqua" w:hAnsi="Book Antiqua"/>
                <w:bCs/>
                <w:i/>
              </w:rPr>
              <w:t xml:space="preserve"> Regency).</w:t>
            </w:r>
          </w:p>
          <w:p w14:paraId="7422EBA0" w14:textId="77777777" w:rsidR="003E2BEB" w:rsidRDefault="003E2BEB" w:rsidP="003E2BEB">
            <w:pPr>
              <w:pStyle w:val="NormalWeb"/>
              <w:spacing w:before="0" w:beforeAutospacing="0" w:after="0" w:afterAutospacing="0"/>
              <w:ind w:left="-108" w:right="-108"/>
              <w:jc w:val="both"/>
              <w:rPr>
                <w:rFonts w:ascii="Book Antiqua" w:hAnsi="Book Antiqua"/>
                <w:i/>
              </w:rPr>
            </w:pPr>
            <w:r w:rsidRPr="003E2BEB">
              <w:rPr>
                <w:rFonts w:ascii="Book Antiqua" w:hAnsi="Book Antiqua"/>
                <w:b/>
                <w:i/>
                <w:color w:val="00B0F0"/>
              </w:rPr>
              <w:t>Results of the Research:</w:t>
            </w:r>
            <w:r w:rsidRPr="003E2BEB">
              <w:rPr>
                <w:rFonts w:ascii="Book Antiqua" w:hAnsi="Book Antiqua"/>
                <w:i/>
              </w:rPr>
              <w:t xml:space="preserve"> The results show that the neglect of customary law norms in spatial planning policies has resulted in the loss of community access to productive space, weakened the local economy, and triggered social conflicts. Conversely, the application of customary law in spatial planning through the recognition of customary rights, customary consent mechanisms, and community participation can create spatial justice and strengthen community welfare. The novelty of this research lies in the concept of “customary law-based spatial planning,” which combines local values with the principles of social and ecological justice in national spatial planning policies.</w:t>
            </w:r>
          </w:p>
          <w:p w14:paraId="7AB63CDA" w14:textId="77777777" w:rsidR="003E2BEB" w:rsidRPr="00973EF7" w:rsidRDefault="003E2BEB" w:rsidP="003E2BEB">
            <w:pPr>
              <w:pStyle w:val="NormalWeb"/>
              <w:spacing w:before="0" w:beforeAutospacing="0" w:after="0" w:afterAutospacing="0"/>
              <w:ind w:left="-108" w:right="-108"/>
              <w:jc w:val="both"/>
              <w:rPr>
                <w:rFonts w:ascii="Book Antiqua" w:hAnsi="Book Antiqua"/>
                <w:i/>
                <w:sz w:val="4"/>
                <w:szCs w:val="8"/>
              </w:rPr>
            </w:pPr>
          </w:p>
          <w:p w14:paraId="3C496E68" w14:textId="77777777" w:rsidR="003E2BEB" w:rsidRPr="003E2BEB" w:rsidRDefault="003E2BEB" w:rsidP="003E2BEB">
            <w:pPr>
              <w:pStyle w:val="NormalWeb"/>
              <w:spacing w:before="0" w:beforeAutospacing="0" w:after="0" w:afterAutospacing="0"/>
              <w:ind w:left="-108" w:right="-108"/>
              <w:jc w:val="both"/>
              <w:rPr>
                <w:rFonts w:ascii="Book Antiqua" w:hAnsi="Book Antiqua"/>
                <w:i/>
              </w:rPr>
            </w:pPr>
            <w:r w:rsidRPr="003E2BEB">
              <w:rPr>
                <w:rFonts w:ascii="Book Antiqua" w:hAnsi="Book Antiqua"/>
                <w:b/>
                <w:i/>
                <w:color w:val="000000" w:themeColor="text1"/>
              </w:rPr>
              <w:t>Keywords</w:t>
            </w:r>
            <w:r w:rsidRPr="003E2BEB">
              <w:rPr>
                <w:rFonts w:ascii="Book Antiqua" w:hAnsi="Book Antiqua"/>
                <w:b/>
                <w:i/>
              </w:rPr>
              <w:t xml:space="preserve">: Customary Law; Spatial Planning; Social Bankruptcy; </w:t>
            </w:r>
          </w:p>
        </w:tc>
      </w:tr>
    </w:tbl>
    <w:p w14:paraId="4AC4D6F3" w14:textId="77777777" w:rsidR="008343F8" w:rsidRPr="00045B06" w:rsidRDefault="008343F8" w:rsidP="008343F8">
      <w:pPr>
        <w:spacing w:line="240" w:lineRule="auto"/>
        <w:jc w:val="both"/>
        <w:rPr>
          <w:rFonts w:ascii="Book Antiqua" w:hAnsi="Book Antiqua"/>
          <w:b/>
        </w:rPr>
      </w:pPr>
    </w:p>
    <w:p w14:paraId="7C771226" w14:textId="77777777" w:rsidR="008C661B" w:rsidRPr="008343F8" w:rsidRDefault="008C661B" w:rsidP="008C661B">
      <w:pPr>
        <w:spacing w:line="240" w:lineRule="auto"/>
        <w:rPr>
          <w:rFonts w:ascii="Book Antiqua" w:eastAsia="Times New Roman" w:hAnsi="Book Antiqua" w:cs="Times New Roman"/>
          <w:b/>
          <w:szCs w:val="24"/>
        </w:rPr>
      </w:pPr>
      <w:r w:rsidRPr="008C661B">
        <w:rPr>
          <w:rFonts w:ascii="Book Antiqua" w:eastAsia="Times New Roman" w:hAnsi="Book Antiqua" w:cs="Times New Roman"/>
          <w:b/>
          <w:szCs w:val="24"/>
        </w:rPr>
        <w:t>INTRODUCTION</w:t>
      </w:r>
    </w:p>
    <w:p w14:paraId="7F002EE4" w14:textId="77777777" w:rsidR="008C661B" w:rsidRPr="008343F8" w:rsidRDefault="008C661B" w:rsidP="008C661B">
      <w:pPr>
        <w:spacing w:line="240" w:lineRule="auto"/>
        <w:ind w:firstLine="720"/>
        <w:jc w:val="both"/>
        <w:rPr>
          <w:rFonts w:ascii="Book Antiqua" w:eastAsia="Times New Roman" w:hAnsi="Book Antiqua" w:cs="Times New Roman"/>
          <w:szCs w:val="24"/>
        </w:rPr>
      </w:pPr>
      <w:r w:rsidRPr="008C661B">
        <w:rPr>
          <w:rFonts w:ascii="Book Antiqua" w:eastAsia="Times New Roman" w:hAnsi="Book Antiqua" w:cs="Times New Roman"/>
          <w:szCs w:val="24"/>
        </w:rPr>
        <w:t>Customary law is the historical and social root of Indonesian society, containing norms and values of local wisdom related to the management of living space. The existence of customary law not only reflects cultural identity, but also has a practical function in maintaining the balance between humans and nature</w:t>
      </w:r>
      <w:r w:rsidR="00256733">
        <w:rPr>
          <w:rStyle w:val="FootnoteReference"/>
          <w:rFonts w:ascii="Book Antiqua" w:eastAsia="Times New Roman" w:hAnsi="Book Antiqua" w:cs="Times New Roman"/>
          <w:szCs w:val="24"/>
        </w:rPr>
        <w:footnoteReference w:id="1"/>
      </w:r>
      <w:r w:rsidRPr="008C661B">
        <w:rPr>
          <w:rFonts w:ascii="Book Antiqua" w:eastAsia="Times New Roman" w:hAnsi="Book Antiqua" w:cs="Times New Roman"/>
          <w:szCs w:val="24"/>
        </w:rPr>
        <w:t>. In the modern era, spatial planning as an instrument of development often ignores the socio-customary dimension and only prioritizes economic or technical administrative interests. As a result, spatial conflicts and social vulnerability have become common phenomena in many areas, especially in regions inhabited by indigenous communities</w:t>
      </w:r>
      <w:r w:rsidR="00256733">
        <w:rPr>
          <w:rStyle w:val="FootnoteReference"/>
          <w:rFonts w:ascii="Book Antiqua" w:eastAsia="Times New Roman" w:hAnsi="Book Antiqua" w:cs="Times New Roman"/>
          <w:szCs w:val="24"/>
        </w:rPr>
        <w:footnoteReference w:id="2"/>
      </w:r>
      <w:r w:rsidRPr="008C661B">
        <w:rPr>
          <w:rFonts w:ascii="Book Antiqua" w:eastAsia="Times New Roman" w:hAnsi="Book Antiqua" w:cs="Times New Roman"/>
          <w:szCs w:val="24"/>
        </w:rPr>
        <w:t>. By making customary law an instrument of equitable spatial planning, the state and society can jointly design more effective protection mechanisms to prevent social collapse (social bankruptcy) and improve the welfare of indigenous peoples.</w:t>
      </w:r>
    </w:p>
    <w:p w14:paraId="4513E108" w14:textId="77777777" w:rsidR="008C661B" w:rsidRPr="008C661B" w:rsidRDefault="008C661B" w:rsidP="008C661B">
      <w:pPr>
        <w:spacing w:line="240" w:lineRule="auto"/>
        <w:ind w:firstLine="720"/>
        <w:jc w:val="both"/>
        <w:rPr>
          <w:rFonts w:ascii="Book Antiqua" w:eastAsia="Times New Roman" w:hAnsi="Book Antiqua" w:cs="Times New Roman"/>
          <w:szCs w:val="24"/>
        </w:rPr>
      </w:pPr>
      <w:r w:rsidRPr="008C661B">
        <w:rPr>
          <w:rFonts w:ascii="Book Antiqua" w:eastAsia="Times New Roman" w:hAnsi="Book Antiqua" w:cs="Times New Roman"/>
          <w:szCs w:val="24"/>
        </w:rPr>
        <w:t xml:space="preserve">Philosophically, the relationship between humans and their living space cannot be reduced to merely an economic relationship or the utilization of resources, but rather is an existential relationship that reflects the cultural, spiritual, and collective identity values of </w:t>
      </w:r>
      <w:r w:rsidRPr="008C661B">
        <w:rPr>
          <w:rFonts w:ascii="Book Antiqua" w:eastAsia="Times New Roman" w:hAnsi="Book Antiqua" w:cs="Times New Roman"/>
          <w:szCs w:val="24"/>
        </w:rPr>
        <w:lastRenderedPageBreak/>
        <w:t>a community</w:t>
      </w:r>
      <w:r w:rsidR="00256733">
        <w:rPr>
          <w:rStyle w:val="FootnoteReference"/>
          <w:rFonts w:ascii="Book Antiqua" w:eastAsia="Times New Roman" w:hAnsi="Book Antiqua" w:cs="Times New Roman"/>
          <w:szCs w:val="24"/>
        </w:rPr>
        <w:footnoteReference w:id="3"/>
      </w:r>
      <w:r w:rsidRPr="008C661B">
        <w:rPr>
          <w:rFonts w:ascii="Book Antiqua" w:eastAsia="Times New Roman" w:hAnsi="Book Antiqua" w:cs="Times New Roman"/>
          <w:szCs w:val="24"/>
        </w:rPr>
        <w:t>. From the perspective of indigenous peoples, land and living space are manifestations of the will of their ancestors and symbols of the balance between humans, nature, and the Creator. Living space is not only a place to live or an economic area, but also an arena for cultural rituals, traditional knowledge systems, and social institutions that maintain harmony among community members</w:t>
      </w:r>
      <w:r w:rsidR="00256733">
        <w:rPr>
          <w:rStyle w:val="FootnoteReference"/>
          <w:rFonts w:ascii="Book Antiqua" w:eastAsia="Times New Roman" w:hAnsi="Book Antiqua" w:cs="Times New Roman"/>
          <w:szCs w:val="24"/>
        </w:rPr>
        <w:footnoteReference w:id="4"/>
      </w:r>
      <w:r w:rsidRPr="008C661B">
        <w:rPr>
          <w:rFonts w:ascii="Book Antiqua" w:eastAsia="Times New Roman" w:hAnsi="Book Antiqua" w:cs="Times New Roman"/>
          <w:szCs w:val="24"/>
        </w:rPr>
        <w:t>. When this space is unilaterally converted without recognition of customary norms, what is lost is not only economic assets, but also cultural legitimacy and the value system that supports the social sustainability of the community. The loss of customary space means the loss of life orientation, which in the long term can trigger social bankruptcy, namely the collapse of solidarity, ecological balance, and communal welfare</w:t>
      </w:r>
      <w:r w:rsidR="00256733">
        <w:rPr>
          <w:rStyle w:val="FootnoteReference"/>
          <w:rFonts w:ascii="Book Antiqua" w:eastAsia="Times New Roman" w:hAnsi="Book Antiqua" w:cs="Times New Roman"/>
          <w:szCs w:val="24"/>
        </w:rPr>
        <w:footnoteReference w:id="5"/>
      </w:r>
      <w:r w:rsidRPr="008C661B">
        <w:rPr>
          <w:rFonts w:ascii="Book Antiqua" w:eastAsia="Times New Roman" w:hAnsi="Book Antiqua" w:cs="Times New Roman"/>
          <w:szCs w:val="24"/>
        </w:rPr>
        <w:t>.</w:t>
      </w:r>
    </w:p>
    <w:p w14:paraId="26ACC1A8" w14:textId="77777777" w:rsidR="008C661B" w:rsidRPr="008343F8" w:rsidRDefault="008C661B" w:rsidP="008C661B">
      <w:pPr>
        <w:spacing w:line="240" w:lineRule="auto"/>
        <w:ind w:firstLine="720"/>
        <w:jc w:val="both"/>
        <w:rPr>
          <w:rFonts w:ascii="Book Antiqua" w:eastAsia="Times New Roman" w:hAnsi="Book Antiqua" w:cs="Times New Roman"/>
          <w:szCs w:val="24"/>
        </w:rPr>
      </w:pPr>
      <w:r w:rsidRPr="008C661B">
        <w:rPr>
          <w:rFonts w:ascii="Book Antiqua" w:eastAsia="Times New Roman" w:hAnsi="Book Antiqua" w:cs="Times New Roman"/>
          <w:szCs w:val="24"/>
        </w:rPr>
        <w:t>Since its inception, the Indonesian state has laid the legal and moral foundations for state administration on the values of social justice and common welfare as enshrined in the Preamble to the 1945 Constitution of the Republic of Indonesia</w:t>
      </w:r>
      <w:r w:rsidR="00630BEF">
        <w:rPr>
          <w:rStyle w:val="FootnoteReference"/>
          <w:rFonts w:ascii="Book Antiqua" w:eastAsia="Times New Roman" w:hAnsi="Book Antiqua" w:cs="Times New Roman"/>
          <w:szCs w:val="24"/>
        </w:rPr>
        <w:footnoteReference w:id="6"/>
      </w:r>
      <w:r w:rsidRPr="008C661B">
        <w:rPr>
          <w:rFonts w:ascii="Book Antiqua" w:eastAsia="Times New Roman" w:hAnsi="Book Antiqua" w:cs="Times New Roman"/>
          <w:szCs w:val="24"/>
        </w:rPr>
        <w:t>. The fourth paragraph of the Preamble to the 1945 Constitution of the Republic of Indonesia affirms the state's goal to “protect the entire Indonesian nation and all of Indonesia's bloodshed, promote general welfare, educate the nation, and participate in implementing world order based on independence, eternal peace, and social justice.” The value of “social justice for all Indonesian people” is the philosophical basis for all public policies, including in the management of space and natural resources</w:t>
      </w:r>
      <w:r w:rsidR="00630BEF">
        <w:rPr>
          <w:rStyle w:val="FootnoteReference"/>
          <w:rFonts w:ascii="Book Antiqua" w:eastAsia="Times New Roman" w:hAnsi="Book Antiqua" w:cs="Times New Roman"/>
          <w:szCs w:val="24"/>
        </w:rPr>
        <w:footnoteReference w:id="7"/>
      </w:r>
      <w:r w:rsidRPr="008C661B">
        <w:rPr>
          <w:rFonts w:ascii="Book Antiqua" w:eastAsia="Times New Roman" w:hAnsi="Book Antiqua" w:cs="Times New Roman"/>
          <w:szCs w:val="24"/>
        </w:rPr>
        <w:t>. The Constitution also guarantees the right of the people to a good and healthy environment and the right to recognition of local cultures through Article 18B paragraph (2), which states that “the state recognizes and respects customary law communities and their traditional rights as long as they are still alive and in accordance with the development of society and the principles of the Unitary State of the Republic of Indonesia.”</w:t>
      </w:r>
    </w:p>
    <w:p w14:paraId="4C8E0406" w14:textId="37FDD361" w:rsidR="008C661B" w:rsidRPr="008343F8" w:rsidRDefault="008C661B" w:rsidP="008C661B">
      <w:pPr>
        <w:spacing w:line="240" w:lineRule="auto"/>
        <w:ind w:firstLine="720"/>
        <w:jc w:val="both"/>
        <w:rPr>
          <w:rFonts w:ascii="Book Antiqua" w:eastAsia="Times New Roman" w:hAnsi="Book Antiqua" w:cs="Times New Roman"/>
          <w:szCs w:val="24"/>
        </w:rPr>
      </w:pPr>
      <w:r w:rsidRPr="008343F8">
        <w:rPr>
          <w:rFonts w:ascii="Book Antiqua" w:hAnsi="Book Antiqua"/>
        </w:rPr>
        <w:t xml:space="preserve">This principle is further elaborated in Article 33 paragraph (3) of </w:t>
      </w:r>
      <w:r w:rsidR="00973EF7">
        <w:rPr>
          <w:rFonts w:ascii="Book Antiqua" w:hAnsi="Book Antiqua"/>
        </w:rPr>
        <w:t>t</w:t>
      </w:r>
      <w:r w:rsidR="00973EF7" w:rsidRPr="00973EF7">
        <w:rPr>
          <w:rFonts w:ascii="Book Antiqua" w:hAnsi="Book Antiqua"/>
        </w:rPr>
        <w:t>he 1945 Constitution of the Republic of Indonesia</w:t>
      </w:r>
      <w:r w:rsidRPr="008343F8">
        <w:rPr>
          <w:rFonts w:ascii="Book Antiqua" w:hAnsi="Book Antiqua"/>
        </w:rPr>
        <w:t xml:space="preserve">, which states that “the land, water, and natural resources contained therein shall be controlled by the state and used for the greatest prosperity of the people.” The concept of “controlled by the state” does not mean that the state has absolute ownership of </w:t>
      </w:r>
      <w:proofErr w:type="gramStart"/>
      <w:r w:rsidRPr="008343F8">
        <w:rPr>
          <w:rFonts w:ascii="Book Antiqua" w:hAnsi="Book Antiqua"/>
        </w:rPr>
        <w:t>all natural</w:t>
      </w:r>
      <w:proofErr w:type="gramEnd"/>
      <w:r w:rsidRPr="008343F8">
        <w:rPr>
          <w:rFonts w:ascii="Book Antiqua" w:hAnsi="Book Antiqua"/>
        </w:rPr>
        <w:t xml:space="preserve"> resources, but rather signifies a mandate to regulate, manage, and distribute the benefits of natural resources fairly. Within this framework, the state is obliged to ensure that spatial planning, whether on land, sea, or air, is carried out with due regard for the rights and roles of the community, including customary law communities that have a long-standing system of spatial management based on local wisdom</w:t>
      </w:r>
      <w:r w:rsidR="00630BEF">
        <w:rPr>
          <w:rStyle w:val="FootnoteReference"/>
          <w:rFonts w:ascii="Book Antiqua" w:hAnsi="Book Antiqua"/>
        </w:rPr>
        <w:footnoteReference w:id="8"/>
      </w:r>
      <w:r w:rsidRPr="008343F8">
        <w:rPr>
          <w:rFonts w:ascii="Book Antiqua" w:hAnsi="Book Antiqua"/>
        </w:rPr>
        <w:t>.</w:t>
      </w:r>
    </w:p>
    <w:p w14:paraId="7F3D4AA5" w14:textId="50033732" w:rsidR="008C661B" w:rsidRPr="008343F8" w:rsidRDefault="008C661B" w:rsidP="008C661B">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This principle is further elaborated in Article 33 paragraph (3) of </w:t>
      </w:r>
      <w:r w:rsidR="00973EF7">
        <w:rPr>
          <w:rFonts w:ascii="Book Antiqua" w:eastAsia="Times New Roman" w:hAnsi="Book Antiqua" w:cs="Times New Roman"/>
          <w:szCs w:val="24"/>
        </w:rPr>
        <w:t>t</w:t>
      </w:r>
      <w:r w:rsidR="00973EF7" w:rsidRPr="00973EF7">
        <w:rPr>
          <w:rFonts w:ascii="Book Antiqua" w:eastAsia="Times New Roman" w:hAnsi="Book Antiqua" w:cs="Times New Roman"/>
          <w:szCs w:val="24"/>
        </w:rPr>
        <w:t>he 1945 Constitution of the Republic of Indonesia</w:t>
      </w:r>
      <w:r w:rsidRPr="008343F8">
        <w:rPr>
          <w:rFonts w:ascii="Book Antiqua" w:eastAsia="Times New Roman" w:hAnsi="Book Antiqua" w:cs="Times New Roman"/>
          <w:szCs w:val="24"/>
        </w:rPr>
        <w:t xml:space="preserve">, which states that “the land, water, and natural resources contained therein shall be controlled by the state and used for the greatest prosperity of the people.” The concept of “controlled by the state” does not mean that the state has absolute ownership of </w:t>
      </w:r>
      <w:proofErr w:type="gramStart"/>
      <w:r w:rsidRPr="008343F8">
        <w:rPr>
          <w:rFonts w:ascii="Book Antiqua" w:eastAsia="Times New Roman" w:hAnsi="Book Antiqua" w:cs="Times New Roman"/>
          <w:szCs w:val="24"/>
        </w:rPr>
        <w:t>all natural</w:t>
      </w:r>
      <w:proofErr w:type="gramEnd"/>
      <w:r w:rsidRPr="008343F8">
        <w:rPr>
          <w:rFonts w:ascii="Book Antiqua" w:eastAsia="Times New Roman" w:hAnsi="Book Antiqua" w:cs="Times New Roman"/>
          <w:szCs w:val="24"/>
        </w:rPr>
        <w:t xml:space="preserve"> resources, but rather signifies a mandate to </w:t>
      </w:r>
      <w:r w:rsidRPr="008343F8">
        <w:rPr>
          <w:rFonts w:ascii="Book Antiqua" w:eastAsia="Times New Roman" w:hAnsi="Book Antiqua" w:cs="Times New Roman"/>
          <w:szCs w:val="24"/>
        </w:rPr>
        <w:lastRenderedPageBreak/>
        <w:t>regulate, manage, and distribute the benefits of natural resources fairly</w:t>
      </w:r>
      <w:r w:rsidR="00630BEF">
        <w:rPr>
          <w:rStyle w:val="FootnoteReference"/>
          <w:rFonts w:ascii="Book Antiqua" w:eastAsia="Times New Roman" w:hAnsi="Book Antiqua" w:cs="Times New Roman"/>
          <w:szCs w:val="24"/>
        </w:rPr>
        <w:footnoteReference w:id="9"/>
      </w:r>
      <w:r w:rsidRPr="008343F8">
        <w:rPr>
          <w:rFonts w:ascii="Book Antiqua" w:eastAsia="Times New Roman" w:hAnsi="Book Antiqua" w:cs="Times New Roman"/>
          <w:szCs w:val="24"/>
        </w:rPr>
        <w:t>. Within this framework, the state is obliged to ensure that spatial planning, whether on land, sea, or air, is carried out with due regard for the rights and roles of the community, including customary law communities that have a long-standing system of spatial management based on local wisdom</w:t>
      </w:r>
      <w:r w:rsidR="00630BEF">
        <w:rPr>
          <w:rStyle w:val="FootnoteReference"/>
          <w:rFonts w:ascii="Book Antiqua" w:eastAsia="Times New Roman" w:hAnsi="Book Antiqua" w:cs="Times New Roman"/>
          <w:szCs w:val="24"/>
        </w:rPr>
        <w:footnoteReference w:id="10"/>
      </w:r>
      <w:r w:rsidRPr="008343F8">
        <w:rPr>
          <w:rFonts w:ascii="Book Antiqua" w:eastAsia="Times New Roman" w:hAnsi="Book Antiqua" w:cs="Times New Roman"/>
          <w:szCs w:val="24"/>
        </w:rPr>
        <w:t>.</w:t>
      </w:r>
    </w:p>
    <w:p w14:paraId="6D658E6E" w14:textId="77777777" w:rsidR="008C661B" w:rsidRPr="008343F8" w:rsidRDefault="008C661B" w:rsidP="008C661B">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Customary law has become an integral part of the Indonesian legal system. The 1960 Basic Agrarian Law confirmed this position through Article 3, which states that “the implementation of customary rights and similar rights of customary law communities, insofar as they still exist, must be in such a way that they are in accordance with national and state interests, and must not conflict with higher laws and regulations</w:t>
      </w:r>
      <w:r w:rsidR="00630BEF">
        <w:rPr>
          <w:rStyle w:val="FootnoteReference"/>
          <w:rFonts w:ascii="Book Antiqua" w:eastAsia="Times New Roman" w:hAnsi="Book Antiqua" w:cs="Times New Roman"/>
          <w:szCs w:val="24"/>
        </w:rPr>
        <w:footnoteReference w:id="11"/>
      </w:r>
      <w:r w:rsidRPr="008343F8">
        <w:rPr>
          <w:rFonts w:ascii="Book Antiqua" w:eastAsia="Times New Roman" w:hAnsi="Book Antiqua" w:cs="Times New Roman"/>
          <w:szCs w:val="24"/>
        </w:rPr>
        <w:t>.” This provision shows that the state recognizes the rights of customary law communities to their land and living space. This recognition is not merely a formality, but forms the basis for equitable spatial planning that integrates customary values and the aspirations of local communities.</w:t>
      </w:r>
    </w:p>
    <w:p w14:paraId="6C1600C7" w14:textId="77777777" w:rsidR="008C661B" w:rsidRPr="008343F8" w:rsidRDefault="008C661B" w:rsidP="008C661B">
      <w:pPr>
        <w:spacing w:line="240" w:lineRule="auto"/>
        <w:ind w:firstLine="720"/>
        <w:jc w:val="both"/>
        <w:rPr>
          <w:rFonts w:ascii="Book Antiqua" w:hAnsi="Book Antiqua"/>
        </w:rPr>
      </w:pPr>
      <w:r w:rsidRPr="008343F8">
        <w:rPr>
          <w:rFonts w:ascii="Book Antiqua" w:hAnsi="Book Antiqua"/>
        </w:rPr>
        <w:t>The existence of customary law in Indonesia's spatial planning system is not a new concept, but has been an integral part of traditional spatial management based on local wisdom. Before the advent of modern regulations, indigenous peoples had their own mechanisms for regulating spatial zoning, such as the division between residential land, agricultural land, protected areas, and sacred spaces. This structure not only reflects ecological efficiency, but also social and spiritual balance that serves to maintain harmony between humans and nature. This principle is in line with the concept of sustainable spatial justice, which is spatial planning that is not only economically efficient but also socially and ecologically fair. Thus, the revitalization of customary law values is an important prerequisite for the creation of equitable and sustainable spatial planning in Indonesia.</w:t>
      </w:r>
    </w:p>
    <w:p w14:paraId="2328C503" w14:textId="77777777" w:rsidR="008C661B" w:rsidRPr="008343F8" w:rsidRDefault="008C661B" w:rsidP="008C661B">
      <w:pPr>
        <w:spacing w:line="240" w:lineRule="auto"/>
        <w:ind w:firstLine="720"/>
        <w:jc w:val="both"/>
        <w:rPr>
          <w:rFonts w:ascii="Book Antiqua" w:eastAsia="Times New Roman" w:hAnsi="Book Antiqua" w:cs="Times New Roman"/>
          <w:szCs w:val="24"/>
        </w:rPr>
      </w:pPr>
      <w:r w:rsidRPr="008343F8">
        <w:rPr>
          <w:rFonts w:ascii="Book Antiqua" w:hAnsi="Book Antiqua"/>
        </w:rPr>
        <w:t xml:space="preserve">However, in </w:t>
      </w:r>
      <w:r w:rsidRPr="008343F8">
        <w:rPr>
          <w:rFonts w:ascii="Book Antiqua" w:eastAsia="Times New Roman" w:hAnsi="Book Antiqua" w:cs="Times New Roman"/>
          <w:szCs w:val="24"/>
        </w:rPr>
        <w:t>contemporary practice, spatial planning is often implemented using a top-down approach that places the state as the sole dominant actor. This pattern results in the marginalization of local communities, including indigenous communities, in the planning and decision-making processes</w:t>
      </w:r>
      <w:r w:rsidR="00630BEF">
        <w:rPr>
          <w:rStyle w:val="FootnoteReference"/>
          <w:rFonts w:ascii="Book Antiqua" w:eastAsia="Times New Roman" w:hAnsi="Book Antiqua" w:cs="Times New Roman"/>
          <w:szCs w:val="24"/>
        </w:rPr>
        <w:footnoteReference w:id="12"/>
      </w:r>
      <w:r w:rsidRPr="008343F8">
        <w:rPr>
          <w:rFonts w:ascii="Book Antiqua" w:eastAsia="Times New Roman" w:hAnsi="Book Antiqua" w:cs="Times New Roman"/>
          <w:szCs w:val="24"/>
        </w:rPr>
        <w:t>. This phenomenon weakens the social legitimacy of spatial policies and creates what experts refer to as spatial disenfranchisement, namely the disconnection of communities from their rights to their own living space. When customary norms are not legally recognized, communities have no basis for defending their rights to manage customary lands, giving rise to potential conflicts and economic marginalization that lead to social bankruptcy</w:t>
      </w:r>
      <w:r w:rsidR="00630BEF">
        <w:rPr>
          <w:rStyle w:val="FootnoteReference"/>
          <w:rFonts w:ascii="Book Antiqua" w:eastAsia="Times New Roman" w:hAnsi="Book Antiqua" w:cs="Times New Roman"/>
          <w:szCs w:val="24"/>
        </w:rPr>
        <w:footnoteReference w:id="13"/>
      </w:r>
      <w:r w:rsidRPr="008343F8">
        <w:rPr>
          <w:rFonts w:ascii="Book Antiqua" w:eastAsia="Times New Roman" w:hAnsi="Book Antiqua" w:cs="Times New Roman"/>
          <w:szCs w:val="24"/>
        </w:rPr>
        <w:t>. In this context, customary law should function as a corrective mechanism against state power so that spatial policies do not violate the principle of substantive justice.</w:t>
      </w:r>
    </w:p>
    <w:p w14:paraId="6E1ABB29" w14:textId="77777777" w:rsidR="008C661B" w:rsidRPr="008343F8" w:rsidRDefault="008C661B" w:rsidP="008C661B">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Customary law communities have very close spiritual, social, and economic ties to the space in which they live. Space is not merely an economic asset, but also a symbol of </w:t>
      </w:r>
      <w:r w:rsidRPr="008343F8">
        <w:rPr>
          <w:rFonts w:ascii="Book Antiqua" w:eastAsia="Times New Roman" w:hAnsi="Book Antiqua" w:cs="Times New Roman"/>
          <w:szCs w:val="24"/>
        </w:rPr>
        <w:lastRenderedPageBreak/>
        <w:t>identity, a source of value, and a social institution. The patterns of customary land management practiced by indigenous communities are generally collective and oriented towards ecological sustainability. Land use is adapted to customs and traditions, such as land rotation systems, the division of customary conservation zones, and the prohibition of excessive exploitation. This system has proven capable of maintaining a balance between human needs and the needs of nature</w:t>
      </w:r>
      <w:r w:rsidR="00630BEF">
        <w:rPr>
          <w:rStyle w:val="FootnoteReference"/>
          <w:rFonts w:ascii="Book Antiqua" w:eastAsia="Times New Roman" w:hAnsi="Book Antiqua" w:cs="Times New Roman"/>
          <w:szCs w:val="24"/>
        </w:rPr>
        <w:footnoteReference w:id="14"/>
      </w:r>
      <w:r w:rsidRPr="008343F8">
        <w:rPr>
          <w:rFonts w:ascii="Book Antiqua" w:eastAsia="Times New Roman" w:hAnsi="Book Antiqua" w:cs="Times New Roman"/>
          <w:szCs w:val="24"/>
        </w:rPr>
        <w:t>.</w:t>
      </w:r>
    </w:p>
    <w:p w14:paraId="128B0125" w14:textId="77777777" w:rsidR="008C661B" w:rsidRPr="008343F8" w:rsidRDefault="008C661B" w:rsidP="008C661B">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Space is an ecological entity that has certain carrying capacities and limitations. In the context of indigenous communities, control over space is not only related to land ownership, but also to resource management systems that maintain ecosystem sustainability</w:t>
      </w:r>
      <w:r w:rsidR="00630BEF">
        <w:rPr>
          <w:rStyle w:val="FootnoteReference"/>
          <w:rFonts w:ascii="Book Antiqua" w:eastAsia="Times New Roman" w:hAnsi="Book Antiqua" w:cs="Times New Roman"/>
          <w:szCs w:val="24"/>
        </w:rPr>
        <w:footnoteReference w:id="15"/>
      </w:r>
      <w:r w:rsidRPr="008343F8">
        <w:rPr>
          <w:rFonts w:ascii="Book Antiqua" w:eastAsia="Times New Roman" w:hAnsi="Book Antiqua" w:cs="Times New Roman"/>
          <w:szCs w:val="24"/>
        </w:rPr>
        <w:t>. When there is a shift from traditional management patterns to exploitative economic patterns, for example by opening commercial plantations or settlement projects without considering environmental capacity, the ecological balance is disrupted. This environmental damage ultimately results in decreased land productivity, loss of livelihoods, and the emergence of a new form of social bankruptcy, namely the destruction of local economic and cultural structures due to the loss of access to living space</w:t>
      </w:r>
      <w:r w:rsidR="00630BEF">
        <w:rPr>
          <w:rStyle w:val="FootnoteReference"/>
          <w:rFonts w:ascii="Book Antiqua" w:eastAsia="Times New Roman" w:hAnsi="Book Antiqua" w:cs="Times New Roman"/>
          <w:szCs w:val="24"/>
        </w:rPr>
        <w:footnoteReference w:id="16"/>
      </w:r>
      <w:r w:rsidRPr="008343F8">
        <w:rPr>
          <w:rFonts w:ascii="Book Antiqua" w:eastAsia="Times New Roman" w:hAnsi="Book Antiqua" w:cs="Times New Roman"/>
          <w:szCs w:val="24"/>
        </w:rPr>
        <w:t>.</w:t>
      </w:r>
    </w:p>
    <w:p w14:paraId="79B7959F" w14:textId="77777777" w:rsidR="008C661B" w:rsidRPr="008343F8" w:rsidRDefault="008C661B" w:rsidP="008C661B">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Law No. 26 of 2007 on Spatial Planning stipulates that spatial planning shall be carried out based on the principles of integration, sustainability, and justice. Article 65 paragraphs (1) and (2) affirm the right of communities to participate in the preparation of spatial plans. However, in practice, the principle of indigenous community participation is often ignored. Spatial plans drawn up by local governments often do not include customary areas on official maps, rendering customary territories invisible and without legal recognition. As a result, indigenous peoples lose the legal basis for defending their customary lands when faced with large-scale economic interests.</w:t>
      </w:r>
    </w:p>
    <w:p w14:paraId="12F3E2E9" w14:textId="77777777" w:rsidR="008C661B" w:rsidRPr="008343F8" w:rsidRDefault="008C661B" w:rsidP="008C661B">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The customary land conflict in Salang </w:t>
      </w:r>
      <w:proofErr w:type="spellStart"/>
      <w:r w:rsidRPr="008343F8">
        <w:rPr>
          <w:rFonts w:ascii="Book Antiqua" w:eastAsia="Times New Roman" w:hAnsi="Book Antiqua" w:cs="Times New Roman"/>
          <w:szCs w:val="24"/>
        </w:rPr>
        <w:t>Tungir</w:t>
      </w:r>
      <w:proofErr w:type="spellEnd"/>
      <w:r w:rsidRPr="008343F8">
        <w:rPr>
          <w:rFonts w:ascii="Book Antiqua" w:eastAsia="Times New Roman" w:hAnsi="Book Antiqua" w:cs="Times New Roman"/>
          <w:szCs w:val="24"/>
        </w:rPr>
        <w:t xml:space="preserve"> Village, </w:t>
      </w:r>
      <w:proofErr w:type="spellStart"/>
      <w:r w:rsidRPr="008343F8">
        <w:rPr>
          <w:rFonts w:ascii="Book Antiqua" w:eastAsia="Times New Roman" w:hAnsi="Book Antiqua" w:cs="Times New Roman"/>
          <w:szCs w:val="24"/>
        </w:rPr>
        <w:t>Namorambe</w:t>
      </w:r>
      <w:proofErr w:type="spellEnd"/>
      <w:r w:rsidRPr="008343F8">
        <w:rPr>
          <w:rFonts w:ascii="Book Antiqua" w:eastAsia="Times New Roman" w:hAnsi="Book Antiqua" w:cs="Times New Roman"/>
          <w:szCs w:val="24"/>
        </w:rPr>
        <w:t xml:space="preserve"> District, Deli Serdang Regency is a clear example of the failure to integrate customary law into the regional spatial planning system. The indigenous people in this region have managed customary land for generations, which is the source of their economic livelihood based on agriculture and non-timber forest products. However, in the process of drafting the Deli Serdang Regency Spatial Plan, these customary areas were not explicitly included in the administrative spatial map. As a result, some of the areas were converted into commercial plantations and residential development projects without public consultation based on customary deliberation. This situation reflects a violation of the principle of participation as mandated in Article 65 paragraph (2) of Law No. 26 of 2007 on Spatial Planning, which stipulates that the community has the right to know about spatial plans and to participate in the drafting process.</w:t>
      </w:r>
    </w:p>
    <w:p w14:paraId="3154B8B9" w14:textId="77777777" w:rsidR="006C3376" w:rsidRPr="008343F8" w:rsidRDefault="006C3376" w:rsidP="006C3376">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A similar situation occurred in Aras </w:t>
      </w:r>
      <w:proofErr w:type="spellStart"/>
      <w:r w:rsidRPr="008343F8">
        <w:rPr>
          <w:rFonts w:ascii="Book Antiqua" w:eastAsia="Times New Roman" w:hAnsi="Book Antiqua" w:cs="Times New Roman"/>
          <w:szCs w:val="24"/>
        </w:rPr>
        <w:t>Napal</w:t>
      </w:r>
      <w:proofErr w:type="spellEnd"/>
      <w:r w:rsidRPr="008343F8">
        <w:rPr>
          <w:rFonts w:ascii="Book Antiqua" w:eastAsia="Times New Roman" w:hAnsi="Book Antiqua" w:cs="Times New Roman"/>
          <w:szCs w:val="24"/>
        </w:rPr>
        <w:t xml:space="preserve"> Village, </w:t>
      </w:r>
      <w:proofErr w:type="spellStart"/>
      <w:r w:rsidRPr="008343F8">
        <w:rPr>
          <w:rFonts w:ascii="Book Antiqua" w:eastAsia="Times New Roman" w:hAnsi="Book Antiqua" w:cs="Times New Roman"/>
          <w:szCs w:val="24"/>
        </w:rPr>
        <w:t>Langkat</w:t>
      </w:r>
      <w:proofErr w:type="spellEnd"/>
      <w:r w:rsidRPr="008343F8">
        <w:rPr>
          <w:rFonts w:ascii="Book Antiqua" w:eastAsia="Times New Roman" w:hAnsi="Book Antiqua" w:cs="Times New Roman"/>
          <w:szCs w:val="24"/>
        </w:rPr>
        <w:t xml:space="preserve"> Regency, where approximately 242 hectares of customary land that had long been managed by the community was declared a state forest area based on an administrative decision by the Ministry of Environment and Forestry. This decision was made without any customary consultation mechanism, causing resistance from the community who felt that their traditional rights had been ignored. This conflict illustrates the overlap between state law and customary law in terms of spatial control. In fact, Article 3 of Law No. 5 of 1960 on </w:t>
      </w:r>
      <w:r w:rsidRPr="008343F8">
        <w:rPr>
          <w:rFonts w:ascii="Book Antiqua" w:eastAsia="Times New Roman" w:hAnsi="Book Antiqua" w:cs="Times New Roman"/>
          <w:szCs w:val="24"/>
        </w:rPr>
        <w:lastRenderedPageBreak/>
        <w:t>Agrarian Principles explicitly recognizes the existence of customary rights as long as they still exist and their implementation does not conflict with national interests</w:t>
      </w:r>
      <w:r w:rsidR="00630BEF">
        <w:rPr>
          <w:rStyle w:val="FootnoteReference"/>
          <w:rFonts w:ascii="Book Antiqua" w:eastAsia="Times New Roman" w:hAnsi="Book Antiqua" w:cs="Times New Roman"/>
          <w:szCs w:val="24"/>
        </w:rPr>
        <w:footnoteReference w:id="17"/>
      </w:r>
      <w:r w:rsidRPr="008343F8">
        <w:rPr>
          <w:rFonts w:ascii="Book Antiqua" w:eastAsia="Times New Roman" w:hAnsi="Book Antiqua" w:cs="Times New Roman"/>
          <w:szCs w:val="24"/>
        </w:rPr>
        <w:t xml:space="preserve">. </w:t>
      </w:r>
    </w:p>
    <w:p w14:paraId="1A3F4DE7" w14:textId="77777777" w:rsidR="006C3376" w:rsidRPr="008343F8" w:rsidRDefault="006C3376" w:rsidP="006C3376">
      <w:pPr>
        <w:spacing w:line="240" w:lineRule="auto"/>
        <w:ind w:firstLine="720"/>
        <w:jc w:val="both"/>
        <w:rPr>
          <w:rFonts w:ascii="Book Antiqua" w:hAnsi="Book Antiqua"/>
        </w:rPr>
      </w:pPr>
      <w:r w:rsidRPr="008343F8">
        <w:rPr>
          <w:rFonts w:ascii="Book Antiqua" w:eastAsia="Times New Roman" w:hAnsi="Book Antiqua" w:cs="Times New Roman"/>
          <w:szCs w:val="24"/>
        </w:rPr>
        <w:t>The two cases above demonstrate the weak harmonization of laws between Law No. 5 of 1960 on Agrarian Principles, Law No. 26 of 2007 on Spatial Planning, and sectoral forestry policies. This lack of synchronization between norms and practices has led to unclear legal protection of the customary rights of indigenous peoples. Normatively, national law recognizes the existence of indigenous peoples; however, administratively, spatial policies tend to marginalize them. This disharmony not only creates legal uncertainty but also erodes spatial justice, which should guarantee equal access to space and the benefits</w:t>
      </w:r>
      <w:r w:rsidRPr="008343F8">
        <w:rPr>
          <w:rFonts w:ascii="Book Antiqua" w:hAnsi="Book Antiqua"/>
        </w:rPr>
        <w:t xml:space="preserve"> of space.</w:t>
      </w:r>
    </w:p>
    <w:p w14:paraId="099C4F58" w14:textId="77777777" w:rsidR="006C3376" w:rsidRPr="008343F8" w:rsidRDefault="006C3376" w:rsidP="006C3376">
      <w:pPr>
        <w:spacing w:line="240" w:lineRule="auto"/>
        <w:ind w:firstLine="720"/>
        <w:jc w:val="both"/>
        <w:rPr>
          <w:rFonts w:ascii="Book Antiqua" w:eastAsia="Times New Roman" w:hAnsi="Book Antiqua" w:cs="Times New Roman"/>
          <w:szCs w:val="24"/>
        </w:rPr>
      </w:pPr>
      <w:r w:rsidRPr="008343F8">
        <w:rPr>
          <w:rFonts w:ascii="Book Antiqua" w:hAnsi="Book Antiqua"/>
        </w:rPr>
        <w:t xml:space="preserve">Within the framework of sustainable development, a development paradigm that emphasizes economic </w:t>
      </w:r>
      <w:r w:rsidRPr="008343F8">
        <w:rPr>
          <w:rFonts w:ascii="Book Antiqua" w:eastAsia="Times New Roman" w:hAnsi="Book Antiqua" w:cs="Times New Roman"/>
          <w:szCs w:val="24"/>
        </w:rPr>
        <w:t>growth without regard for spatial justice actually results in inequality and social marginalization. Large projects such as industrial estates, mines, and tourism often ignore the rights of indigenous peoples who have lived in these areas for generations. As a result, social exclusion and spatial displacement occur, widening the socio-ecological gap between regions</w:t>
      </w:r>
      <w:r w:rsidR="00630BEF">
        <w:rPr>
          <w:rStyle w:val="FootnoteReference"/>
          <w:rFonts w:ascii="Book Antiqua" w:eastAsia="Times New Roman" w:hAnsi="Book Antiqua" w:cs="Times New Roman"/>
          <w:szCs w:val="24"/>
        </w:rPr>
        <w:footnoteReference w:id="18"/>
      </w:r>
      <w:r w:rsidRPr="008343F8">
        <w:rPr>
          <w:rFonts w:ascii="Book Antiqua" w:eastAsia="Times New Roman" w:hAnsi="Book Antiqua" w:cs="Times New Roman"/>
          <w:szCs w:val="24"/>
        </w:rPr>
        <w:t>. The concept of “spatial justice” is that space is not only a physical container, but also a social product laden with political and economic meaning; thus, spatial justice requires the proportional distribution of benefits and responsibilities among community groups</w:t>
      </w:r>
      <w:r w:rsidR="00630BEF">
        <w:rPr>
          <w:rStyle w:val="FootnoteReference"/>
          <w:rFonts w:ascii="Book Antiqua" w:eastAsia="Times New Roman" w:hAnsi="Book Antiqua" w:cs="Times New Roman"/>
          <w:szCs w:val="24"/>
        </w:rPr>
        <w:footnoteReference w:id="19"/>
      </w:r>
      <w:r w:rsidRPr="008343F8">
        <w:rPr>
          <w:rFonts w:ascii="Book Antiqua" w:eastAsia="Times New Roman" w:hAnsi="Book Antiqua" w:cs="Times New Roman"/>
          <w:szCs w:val="24"/>
        </w:rPr>
        <w:t>.</w:t>
      </w:r>
    </w:p>
    <w:p w14:paraId="4C9C8DD4" w14:textId="77777777" w:rsidR="006C3376" w:rsidRPr="008343F8" w:rsidRDefault="006C3376" w:rsidP="006C3376">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The integration of customary law into the spatial planning system is crucial in efforts to achieve a balance between development, social justice, and environmental preservation. This approach is not merely romanticism towards customs, but an institutional strategy that can strengthen the legitimacy of local laws in public policy. Local governments, through regional regulations on the recognition of customary law communities, can facilitate synergy between spatial planning and customary area maps. Such efforts have been successful in several regions, such as </w:t>
      </w:r>
      <w:proofErr w:type="spellStart"/>
      <w:r w:rsidRPr="008343F8">
        <w:rPr>
          <w:rFonts w:ascii="Book Antiqua" w:eastAsia="Times New Roman" w:hAnsi="Book Antiqua" w:cs="Times New Roman"/>
          <w:szCs w:val="24"/>
        </w:rPr>
        <w:t>Malinau</w:t>
      </w:r>
      <w:proofErr w:type="spellEnd"/>
      <w:r w:rsidRPr="008343F8">
        <w:rPr>
          <w:rFonts w:ascii="Book Antiqua" w:eastAsia="Times New Roman" w:hAnsi="Book Antiqua" w:cs="Times New Roman"/>
          <w:szCs w:val="24"/>
        </w:rPr>
        <w:t xml:space="preserve"> and Kapuas Hulu Regencies, where regional regulations recognize customary rights and integrate them into modern spatial planning systems.</w:t>
      </w:r>
    </w:p>
    <w:p w14:paraId="2CF9D3F6" w14:textId="22431BE5" w:rsidR="006C3376" w:rsidRPr="008343F8" w:rsidRDefault="006C3376" w:rsidP="00C94DD5">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Based on the above description, this research is important to reexamine the role of customary law as an instrument of equitable spatial planning that can prevent social bankruptcy and promote community welfare. The integration of customary law into spatial policy is not only a normative necessity, but also an ethical and ecological necessity in order to build an inclusive and sustainable national spatial plan. Without recognition of customary space, the constitutional objectives mandated by </w:t>
      </w:r>
      <w:proofErr w:type="gramStart"/>
      <w:r w:rsidR="00973EF7" w:rsidRPr="00973EF7">
        <w:rPr>
          <w:rFonts w:ascii="Book Antiqua" w:eastAsia="Times New Roman" w:hAnsi="Book Antiqua" w:cs="Times New Roman"/>
          <w:szCs w:val="24"/>
        </w:rPr>
        <w:t>The</w:t>
      </w:r>
      <w:proofErr w:type="gramEnd"/>
      <w:r w:rsidR="00973EF7" w:rsidRPr="00973EF7">
        <w:rPr>
          <w:rFonts w:ascii="Book Antiqua" w:eastAsia="Times New Roman" w:hAnsi="Book Antiqua" w:cs="Times New Roman"/>
          <w:szCs w:val="24"/>
        </w:rPr>
        <w:t xml:space="preserve"> 1945 Constitution of the Republic of Indonesia </w:t>
      </w:r>
      <w:r w:rsidRPr="008343F8">
        <w:rPr>
          <w:rFonts w:ascii="Book Antiqua" w:eastAsia="Times New Roman" w:hAnsi="Book Antiqua" w:cs="Times New Roman"/>
          <w:szCs w:val="24"/>
        </w:rPr>
        <w:t>to achieve social justice and prosperity for the people will remain nothing more than empty slogans.</w:t>
      </w:r>
    </w:p>
    <w:p w14:paraId="074544F6" w14:textId="77777777" w:rsidR="006C3376" w:rsidRDefault="006C3376" w:rsidP="00C94DD5">
      <w:pPr>
        <w:spacing w:line="240" w:lineRule="auto"/>
        <w:ind w:firstLine="720"/>
        <w:jc w:val="both"/>
        <w:rPr>
          <w:rFonts w:ascii="Book Antiqua" w:eastAsia="Times New Roman" w:hAnsi="Book Antiqua" w:cs="Times New Roman"/>
          <w:szCs w:val="24"/>
        </w:rPr>
      </w:pPr>
    </w:p>
    <w:p w14:paraId="07733483" w14:textId="0FF8D6B4" w:rsidR="006C3376" w:rsidRDefault="006C3376" w:rsidP="00C94DD5">
      <w:pPr>
        <w:spacing w:line="240" w:lineRule="auto"/>
        <w:jc w:val="both"/>
        <w:rPr>
          <w:rFonts w:ascii="Book Antiqua" w:eastAsia="Times New Roman" w:hAnsi="Book Antiqua" w:cs="Times New Roman"/>
          <w:b/>
          <w:szCs w:val="24"/>
        </w:rPr>
      </w:pPr>
      <w:r w:rsidRPr="008343F8">
        <w:rPr>
          <w:rFonts w:ascii="Book Antiqua" w:eastAsia="Times New Roman" w:hAnsi="Book Antiqua" w:cs="Times New Roman"/>
          <w:b/>
          <w:szCs w:val="24"/>
        </w:rPr>
        <w:t>RESEARCH METHOD</w:t>
      </w:r>
    </w:p>
    <w:p w14:paraId="5851828B" w14:textId="77777777" w:rsidR="00394969" w:rsidRDefault="00394969" w:rsidP="00C94DD5">
      <w:pPr>
        <w:spacing w:line="240" w:lineRule="auto"/>
        <w:jc w:val="both"/>
        <w:rPr>
          <w:rFonts w:ascii="Book Antiqua" w:eastAsia="Times New Roman" w:hAnsi="Book Antiqua" w:cs="Times New Roman"/>
          <w:b/>
          <w:szCs w:val="24"/>
        </w:rPr>
      </w:pPr>
    </w:p>
    <w:p w14:paraId="71ED9BE9" w14:textId="0A63D8DC" w:rsidR="00973EF7" w:rsidRPr="00973EF7" w:rsidRDefault="00973EF7" w:rsidP="00973EF7">
      <w:pPr>
        <w:pStyle w:val="NormalWeb"/>
        <w:spacing w:before="0" w:beforeAutospacing="0" w:after="0" w:afterAutospacing="0"/>
        <w:ind w:firstLine="720"/>
        <w:jc w:val="both"/>
        <w:rPr>
          <w:rFonts w:ascii="Book Antiqua" w:hAnsi="Book Antiqua"/>
        </w:rPr>
      </w:pPr>
      <w:r w:rsidRPr="00973EF7">
        <w:rPr>
          <w:rFonts w:ascii="Book Antiqua" w:hAnsi="Book Antiqua"/>
        </w:rPr>
        <w:t>This study uses a normative juridical method combined with a socio-legal approach</w:t>
      </w:r>
      <w:r>
        <w:rPr>
          <w:rStyle w:val="FootnoteReference"/>
          <w:rFonts w:ascii="Book Antiqua" w:hAnsi="Book Antiqua"/>
        </w:rPr>
        <w:footnoteReference w:id="20"/>
      </w:r>
      <w:r w:rsidRPr="00973EF7">
        <w:rPr>
          <w:rFonts w:ascii="Book Antiqua" w:hAnsi="Book Antiqua"/>
        </w:rPr>
        <w:t xml:space="preserve"> to explain the interaction between positive legal norms and customary legal social practices in spatial management. The normative legal approach was carried out by </w:t>
      </w:r>
      <w:r w:rsidRPr="00973EF7">
        <w:rPr>
          <w:rFonts w:ascii="Book Antiqua" w:hAnsi="Book Antiqua"/>
        </w:rPr>
        <w:lastRenderedPageBreak/>
        <w:t xml:space="preserve">examining various relevant legal instruments, such as Law Number 26 of 2007 concerning Spatial Planning, Law Number 6 of 2014 concerning Villages, Law No. 32 of 2009 concerning Environmental Protection and Management, and Article 18B paragraph (2) of the 1945 Constitution of the Republic of Indonesia, which recognizes and respects the existence of customary law communities and their traditional rights. On the other hand, a socio-legal approach is used to understand how these legal norms operate in social reality, particularly through case studies of customary land conflicts in Salang </w:t>
      </w:r>
      <w:proofErr w:type="spellStart"/>
      <w:r w:rsidRPr="00973EF7">
        <w:rPr>
          <w:rFonts w:ascii="Book Antiqua" w:hAnsi="Book Antiqua"/>
        </w:rPr>
        <w:t>Tungir</w:t>
      </w:r>
      <w:proofErr w:type="spellEnd"/>
      <w:r w:rsidRPr="00973EF7">
        <w:rPr>
          <w:rFonts w:ascii="Book Antiqua" w:hAnsi="Book Antiqua"/>
        </w:rPr>
        <w:t xml:space="preserve"> Village (Deli Serdang Regency) and Aras </w:t>
      </w:r>
      <w:proofErr w:type="spellStart"/>
      <w:r w:rsidRPr="00973EF7">
        <w:rPr>
          <w:rFonts w:ascii="Book Antiqua" w:hAnsi="Book Antiqua"/>
        </w:rPr>
        <w:t>Napal</w:t>
      </w:r>
      <w:proofErr w:type="spellEnd"/>
      <w:r w:rsidRPr="00973EF7">
        <w:rPr>
          <w:rFonts w:ascii="Book Antiqua" w:hAnsi="Book Antiqua"/>
        </w:rPr>
        <w:t xml:space="preserve"> Village (</w:t>
      </w:r>
      <w:proofErr w:type="spellStart"/>
      <w:r w:rsidRPr="00973EF7">
        <w:rPr>
          <w:rFonts w:ascii="Book Antiqua" w:hAnsi="Book Antiqua"/>
        </w:rPr>
        <w:t>Langkat</w:t>
      </w:r>
      <w:proofErr w:type="spellEnd"/>
      <w:r w:rsidRPr="00973EF7">
        <w:rPr>
          <w:rFonts w:ascii="Book Antiqua" w:hAnsi="Book Antiqua"/>
        </w:rPr>
        <w:t xml:space="preserve"> Regency).</w:t>
      </w:r>
    </w:p>
    <w:p w14:paraId="0E3AADDE" w14:textId="77777777" w:rsidR="00973EF7" w:rsidRDefault="00973EF7" w:rsidP="00C94DD5">
      <w:pPr>
        <w:pStyle w:val="NormalWeb"/>
        <w:spacing w:before="0" w:beforeAutospacing="0" w:after="0" w:afterAutospacing="0"/>
        <w:ind w:firstLine="720"/>
        <w:jc w:val="both"/>
      </w:pPr>
    </w:p>
    <w:p w14:paraId="765AE64D" w14:textId="77777777" w:rsidR="006C3376" w:rsidRPr="008343F8" w:rsidRDefault="006C3376" w:rsidP="006C3376">
      <w:pPr>
        <w:spacing w:line="240" w:lineRule="auto"/>
        <w:ind w:firstLine="720"/>
        <w:jc w:val="both"/>
        <w:rPr>
          <w:rFonts w:ascii="Book Antiqua" w:eastAsia="Times New Roman" w:hAnsi="Book Antiqua" w:cs="Times New Roman"/>
          <w:szCs w:val="24"/>
        </w:rPr>
      </w:pPr>
    </w:p>
    <w:p w14:paraId="1842079E" w14:textId="74153DEF" w:rsidR="006C3376" w:rsidRDefault="006C3376" w:rsidP="006C3376">
      <w:pPr>
        <w:pStyle w:val="NormalWeb"/>
        <w:spacing w:before="0" w:beforeAutospacing="0" w:after="0" w:afterAutospacing="0"/>
        <w:rPr>
          <w:rFonts w:ascii="Book Antiqua" w:hAnsi="Book Antiqua"/>
          <w:b/>
        </w:rPr>
      </w:pPr>
      <w:r w:rsidRPr="008343F8">
        <w:rPr>
          <w:rFonts w:ascii="Book Antiqua" w:hAnsi="Book Antiqua"/>
          <w:b/>
        </w:rPr>
        <w:t xml:space="preserve">RESULTS AND DISCUSSION </w:t>
      </w:r>
    </w:p>
    <w:p w14:paraId="6DF5F65A" w14:textId="77777777" w:rsidR="00394969" w:rsidRPr="008343F8" w:rsidRDefault="00394969" w:rsidP="006C3376">
      <w:pPr>
        <w:pStyle w:val="NormalWeb"/>
        <w:spacing w:before="0" w:beforeAutospacing="0" w:after="0" w:afterAutospacing="0"/>
        <w:rPr>
          <w:rFonts w:ascii="Book Antiqua" w:hAnsi="Book Antiqua"/>
          <w:b/>
        </w:rPr>
      </w:pPr>
    </w:p>
    <w:p w14:paraId="382B04C0" w14:textId="77777777" w:rsidR="006C3376" w:rsidRPr="008343F8" w:rsidRDefault="006C3376" w:rsidP="006C3376">
      <w:pPr>
        <w:pStyle w:val="NormalWeb"/>
        <w:spacing w:before="0" w:beforeAutospacing="0" w:after="0" w:afterAutospacing="0"/>
        <w:rPr>
          <w:rFonts w:ascii="Book Antiqua" w:hAnsi="Book Antiqua"/>
        </w:rPr>
      </w:pPr>
      <w:r w:rsidRPr="008343F8">
        <w:rPr>
          <w:rFonts w:ascii="Book Antiqua" w:hAnsi="Book Antiqua"/>
        </w:rPr>
        <w:t>A</w:t>
      </w:r>
      <w:r w:rsidRPr="008343F8">
        <w:rPr>
          <w:rFonts w:ascii="Book Antiqua" w:hAnsi="Book Antiqua"/>
          <w:b/>
        </w:rPr>
        <w:t>. The Role of Customary Law in Equitable Spatial Planning</w:t>
      </w:r>
    </w:p>
    <w:p w14:paraId="6562171C" w14:textId="476A2DB6" w:rsidR="006C3376" w:rsidRPr="008343F8" w:rsidRDefault="006C3376" w:rsidP="006C3376">
      <w:pPr>
        <w:spacing w:line="240" w:lineRule="auto"/>
        <w:ind w:firstLine="720"/>
        <w:jc w:val="both"/>
        <w:rPr>
          <w:rFonts w:ascii="Book Antiqua" w:eastAsia="Times New Roman" w:hAnsi="Book Antiqua" w:cs="Times New Roman"/>
          <w:szCs w:val="24"/>
        </w:rPr>
      </w:pPr>
      <w:r w:rsidRPr="008343F8">
        <w:rPr>
          <w:rFonts w:ascii="Book Antiqua" w:hAnsi="Book Antiqua"/>
        </w:rPr>
        <w:t>In the traditions of indigenous communities in Indonesia, customary law functions not only as a system of social norms, but also as an ecological mechanism that maintains balance between humans and the environment. Patterns of spatial utilization regulated by customary law usually reflect principles of sustainability and social justice, in which each element of space has its own value and functio</w:t>
      </w:r>
      <w:r w:rsidR="00973EF7">
        <w:rPr>
          <w:rFonts w:ascii="Book Antiqua" w:hAnsi="Book Antiqua"/>
        </w:rPr>
        <w:t>n</w:t>
      </w:r>
      <w:r w:rsidR="00630BEF">
        <w:rPr>
          <w:rStyle w:val="FootnoteReference"/>
          <w:rFonts w:ascii="Book Antiqua" w:hAnsi="Book Antiqua"/>
        </w:rPr>
        <w:footnoteReference w:id="21"/>
      </w:r>
      <w:r w:rsidRPr="008343F8">
        <w:rPr>
          <w:rFonts w:ascii="Book Antiqua" w:hAnsi="Book Antiqua"/>
        </w:rPr>
        <w:t xml:space="preserve">. For example, in many </w:t>
      </w:r>
      <w:r w:rsidRPr="008343F8">
        <w:rPr>
          <w:rFonts w:ascii="Book Antiqua" w:eastAsia="Times New Roman" w:hAnsi="Book Antiqua" w:cs="Times New Roman"/>
          <w:szCs w:val="24"/>
        </w:rPr>
        <w:t>indigenous</w:t>
      </w:r>
      <w:r w:rsidRPr="008343F8">
        <w:rPr>
          <w:rFonts w:ascii="Book Antiqua" w:hAnsi="Book Antiqua"/>
        </w:rPr>
        <w:t xml:space="preserve"> communities in Sumatra and Kalimantan, there is a division of space into residential zones (inherited residential areas), production zones (agricultural areas, gardens, or non-timber forest products), and protected zones (sacred forests or conservation areas that must not be disturbed)</w:t>
      </w:r>
      <w:r w:rsidR="00630BEF">
        <w:rPr>
          <w:rStyle w:val="FootnoteReference"/>
          <w:rFonts w:ascii="Book Antiqua" w:hAnsi="Book Antiqua"/>
        </w:rPr>
        <w:footnoteReference w:id="22"/>
      </w:r>
      <w:r w:rsidRPr="008343F8">
        <w:rPr>
          <w:rFonts w:ascii="Book Antiqua" w:hAnsi="Book Antiqua"/>
        </w:rPr>
        <w:t xml:space="preserve">. This type of arrangement is not merely technical in nature, but reflects a philosophy of living in harmony with nature, where humans are considered part of the ecosystem, not its rulers. These principles are emphasized in various academic studies, one of which is by Maria S.W. </w:t>
      </w:r>
      <w:proofErr w:type="spellStart"/>
      <w:r w:rsidRPr="008343F8">
        <w:rPr>
          <w:rFonts w:ascii="Book Antiqua" w:hAnsi="Book Antiqua"/>
        </w:rPr>
        <w:t>Sumardjono</w:t>
      </w:r>
      <w:proofErr w:type="spellEnd"/>
      <w:r w:rsidRPr="008343F8">
        <w:rPr>
          <w:rFonts w:ascii="Book Antiqua" w:hAnsi="Book Antiqua"/>
        </w:rPr>
        <w:t xml:space="preserve">, who stresses that indigenous peoples have a system of spatial control that is regulated through social consensus and strong local norms, thus becoming a form of “spatial planning based on local wisdom” that effectively maintains the ecological and social </w:t>
      </w:r>
      <w:r w:rsidRPr="008343F8">
        <w:rPr>
          <w:rFonts w:ascii="Book Antiqua" w:eastAsia="Times New Roman" w:hAnsi="Book Antiqua" w:cs="Times New Roman"/>
          <w:szCs w:val="24"/>
        </w:rPr>
        <w:t>sustainability of their communities</w:t>
      </w:r>
      <w:r w:rsidR="00630BEF">
        <w:rPr>
          <w:rStyle w:val="FootnoteReference"/>
          <w:rFonts w:ascii="Book Antiqua" w:eastAsia="Times New Roman" w:hAnsi="Book Antiqua" w:cs="Times New Roman"/>
          <w:szCs w:val="24"/>
        </w:rPr>
        <w:footnoteReference w:id="23"/>
      </w:r>
      <w:r w:rsidRPr="008343F8">
        <w:rPr>
          <w:rFonts w:ascii="Book Antiqua" w:eastAsia="Times New Roman" w:hAnsi="Book Antiqua" w:cs="Times New Roman"/>
          <w:szCs w:val="24"/>
        </w:rPr>
        <w:t>.</w:t>
      </w:r>
    </w:p>
    <w:p w14:paraId="7F1D7372"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The basic principles of customary law in spatial management contain high ecological ethical values, such as humans must adapt to nature (</w:t>
      </w:r>
      <w:proofErr w:type="spellStart"/>
      <w:r w:rsidRPr="008343F8">
        <w:rPr>
          <w:rFonts w:ascii="Book Antiqua" w:eastAsia="Times New Roman" w:hAnsi="Book Antiqua" w:cs="Times New Roman"/>
          <w:szCs w:val="24"/>
        </w:rPr>
        <w:t>manunggaling</w:t>
      </w:r>
      <w:proofErr w:type="spellEnd"/>
      <w:r w:rsidRPr="008343F8">
        <w:rPr>
          <w:rFonts w:ascii="Book Antiqua" w:eastAsia="Times New Roman" w:hAnsi="Book Antiqua" w:cs="Times New Roman"/>
          <w:szCs w:val="24"/>
        </w:rPr>
        <w:t xml:space="preserve"> </w:t>
      </w:r>
      <w:proofErr w:type="spellStart"/>
      <w:r w:rsidRPr="008343F8">
        <w:rPr>
          <w:rFonts w:ascii="Book Antiqua" w:eastAsia="Times New Roman" w:hAnsi="Book Antiqua" w:cs="Times New Roman"/>
          <w:szCs w:val="24"/>
        </w:rPr>
        <w:t>kawula</w:t>
      </w:r>
      <w:proofErr w:type="spellEnd"/>
      <w:r w:rsidRPr="008343F8">
        <w:rPr>
          <w:rFonts w:ascii="Book Antiqua" w:eastAsia="Times New Roman" w:hAnsi="Book Antiqua" w:cs="Times New Roman"/>
          <w:szCs w:val="24"/>
        </w:rPr>
        <w:t xml:space="preserve"> </w:t>
      </w:r>
      <w:proofErr w:type="spellStart"/>
      <w:r w:rsidRPr="008343F8">
        <w:rPr>
          <w:rFonts w:ascii="Book Antiqua" w:eastAsia="Times New Roman" w:hAnsi="Book Antiqua" w:cs="Times New Roman"/>
          <w:szCs w:val="24"/>
        </w:rPr>
        <w:t>lan</w:t>
      </w:r>
      <w:proofErr w:type="spellEnd"/>
      <w:r w:rsidRPr="008343F8">
        <w:rPr>
          <w:rFonts w:ascii="Book Antiqua" w:eastAsia="Times New Roman" w:hAnsi="Book Antiqua" w:cs="Times New Roman"/>
          <w:szCs w:val="24"/>
        </w:rPr>
        <w:t xml:space="preserve"> </w:t>
      </w:r>
      <w:proofErr w:type="spellStart"/>
      <w:r w:rsidRPr="008343F8">
        <w:rPr>
          <w:rFonts w:ascii="Book Antiqua" w:eastAsia="Times New Roman" w:hAnsi="Book Antiqua" w:cs="Times New Roman"/>
          <w:szCs w:val="24"/>
        </w:rPr>
        <w:t>alam</w:t>
      </w:r>
      <w:proofErr w:type="spellEnd"/>
      <w:r w:rsidRPr="008343F8">
        <w:rPr>
          <w:rFonts w:ascii="Book Antiqua" w:eastAsia="Times New Roman" w:hAnsi="Book Antiqua" w:cs="Times New Roman"/>
          <w:szCs w:val="24"/>
        </w:rPr>
        <w:t xml:space="preserve"> in Javanese tradition), ecological balance as a condition for sustainable living, moderate use without greed, and prohibition of land conversion without the consent of the indigenous community</w:t>
      </w:r>
      <w:r w:rsidR="00630BEF">
        <w:rPr>
          <w:rStyle w:val="FootnoteReference"/>
          <w:rFonts w:ascii="Book Antiqua" w:eastAsia="Times New Roman" w:hAnsi="Book Antiqua" w:cs="Times New Roman"/>
          <w:szCs w:val="24"/>
        </w:rPr>
        <w:footnoteReference w:id="24"/>
      </w:r>
      <w:r w:rsidRPr="008343F8">
        <w:rPr>
          <w:rFonts w:ascii="Book Antiqua" w:eastAsia="Times New Roman" w:hAnsi="Book Antiqua" w:cs="Times New Roman"/>
          <w:szCs w:val="24"/>
        </w:rPr>
        <w:t xml:space="preserve">. These values, when integrated into national spatial planning policies, can strengthen the principle of spatial justice as mandated in Article 2 letter f of Law Number 26 of 2007 concerning Spatial Planning, which emphasizes that spatial planning must be based on the principles of justice, sustainability, and protection of community rights. Thus, customary law is not merely a cultural heritage, but also a normative instrument that can support sustainable development, especially in the context </w:t>
      </w:r>
      <w:r w:rsidRPr="008343F8">
        <w:rPr>
          <w:rFonts w:ascii="Book Antiqua" w:eastAsia="Times New Roman" w:hAnsi="Book Antiqua" w:cs="Times New Roman"/>
          <w:szCs w:val="24"/>
        </w:rPr>
        <w:lastRenderedPageBreak/>
        <w:t>of preventing spatial inequality and social conflict resulting from spatial planning policies that ignore the rights of local communities</w:t>
      </w:r>
      <w:r w:rsidR="00630BEF">
        <w:rPr>
          <w:rStyle w:val="FootnoteReference"/>
          <w:rFonts w:ascii="Book Antiqua" w:eastAsia="Times New Roman" w:hAnsi="Book Antiqua" w:cs="Times New Roman"/>
          <w:szCs w:val="24"/>
        </w:rPr>
        <w:footnoteReference w:id="25"/>
      </w:r>
      <w:r w:rsidRPr="008343F8">
        <w:rPr>
          <w:rFonts w:ascii="Book Antiqua" w:eastAsia="Times New Roman" w:hAnsi="Book Antiqua" w:cs="Times New Roman"/>
          <w:szCs w:val="24"/>
        </w:rPr>
        <w:t>.</w:t>
      </w:r>
    </w:p>
    <w:p w14:paraId="27E2DA4C"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Customary law essentially has a highly adaptive and contextual internal mechanism for regulating human relations with their living space. One of the main advantages of the customary law system is its ability to resolve spatial disputes through customary forums or traditional deliberative institutions that are oriented towards social reconciliation, rather than simply winning or losing legal decisions. This type of resolution process is faster, cheaper, and in line with the local values held by the community</w:t>
      </w:r>
      <w:r w:rsidR="00A43BE4">
        <w:rPr>
          <w:rStyle w:val="FootnoteReference"/>
          <w:rFonts w:ascii="Book Antiqua" w:eastAsia="Times New Roman" w:hAnsi="Book Antiqua" w:cs="Times New Roman"/>
          <w:szCs w:val="24"/>
        </w:rPr>
        <w:footnoteReference w:id="26"/>
      </w:r>
      <w:r w:rsidRPr="008343F8">
        <w:rPr>
          <w:rFonts w:ascii="Book Antiqua" w:eastAsia="Times New Roman" w:hAnsi="Book Antiqua" w:cs="Times New Roman"/>
          <w:szCs w:val="24"/>
        </w:rPr>
        <w:t>. Thus, the existence of customary law is able to maintain the social resilience of local communities, because the decisions produced are more easily accepted by all parties to the dispute. Customary settlement mechanisms also prevent prolonged conflicts that have the potential to weaken the economy of indigenous communities, especially when the dispute relates to natural resources that are the economic mainstay of indigenous families and communities.</w:t>
      </w:r>
    </w:p>
    <w:p w14:paraId="44DD4F14"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If customary norms and institutions are formally recognized in spatial planning documents such as Regional Spatial Plans and Detailed Spatial Plans, then strategic decisions related to land use change, building permits, and area management must take into account the approval of local customary institutions</w:t>
      </w:r>
      <w:r w:rsidR="00A43BE4">
        <w:rPr>
          <w:rStyle w:val="FootnoteReference"/>
          <w:rFonts w:ascii="Book Antiqua" w:eastAsia="Times New Roman" w:hAnsi="Book Antiqua" w:cs="Times New Roman"/>
          <w:szCs w:val="24"/>
        </w:rPr>
        <w:footnoteReference w:id="27"/>
      </w:r>
      <w:r w:rsidRPr="008343F8">
        <w:rPr>
          <w:rFonts w:ascii="Book Antiqua" w:eastAsia="Times New Roman" w:hAnsi="Book Antiqua" w:cs="Times New Roman"/>
          <w:szCs w:val="24"/>
        </w:rPr>
        <w:t>. This recognition creates synergy between state law and customary law, in which customary institutions act as moral and social guardians of spatial policy. In this context, customary law functions as a social control mechanism that is able to ensure that development does not only favor the economic interests of the elite, but also takes into account the ecological and social justice of local communities. The integration of the principle of “customary institution approval” or free, prior, and informed consent in spatial planning is very important as a form of protection for the rights of indigenous peoples over their customary territories</w:t>
      </w:r>
      <w:r w:rsidR="00A43BE4">
        <w:rPr>
          <w:rStyle w:val="FootnoteReference"/>
          <w:rFonts w:ascii="Book Antiqua" w:eastAsia="Times New Roman" w:hAnsi="Book Antiqua" w:cs="Times New Roman"/>
          <w:szCs w:val="24"/>
        </w:rPr>
        <w:footnoteReference w:id="28"/>
      </w:r>
      <w:r w:rsidRPr="008343F8">
        <w:rPr>
          <w:rFonts w:ascii="Book Antiqua" w:eastAsia="Times New Roman" w:hAnsi="Book Antiqua" w:cs="Times New Roman"/>
          <w:szCs w:val="24"/>
        </w:rPr>
        <w:t>.</w:t>
      </w:r>
    </w:p>
    <w:p w14:paraId="792F9851"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The involvement of indigenous communities in spatial planning processes should not be limited to formal administrative consultations. Indigenous peoples need to be positioned as subjects of planning, i.e., actors who help determine policy direction and have bargaining power equal to that of the government and business actors. When indigenous communities are recognized as subjects, rather than mere objects of development, spatial policies can be designed in a participatory and equitable manner</w:t>
      </w:r>
      <w:r w:rsidR="00A43BE4">
        <w:rPr>
          <w:rStyle w:val="FootnoteReference"/>
          <w:rFonts w:ascii="Book Antiqua" w:eastAsia="Times New Roman" w:hAnsi="Book Antiqua" w:cs="Times New Roman"/>
          <w:szCs w:val="24"/>
        </w:rPr>
        <w:footnoteReference w:id="29"/>
      </w:r>
      <w:r w:rsidRPr="008343F8">
        <w:rPr>
          <w:rFonts w:ascii="Book Antiqua" w:eastAsia="Times New Roman" w:hAnsi="Book Antiqua" w:cs="Times New Roman"/>
          <w:szCs w:val="24"/>
        </w:rPr>
        <w:t>. This will strengthen the social legitimacy of the resulting spatial policies, as they will be born out of an inclusive process that respects local wisdom. In addition, this approach has the potential to reduce the potential for social conflict that often arises from feelings of marginalization due to top-down policies that are insensitive to local social structures and indigenous values.</w:t>
      </w:r>
    </w:p>
    <w:p w14:paraId="31F34467" w14:textId="77777777" w:rsidR="00D55EF3" w:rsidRPr="008343F8" w:rsidRDefault="00D55EF3" w:rsidP="00D55EF3">
      <w:pPr>
        <w:spacing w:line="240" w:lineRule="auto"/>
        <w:ind w:firstLine="720"/>
        <w:jc w:val="both"/>
        <w:rPr>
          <w:rFonts w:ascii="Book Antiqua" w:hAnsi="Book Antiqua"/>
        </w:rPr>
      </w:pPr>
      <w:r w:rsidRPr="008343F8">
        <w:rPr>
          <w:rFonts w:ascii="Book Antiqua" w:hAnsi="Book Antiqua"/>
        </w:rPr>
        <w:lastRenderedPageBreak/>
        <w:t xml:space="preserve">However, in practice, many local governments have not fully adopted customary law principles into local spatial planning regulations. Provisions regarding the participation of indigenous peoples are generally still general in nature and are only included as an administrative formality, without any substantive clauses that make the decisions of customary institutions one of the legal bases for spatial planning. As a result, the voices of indigenous peoples are often ignored in strategic decision-making, such as land use conversion, mining permits, or industrial zone expansion. This situation shows </w:t>
      </w:r>
      <w:r w:rsidRPr="008343F8">
        <w:rPr>
          <w:rFonts w:ascii="Book Antiqua" w:eastAsia="Times New Roman" w:hAnsi="Book Antiqua" w:cs="Times New Roman"/>
          <w:szCs w:val="24"/>
        </w:rPr>
        <w:t>that</w:t>
      </w:r>
      <w:r w:rsidRPr="008343F8">
        <w:rPr>
          <w:rFonts w:ascii="Book Antiqua" w:hAnsi="Book Antiqua"/>
        </w:rPr>
        <w:t xml:space="preserve"> the integration of customary law into the national spatial planning system still faces structural obstacles, both in terms of regulations, institutions, and development paradigms that are still oriented towards economic growth alone, rather than socio-ecological balance.</w:t>
      </w:r>
    </w:p>
    <w:p w14:paraId="5C93E953" w14:textId="77777777" w:rsidR="00D55EF3" w:rsidRPr="008343F8" w:rsidRDefault="00D55EF3" w:rsidP="00D55EF3">
      <w:pPr>
        <w:spacing w:line="240" w:lineRule="auto"/>
        <w:ind w:firstLine="720"/>
        <w:jc w:val="both"/>
        <w:rPr>
          <w:rFonts w:ascii="Book Antiqua" w:hAnsi="Book Antiqua"/>
        </w:rPr>
      </w:pPr>
    </w:p>
    <w:p w14:paraId="316B010D" w14:textId="77777777" w:rsidR="00D55EF3" w:rsidRPr="008343F8" w:rsidRDefault="00D55EF3" w:rsidP="00D55EF3">
      <w:pPr>
        <w:pStyle w:val="NormalWeb"/>
        <w:spacing w:before="0" w:beforeAutospacing="0" w:after="0" w:afterAutospacing="0"/>
        <w:rPr>
          <w:rFonts w:ascii="Book Antiqua" w:hAnsi="Book Antiqua"/>
          <w:b/>
        </w:rPr>
      </w:pPr>
      <w:r w:rsidRPr="008343F8">
        <w:rPr>
          <w:rFonts w:ascii="Book Antiqua" w:hAnsi="Book Antiqua"/>
          <w:b/>
        </w:rPr>
        <w:t>B. Application of Customary Law to Prevent Socio-Economic Bankruptcy</w:t>
      </w:r>
    </w:p>
    <w:p w14:paraId="711418C6"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hAnsi="Book Antiqua"/>
        </w:rPr>
        <w:t>Socio-economic bankruptcy in indigenous communities is a complex phenomenon that is not only related to economic loss, but also to the destruction of the social, cultural, and spiritual structures of indigenous communities. This type of bankruptcy occurs when communities lose access to productive spaces</w:t>
      </w:r>
      <w:r w:rsidRPr="008343F8">
        <w:rPr>
          <w:rFonts w:ascii="Book Antiqua" w:eastAsia="Times New Roman" w:hAnsi="Book Antiqua" w:cs="Times New Roman"/>
          <w:szCs w:val="24"/>
        </w:rPr>
        <w:t>, customary lands, and natural resources that have supported their livelihoods. In the context of customary law, space is not merely an economic asset, but a symbol of collective identity and a source of social legitimacy</w:t>
      </w:r>
      <w:r w:rsidR="00A43BE4">
        <w:rPr>
          <w:rStyle w:val="FootnoteReference"/>
          <w:rFonts w:ascii="Book Antiqua" w:eastAsia="Times New Roman" w:hAnsi="Book Antiqua" w:cs="Times New Roman"/>
          <w:szCs w:val="24"/>
        </w:rPr>
        <w:footnoteReference w:id="30"/>
      </w:r>
      <w:r w:rsidRPr="008343F8">
        <w:rPr>
          <w:rFonts w:ascii="Book Antiqua" w:eastAsia="Times New Roman" w:hAnsi="Book Antiqua" w:cs="Times New Roman"/>
          <w:szCs w:val="24"/>
        </w:rPr>
        <w:t>. Therefore, when customary space is seized or converted without the consent of the indigenous community, what occurs is not only material poverty, but also “social bankruptcy,” a condition in which the values of solidarity, mutual cooperation, and balance with nature are eroded by a capitalist system that treats land as a commodity. This phenomenon often arises as a result of the denial of customary norms in spatial planning policies and the weak formal recognition of the customary rights of indigenous peoples</w:t>
      </w:r>
      <w:r w:rsidR="00A43BE4">
        <w:rPr>
          <w:rStyle w:val="FootnoteReference"/>
          <w:rFonts w:ascii="Book Antiqua" w:eastAsia="Times New Roman" w:hAnsi="Book Antiqua" w:cs="Times New Roman"/>
          <w:szCs w:val="24"/>
        </w:rPr>
        <w:footnoteReference w:id="31"/>
      </w:r>
      <w:r w:rsidRPr="008343F8">
        <w:rPr>
          <w:rFonts w:ascii="Book Antiqua" w:eastAsia="Times New Roman" w:hAnsi="Book Antiqua" w:cs="Times New Roman"/>
          <w:szCs w:val="24"/>
        </w:rPr>
        <w:t>.</w:t>
      </w:r>
    </w:p>
    <w:p w14:paraId="2B0767F4"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One concrete example of this socio-economic bankruptcy can be seen in the case of Aras </w:t>
      </w:r>
      <w:proofErr w:type="spellStart"/>
      <w:r w:rsidRPr="008343F8">
        <w:rPr>
          <w:rFonts w:ascii="Book Antiqua" w:eastAsia="Times New Roman" w:hAnsi="Book Antiqua" w:cs="Times New Roman"/>
          <w:szCs w:val="24"/>
        </w:rPr>
        <w:t>Napal</w:t>
      </w:r>
      <w:proofErr w:type="spellEnd"/>
      <w:r w:rsidRPr="008343F8">
        <w:rPr>
          <w:rFonts w:ascii="Book Antiqua" w:eastAsia="Times New Roman" w:hAnsi="Book Antiqua" w:cs="Times New Roman"/>
          <w:szCs w:val="24"/>
        </w:rPr>
        <w:t xml:space="preserve"> Village, </w:t>
      </w:r>
      <w:proofErr w:type="spellStart"/>
      <w:r w:rsidRPr="008343F8">
        <w:rPr>
          <w:rFonts w:ascii="Book Antiqua" w:eastAsia="Times New Roman" w:hAnsi="Book Antiqua" w:cs="Times New Roman"/>
          <w:szCs w:val="24"/>
        </w:rPr>
        <w:t>Langkat</w:t>
      </w:r>
      <w:proofErr w:type="spellEnd"/>
      <w:r w:rsidRPr="008343F8">
        <w:rPr>
          <w:rFonts w:ascii="Book Antiqua" w:eastAsia="Times New Roman" w:hAnsi="Book Antiqua" w:cs="Times New Roman"/>
          <w:szCs w:val="24"/>
        </w:rPr>
        <w:t xml:space="preserve"> Regency, where approximately 242 hectares of customary land that had been managed by the community for generations was declared a state forest area by the Ministry of Environment and Forestry. This decision was made without customary deliberation and without considering the traditional rights of the community, which has long depended on non-timber forest products and subsistence agriculture. As a result, the community lost access to their main source of livelihood and faced significant socio-economic pressure. This conflict highlights the overlap between state law and customary law jurisdictions, where the lack of recognition of local norms leads to spatial injustice. In fact, Article 3 of the 1960 Basic Agrarian Law explicitly recognizes the existence of customary rights as long as they still exist and their implementation does not conflict with national interests. </w:t>
      </w:r>
      <w:r w:rsidRPr="008343F8">
        <w:rPr>
          <w:rFonts w:ascii="Cambria Math" w:eastAsia="Times New Roman" w:hAnsi="Cambria Math" w:cs="Cambria Math"/>
          <w:szCs w:val="24"/>
        </w:rPr>
        <w:t>⁹</w:t>
      </w:r>
      <w:r w:rsidRPr="008343F8">
        <w:rPr>
          <w:rFonts w:ascii="Book Antiqua" w:eastAsia="Times New Roman" w:hAnsi="Book Antiqua" w:cs="Times New Roman"/>
          <w:szCs w:val="24"/>
        </w:rPr>
        <w:t xml:space="preserve"> </w:t>
      </w:r>
      <w:proofErr w:type="gramStart"/>
      <w:r w:rsidRPr="008343F8">
        <w:rPr>
          <w:rFonts w:ascii="Book Antiqua" w:eastAsia="Times New Roman" w:hAnsi="Book Antiqua" w:cs="Times New Roman"/>
          <w:szCs w:val="24"/>
        </w:rPr>
        <w:t>The</w:t>
      </w:r>
      <w:proofErr w:type="gramEnd"/>
      <w:r w:rsidRPr="008343F8">
        <w:rPr>
          <w:rFonts w:ascii="Book Antiqua" w:eastAsia="Times New Roman" w:hAnsi="Book Antiqua" w:cs="Times New Roman"/>
          <w:szCs w:val="24"/>
        </w:rPr>
        <w:t xml:space="preserve"> lack of synchronization between Law No. 5 of 1960 on Basic Agrarian Principles, forestry policy, and Law No. 26 of 2007 on Spatial Planning demonstrates the weak harmonization of laws that should form the basis of spatial justice at the local level.</w:t>
      </w:r>
    </w:p>
    <w:p w14:paraId="562BD794"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Salang </w:t>
      </w:r>
      <w:proofErr w:type="spellStart"/>
      <w:r w:rsidRPr="008343F8">
        <w:rPr>
          <w:rFonts w:ascii="Book Antiqua" w:eastAsia="Times New Roman" w:hAnsi="Book Antiqua" w:cs="Times New Roman"/>
          <w:szCs w:val="24"/>
        </w:rPr>
        <w:t>Tungir</w:t>
      </w:r>
      <w:proofErr w:type="spellEnd"/>
      <w:r w:rsidRPr="008343F8">
        <w:rPr>
          <w:rFonts w:ascii="Book Antiqua" w:eastAsia="Times New Roman" w:hAnsi="Book Antiqua" w:cs="Times New Roman"/>
          <w:szCs w:val="24"/>
        </w:rPr>
        <w:t xml:space="preserve"> Village, </w:t>
      </w:r>
      <w:proofErr w:type="spellStart"/>
      <w:r w:rsidRPr="008343F8">
        <w:rPr>
          <w:rFonts w:ascii="Book Antiqua" w:eastAsia="Times New Roman" w:hAnsi="Book Antiqua" w:cs="Times New Roman"/>
          <w:szCs w:val="24"/>
        </w:rPr>
        <w:t>Namorambe</w:t>
      </w:r>
      <w:proofErr w:type="spellEnd"/>
      <w:r w:rsidRPr="008343F8">
        <w:rPr>
          <w:rFonts w:ascii="Book Antiqua" w:eastAsia="Times New Roman" w:hAnsi="Book Antiqua" w:cs="Times New Roman"/>
          <w:szCs w:val="24"/>
        </w:rPr>
        <w:t xml:space="preserve"> Subdistrict, Deli Serdang Regency, where indigenous peoples lost their customary rights due to the failure to record customary territories on regional spatial planning maps. When permits for plantation and settlement development were issued, the community did not have a strong legal negotiating position to defend their land rights. The conversion of land use was carried out without a public </w:t>
      </w:r>
      <w:r w:rsidRPr="008343F8">
        <w:rPr>
          <w:rFonts w:ascii="Book Antiqua" w:eastAsia="Times New Roman" w:hAnsi="Book Antiqua" w:cs="Times New Roman"/>
          <w:szCs w:val="24"/>
        </w:rPr>
        <w:lastRenderedPageBreak/>
        <w:t>consultation mechanism based on customary deliberation, which is an important principle as mandated in Article 65 paragraph (2) of Law Number 26 of 2007 concerning Spatial Planning. This condition reflects the weak mechanism of community participation in spatial policy, especially for indigenous communities who socially do not have access to administrative processes. As a result, indigenous peoples not only lose productive land, but also experience social disintegration due to the loss of their economic resources and communal identity.</w:t>
      </w:r>
    </w:p>
    <w:p w14:paraId="6AFA1DBB" w14:textId="78371A4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If customary law is used as a baseline or normative basis in spatial policy, then customary norms such as the prohibition of land use change without community consent, the principle of ecological balance, and benefit-sharing mechanisms will serve as instruments of protection for indigenous peoples. This principle is in line with the concept of free, prior, and informed consent, which requires the consent of indigenous communities before any changes are made to the use of space in their territories. Thus, customary law not only serves as a complement to state law, but also as a moral and social safeguard against potentially exploitative development policies. The application of customary law as the basis for spatial management can also ensure that development proceeds in accordance with the values of social justice and environmental sustainability as stipulated in Article 33 paragraph (3) of </w:t>
      </w:r>
      <w:r w:rsidR="00973EF7" w:rsidRPr="00973EF7">
        <w:rPr>
          <w:rFonts w:ascii="Book Antiqua" w:eastAsia="Times New Roman" w:hAnsi="Book Antiqua" w:cs="Times New Roman"/>
          <w:szCs w:val="24"/>
        </w:rPr>
        <w:t>the 1945 Constitution of the Republic of Indonesia</w:t>
      </w:r>
      <w:r w:rsidRPr="008343F8">
        <w:rPr>
          <w:rFonts w:ascii="Book Antiqua" w:eastAsia="Times New Roman" w:hAnsi="Book Antiqua" w:cs="Times New Roman"/>
          <w:szCs w:val="24"/>
        </w:rPr>
        <w:t>, which states that the earth, water, and natural resources contained therein are controlled by the state and used to the greatest extent possible for the prosperity of the people</w:t>
      </w:r>
      <w:r w:rsidR="00A43BE4">
        <w:rPr>
          <w:rStyle w:val="FootnoteReference"/>
          <w:rFonts w:ascii="Book Antiqua" w:eastAsia="Times New Roman" w:hAnsi="Book Antiqua" w:cs="Times New Roman"/>
          <w:szCs w:val="24"/>
        </w:rPr>
        <w:footnoteReference w:id="32"/>
      </w:r>
      <w:r w:rsidRPr="008343F8">
        <w:rPr>
          <w:rFonts w:ascii="Book Antiqua" w:eastAsia="Times New Roman" w:hAnsi="Book Antiqua" w:cs="Times New Roman"/>
          <w:szCs w:val="24"/>
        </w:rPr>
        <w:t>.</w:t>
      </w:r>
    </w:p>
    <w:p w14:paraId="18538E64"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Regional spatial planning policies that recognize customary law may include substantive clauses that make customary decisions a valid requirement in every land use conversion process. This means that if such decisions do not obtain customary approval, development policies may be canceled due to procedural flaws. This kind of integration will strengthen the social legitimacy of spatial planning laws and foster a sense of justice at the community level. This model can also reduce the risk of agrarian conflicts and strengthen community trust in local government. In this context, customary institutions act as public oversight partners that ensure spatial planning decisions do not deviate from the principles of social justice and environmental sustainability</w:t>
      </w:r>
      <w:r w:rsidR="00A43BE4">
        <w:rPr>
          <w:rStyle w:val="FootnoteReference"/>
          <w:rFonts w:ascii="Book Antiqua" w:eastAsia="Times New Roman" w:hAnsi="Book Antiqua" w:cs="Times New Roman"/>
          <w:szCs w:val="24"/>
        </w:rPr>
        <w:footnoteReference w:id="33"/>
      </w:r>
      <w:r w:rsidRPr="008343F8">
        <w:rPr>
          <w:rFonts w:ascii="Book Antiqua" w:eastAsia="Times New Roman" w:hAnsi="Book Antiqua" w:cs="Times New Roman"/>
          <w:szCs w:val="24"/>
        </w:rPr>
        <w:t>.</w:t>
      </w:r>
    </w:p>
    <w:p w14:paraId="588A44C1" w14:textId="77777777" w:rsidR="00D55EF3" w:rsidRPr="008343F8" w:rsidRDefault="00D55EF3" w:rsidP="00D55EF3">
      <w:pPr>
        <w:spacing w:line="240" w:lineRule="auto"/>
        <w:ind w:firstLine="720"/>
        <w:jc w:val="both"/>
        <w:rPr>
          <w:rFonts w:ascii="Book Antiqua" w:hAnsi="Book Antiqua"/>
        </w:rPr>
      </w:pPr>
      <w:r w:rsidRPr="008343F8">
        <w:rPr>
          <w:rFonts w:ascii="Book Antiqua" w:hAnsi="Book Antiqua"/>
        </w:rPr>
        <w:t>However, a number of studies show that recognition of local norms in spatial planning is limited to theoretical discourse and has not been followed by concrete implementation at the regional level. The absence of derivative regulations that explicitly make customary decisions the legal basis for spatial policy means that customary law is often ignored. This is exacerbated by a development paradigm that is still top-down and oriented towards short-term investment</w:t>
      </w:r>
      <w:r w:rsidR="00A43BE4">
        <w:rPr>
          <w:rStyle w:val="FootnoteReference"/>
          <w:rFonts w:ascii="Book Antiqua" w:hAnsi="Book Antiqua"/>
        </w:rPr>
        <w:footnoteReference w:id="34"/>
      </w:r>
      <w:r w:rsidRPr="008343F8">
        <w:rPr>
          <w:rFonts w:ascii="Book Antiqua" w:hAnsi="Book Antiqua"/>
        </w:rPr>
        <w:t>. In this situation, indigenous peoples are once again vulnerable to socio-economic bankruptcy because they lack the legal power to defend their living space. Therefore, there is a need to harmonize national law with customary norms through a legal pluralism approach, in which formal and non-formal legal systems complement each other in developing equitable spatial planning.</w:t>
      </w:r>
    </w:p>
    <w:p w14:paraId="4B7C8351" w14:textId="77777777" w:rsidR="00D55EF3" w:rsidRDefault="00D55EF3" w:rsidP="00D55EF3">
      <w:pPr>
        <w:spacing w:line="240" w:lineRule="auto"/>
        <w:ind w:firstLine="720"/>
        <w:jc w:val="both"/>
        <w:rPr>
          <w:rFonts w:ascii="Book Antiqua" w:hAnsi="Book Antiqua"/>
        </w:rPr>
      </w:pPr>
      <w:r w:rsidRPr="008343F8">
        <w:rPr>
          <w:rFonts w:ascii="Book Antiqua" w:hAnsi="Book Antiqua"/>
        </w:rPr>
        <w:t xml:space="preserve">By ensuring that indigenous peoples retain control over their living space through the recognition of customary law integrated into spatial planning policies, the risk of social bankruptcy can be minimized. Indigenous peoples who have security over their living </w:t>
      </w:r>
      <w:r w:rsidRPr="008343F8">
        <w:rPr>
          <w:rFonts w:ascii="Book Antiqua" w:hAnsi="Book Antiqua"/>
        </w:rPr>
        <w:lastRenderedPageBreak/>
        <w:t>space will be able to maintain a resilient and sustainable local economy and prevent dependence on fragile external economic systems</w:t>
      </w:r>
      <w:r w:rsidR="00A43BE4">
        <w:rPr>
          <w:rStyle w:val="FootnoteReference"/>
          <w:rFonts w:ascii="Book Antiqua" w:hAnsi="Book Antiqua"/>
        </w:rPr>
        <w:footnoteReference w:id="35"/>
      </w:r>
      <w:r w:rsidRPr="008343F8">
        <w:rPr>
          <w:rFonts w:ascii="Book Antiqua" w:hAnsi="Book Antiqua"/>
        </w:rPr>
        <w:t>. Moreover, the application of customary law as an instrument of equitable spatial planning will also strengthen social cohesion, increase ownership of public policy, and ensure that development is in line with human values and environmental sustainability</w:t>
      </w:r>
      <w:r w:rsidR="00A43BE4">
        <w:rPr>
          <w:rStyle w:val="FootnoteReference"/>
          <w:rFonts w:ascii="Book Antiqua" w:hAnsi="Book Antiqua"/>
        </w:rPr>
        <w:footnoteReference w:id="36"/>
      </w:r>
      <w:r w:rsidRPr="008343F8">
        <w:rPr>
          <w:rFonts w:ascii="Book Antiqua" w:hAnsi="Book Antiqua"/>
        </w:rPr>
        <w:t>.</w:t>
      </w:r>
    </w:p>
    <w:p w14:paraId="6C624A1A" w14:textId="77777777" w:rsidR="00973EF7" w:rsidRDefault="00973EF7" w:rsidP="00D55EF3">
      <w:pPr>
        <w:spacing w:line="240" w:lineRule="auto"/>
        <w:ind w:firstLine="720"/>
        <w:jc w:val="both"/>
        <w:rPr>
          <w:rFonts w:ascii="Book Antiqua" w:hAnsi="Book Antiqua"/>
        </w:rPr>
      </w:pPr>
    </w:p>
    <w:p w14:paraId="02C6A727" w14:textId="77777777" w:rsidR="00D55EF3" w:rsidRPr="008343F8" w:rsidRDefault="00D55EF3" w:rsidP="00A43BE4">
      <w:pPr>
        <w:pStyle w:val="NormalWeb"/>
        <w:spacing w:before="0" w:beforeAutospacing="0" w:after="0" w:afterAutospacing="0"/>
        <w:jc w:val="both"/>
        <w:rPr>
          <w:rFonts w:ascii="Book Antiqua" w:hAnsi="Book Antiqua"/>
          <w:b/>
        </w:rPr>
      </w:pPr>
      <w:r w:rsidRPr="008343F8">
        <w:rPr>
          <w:rFonts w:ascii="Book Antiqua" w:hAnsi="Book Antiqua"/>
          <w:b/>
        </w:rPr>
        <w:t>C. Integration of Customary Law in Spatial Planning Policy to Improve Welfare</w:t>
      </w:r>
    </w:p>
    <w:p w14:paraId="1A0725CA"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hAnsi="Book Antiqua"/>
        </w:rPr>
        <w:t xml:space="preserve">The integration of customary law into spatial planning policy is one of the strategic efforts to realize equitable and sustainable development at the local level. This </w:t>
      </w:r>
      <w:r w:rsidRPr="008343F8">
        <w:rPr>
          <w:rFonts w:ascii="Book Antiqua" w:eastAsia="Times New Roman" w:hAnsi="Book Antiqua" w:cs="Times New Roman"/>
          <w:szCs w:val="24"/>
        </w:rPr>
        <w:t>integration</w:t>
      </w:r>
      <w:r w:rsidRPr="008343F8">
        <w:rPr>
          <w:rFonts w:ascii="Book Antiqua" w:hAnsi="Book Antiqua"/>
        </w:rPr>
        <w:t xml:space="preserve"> means that customary norms, institutional structures, and decision-making mechanisms are not only formally recognized but also institutionalized into the regional spatial planning system, such as the Regional Spatial Plan and the Detailed Spatial Plan. Thus, indigenous peoples are no longer placed as objects who merely accept government decisions but as active subjects who have the authority to determine the </w:t>
      </w:r>
      <w:r w:rsidRPr="008343F8">
        <w:rPr>
          <w:rFonts w:ascii="Book Antiqua" w:eastAsia="Times New Roman" w:hAnsi="Book Antiqua" w:cs="Times New Roman"/>
          <w:szCs w:val="24"/>
        </w:rPr>
        <w:t>direction of the use of their living space</w:t>
      </w:r>
      <w:r w:rsidR="00A43BE4">
        <w:rPr>
          <w:rStyle w:val="FootnoteReference"/>
          <w:rFonts w:ascii="Book Antiqua" w:eastAsia="Times New Roman" w:hAnsi="Book Antiqua" w:cs="Times New Roman"/>
          <w:szCs w:val="24"/>
        </w:rPr>
        <w:footnoteReference w:id="37"/>
      </w:r>
      <w:r w:rsidRPr="008343F8">
        <w:rPr>
          <w:rFonts w:ascii="Book Antiqua" w:eastAsia="Times New Roman" w:hAnsi="Book Antiqua" w:cs="Times New Roman"/>
          <w:szCs w:val="24"/>
        </w:rPr>
        <w:t xml:space="preserve">. </w:t>
      </w:r>
    </w:p>
    <w:p w14:paraId="1F4166B7"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Spatial planning policies should be designed to preserve the sustainability of indigenous peoples' living spaces by taking into account the social and ecological values contained in customary norms</w:t>
      </w:r>
      <w:r w:rsidR="00A43BE4">
        <w:rPr>
          <w:rStyle w:val="FootnoteReference"/>
          <w:rFonts w:ascii="Book Antiqua" w:eastAsia="Times New Roman" w:hAnsi="Book Antiqua" w:cs="Times New Roman"/>
          <w:szCs w:val="24"/>
        </w:rPr>
        <w:footnoteReference w:id="38"/>
      </w:r>
      <w:r w:rsidRPr="008343F8">
        <w:rPr>
          <w:rFonts w:ascii="Book Antiqua" w:eastAsia="Times New Roman" w:hAnsi="Book Antiqua" w:cs="Times New Roman"/>
          <w:szCs w:val="24"/>
        </w:rPr>
        <w:t>. One concrete form of this integration is the establishment of productive customary zones, which are areas legally recognized as indigenous peoples' economic spaces based on community agreements. These zones serve as a guarantee for the economic sustainability of indigenous peoples, where activities such as traditional agriculture, community-based ecotourism, and non-timber forest product management can be carried out in a sustainable manner. The establishment of productive indigenous zones is also in line with the principle of spatial justice, namely that every community has the same right to enjoy, manage, and utilize its living space without experiencing structural exclusion by state policies or private investment</w:t>
      </w:r>
      <w:r w:rsidR="00C94DD5">
        <w:rPr>
          <w:rStyle w:val="FootnoteReference"/>
          <w:rFonts w:ascii="Book Antiqua" w:eastAsia="Times New Roman" w:hAnsi="Book Antiqua" w:cs="Times New Roman"/>
          <w:szCs w:val="24"/>
        </w:rPr>
        <w:footnoteReference w:id="39"/>
      </w:r>
      <w:r w:rsidRPr="008343F8">
        <w:rPr>
          <w:rFonts w:ascii="Book Antiqua" w:eastAsia="Times New Roman" w:hAnsi="Book Antiqua" w:cs="Times New Roman"/>
          <w:szCs w:val="24"/>
        </w:rPr>
        <w:t>.</w:t>
      </w:r>
    </w:p>
    <w:p w14:paraId="2B0E4B08"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The case that occurred in Salang </w:t>
      </w:r>
      <w:proofErr w:type="spellStart"/>
      <w:r w:rsidRPr="008343F8">
        <w:rPr>
          <w:rFonts w:ascii="Book Antiqua" w:eastAsia="Times New Roman" w:hAnsi="Book Antiqua" w:cs="Times New Roman"/>
          <w:szCs w:val="24"/>
        </w:rPr>
        <w:t>Tungir</w:t>
      </w:r>
      <w:proofErr w:type="spellEnd"/>
      <w:r w:rsidRPr="008343F8">
        <w:rPr>
          <w:rFonts w:ascii="Book Antiqua" w:eastAsia="Times New Roman" w:hAnsi="Book Antiqua" w:cs="Times New Roman"/>
          <w:szCs w:val="24"/>
        </w:rPr>
        <w:t xml:space="preserve"> Village, </w:t>
      </w:r>
      <w:proofErr w:type="spellStart"/>
      <w:r w:rsidRPr="008343F8">
        <w:rPr>
          <w:rFonts w:ascii="Book Antiqua" w:eastAsia="Times New Roman" w:hAnsi="Book Antiqua" w:cs="Times New Roman"/>
          <w:szCs w:val="24"/>
        </w:rPr>
        <w:t>Namorambe</w:t>
      </w:r>
      <w:proofErr w:type="spellEnd"/>
      <w:r w:rsidRPr="008343F8">
        <w:rPr>
          <w:rFonts w:ascii="Book Antiqua" w:eastAsia="Times New Roman" w:hAnsi="Book Antiqua" w:cs="Times New Roman"/>
          <w:szCs w:val="24"/>
        </w:rPr>
        <w:t xml:space="preserve"> District, Deli Serdang Regency, illustrates the importance of this integration. The indigenous community in the area has traditionally managed customary land as agricultural land and customary forest areas, which are their main sources of livelihood. However, because the customary area is not explicitly listed on the administrative map of the Deli Serdang Regency Spatial Plan, part of the area has been converted into commercial plantations and housing projects without a public consultation mechanism involving indigenous institutions. As a result, the community has lost part of their living space and traditional economic resources. This situation demonstrates the weak legal position of indigenous peoples due to the lack of integration of customary norms into formal spatial policies. If customary norms are used as the legal basis for spatial planning policies, any land conversion process should require </w:t>
      </w:r>
      <w:r w:rsidRPr="008343F8">
        <w:rPr>
          <w:rFonts w:ascii="Book Antiqua" w:eastAsia="Times New Roman" w:hAnsi="Book Antiqua" w:cs="Times New Roman"/>
          <w:szCs w:val="24"/>
        </w:rPr>
        <w:lastRenderedPageBreak/>
        <w:t>customary consent or free, prior, and informed consent as a condition for the validity of development decisions in indigenous territories.</w:t>
      </w:r>
    </w:p>
    <w:p w14:paraId="5E612F7F"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eastAsia="Times New Roman" w:hAnsi="Book Antiqua" w:cs="Times New Roman"/>
          <w:szCs w:val="24"/>
        </w:rPr>
        <w:t xml:space="preserve">A similar phenomenon can also be seen in Aras </w:t>
      </w:r>
      <w:proofErr w:type="spellStart"/>
      <w:r w:rsidRPr="008343F8">
        <w:rPr>
          <w:rFonts w:ascii="Book Antiqua" w:eastAsia="Times New Roman" w:hAnsi="Book Antiqua" w:cs="Times New Roman"/>
          <w:szCs w:val="24"/>
        </w:rPr>
        <w:t>Napal</w:t>
      </w:r>
      <w:proofErr w:type="spellEnd"/>
      <w:r w:rsidRPr="008343F8">
        <w:rPr>
          <w:rFonts w:ascii="Book Antiqua" w:eastAsia="Times New Roman" w:hAnsi="Book Antiqua" w:cs="Times New Roman"/>
          <w:szCs w:val="24"/>
        </w:rPr>
        <w:t xml:space="preserve"> Village, </w:t>
      </w:r>
      <w:proofErr w:type="spellStart"/>
      <w:r w:rsidRPr="008343F8">
        <w:rPr>
          <w:rFonts w:ascii="Book Antiqua" w:eastAsia="Times New Roman" w:hAnsi="Book Antiqua" w:cs="Times New Roman"/>
          <w:szCs w:val="24"/>
        </w:rPr>
        <w:t>Langkat</w:t>
      </w:r>
      <w:proofErr w:type="spellEnd"/>
      <w:r w:rsidRPr="008343F8">
        <w:rPr>
          <w:rFonts w:ascii="Book Antiqua" w:eastAsia="Times New Roman" w:hAnsi="Book Antiqua" w:cs="Times New Roman"/>
          <w:szCs w:val="24"/>
        </w:rPr>
        <w:t xml:space="preserve"> Regency, where approximately 242 hectares of customary land have been claimed as state forest area by the Ministry of Environment and Forestry without going through the customary deliberation mechanism. This policy has caused conflict between indigenous peoples and the government because their customary rights have been ignored. In fact, Article 3 of the 1960 Basic Agrarian Law explicitly recognizes the customary rights of indigenous peoples as long as they still exist and their implementation does not conflict with national interests</w:t>
      </w:r>
      <w:r w:rsidR="00A43BE4">
        <w:rPr>
          <w:rStyle w:val="FootnoteReference"/>
          <w:rFonts w:ascii="Book Antiqua" w:eastAsia="Times New Roman" w:hAnsi="Book Antiqua" w:cs="Times New Roman"/>
          <w:szCs w:val="24"/>
        </w:rPr>
        <w:footnoteReference w:id="40"/>
      </w:r>
      <w:r w:rsidRPr="008343F8">
        <w:rPr>
          <w:rFonts w:ascii="Book Antiqua" w:eastAsia="Times New Roman" w:hAnsi="Book Antiqua" w:cs="Times New Roman"/>
          <w:szCs w:val="24"/>
        </w:rPr>
        <w:t>. This case reflects a lack of harmony between the legal sectors agrarian,</w:t>
      </w:r>
      <w:r w:rsidR="00A43BE4">
        <w:rPr>
          <w:rFonts w:ascii="Book Antiqua" w:eastAsia="Times New Roman" w:hAnsi="Book Antiqua" w:cs="Times New Roman"/>
          <w:szCs w:val="24"/>
        </w:rPr>
        <w:t xml:space="preserve"> forestry, and spatial planning </w:t>
      </w:r>
      <w:r w:rsidRPr="008343F8">
        <w:rPr>
          <w:rFonts w:ascii="Book Antiqua" w:eastAsia="Times New Roman" w:hAnsi="Book Antiqua" w:cs="Times New Roman"/>
          <w:szCs w:val="24"/>
        </w:rPr>
        <w:t>which should be based on the principle of recognizing and protecting the rights of indigenous peoples. If customary norms are incorporated into regional spatial planning regulations, then mechanisms such as customary deliberation will become legally binding instruments in every process of planning, supervision, and transfer of spatial functions</w:t>
      </w:r>
      <w:r w:rsidR="00A43BE4">
        <w:rPr>
          <w:rStyle w:val="FootnoteReference"/>
          <w:rFonts w:ascii="Book Antiqua" w:eastAsia="Times New Roman" w:hAnsi="Book Antiqua" w:cs="Times New Roman"/>
          <w:szCs w:val="24"/>
        </w:rPr>
        <w:footnoteReference w:id="41"/>
      </w:r>
      <w:r w:rsidRPr="008343F8">
        <w:rPr>
          <w:rFonts w:ascii="Book Antiqua" w:eastAsia="Times New Roman" w:hAnsi="Book Antiqua" w:cs="Times New Roman"/>
          <w:szCs w:val="24"/>
        </w:rPr>
        <w:t>.</w:t>
      </w:r>
    </w:p>
    <w:p w14:paraId="516800D0" w14:textId="77777777" w:rsidR="00D55EF3" w:rsidRPr="008343F8" w:rsidRDefault="00D55EF3" w:rsidP="00D55EF3">
      <w:pPr>
        <w:spacing w:line="240" w:lineRule="auto"/>
        <w:ind w:firstLine="720"/>
        <w:jc w:val="both"/>
        <w:rPr>
          <w:rFonts w:ascii="Book Antiqua" w:hAnsi="Book Antiqua"/>
        </w:rPr>
      </w:pPr>
      <w:r w:rsidRPr="008343F8">
        <w:rPr>
          <w:rFonts w:ascii="Book Antiqua" w:eastAsia="Times New Roman" w:hAnsi="Book Antiqua" w:cs="Times New Roman"/>
          <w:szCs w:val="24"/>
        </w:rPr>
        <w:t>A protective customary participation model can be adopted in local regulations so that spatial decisions affecting customary rights are not only formally consulted, but also ratified through decisions by local customary institutions. In this system, customary institutions have a social control function over spatial policies, ensuring that spatial use does</w:t>
      </w:r>
      <w:r w:rsidRPr="008343F8">
        <w:rPr>
          <w:rFonts w:ascii="Book Antiqua" w:hAnsi="Book Antiqua"/>
        </w:rPr>
        <w:t xml:space="preserve"> not threaten the socio-ecological sustainability of the community. Such models have been implemented in several regions, such as West Papua and Central Kalimantan, where local regulations recognize customary areas as separate spatial units in spatial planning. With this protective participation model, local governments can avoid spatial conflicts, increase the legitimacy of public policies, and encourage substantive community participation</w:t>
      </w:r>
      <w:r w:rsidR="00A43BE4">
        <w:rPr>
          <w:rStyle w:val="FootnoteReference"/>
          <w:rFonts w:ascii="Book Antiqua" w:hAnsi="Book Antiqua"/>
        </w:rPr>
        <w:footnoteReference w:id="42"/>
      </w:r>
      <w:r w:rsidRPr="008343F8">
        <w:rPr>
          <w:rFonts w:ascii="Book Antiqua" w:hAnsi="Book Antiqua"/>
        </w:rPr>
        <w:t>.</w:t>
      </w:r>
    </w:p>
    <w:p w14:paraId="1DF41810" w14:textId="77777777" w:rsidR="00D55EF3" w:rsidRPr="008343F8" w:rsidRDefault="00D55EF3" w:rsidP="00D55EF3">
      <w:pPr>
        <w:spacing w:line="240" w:lineRule="auto"/>
        <w:ind w:firstLine="720"/>
        <w:jc w:val="both"/>
        <w:rPr>
          <w:rFonts w:ascii="Book Antiqua" w:eastAsia="Times New Roman" w:hAnsi="Book Antiqua" w:cs="Times New Roman"/>
          <w:szCs w:val="24"/>
        </w:rPr>
      </w:pPr>
      <w:r w:rsidRPr="008343F8">
        <w:rPr>
          <w:rFonts w:ascii="Book Antiqua" w:hAnsi="Book Antiqua"/>
        </w:rPr>
        <w:t xml:space="preserve">The integration of customary law also has a significant economic impact. With formal recognition of productive customary zones, communities can obtain legal certainty in managing their resources. This opens up opportunities </w:t>
      </w:r>
      <w:r w:rsidRPr="008343F8">
        <w:rPr>
          <w:rFonts w:ascii="Book Antiqua" w:eastAsia="Times New Roman" w:hAnsi="Book Antiqua" w:cs="Times New Roman"/>
          <w:szCs w:val="24"/>
        </w:rPr>
        <w:t>for</w:t>
      </w:r>
      <w:r w:rsidRPr="008343F8">
        <w:rPr>
          <w:rFonts w:ascii="Book Antiqua" w:hAnsi="Book Antiqua"/>
        </w:rPr>
        <w:t xml:space="preserve"> communities to develop sustainable economic models such as organic farming, sustainable forest management, and culture-based tourism. When communities have control over their space, they will be more motivated to preserve the environment because their economic sustainability depends on the balance of the ecosystem. This integration is not only about recognizing rights, but also about economic empowerment and strengthening sustainable local social structures. </w:t>
      </w:r>
    </w:p>
    <w:p w14:paraId="384BD1E3" w14:textId="77777777" w:rsidR="00D55EF3" w:rsidRDefault="00D55EF3" w:rsidP="00D55EF3">
      <w:pPr>
        <w:spacing w:line="240" w:lineRule="auto"/>
        <w:ind w:firstLine="720"/>
        <w:jc w:val="both"/>
        <w:rPr>
          <w:rFonts w:ascii="Book Antiqua" w:hAnsi="Book Antiqua"/>
        </w:rPr>
      </w:pPr>
      <w:r w:rsidRPr="008343F8">
        <w:rPr>
          <w:rFonts w:ascii="Book Antiqua" w:eastAsia="Times New Roman" w:hAnsi="Book Antiqua" w:cs="Times New Roman"/>
          <w:szCs w:val="24"/>
        </w:rPr>
        <w:t xml:space="preserve">Thus, the integration of customary law into spatial planning policies has not only a symbolic function, but also a practical one in preventing social conflict, strengthening the local economy, and maintaining environmental balance. Local governments should make customary institutions strategic partners in the preparation of Regional Spatial Plans and Detailed Spatial Plans. Regulations requiring customary approval before changes in land use are made can serve as a preventive mechanism against land grabbing and the socio-economic bankruptcy of indigenous communities. If this paradigm is applied consistently, regional spatial planning will be more equitable, sustainable, and reflective of the values </w:t>
      </w:r>
      <w:r w:rsidRPr="008343F8">
        <w:rPr>
          <w:rFonts w:ascii="Book Antiqua" w:eastAsia="Times New Roman" w:hAnsi="Book Antiqua" w:cs="Times New Roman"/>
          <w:szCs w:val="24"/>
        </w:rPr>
        <w:lastRenderedPageBreak/>
        <w:t>of Pancasila</w:t>
      </w:r>
      <w:r w:rsidRPr="008343F8">
        <w:rPr>
          <w:rFonts w:ascii="Book Antiqua" w:hAnsi="Book Antiqua"/>
        </w:rPr>
        <w:t>, which places the common good above the interests of individuals or corporations.</w:t>
      </w:r>
    </w:p>
    <w:p w14:paraId="5D60CC87" w14:textId="77777777" w:rsidR="00973EF7" w:rsidRDefault="00973EF7" w:rsidP="00D55EF3">
      <w:pPr>
        <w:spacing w:line="240" w:lineRule="auto"/>
        <w:ind w:firstLine="720"/>
        <w:jc w:val="both"/>
        <w:rPr>
          <w:rFonts w:ascii="Book Antiqua" w:hAnsi="Book Antiqua"/>
        </w:rPr>
      </w:pPr>
    </w:p>
    <w:p w14:paraId="5F112E5F" w14:textId="77777777" w:rsidR="00973EF7" w:rsidRPr="008343F8" w:rsidRDefault="00973EF7" w:rsidP="00D55EF3">
      <w:pPr>
        <w:spacing w:line="240" w:lineRule="auto"/>
        <w:ind w:firstLine="720"/>
        <w:jc w:val="both"/>
        <w:rPr>
          <w:rFonts w:ascii="Book Antiqua" w:hAnsi="Book Antiqua"/>
        </w:rPr>
      </w:pPr>
    </w:p>
    <w:p w14:paraId="0D48D11B" w14:textId="4A09EF74" w:rsidR="00D55EF3" w:rsidRDefault="00D55EF3" w:rsidP="00A43BE4">
      <w:pPr>
        <w:pStyle w:val="NormalWeb"/>
        <w:spacing w:before="0" w:beforeAutospacing="0" w:after="0" w:afterAutospacing="0"/>
        <w:rPr>
          <w:rFonts w:ascii="Book Antiqua" w:hAnsi="Book Antiqua"/>
        </w:rPr>
      </w:pPr>
      <w:r w:rsidRPr="00A43BE4">
        <w:rPr>
          <w:rFonts w:ascii="Book Antiqua" w:hAnsi="Book Antiqua"/>
          <w:b/>
        </w:rPr>
        <w:t>CONCLUSION</w:t>
      </w:r>
      <w:r w:rsidRPr="008343F8">
        <w:rPr>
          <w:rFonts w:ascii="Book Antiqua" w:hAnsi="Book Antiqua"/>
        </w:rPr>
        <w:t xml:space="preserve"> </w:t>
      </w:r>
    </w:p>
    <w:p w14:paraId="7A3410A0" w14:textId="77777777" w:rsidR="00394969" w:rsidRPr="008343F8" w:rsidRDefault="00394969" w:rsidP="00A43BE4">
      <w:pPr>
        <w:pStyle w:val="NormalWeb"/>
        <w:spacing w:before="0" w:beforeAutospacing="0" w:after="0" w:afterAutospacing="0"/>
        <w:rPr>
          <w:rFonts w:ascii="Book Antiqua" w:hAnsi="Book Antiqua"/>
        </w:rPr>
      </w:pPr>
    </w:p>
    <w:p w14:paraId="6BAF0381" w14:textId="77777777" w:rsidR="00973EF7" w:rsidRPr="00973EF7" w:rsidRDefault="00973EF7" w:rsidP="00973EF7">
      <w:pPr>
        <w:spacing w:line="240" w:lineRule="auto"/>
        <w:ind w:firstLine="720"/>
        <w:jc w:val="both"/>
        <w:rPr>
          <w:rFonts w:ascii="Book Antiqua" w:hAnsi="Book Antiqua"/>
        </w:rPr>
      </w:pPr>
      <w:r w:rsidRPr="00973EF7">
        <w:rPr>
          <w:rFonts w:ascii="Book Antiqua" w:hAnsi="Book Antiqua"/>
        </w:rPr>
        <w:t xml:space="preserve">This study uses a normative juridical method combined with a socio-legal approach to explain the interaction between positive legal norms and customary legal social practices in spatial management. The normative legal approach was carried out by examining various relevant legal instruments, such as Law Number 26 of 2007 concerning Spatial Planning, Law Number 6 of 2014 concerning Villages, Law No. 32 of 2009 concerning Environmental Protection and Management, and Article 18B paragraph (2) of the 1945 Constitution of the Republic of Indonesia, which recognizes and respects the existence of customary law communities and their traditional rights. On the other hand, a socio-legal approach is used to understand how these legal norms operate in social reality, particularly through case studies of customary land conflicts in Salang </w:t>
      </w:r>
      <w:proofErr w:type="spellStart"/>
      <w:r w:rsidRPr="00973EF7">
        <w:rPr>
          <w:rFonts w:ascii="Book Antiqua" w:hAnsi="Book Antiqua"/>
        </w:rPr>
        <w:t>Tungir</w:t>
      </w:r>
      <w:proofErr w:type="spellEnd"/>
      <w:r w:rsidRPr="00973EF7">
        <w:rPr>
          <w:rFonts w:ascii="Book Antiqua" w:hAnsi="Book Antiqua"/>
        </w:rPr>
        <w:t xml:space="preserve"> Village (Deli Serdang Regency) and Aras </w:t>
      </w:r>
      <w:proofErr w:type="spellStart"/>
      <w:r w:rsidRPr="00973EF7">
        <w:rPr>
          <w:rFonts w:ascii="Book Antiqua" w:hAnsi="Book Antiqua"/>
        </w:rPr>
        <w:t>Napal</w:t>
      </w:r>
      <w:proofErr w:type="spellEnd"/>
      <w:r w:rsidRPr="00973EF7">
        <w:rPr>
          <w:rFonts w:ascii="Book Antiqua" w:hAnsi="Book Antiqua"/>
        </w:rPr>
        <w:t xml:space="preserve"> Village (</w:t>
      </w:r>
      <w:proofErr w:type="spellStart"/>
      <w:r w:rsidRPr="00973EF7">
        <w:rPr>
          <w:rFonts w:ascii="Book Antiqua" w:hAnsi="Book Antiqua"/>
        </w:rPr>
        <w:t>Langkat</w:t>
      </w:r>
      <w:proofErr w:type="spellEnd"/>
      <w:r w:rsidRPr="00973EF7">
        <w:rPr>
          <w:rFonts w:ascii="Book Antiqua" w:hAnsi="Book Antiqua"/>
        </w:rPr>
        <w:t xml:space="preserve"> Regency).</w:t>
      </w:r>
    </w:p>
    <w:p w14:paraId="035A7304" w14:textId="77777777" w:rsidR="00973EF7" w:rsidRPr="008343F8" w:rsidRDefault="00973EF7" w:rsidP="00A43BE4">
      <w:pPr>
        <w:spacing w:line="240" w:lineRule="auto"/>
        <w:ind w:firstLine="720"/>
        <w:jc w:val="both"/>
        <w:rPr>
          <w:rFonts w:ascii="Book Antiqua" w:hAnsi="Book Antiqua"/>
        </w:rPr>
      </w:pPr>
    </w:p>
    <w:p w14:paraId="0AB5AD11" w14:textId="3A6EC203" w:rsidR="00D55EF3" w:rsidRDefault="00D55EF3" w:rsidP="00973EF7">
      <w:pPr>
        <w:pStyle w:val="NormalWeb"/>
        <w:spacing w:before="0" w:beforeAutospacing="0" w:after="0" w:afterAutospacing="0"/>
        <w:rPr>
          <w:rFonts w:ascii="Book Antiqua" w:hAnsi="Book Antiqua"/>
          <w:b/>
        </w:rPr>
      </w:pPr>
      <w:r w:rsidRPr="00A43BE4">
        <w:rPr>
          <w:rFonts w:ascii="Book Antiqua" w:hAnsi="Book Antiqua"/>
          <w:b/>
        </w:rPr>
        <w:t>ACKNOWLEDGEMENTS</w:t>
      </w:r>
    </w:p>
    <w:p w14:paraId="4615B88B" w14:textId="77777777" w:rsidR="00394969" w:rsidRPr="008343F8" w:rsidRDefault="00394969" w:rsidP="00973EF7">
      <w:pPr>
        <w:pStyle w:val="NormalWeb"/>
        <w:spacing w:before="0" w:beforeAutospacing="0" w:after="0" w:afterAutospacing="0"/>
        <w:rPr>
          <w:rFonts w:ascii="Book Antiqua" w:hAnsi="Book Antiqua"/>
        </w:rPr>
      </w:pPr>
    </w:p>
    <w:p w14:paraId="226FF245" w14:textId="77777777" w:rsidR="00973EF7" w:rsidRPr="00973EF7" w:rsidRDefault="00973EF7" w:rsidP="00973EF7">
      <w:pPr>
        <w:spacing w:line="240" w:lineRule="auto"/>
        <w:ind w:firstLine="720"/>
        <w:jc w:val="both"/>
        <w:rPr>
          <w:rFonts w:ascii="Book Antiqua" w:hAnsi="Book Antiqua"/>
        </w:rPr>
      </w:pPr>
      <w:r w:rsidRPr="00973EF7">
        <w:rPr>
          <w:rFonts w:ascii="Book Antiqua" w:hAnsi="Book Antiqua"/>
        </w:rPr>
        <w:t xml:space="preserve">The author sincerely thanks all parties who have provided support in the preparation of this research entitled Application of Customary Law in Spatial Planning to Prevent Bankruptcy and Improve Community Welfare. The highest appreciation is also given to the Deli Serdang and </w:t>
      </w:r>
      <w:proofErr w:type="spellStart"/>
      <w:r w:rsidRPr="00973EF7">
        <w:rPr>
          <w:rFonts w:ascii="Book Antiqua" w:hAnsi="Book Antiqua"/>
        </w:rPr>
        <w:t>Langkat</w:t>
      </w:r>
      <w:proofErr w:type="spellEnd"/>
      <w:r w:rsidRPr="00973EF7">
        <w:rPr>
          <w:rFonts w:ascii="Book Antiqua" w:hAnsi="Book Antiqua"/>
        </w:rPr>
        <w:t xml:space="preserve"> Regency Governments, especially the communities of Salang </w:t>
      </w:r>
      <w:proofErr w:type="spellStart"/>
      <w:r w:rsidRPr="00973EF7">
        <w:rPr>
          <w:rFonts w:ascii="Book Antiqua" w:hAnsi="Book Antiqua"/>
        </w:rPr>
        <w:t>Tungir</w:t>
      </w:r>
      <w:proofErr w:type="spellEnd"/>
      <w:r w:rsidRPr="00973EF7">
        <w:rPr>
          <w:rFonts w:ascii="Book Antiqua" w:hAnsi="Book Antiqua"/>
        </w:rPr>
        <w:t xml:space="preserve"> and Aras </w:t>
      </w:r>
      <w:proofErr w:type="spellStart"/>
      <w:r w:rsidRPr="00973EF7">
        <w:rPr>
          <w:rFonts w:ascii="Book Antiqua" w:hAnsi="Book Antiqua"/>
        </w:rPr>
        <w:t>Napal</w:t>
      </w:r>
      <w:proofErr w:type="spellEnd"/>
      <w:r w:rsidRPr="00973EF7">
        <w:rPr>
          <w:rFonts w:ascii="Book Antiqua" w:hAnsi="Book Antiqua"/>
        </w:rPr>
        <w:t xml:space="preserve"> Villages, who have provided data, information, and opportunities to conduct field studies. </w:t>
      </w:r>
    </w:p>
    <w:p w14:paraId="76BD25C3" w14:textId="18307076" w:rsidR="00D55EF3" w:rsidRPr="008343F8" w:rsidRDefault="00D55EF3" w:rsidP="00D55EF3">
      <w:pPr>
        <w:spacing w:line="240" w:lineRule="auto"/>
        <w:ind w:firstLine="720"/>
        <w:jc w:val="both"/>
        <w:rPr>
          <w:rFonts w:ascii="Book Antiqua" w:hAnsi="Book Antiqua"/>
        </w:rPr>
      </w:pPr>
    </w:p>
    <w:p w14:paraId="515E99B5" w14:textId="4A5582F7" w:rsidR="008C661B" w:rsidRDefault="00A43BE4" w:rsidP="00973EF7">
      <w:pPr>
        <w:pStyle w:val="NormalWeb"/>
        <w:spacing w:before="0" w:beforeAutospacing="0" w:after="0" w:afterAutospacing="0"/>
        <w:rPr>
          <w:rFonts w:ascii="Book Antiqua" w:hAnsi="Book Antiqua"/>
          <w:b/>
        </w:rPr>
      </w:pPr>
      <w:r w:rsidRPr="00A43BE4">
        <w:rPr>
          <w:rFonts w:ascii="Book Antiqua" w:hAnsi="Book Antiqua"/>
          <w:b/>
        </w:rPr>
        <w:t>REFERENCES</w:t>
      </w:r>
    </w:p>
    <w:p w14:paraId="4D8E08BC" w14:textId="77777777" w:rsidR="00394969" w:rsidRDefault="00394969" w:rsidP="00973EF7">
      <w:pPr>
        <w:pStyle w:val="NormalWeb"/>
        <w:spacing w:before="0" w:beforeAutospacing="0" w:after="0" w:afterAutospacing="0"/>
        <w:rPr>
          <w:rFonts w:ascii="Book Antiqua" w:hAnsi="Book Antiqua"/>
          <w:b/>
        </w:rPr>
      </w:pPr>
    </w:p>
    <w:p w14:paraId="353B95F0" w14:textId="77777777" w:rsidR="00C94DD5" w:rsidRPr="00C94DD5" w:rsidRDefault="00C94DD5" w:rsidP="00CD641B">
      <w:pPr>
        <w:pStyle w:val="NormalWeb"/>
        <w:spacing w:before="0" w:beforeAutospacing="0" w:after="240" w:afterAutospacing="0"/>
        <w:ind w:left="851" w:hanging="851"/>
        <w:jc w:val="both"/>
        <w:rPr>
          <w:rFonts w:ascii="Book Antiqua" w:hAnsi="Book Antiqua"/>
        </w:rPr>
      </w:pPr>
      <w:r w:rsidRPr="00C94DD5">
        <w:rPr>
          <w:rFonts w:ascii="Book Antiqua" w:hAnsi="Book Antiqua"/>
        </w:rPr>
        <w:t xml:space="preserve">Adnan, M.A., </w:t>
      </w:r>
      <w:proofErr w:type="spellStart"/>
      <w:r w:rsidRPr="00C94DD5">
        <w:rPr>
          <w:rFonts w:ascii="Book Antiqua" w:hAnsi="Book Antiqua"/>
        </w:rPr>
        <w:t>Simbolon</w:t>
      </w:r>
      <w:proofErr w:type="spellEnd"/>
      <w:r w:rsidRPr="00C94DD5">
        <w:rPr>
          <w:rFonts w:ascii="Book Antiqua" w:hAnsi="Book Antiqua"/>
        </w:rPr>
        <w:t xml:space="preserve">, T.M., Turnip, R.A., </w:t>
      </w:r>
      <w:proofErr w:type="spellStart"/>
      <w:r w:rsidRPr="00C94DD5">
        <w:rPr>
          <w:rFonts w:ascii="Book Antiqua" w:hAnsi="Book Antiqua"/>
        </w:rPr>
        <w:t>Sunarto</w:t>
      </w:r>
      <w:proofErr w:type="spellEnd"/>
      <w:r w:rsidRPr="00C94DD5">
        <w:rPr>
          <w:rFonts w:ascii="Book Antiqua" w:hAnsi="Book Antiqua"/>
        </w:rPr>
        <w:t xml:space="preserve">, A., “Legal Protection in the Utilization of Above-Ground and Underground Space Based on the Spatial Planning Law,” </w:t>
      </w:r>
      <w:proofErr w:type="spellStart"/>
      <w:r w:rsidRPr="00C94DD5">
        <w:rPr>
          <w:rFonts w:ascii="Book Antiqua" w:hAnsi="Book Antiqua"/>
          <w:i/>
        </w:rPr>
        <w:t>Kerta</w:t>
      </w:r>
      <w:proofErr w:type="spellEnd"/>
      <w:r w:rsidRPr="00C94DD5">
        <w:rPr>
          <w:rFonts w:ascii="Book Antiqua" w:hAnsi="Book Antiqua"/>
          <w:i/>
        </w:rPr>
        <w:t xml:space="preserve"> </w:t>
      </w:r>
      <w:proofErr w:type="spellStart"/>
      <w:proofErr w:type="gramStart"/>
      <w:r w:rsidRPr="00C94DD5">
        <w:rPr>
          <w:rFonts w:ascii="Book Antiqua" w:hAnsi="Book Antiqua"/>
          <w:i/>
        </w:rPr>
        <w:t>Semaya</w:t>
      </w:r>
      <w:proofErr w:type="spellEnd"/>
      <w:r w:rsidRPr="00C94DD5">
        <w:rPr>
          <w:rFonts w:ascii="Book Antiqua" w:hAnsi="Book Antiqua"/>
          <w:i/>
        </w:rPr>
        <w:t>,</w:t>
      </w:r>
      <w:r w:rsidRPr="00C94DD5">
        <w:rPr>
          <w:rFonts w:ascii="Book Antiqua" w:hAnsi="Book Antiqua"/>
        </w:rPr>
        <w:t xml:space="preserve">  13</w:t>
      </w:r>
      <w:proofErr w:type="gramEnd"/>
      <w:r w:rsidRPr="00C94DD5">
        <w:rPr>
          <w:rFonts w:ascii="Book Antiqua" w:hAnsi="Book Antiqua"/>
        </w:rPr>
        <w:t xml:space="preserve">  no.4, (2025): 501-513</w:t>
      </w:r>
    </w:p>
    <w:p w14:paraId="49F3E237"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Alfath</w:t>
      </w:r>
      <w:proofErr w:type="spellEnd"/>
      <w:r>
        <w:rPr>
          <w:rFonts w:ascii="Book Antiqua" w:hAnsi="Book Antiqua"/>
        </w:rPr>
        <w:t>,</w:t>
      </w:r>
      <w:r w:rsidRPr="003B1260">
        <w:rPr>
          <w:rFonts w:ascii="Book Antiqua" w:hAnsi="Book Antiqua"/>
        </w:rPr>
        <w:t xml:space="preserve"> T. P., &amp; </w:t>
      </w:r>
      <w:proofErr w:type="spellStart"/>
      <w:r w:rsidRPr="003B1260">
        <w:rPr>
          <w:rFonts w:ascii="Book Antiqua" w:hAnsi="Book Antiqua"/>
        </w:rPr>
        <w:t>Padli</w:t>
      </w:r>
      <w:proofErr w:type="spellEnd"/>
      <w:r>
        <w:rPr>
          <w:rFonts w:ascii="Book Antiqua" w:hAnsi="Book Antiqua"/>
        </w:rPr>
        <w:t>,</w:t>
      </w:r>
      <w:r w:rsidRPr="003B1260">
        <w:rPr>
          <w:rFonts w:ascii="Book Antiqua" w:hAnsi="Book Antiqua"/>
        </w:rPr>
        <w:t xml:space="preserve"> I. N., “The Application of Customary Law Principles in Equitable Infrastructure Development” </w:t>
      </w:r>
      <w:r w:rsidRPr="003B1260">
        <w:rPr>
          <w:rFonts w:ascii="Book Antiqua" w:hAnsi="Book Antiqua"/>
          <w:i/>
        </w:rPr>
        <w:t xml:space="preserve">Arena </w:t>
      </w:r>
      <w:proofErr w:type="spellStart"/>
      <w:r w:rsidRPr="003B1260">
        <w:rPr>
          <w:rFonts w:ascii="Book Antiqua" w:hAnsi="Book Antiqua"/>
          <w:i/>
        </w:rPr>
        <w:t>Hukum</w:t>
      </w:r>
      <w:proofErr w:type="spellEnd"/>
      <w:r w:rsidRPr="003B1260">
        <w:rPr>
          <w:rFonts w:ascii="Book Antiqua" w:hAnsi="Book Antiqua"/>
        </w:rPr>
        <w:t>, 14 no. 1, (2021) :150-163</w:t>
      </w:r>
    </w:p>
    <w:p w14:paraId="2C3A4381" w14:textId="77777777" w:rsidR="00CD641B" w:rsidRPr="003B1260" w:rsidRDefault="00CD641B" w:rsidP="00CD641B">
      <w:pPr>
        <w:pStyle w:val="FootnoteText"/>
        <w:spacing w:after="240"/>
        <w:ind w:left="851" w:hanging="851"/>
        <w:jc w:val="both"/>
        <w:rPr>
          <w:rFonts w:ascii="Book Antiqua" w:hAnsi="Book Antiqua"/>
          <w:sz w:val="24"/>
        </w:rPr>
      </w:pPr>
      <w:r w:rsidRPr="003B1260">
        <w:rPr>
          <w:rFonts w:ascii="Book Antiqua" w:hAnsi="Book Antiqua"/>
          <w:sz w:val="24"/>
        </w:rPr>
        <w:t>Ali</w:t>
      </w:r>
      <w:r>
        <w:rPr>
          <w:rFonts w:ascii="Book Antiqua" w:hAnsi="Book Antiqua"/>
          <w:sz w:val="24"/>
        </w:rPr>
        <w:t>,</w:t>
      </w:r>
      <w:r w:rsidRPr="003B1260">
        <w:rPr>
          <w:rFonts w:ascii="Book Antiqua" w:hAnsi="Book Antiqua"/>
          <w:sz w:val="24"/>
        </w:rPr>
        <w:t xml:space="preserve"> Zainuddin, “</w:t>
      </w:r>
      <w:r w:rsidRPr="003B1260">
        <w:rPr>
          <w:rFonts w:ascii="Book Antiqua" w:hAnsi="Book Antiqua"/>
          <w:i/>
          <w:sz w:val="24"/>
        </w:rPr>
        <w:t>Legal Research Methods</w:t>
      </w:r>
      <w:r>
        <w:rPr>
          <w:rFonts w:ascii="Book Antiqua" w:hAnsi="Book Antiqua"/>
          <w:sz w:val="24"/>
        </w:rPr>
        <w:t xml:space="preserve">,” </w:t>
      </w:r>
      <w:r w:rsidRPr="003B1260">
        <w:rPr>
          <w:rFonts w:ascii="Book Antiqua" w:hAnsi="Book Antiqua"/>
          <w:sz w:val="24"/>
        </w:rPr>
        <w:t xml:space="preserve">Jakarta: </w:t>
      </w:r>
      <w:proofErr w:type="spellStart"/>
      <w:r w:rsidRPr="003B1260">
        <w:rPr>
          <w:rFonts w:ascii="Book Antiqua" w:hAnsi="Book Antiqua"/>
          <w:sz w:val="24"/>
        </w:rPr>
        <w:t>Sinar</w:t>
      </w:r>
      <w:proofErr w:type="spellEnd"/>
      <w:r w:rsidRPr="003B1260">
        <w:rPr>
          <w:rFonts w:ascii="Book Antiqua" w:hAnsi="Book Antiqua"/>
          <w:sz w:val="24"/>
        </w:rPr>
        <w:t xml:space="preserve"> </w:t>
      </w:r>
      <w:proofErr w:type="spellStart"/>
      <w:r w:rsidRPr="003B1260">
        <w:rPr>
          <w:rFonts w:ascii="Book Antiqua" w:hAnsi="Book Antiqua"/>
          <w:sz w:val="24"/>
        </w:rPr>
        <w:t>Grafika</w:t>
      </w:r>
      <w:proofErr w:type="spellEnd"/>
      <w:r w:rsidRPr="003B1260">
        <w:rPr>
          <w:rFonts w:ascii="Book Antiqua" w:hAnsi="Book Antiqua"/>
          <w:sz w:val="24"/>
        </w:rPr>
        <w:t>: 2016</w:t>
      </w:r>
    </w:p>
    <w:p w14:paraId="523C7870"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Asshiddiqie</w:t>
      </w:r>
      <w:proofErr w:type="spellEnd"/>
      <w:r>
        <w:rPr>
          <w:rFonts w:ascii="Book Antiqua" w:hAnsi="Book Antiqua"/>
        </w:rPr>
        <w:t>,</w:t>
      </w:r>
      <w:r w:rsidRPr="003B1260">
        <w:rPr>
          <w:rFonts w:ascii="Book Antiqua" w:hAnsi="Book Antiqua"/>
        </w:rPr>
        <w:t xml:space="preserve"> </w:t>
      </w:r>
      <w:proofErr w:type="spellStart"/>
      <w:r w:rsidRPr="003B1260">
        <w:rPr>
          <w:rFonts w:ascii="Book Antiqua" w:hAnsi="Book Antiqua"/>
        </w:rPr>
        <w:t>Jimly</w:t>
      </w:r>
      <w:proofErr w:type="spellEnd"/>
      <w:r w:rsidRPr="003B1260">
        <w:rPr>
          <w:rFonts w:ascii="Book Antiqua" w:hAnsi="Book Antiqua"/>
        </w:rPr>
        <w:t>, “</w:t>
      </w:r>
      <w:r w:rsidRPr="003B1260">
        <w:rPr>
          <w:rFonts w:ascii="Book Antiqua" w:hAnsi="Book Antiqua"/>
          <w:i/>
        </w:rPr>
        <w:t>The Constitution and Law in Controversial</w:t>
      </w:r>
      <w:r>
        <w:rPr>
          <w:rFonts w:ascii="Book Antiqua" w:hAnsi="Book Antiqua"/>
        </w:rPr>
        <w:t xml:space="preserve"> Issues,” </w:t>
      </w:r>
      <w:r w:rsidRPr="003B1260">
        <w:rPr>
          <w:rFonts w:ascii="Book Antiqua" w:hAnsi="Book Antiqua"/>
        </w:rPr>
        <w:t xml:space="preserve">Jakarta: </w:t>
      </w:r>
      <w:proofErr w:type="spellStart"/>
      <w:r w:rsidRPr="003B1260">
        <w:rPr>
          <w:rFonts w:ascii="Book Antiqua" w:hAnsi="Book Antiqua"/>
        </w:rPr>
        <w:t>Konstitusi</w:t>
      </w:r>
      <w:proofErr w:type="spellEnd"/>
      <w:r w:rsidRPr="003B1260">
        <w:rPr>
          <w:rFonts w:ascii="Book Antiqua" w:hAnsi="Book Antiqua"/>
        </w:rPr>
        <w:t xml:space="preserve"> Press, 2019.</w:t>
      </w:r>
    </w:p>
    <w:p w14:paraId="74E552F3"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r w:rsidRPr="003B1260">
        <w:rPr>
          <w:rFonts w:ascii="Book Antiqua" w:hAnsi="Book Antiqua"/>
        </w:rPr>
        <w:t>Awang</w:t>
      </w:r>
      <w:r>
        <w:rPr>
          <w:rFonts w:ascii="Book Antiqua" w:hAnsi="Book Antiqua"/>
        </w:rPr>
        <w:t>,</w:t>
      </w:r>
      <w:r w:rsidRPr="003B1260">
        <w:rPr>
          <w:rFonts w:ascii="Book Antiqua" w:hAnsi="Book Antiqua"/>
        </w:rPr>
        <w:t xml:space="preserve"> S. A., “</w:t>
      </w:r>
      <w:r w:rsidRPr="003B1260">
        <w:rPr>
          <w:rFonts w:ascii="Book Antiqua" w:hAnsi="Book Antiqua"/>
          <w:i/>
        </w:rPr>
        <w:t>Community Forestry Politics</w:t>
      </w:r>
      <w:r>
        <w:rPr>
          <w:rFonts w:ascii="Book Antiqua" w:hAnsi="Book Antiqua"/>
        </w:rPr>
        <w:t xml:space="preserve">”. </w:t>
      </w:r>
      <w:r w:rsidRPr="003B1260">
        <w:rPr>
          <w:rFonts w:ascii="Book Antiqua" w:hAnsi="Book Antiqua"/>
        </w:rPr>
        <w:t>Yogyakarta (ID): Center for Critical Social Studies &amp;</w:t>
      </w:r>
      <w:r>
        <w:rPr>
          <w:rFonts w:ascii="Book Antiqua" w:hAnsi="Book Antiqua"/>
        </w:rPr>
        <w:t xml:space="preserve"> </w:t>
      </w:r>
      <w:proofErr w:type="spellStart"/>
      <w:r>
        <w:rPr>
          <w:rFonts w:ascii="Book Antiqua" w:hAnsi="Book Antiqua"/>
        </w:rPr>
        <w:t>Kreasi</w:t>
      </w:r>
      <w:proofErr w:type="spellEnd"/>
      <w:r>
        <w:rPr>
          <w:rFonts w:ascii="Book Antiqua" w:hAnsi="Book Antiqua"/>
        </w:rPr>
        <w:t xml:space="preserve"> </w:t>
      </w:r>
      <w:proofErr w:type="spellStart"/>
      <w:r>
        <w:rPr>
          <w:rFonts w:ascii="Book Antiqua" w:hAnsi="Book Antiqua"/>
        </w:rPr>
        <w:t>Wacana</w:t>
      </w:r>
      <w:proofErr w:type="spellEnd"/>
      <w:r>
        <w:rPr>
          <w:rFonts w:ascii="Book Antiqua" w:hAnsi="Book Antiqua"/>
        </w:rPr>
        <w:t xml:space="preserve"> Yogyakarta, 2003</w:t>
      </w:r>
    </w:p>
    <w:p w14:paraId="1CAC348F"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Bernanda</w:t>
      </w:r>
      <w:proofErr w:type="spellEnd"/>
      <w:r>
        <w:rPr>
          <w:rFonts w:ascii="Book Antiqua" w:hAnsi="Book Antiqua"/>
        </w:rPr>
        <w:t>,</w:t>
      </w:r>
      <w:r w:rsidRPr="003B1260">
        <w:rPr>
          <w:rFonts w:ascii="Book Antiqua" w:hAnsi="Book Antiqua"/>
        </w:rPr>
        <w:t xml:space="preserve"> Y., </w:t>
      </w:r>
      <w:proofErr w:type="spellStart"/>
      <w:r w:rsidRPr="003B1260">
        <w:rPr>
          <w:rFonts w:ascii="Book Antiqua" w:hAnsi="Book Antiqua"/>
        </w:rPr>
        <w:t>Qomariah</w:t>
      </w:r>
      <w:proofErr w:type="spellEnd"/>
      <w:r>
        <w:rPr>
          <w:rFonts w:ascii="Book Antiqua" w:hAnsi="Book Antiqua"/>
        </w:rPr>
        <w:t>,</w:t>
      </w:r>
      <w:r w:rsidRPr="003B1260">
        <w:rPr>
          <w:rFonts w:ascii="Book Antiqua" w:hAnsi="Book Antiqua"/>
        </w:rPr>
        <w:t xml:space="preserve"> I., &amp; </w:t>
      </w:r>
      <w:proofErr w:type="spellStart"/>
      <w:r w:rsidRPr="003B1260">
        <w:rPr>
          <w:rFonts w:ascii="Book Antiqua" w:hAnsi="Book Antiqua"/>
        </w:rPr>
        <w:t>Mandasari</w:t>
      </w:r>
      <w:proofErr w:type="spellEnd"/>
      <w:r>
        <w:rPr>
          <w:rFonts w:ascii="Book Antiqua" w:hAnsi="Book Antiqua"/>
        </w:rPr>
        <w:t>,</w:t>
      </w:r>
      <w:r w:rsidRPr="003B1260">
        <w:rPr>
          <w:rFonts w:ascii="Book Antiqua" w:hAnsi="Book Antiqua"/>
        </w:rPr>
        <w:t xml:space="preserve"> E., “Analysis of Land Conflicts in the Context of Customary Law”, </w:t>
      </w:r>
      <w:r w:rsidRPr="003B1260">
        <w:rPr>
          <w:rFonts w:ascii="Book Antiqua" w:hAnsi="Book Antiqua"/>
          <w:i/>
        </w:rPr>
        <w:t>Digital Footprints: Multidisciplinary Scientific Journal</w:t>
      </w:r>
      <w:r w:rsidRPr="003B1260">
        <w:rPr>
          <w:rFonts w:ascii="Book Antiqua" w:hAnsi="Book Antiqua"/>
        </w:rPr>
        <w:t>, 1 no.3, (2024): 516-523.</w:t>
      </w:r>
    </w:p>
    <w:p w14:paraId="1569043B"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Bintarawati</w:t>
      </w:r>
      <w:proofErr w:type="spellEnd"/>
      <w:r>
        <w:rPr>
          <w:rFonts w:ascii="Book Antiqua" w:hAnsi="Book Antiqua"/>
        </w:rPr>
        <w:t>,</w:t>
      </w:r>
      <w:r w:rsidRPr="003B1260">
        <w:rPr>
          <w:rFonts w:ascii="Book Antiqua" w:hAnsi="Book Antiqua"/>
        </w:rPr>
        <w:t xml:space="preserve"> Fenny, “</w:t>
      </w:r>
      <w:r w:rsidRPr="003B1260">
        <w:rPr>
          <w:rFonts w:ascii="Book Antiqua" w:hAnsi="Book Antiqua"/>
          <w:i/>
        </w:rPr>
        <w:t>Customary Law in Indonesia</w:t>
      </w:r>
      <w:r w:rsidRPr="003B1260">
        <w:rPr>
          <w:rFonts w:ascii="Book Antiqua" w:hAnsi="Book Antiqua"/>
        </w:rPr>
        <w:t>,” J</w:t>
      </w:r>
      <w:r>
        <w:rPr>
          <w:rFonts w:ascii="Book Antiqua" w:hAnsi="Book Antiqua"/>
        </w:rPr>
        <w:t xml:space="preserve">akarta: </w:t>
      </w:r>
      <w:proofErr w:type="spellStart"/>
      <w:r>
        <w:rPr>
          <w:rFonts w:ascii="Book Antiqua" w:hAnsi="Book Antiqua"/>
        </w:rPr>
        <w:t>Penerbit</w:t>
      </w:r>
      <w:proofErr w:type="spellEnd"/>
      <w:r>
        <w:rPr>
          <w:rFonts w:ascii="Book Antiqua" w:hAnsi="Book Antiqua"/>
        </w:rPr>
        <w:t xml:space="preserve"> </w:t>
      </w:r>
      <w:proofErr w:type="spellStart"/>
      <w:r>
        <w:rPr>
          <w:rFonts w:ascii="Book Antiqua" w:hAnsi="Book Antiqua"/>
        </w:rPr>
        <w:t>Lawwana</w:t>
      </w:r>
      <w:proofErr w:type="spellEnd"/>
      <w:r>
        <w:rPr>
          <w:rFonts w:ascii="Book Antiqua" w:hAnsi="Book Antiqua"/>
        </w:rPr>
        <w:t>, 2024</w:t>
      </w:r>
    </w:p>
    <w:p w14:paraId="78D3FA56" w14:textId="77777777" w:rsidR="00CD641B" w:rsidRPr="003B1260" w:rsidRDefault="00CD641B" w:rsidP="00CD641B">
      <w:pPr>
        <w:pStyle w:val="FootnoteText"/>
        <w:spacing w:after="240"/>
        <w:ind w:left="851" w:hanging="851"/>
        <w:jc w:val="both"/>
        <w:rPr>
          <w:rFonts w:ascii="Book Antiqua" w:hAnsi="Book Antiqua"/>
          <w:sz w:val="24"/>
        </w:rPr>
      </w:pPr>
      <w:proofErr w:type="spellStart"/>
      <w:r w:rsidRPr="003B1260">
        <w:rPr>
          <w:rFonts w:ascii="Book Antiqua" w:hAnsi="Book Antiqua"/>
          <w:sz w:val="24"/>
        </w:rPr>
        <w:lastRenderedPageBreak/>
        <w:t>Bustomi</w:t>
      </w:r>
      <w:proofErr w:type="spellEnd"/>
      <w:r>
        <w:rPr>
          <w:rFonts w:ascii="Book Antiqua" w:hAnsi="Book Antiqua"/>
          <w:sz w:val="24"/>
        </w:rPr>
        <w:t>,</w:t>
      </w:r>
      <w:r w:rsidRPr="003B1260">
        <w:rPr>
          <w:rFonts w:ascii="Book Antiqua" w:hAnsi="Book Antiqua"/>
          <w:sz w:val="24"/>
        </w:rPr>
        <w:t xml:space="preserve"> A. R., </w:t>
      </w:r>
      <w:proofErr w:type="spellStart"/>
      <w:r w:rsidRPr="003B1260">
        <w:rPr>
          <w:rFonts w:ascii="Book Antiqua" w:hAnsi="Book Antiqua"/>
          <w:sz w:val="24"/>
        </w:rPr>
        <w:t>Sugianto</w:t>
      </w:r>
      <w:proofErr w:type="spellEnd"/>
      <w:r>
        <w:rPr>
          <w:rFonts w:ascii="Book Antiqua" w:hAnsi="Book Antiqua"/>
          <w:sz w:val="24"/>
        </w:rPr>
        <w:t>,</w:t>
      </w:r>
      <w:r w:rsidRPr="003B1260">
        <w:rPr>
          <w:rFonts w:ascii="Book Antiqua" w:hAnsi="Book Antiqua"/>
          <w:sz w:val="24"/>
        </w:rPr>
        <w:t xml:space="preserve"> D. A., &amp; </w:t>
      </w:r>
      <w:proofErr w:type="spellStart"/>
      <w:r w:rsidRPr="003B1260">
        <w:rPr>
          <w:rFonts w:ascii="Book Antiqua" w:hAnsi="Book Antiqua"/>
          <w:sz w:val="24"/>
        </w:rPr>
        <w:t>Juniawan</w:t>
      </w:r>
      <w:proofErr w:type="spellEnd"/>
      <w:r>
        <w:rPr>
          <w:rFonts w:ascii="Book Antiqua" w:hAnsi="Book Antiqua"/>
          <w:sz w:val="24"/>
        </w:rPr>
        <w:t>,</w:t>
      </w:r>
      <w:r w:rsidRPr="003B1260">
        <w:rPr>
          <w:rFonts w:ascii="Book Antiqua" w:hAnsi="Book Antiqua"/>
          <w:sz w:val="24"/>
        </w:rPr>
        <w:t xml:space="preserve"> F. Z. “Legal Politics in Natural Resource Management: Between State Interests and Indigenous Peoples’ Rights”, </w:t>
      </w:r>
      <w:proofErr w:type="spellStart"/>
      <w:r w:rsidRPr="003B1260">
        <w:rPr>
          <w:rFonts w:ascii="Book Antiqua" w:hAnsi="Book Antiqua"/>
          <w:i/>
          <w:sz w:val="24"/>
        </w:rPr>
        <w:t>Hutanasyah</w:t>
      </w:r>
      <w:proofErr w:type="spellEnd"/>
      <w:r w:rsidRPr="003B1260">
        <w:rPr>
          <w:rFonts w:ascii="Book Antiqua" w:hAnsi="Book Antiqua"/>
          <w:i/>
          <w:sz w:val="24"/>
        </w:rPr>
        <w:t>: Journal of Constitutional Law</w:t>
      </w:r>
      <w:r w:rsidRPr="003B1260">
        <w:rPr>
          <w:rFonts w:ascii="Book Antiqua" w:hAnsi="Book Antiqua"/>
          <w:sz w:val="24"/>
        </w:rPr>
        <w:t>, 4, no. 1, (2025) :89-100.</w:t>
      </w:r>
    </w:p>
    <w:p w14:paraId="7737AA34"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Dewi</w:t>
      </w:r>
      <w:proofErr w:type="spellEnd"/>
      <w:r>
        <w:rPr>
          <w:rFonts w:ascii="Book Antiqua" w:hAnsi="Book Antiqua"/>
        </w:rPr>
        <w:t>,</w:t>
      </w:r>
      <w:r w:rsidRPr="003B1260">
        <w:rPr>
          <w:rFonts w:ascii="Book Antiqua" w:hAnsi="Book Antiqua"/>
        </w:rPr>
        <w:t xml:space="preserve"> A. A. I. A. A., </w:t>
      </w:r>
      <w:proofErr w:type="spellStart"/>
      <w:r w:rsidRPr="003B1260">
        <w:rPr>
          <w:rFonts w:ascii="Book Antiqua" w:hAnsi="Book Antiqua"/>
        </w:rPr>
        <w:t>Pramana</w:t>
      </w:r>
      <w:proofErr w:type="spellEnd"/>
      <w:r>
        <w:rPr>
          <w:rFonts w:ascii="Book Antiqua" w:hAnsi="Book Antiqua"/>
        </w:rPr>
        <w:t>,</w:t>
      </w:r>
      <w:r w:rsidRPr="003B1260">
        <w:rPr>
          <w:rFonts w:ascii="Book Antiqua" w:hAnsi="Book Antiqua"/>
        </w:rPr>
        <w:t xml:space="preserve"> I. G. P., &amp; </w:t>
      </w:r>
      <w:proofErr w:type="spellStart"/>
      <w:r w:rsidRPr="003B1260">
        <w:rPr>
          <w:rFonts w:ascii="Book Antiqua" w:hAnsi="Book Antiqua"/>
        </w:rPr>
        <w:t>Tanaya</w:t>
      </w:r>
      <w:proofErr w:type="spellEnd"/>
      <w:r>
        <w:rPr>
          <w:rFonts w:ascii="Book Antiqua" w:hAnsi="Book Antiqua"/>
        </w:rPr>
        <w:t>,</w:t>
      </w:r>
      <w:r w:rsidRPr="003B1260">
        <w:rPr>
          <w:rFonts w:ascii="Book Antiqua" w:hAnsi="Book Antiqua"/>
        </w:rPr>
        <w:t xml:space="preserve"> P. E., “Customary Law and National Law: Elaboration in the Implementation of Regional Government to Achieve Community Welfare,” </w:t>
      </w:r>
      <w:proofErr w:type="spellStart"/>
      <w:r w:rsidRPr="003B1260">
        <w:rPr>
          <w:rFonts w:ascii="Book Antiqua" w:hAnsi="Book Antiqua"/>
          <w:i/>
        </w:rPr>
        <w:t>Jurnal</w:t>
      </w:r>
      <w:proofErr w:type="spellEnd"/>
      <w:r w:rsidRPr="003B1260">
        <w:rPr>
          <w:rFonts w:ascii="Book Antiqua" w:hAnsi="Book Antiqua"/>
          <w:i/>
        </w:rPr>
        <w:t xml:space="preserve"> </w:t>
      </w:r>
      <w:proofErr w:type="spellStart"/>
      <w:r w:rsidRPr="003B1260">
        <w:rPr>
          <w:rFonts w:ascii="Book Antiqua" w:hAnsi="Book Antiqua"/>
          <w:i/>
        </w:rPr>
        <w:t>Majelis</w:t>
      </w:r>
      <w:proofErr w:type="spellEnd"/>
      <w:r w:rsidRPr="003B1260">
        <w:rPr>
          <w:rFonts w:ascii="Book Antiqua" w:hAnsi="Book Antiqua"/>
        </w:rPr>
        <w:t>, 1, (2020): 115-50.</w:t>
      </w:r>
    </w:p>
    <w:p w14:paraId="2D897B90"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Enala</w:t>
      </w:r>
      <w:proofErr w:type="spellEnd"/>
      <w:r w:rsidRPr="003B1260">
        <w:rPr>
          <w:rFonts w:ascii="Book Antiqua" w:hAnsi="Book Antiqua"/>
        </w:rPr>
        <w:t>, S. H.</w:t>
      </w:r>
      <w:r>
        <w:rPr>
          <w:rFonts w:ascii="Book Antiqua" w:hAnsi="Book Antiqua"/>
        </w:rPr>
        <w:t>,</w:t>
      </w:r>
      <w:r w:rsidRPr="003B1260">
        <w:rPr>
          <w:rFonts w:ascii="Book Antiqua" w:hAnsi="Book Antiqua"/>
        </w:rPr>
        <w:t xml:space="preserve"> Mana</w:t>
      </w:r>
      <w:r>
        <w:rPr>
          <w:rFonts w:ascii="Book Antiqua" w:hAnsi="Book Antiqua"/>
        </w:rPr>
        <w:t>,</w:t>
      </w:r>
      <w:r w:rsidRPr="003B1260">
        <w:rPr>
          <w:rFonts w:ascii="Book Antiqua" w:hAnsi="Book Antiqua"/>
        </w:rPr>
        <w:t xml:space="preserve"> F. A., </w:t>
      </w:r>
      <w:proofErr w:type="spellStart"/>
      <w:r w:rsidRPr="003B1260">
        <w:rPr>
          <w:rFonts w:ascii="Book Antiqua" w:hAnsi="Book Antiqua"/>
        </w:rPr>
        <w:t>Prasetya</w:t>
      </w:r>
      <w:proofErr w:type="spellEnd"/>
      <w:r>
        <w:rPr>
          <w:rFonts w:ascii="Book Antiqua" w:hAnsi="Book Antiqua"/>
        </w:rPr>
        <w:t>,</w:t>
      </w:r>
      <w:r w:rsidRPr="003B1260">
        <w:rPr>
          <w:rFonts w:ascii="Book Antiqua" w:hAnsi="Book Antiqua"/>
        </w:rPr>
        <w:t xml:space="preserve"> M. N., &amp; Adam</w:t>
      </w:r>
      <w:r>
        <w:rPr>
          <w:rFonts w:ascii="Book Antiqua" w:hAnsi="Book Antiqua"/>
        </w:rPr>
        <w:t>,</w:t>
      </w:r>
      <w:r w:rsidRPr="003B1260">
        <w:rPr>
          <w:rFonts w:ascii="Book Antiqua" w:hAnsi="Book Antiqua"/>
        </w:rPr>
        <w:t xml:space="preserve"> A. F., “Empowering Indigenous Peoples in Local Development Decision-Making in Regencies,” </w:t>
      </w:r>
      <w:r w:rsidRPr="003B1260">
        <w:rPr>
          <w:rFonts w:ascii="Book Antiqua" w:hAnsi="Book Antiqua"/>
          <w:i/>
        </w:rPr>
        <w:t>Journal of Community Service and Innovation</w:t>
      </w:r>
      <w:r w:rsidRPr="003B1260">
        <w:rPr>
          <w:rFonts w:ascii="Book Antiqua" w:hAnsi="Book Antiqua"/>
        </w:rPr>
        <w:t>, 2, no. 01, (2025): 8-17.</w:t>
      </w:r>
    </w:p>
    <w:p w14:paraId="0E5601BB"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r w:rsidRPr="003B1260">
        <w:rPr>
          <w:rFonts w:ascii="Book Antiqua" w:hAnsi="Book Antiqua"/>
        </w:rPr>
        <w:t>Erwin</w:t>
      </w:r>
      <w:r>
        <w:rPr>
          <w:rFonts w:ascii="Book Antiqua" w:hAnsi="Book Antiqua"/>
        </w:rPr>
        <w:t>,</w:t>
      </w:r>
      <w:r w:rsidRPr="003B1260">
        <w:rPr>
          <w:rFonts w:ascii="Book Antiqua" w:hAnsi="Book Antiqua"/>
        </w:rPr>
        <w:t xml:space="preserve"> Muhammad, “</w:t>
      </w:r>
      <w:r w:rsidRPr="003B1260">
        <w:rPr>
          <w:rFonts w:ascii="Book Antiqua" w:hAnsi="Book Antiqua"/>
          <w:i/>
        </w:rPr>
        <w:t>Environmental Law in the Indonesian National Legal System</w:t>
      </w:r>
      <w:r>
        <w:rPr>
          <w:rFonts w:ascii="Book Antiqua" w:hAnsi="Book Antiqua"/>
        </w:rPr>
        <w:t xml:space="preserve">,” </w:t>
      </w:r>
      <w:r w:rsidRPr="003B1260">
        <w:rPr>
          <w:rFonts w:ascii="Book Antiqua" w:hAnsi="Book Antiqua"/>
        </w:rPr>
        <w:t xml:space="preserve">Jakarta: </w:t>
      </w:r>
      <w:proofErr w:type="spellStart"/>
      <w:r w:rsidRPr="003B1260">
        <w:rPr>
          <w:rFonts w:ascii="Book Antiqua" w:hAnsi="Book Antiqua"/>
        </w:rPr>
        <w:t>Refika</w:t>
      </w:r>
      <w:proofErr w:type="spellEnd"/>
      <w:r w:rsidRPr="003B1260">
        <w:rPr>
          <w:rFonts w:ascii="Book Antiqua" w:hAnsi="Book Antiqua"/>
        </w:rPr>
        <w:t xml:space="preserve"> </w:t>
      </w:r>
      <w:proofErr w:type="spellStart"/>
      <w:r w:rsidRPr="003B1260">
        <w:rPr>
          <w:rFonts w:ascii="Book Antiqua" w:hAnsi="Book Antiqua"/>
        </w:rPr>
        <w:t>Aditama</w:t>
      </w:r>
      <w:proofErr w:type="spellEnd"/>
      <w:r w:rsidRPr="003B1260">
        <w:rPr>
          <w:rFonts w:ascii="Book Antiqua" w:hAnsi="Book Antiqua"/>
        </w:rPr>
        <w:t>, 2019.</w:t>
      </w:r>
    </w:p>
    <w:p w14:paraId="148D222D"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r w:rsidRPr="003B1260">
        <w:rPr>
          <w:rFonts w:ascii="Book Antiqua" w:hAnsi="Book Antiqua"/>
        </w:rPr>
        <w:t>Franz von Benda-Beckmann, “</w:t>
      </w:r>
      <w:r w:rsidRPr="003B1260">
        <w:rPr>
          <w:rFonts w:ascii="Book Antiqua" w:hAnsi="Book Antiqua"/>
          <w:i/>
        </w:rPr>
        <w:t>The Law of the Land: Customary Law in the Globalizing World</w:t>
      </w:r>
      <w:r w:rsidRPr="003B1260">
        <w:rPr>
          <w:rFonts w:ascii="Book Antiqua" w:hAnsi="Book Antiqua"/>
        </w:rPr>
        <w:t>,” Leiden: KITLV Press, 2013.</w:t>
      </w:r>
    </w:p>
    <w:p w14:paraId="0564D784"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r w:rsidRPr="003B1260">
        <w:rPr>
          <w:rFonts w:ascii="Book Antiqua" w:hAnsi="Book Antiqua"/>
        </w:rPr>
        <w:t xml:space="preserve">H. Budiman, “Spatial Planning Policy in the Implementation of Local Activity Centers in </w:t>
      </w:r>
      <w:proofErr w:type="spellStart"/>
      <w:r w:rsidRPr="003B1260">
        <w:rPr>
          <w:rFonts w:ascii="Book Antiqua" w:hAnsi="Book Antiqua"/>
        </w:rPr>
        <w:t>Kuningan</w:t>
      </w:r>
      <w:proofErr w:type="spellEnd"/>
      <w:r w:rsidRPr="003B1260">
        <w:rPr>
          <w:rFonts w:ascii="Book Antiqua" w:hAnsi="Book Antiqua"/>
        </w:rPr>
        <w:t xml:space="preserve"> Regency to Increase Local Revenue</w:t>
      </w:r>
      <w:r w:rsidRPr="003B1260">
        <w:rPr>
          <w:rFonts w:ascii="Book Antiqua" w:hAnsi="Book Antiqua"/>
          <w:i/>
        </w:rPr>
        <w:t xml:space="preserve">.” </w:t>
      </w:r>
      <w:proofErr w:type="spellStart"/>
      <w:r w:rsidRPr="003B1260">
        <w:rPr>
          <w:rFonts w:ascii="Book Antiqua" w:hAnsi="Book Antiqua"/>
          <w:i/>
        </w:rPr>
        <w:t>Unifikasi</w:t>
      </w:r>
      <w:proofErr w:type="spellEnd"/>
      <w:r w:rsidRPr="003B1260">
        <w:rPr>
          <w:rFonts w:ascii="Book Antiqua" w:hAnsi="Book Antiqua"/>
          <w:i/>
        </w:rPr>
        <w:t>: Journal of Law</w:t>
      </w:r>
      <w:r w:rsidRPr="003B1260">
        <w:rPr>
          <w:rFonts w:ascii="Book Antiqua" w:hAnsi="Book Antiqua"/>
        </w:rPr>
        <w:t>, 2, no.2, (2015).</w:t>
      </w:r>
    </w:p>
    <w:p w14:paraId="08AC9B27"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Hadikusuma</w:t>
      </w:r>
      <w:proofErr w:type="spellEnd"/>
      <w:r>
        <w:rPr>
          <w:rFonts w:ascii="Book Antiqua" w:hAnsi="Book Antiqua"/>
        </w:rPr>
        <w:t>,</w:t>
      </w:r>
      <w:r w:rsidRPr="003B1260">
        <w:rPr>
          <w:rFonts w:ascii="Book Antiqua" w:hAnsi="Book Antiqua"/>
        </w:rPr>
        <w:t xml:space="preserve"> </w:t>
      </w:r>
      <w:proofErr w:type="spellStart"/>
      <w:r w:rsidRPr="003B1260">
        <w:rPr>
          <w:rFonts w:ascii="Book Antiqua" w:hAnsi="Book Antiqua"/>
        </w:rPr>
        <w:t>Hilman</w:t>
      </w:r>
      <w:proofErr w:type="spellEnd"/>
      <w:r w:rsidRPr="003B1260">
        <w:rPr>
          <w:rFonts w:ascii="Book Antiqua" w:hAnsi="Book Antiqua"/>
        </w:rPr>
        <w:t>, “</w:t>
      </w:r>
      <w:r w:rsidRPr="003B1260">
        <w:rPr>
          <w:rFonts w:ascii="Book Antiqua" w:hAnsi="Book Antiqua"/>
          <w:i/>
        </w:rPr>
        <w:t>Introduction to Indonesian Customary Law Revised Edition</w:t>
      </w:r>
      <w:r>
        <w:rPr>
          <w:rFonts w:ascii="Book Antiqua" w:hAnsi="Book Antiqua"/>
        </w:rPr>
        <w:t xml:space="preserve">”, Bandung: Mandar </w:t>
      </w:r>
      <w:proofErr w:type="spellStart"/>
      <w:r>
        <w:rPr>
          <w:rFonts w:ascii="Book Antiqua" w:hAnsi="Book Antiqua"/>
        </w:rPr>
        <w:t>Maju</w:t>
      </w:r>
      <w:proofErr w:type="spellEnd"/>
      <w:r>
        <w:rPr>
          <w:rFonts w:ascii="Book Antiqua" w:hAnsi="Book Antiqua"/>
        </w:rPr>
        <w:t>, 2014</w:t>
      </w:r>
    </w:p>
    <w:p w14:paraId="60C8E37C" w14:textId="77777777" w:rsidR="00CD641B" w:rsidRPr="003B1260" w:rsidRDefault="00CD641B" w:rsidP="00CD641B">
      <w:pPr>
        <w:pStyle w:val="FootnoteText"/>
        <w:spacing w:after="240"/>
        <w:ind w:left="851" w:hanging="851"/>
        <w:jc w:val="both"/>
        <w:rPr>
          <w:rFonts w:ascii="Book Antiqua" w:hAnsi="Book Antiqua"/>
          <w:sz w:val="24"/>
        </w:rPr>
      </w:pPr>
      <w:proofErr w:type="spellStart"/>
      <w:r w:rsidRPr="003B1260">
        <w:rPr>
          <w:rFonts w:ascii="Book Antiqua" w:hAnsi="Book Antiqua"/>
          <w:sz w:val="24"/>
        </w:rPr>
        <w:t>Junef</w:t>
      </w:r>
      <w:proofErr w:type="spellEnd"/>
      <w:r w:rsidRPr="003B1260">
        <w:rPr>
          <w:rFonts w:ascii="Book Antiqua" w:hAnsi="Book Antiqua"/>
          <w:sz w:val="24"/>
        </w:rPr>
        <w:t xml:space="preserve"> M., “Law Enforcement in the Context of Spatial Planning to Achieve Sustainable Development,” </w:t>
      </w:r>
      <w:r w:rsidRPr="003B1260">
        <w:rPr>
          <w:rFonts w:ascii="Book Antiqua" w:hAnsi="Book Antiqua"/>
          <w:i/>
          <w:sz w:val="24"/>
        </w:rPr>
        <w:t>Journal of Legal Research</w:t>
      </w:r>
      <w:r w:rsidRPr="003B1260">
        <w:rPr>
          <w:rFonts w:ascii="Book Antiqua" w:hAnsi="Book Antiqua"/>
          <w:sz w:val="24"/>
        </w:rPr>
        <w:t xml:space="preserve">, 1410, (2024): 5632. </w:t>
      </w:r>
    </w:p>
    <w:p w14:paraId="15CBEE5B"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Kristiyanto</w:t>
      </w:r>
      <w:proofErr w:type="spellEnd"/>
      <w:r>
        <w:rPr>
          <w:rFonts w:ascii="Book Antiqua" w:hAnsi="Book Antiqua"/>
        </w:rPr>
        <w:t>,</w:t>
      </w:r>
      <w:r w:rsidRPr="003B1260">
        <w:rPr>
          <w:rFonts w:ascii="Book Antiqua" w:hAnsi="Book Antiqua"/>
        </w:rPr>
        <w:t xml:space="preserve"> E. N., “The position of local wisdom and the role of the community in spatial planning in the regions”, </w:t>
      </w:r>
      <w:proofErr w:type="spellStart"/>
      <w:r w:rsidRPr="003B1260">
        <w:rPr>
          <w:rFonts w:ascii="Book Antiqua" w:hAnsi="Book Antiqua"/>
          <w:i/>
        </w:rPr>
        <w:t>Rechts</w:t>
      </w:r>
      <w:proofErr w:type="spellEnd"/>
      <w:r w:rsidRPr="003B1260">
        <w:rPr>
          <w:rFonts w:ascii="Book Antiqua" w:hAnsi="Book Antiqua"/>
          <w:i/>
        </w:rPr>
        <w:t xml:space="preserve"> </w:t>
      </w:r>
      <w:proofErr w:type="spellStart"/>
      <w:r w:rsidRPr="003B1260">
        <w:rPr>
          <w:rFonts w:ascii="Book Antiqua" w:hAnsi="Book Antiqua"/>
          <w:i/>
        </w:rPr>
        <w:t>Vinding</w:t>
      </w:r>
      <w:proofErr w:type="spellEnd"/>
      <w:r w:rsidRPr="003B1260">
        <w:rPr>
          <w:rFonts w:ascii="Book Antiqua" w:hAnsi="Book Antiqua"/>
        </w:rPr>
        <w:t>, 6, no. 2, (2017): 151-169.</w:t>
      </w:r>
    </w:p>
    <w:p w14:paraId="4B83D886" w14:textId="77777777" w:rsidR="00CD641B" w:rsidRPr="003B1260" w:rsidRDefault="00CD641B" w:rsidP="00CD641B">
      <w:pPr>
        <w:pStyle w:val="FootnoteText"/>
        <w:spacing w:after="240"/>
        <w:ind w:left="851" w:hanging="851"/>
        <w:jc w:val="both"/>
        <w:rPr>
          <w:rFonts w:ascii="Book Antiqua" w:hAnsi="Book Antiqua"/>
          <w:i/>
          <w:sz w:val="24"/>
        </w:rPr>
      </w:pPr>
      <w:r w:rsidRPr="003B1260">
        <w:rPr>
          <w:rFonts w:ascii="Book Antiqua" w:hAnsi="Book Antiqua"/>
          <w:sz w:val="24"/>
        </w:rPr>
        <w:t>Kurniawan</w:t>
      </w:r>
      <w:r>
        <w:rPr>
          <w:rFonts w:ascii="Book Antiqua" w:hAnsi="Book Antiqua"/>
          <w:sz w:val="24"/>
        </w:rPr>
        <w:t>,</w:t>
      </w:r>
      <w:r w:rsidRPr="003B1260">
        <w:rPr>
          <w:rFonts w:ascii="Book Antiqua" w:hAnsi="Book Antiqua"/>
          <w:sz w:val="24"/>
        </w:rPr>
        <w:t xml:space="preserve"> R., “Legal Harmonization as Legal Protection for Workers in Bankrupt Companies from the Perspective of the Fifth Principle of Pancasila,” </w:t>
      </w:r>
      <w:r w:rsidRPr="003B1260">
        <w:rPr>
          <w:rFonts w:ascii="Book Antiqua" w:hAnsi="Book Antiqua"/>
          <w:i/>
          <w:sz w:val="24"/>
        </w:rPr>
        <w:t>Journal of Legal Insight,</w:t>
      </w:r>
      <w:r w:rsidRPr="003B1260">
        <w:rPr>
          <w:rFonts w:ascii="Book Antiqua" w:hAnsi="Book Antiqua"/>
          <w:sz w:val="24"/>
        </w:rPr>
        <w:t xml:space="preserve"> 28, no.1, (2013</w:t>
      </w:r>
      <w:proofErr w:type="gramStart"/>
      <w:r w:rsidRPr="003B1260">
        <w:rPr>
          <w:rFonts w:ascii="Book Antiqua" w:hAnsi="Book Antiqua"/>
          <w:sz w:val="24"/>
        </w:rPr>
        <w:t>) :</w:t>
      </w:r>
      <w:proofErr w:type="gramEnd"/>
      <w:r w:rsidRPr="003B1260">
        <w:rPr>
          <w:rFonts w:ascii="Book Antiqua" w:hAnsi="Book Antiqua"/>
          <w:sz w:val="24"/>
        </w:rPr>
        <w:t xml:space="preserve"> </w:t>
      </w:r>
      <w:r w:rsidRPr="003B1260">
        <w:rPr>
          <w:rFonts w:ascii="Book Antiqua" w:hAnsi="Book Antiqua"/>
          <w:i/>
          <w:sz w:val="24"/>
        </w:rPr>
        <w:t>687-704.</w:t>
      </w:r>
    </w:p>
    <w:p w14:paraId="1C1660C0"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Mubarok</w:t>
      </w:r>
      <w:proofErr w:type="spellEnd"/>
      <w:r>
        <w:rPr>
          <w:rFonts w:ascii="Book Antiqua" w:hAnsi="Book Antiqua"/>
        </w:rPr>
        <w:t>,</w:t>
      </w:r>
      <w:r w:rsidRPr="003B1260">
        <w:rPr>
          <w:rFonts w:ascii="Book Antiqua" w:hAnsi="Book Antiqua"/>
        </w:rPr>
        <w:t xml:space="preserve"> A., </w:t>
      </w:r>
      <w:proofErr w:type="spellStart"/>
      <w:r w:rsidRPr="003B1260">
        <w:rPr>
          <w:rFonts w:ascii="Book Antiqua" w:hAnsi="Book Antiqua"/>
        </w:rPr>
        <w:t>Alviana</w:t>
      </w:r>
      <w:proofErr w:type="spellEnd"/>
      <w:r w:rsidRPr="003B1260">
        <w:rPr>
          <w:rFonts w:ascii="Book Antiqua" w:hAnsi="Book Antiqua"/>
        </w:rPr>
        <w:t xml:space="preserve">, </w:t>
      </w:r>
      <w:proofErr w:type="gramStart"/>
      <w:r w:rsidRPr="003B1260">
        <w:rPr>
          <w:rFonts w:ascii="Book Antiqua" w:hAnsi="Book Antiqua"/>
        </w:rPr>
        <w:t>A</w:t>
      </w:r>
      <w:r>
        <w:rPr>
          <w:rFonts w:ascii="Book Antiqua" w:hAnsi="Book Antiqua"/>
        </w:rPr>
        <w:t>,</w:t>
      </w:r>
      <w:r w:rsidRPr="003B1260">
        <w:rPr>
          <w:rFonts w:ascii="Book Antiqua" w:hAnsi="Book Antiqua"/>
        </w:rPr>
        <w:t>.</w:t>
      </w:r>
      <w:proofErr w:type="gramEnd"/>
      <w:r w:rsidRPr="003B1260">
        <w:rPr>
          <w:rFonts w:ascii="Book Antiqua" w:hAnsi="Book Antiqua"/>
        </w:rPr>
        <w:t xml:space="preserve"> </w:t>
      </w:r>
      <w:proofErr w:type="spellStart"/>
      <w:r w:rsidRPr="003B1260">
        <w:rPr>
          <w:rFonts w:ascii="Book Antiqua" w:hAnsi="Book Antiqua"/>
        </w:rPr>
        <w:t>Marselina</w:t>
      </w:r>
      <w:proofErr w:type="spellEnd"/>
      <w:r>
        <w:rPr>
          <w:rFonts w:ascii="Book Antiqua" w:hAnsi="Book Antiqua"/>
        </w:rPr>
        <w:t>,</w:t>
      </w:r>
      <w:r w:rsidRPr="003B1260">
        <w:rPr>
          <w:rFonts w:ascii="Book Antiqua" w:hAnsi="Book Antiqua"/>
        </w:rPr>
        <w:t xml:space="preserve"> F. P., </w:t>
      </w:r>
      <w:proofErr w:type="spellStart"/>
      <w:r w:rsidRPr="003B1260">
        <w:rPr>
          <w:rFonts w:ascii="Book Antiqua" w:hAnsi="Book Antiqua"/>
        </w:rPr>
        <w:t>Febriansyah</w:t>
      </w:r>
      <w:proofErr w:type="spellEnd"/>
      <w:r>
        <w:rPr>
          <w:rFonts w:ascii="Book Antiqua" w:hAnsi="Book Antiqua"/>
        </w:rPr>
        <w:t>,</w:t>
      </w:r>
      <w:r w:rsidRPr="003B1260">
        <w:rPr>
          <w:rFonts w:ascii="Book Antiqua" w:hAnsi="Book Antiqua"/>
        </w:rPr>
        <w:t xml:space="preserve"> M. A. B., </w:t>
      </w:r>
      <w:proofErr w:type="spellStart"/>
      <w:r w:rsidRPr="003B1260">
        <w:rPr>
          <w:rFonts w:ascii="Book Antiqua" w:hAnsi="Book Antiqua"/>
        </w:rPr>
        <w:t>Shabrina</w:t>
      </w:r>
      <w:proofErr w:type="spellEnd"/>
      <w:r>
        <w:rPr>
          <w:rFonts w:ascii="Book Antiqua" w:hAnsi="Book Antiqua"/>
        </w:rPr>
        <w:t>,</w:t>
      </w:r>
      <w:r w:rsidRPr="003B1260">
        <w:rPr>
          <w:rFonts w:ascii="Book Antiqua" w:hAnsi="Book Antiqua"/>
        </w:rPr>
        <w:t xml:space="preserve"> S., &amp; Gayatri</w:t>
      </w:r>
      <w:r>
        <w:rPr>
          <w:rFonts w:ascii="Book Antiqua" w:hAnsi="Book Antiqua"/>
        </w:rPr>
        <w:t>,</w:t>
      </w:r>
      <w:r w:rsidRPr="003B1260">
        <w:rPr>
          <w:rFonts w:ascii="Book Antiqua" w:hAnsi="Book Antiqua"/>
        </w:rPr>
        <w:t xml:space="preserve"> T. I, “Protection of indigenous peoples' land rights in the era of regional autonomy: Challenges and opportunities,” </w:t>
      </w:r>
      <w:proofErr w:type="spellStart"/>
      <w:r w:rsidRPr="003B1260">
        <w:rPr>
          <w:rFonts w:ascii="Book Antiqua" w:hAnsi="Book Antiqua"/>
          <w:i/>
        </w:rPr>
        <w:t>Almufi</w:t>
      </w:r>
      <w:proofErr w:type="spellEnd"/>
      <w:r w:rsidRPr="003B1260">
        <w:rPr>
          <w:rFonts w:ascii="Book Antiqua" w:hAnsi="Book Antiqua"/>
          <w:i/>
        </w:rPr>
        <w:t xml:space="preserve"> Journal of Social and Humanities</w:t>
      </w:r>
      <w:r w:rsidRPr="003B1260">
        <w:rPr>
          <w:rFonts w:ascii="Book Antiqua" w:hAnsi="Book Antiqua"/>
        </w:rPr>
        <w:t>, 1, no.2, (2024): 69-77.)</w:t>
      </w:r>
    </w:p>
    <w:p w14:paraId="218A77F3"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Nasoha</w:t>
      </w:r>
      <w:proofErr w:type="spellEnd"/>
      <w:r>
        <w:rPr>
          <w:rFonts w:ascii="Book Antiqua" w:hAnsi="Book Antiqua"/>
        </w:rPr>
        <w:t>,</w:t>
      </w:r>
      <w:r w:rsidRPr="003B1260">
        <w:rPr>
          <w:rFonts w:ascii="Book Antiqua" w:hAnsi="Book Antiqua"/>
        </w:rPr>
        <w:t xml:space="preserve"> A. M. M., </w:t>
      </w:r>
      <w:proofErr w:type="spellStart"/>
      <w:r w:rsidRPr="003B1260">
        <w:rPr>
          <w:rFonts w:ascii="Book Antiqua" w:hAnsi="Book Antiqua"/>
        </w:rPr>
        <w:t>Atqiya</w:t>
      </w:r>
      <w:proofErr w:type="spellEnd"/>
      <w:r>
        <w:rPr>
          <w:rFonts w:ascii="Book Antiqua" w:hAnsi="Book Antiqua"/>
        </w:rPr>
        <w:t xml:space="preserve">, </w:t>
      </w:r>
      <w:r w:rsidRPr="003B1260">
        <w:rPr>
          <w:rFonts w:ascii="Book Antiqua" w:hAnsi="Book Antiqua"/>
        </w:rPr>
        <w:t xml:space="preserve">A. N., </w:t>
      </w:r>
      <w:proofErr w:type="spellStart"/>
      <w:r w:rsidRPr="003B1260">
        <w:rPr>
          <w:rFonts w:ascii="Book Antiqua" w:hAnsi="Book Antiqua"/>
        </w:rPr>
        <w:t>Rahmawati</w:t>
      </w:r>
      <w:proofErr w:type="spellEnd"/>
      <w:r w:rsidRPr="003B1260">
        <w:rPr>
          <w:rFonts w:ascii="Book Antiqua" w:hAnsi="Book Antiqua"/>
        </w:rPr>
        <w:t xml:space="preserve">, </w:t>
      </w:r>
      <w:r>
        <w:rPr>
          <w:rFonts w:ascii="Book Antiqua" w:hAnsi="Book Antiqua"/>
        </w:rPr>
        <w:t xml:space="preserve">D. A., </w:t>
      </w:r>
      <w:r w:rsidRPr="003B1260">
        <w:rPr>
          <w:rFonts w:ascii="Book Antiqua" w:hAnsi="Book Antiqua"/>
        </w:rPr>
        <w:t>Az-</w:t>
      </w:r>
      <w:proofErr w:type="spellStart"/>
      <w:r w:rsidRPr="003B1260">
        <w:rPr>
          <w:rFonts w:ascii="Book Antiqua" w:hAnsi="Book Antiqua"/>
        </w:rPr>
        <w:t>zahra</w:t>
      </w:r>
      <w:proofErr w:type="spellEnd"/>
      <w:r>
        <w:rPr>
          <w:rFonts w:ascii="Book Antiqua" w:hAnsi="Book Antiqua"/>
        </w:rPr>
        <w:t>,</w:t>
      </w:r>
      <w:r w:rsidRPr="003B1260">
        <w:rPr>
          <w:rFonts w:ascii="Book Antiqua" w:hAnsi="Book Antiqua"/>
        </w:rPr>
        <w:t xml:space="preserve"> Z. L. A., &amp; </w:t>
      </w:r>
      <w:proofErr w:type="spellStart"/>
      <w:r w:rsidRPr="003B1260">
        <w:rPr>
          <w:rFonts w:ascii="Book Antiqua" w:hAnsi="Book Antiqua"/>
        </w:rPr>
        <w:t>Shafira</w:t>
      </w:r>
      <w:proofErr w:type="spellEnd"/>
      <w:r>
        <w:rPr>
          <w:rFonts w:ascii="Book Antiqua" w:hAnsi="Book Antiqua"/>
        </w:rPr>
        <w:t>,</w:t>
      </w:r>
      <w:r w:rsidRPr="003B1260">
        <w:rPr>
          <w:rFonts w:ascii="Book Antiqua" w:hAnsi="Book Antiqua"/>
        </w:rPr>
        <w:t xml:space="preserve"> N., Integration of Pancasila Values in the Indonesian Constitutional Law System: Implications for the Protection of Customary Law. </w:t>
      </w:r>
      <w:r w:rsidRPr="003B1260">
        <w:rPr>
          <w:rFonts w:ascii="Book Antiqua" w:hAnsi="Book Antiqua"/>
          <w:i/>
        </w:rPr>
        <w:t>Progressive Politics: Journal of Law, Politics and Humanities</w:t>
      </w:r>
      <w:r w:rsidRPr="003B1260">
        <w:rPr>
          <w:rFonts w:ascii="Book Antiqua" w:hAnsi="Book Antiqua"/>
        </w:rPr>
        <w:t>, 1, no. 4, (2024): 47-59.</w:t>
      </w:r>
    </w:p>
    <w:p w14:paraId="582862B8" w14:textId="77777777" w:rsidR="00CD641B" w:rsidRPr="003B1260" w:rsidRDefault="00CD641B" w:rsidP="00CD641B">
      <w:pPr>
        <w:pStyle w:val="FootnoteText"/>
        <w:spacing w:after="240"/>
        <w:ind w:left="851" w:hanging="851"/>
        <w:jc w:val="both"/>
        <w:rPr>
          <w:rFonts w:ascii="Book Antiqua" w:hAnsi="Book Antiqua"/>
          <w:sz w:val="24"/>
        </w:rPr>
      </w:pPr>
      <w:proofErr w:type="spellStart"/>
      <w:r w:rsidRPr="003B1260">
        <w:rPr>
          <w:rFonts w:ascii="Book Antiqua" w:hAnsi="Book Antiqua"/>
          <w:sz w:val="24"/>
        </w:rPr>
        <w:t>Partini</w:t>
      </w:r>
      <w:proofErr w:type="spellEnd"/>
      <w:r w:rsidRPr="003B1260">
        <w:rPr>
          <w:rFonts w:ascii="Book Antiqua" w:hAnsi="Book Antiqua"/>
          <w:sz w:val="24"/>
        </w:rPr>
        <w:t xml:space="preserve">, N. N. T. (2024). The Role of Customary Law in Law Enforcement and Dispute Resolution. </w:t>
      </w:r>
      <w:r w:rsidRPr="003B1260">
        <w:rPr>
          <w:rFonts w:ascii="Book Antiqua" w:hAnsi="Book Antiqua"/>
          <w:i/>
          <w:sz w:val="24"/>
        </w:rPr>
        <w:t>Virtue Jurisprudence</w:t>
      </w:r>
      <w:r w:rsidRPr="003B1260">
        <w:rPr>
          <w:rFonts w:ascii="Book Antiqua" w:hAnsi="Book Antiqua"/>
          <w:sz w:val="24"/>
        </w:rPr>
        <w:t>, 2 no. 2, (2024): 192-201.</w:t>
      </w:r>
    </w:p>
    <w:p w14:paraId="20600496"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Praditha</w:t>
      </w:r>
      <w:proofErr w:type="spellEnd"/>
      <w:r>
        <w:rPr>
          <w:rFonts w:ascii="Book Antiqua" w:hAnsi="Book Antiqua"/>
        </w:rPr>
        <w:t>,</w:t>
      </w:r>
      <w:r w:rsidRPr="003B1260">
        <w:rPr>
          <w:rFonts w:ascii="Book Antiqua" w:hAnsi="Book Antiqua"/>
        </w:rPr>
        <w:t xml:space="preserve"> D. G. E., “</w:t>
      </w:r>
      <w:r w:rsidRPr="003B1260">
        <w:rPr>
          <w:rFonts w:ascii="Book Antiqua" w:hAnsi="Book Antiqua"/>
          <w:i/>
        </w:rPr>
        <w:t>Local Wisdom Law: An Introduction to Indigenous Law</w:t>
      </w:r>
      <w:r w:rsidRPr="003B1260">
        <w:rPr>
          <w:rFonts w:ascii="Book Antiqua" w:hAnsi="Book Antiqua"/>
        </w:rPr>
        <w:t>,” Malang:</w:t>
      </w:r>
      <w:r>
        <w:rPr>
          <w:rFonts w:ascii="Book Antiqua" w:hAnsi="Book Antiqua"/>
        </w:rPr>
        <w:t xml:space="preserve"> </w:t>
      </w:r>
      <w:proofErr w:type="spellStart"/>
      <w:r>
        <w:rPr>
          <w:rFonts w:ascii="Book Antiqua" w:hAnsi="Book Antiqua"/>
        </w:rPr>
        <w:t>Literasi</w:t>
      </w:r>
      <w:proofErr w:type="spellEnd"/>
      <w:r>
        <w:rPr>
          <w:rFonts w:ascii="Book Antiqua" w:hAnsi="Book Antiqua"/>
        </w:rPr>
        <w:t xml:space="preserve"> Nusantara Abadi, 2023</w:t>
      </w:r>
    </w:p>
    <w:p w14:paraId="1E9CBCDF"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lastRenderedPageBreak/>
        <w:t>Pratiwi</w:t>
      </w:r>
      <w:proofErr w:type="spellEnd"/>
      <w:r>
        <w:rPr>
          <w:rFonts w:ascii="Book Antiqua" w:hAnsi="Book Antiqua"/>
        </w:rPr>
        <w:t>,</w:t>
      </w:r>
      <w:r w:rsidRPr="003B1260">
        <w:rPr>
          <w:rFonts w:ascii="Book Antiqua" w:hAnsi="Book Antiqua"/>
        </w:rPr>
        <w:t xml:space="preserve"> B., </w:t>
      </w:r>
      <w:proofErr w:type="spellStart"/>
      <w:r w:rsidRPr="003B1260">
        <w:rPr>
          <w:rFonts w:ascii="Book Antiqua" w:hAnsi="Book Antiqua"/>
        </w:rPr>
        <w:t>Soeparan</w:t>
      </w:r>
      <w:proofErr w:type="spellEnd"/>
      <w:r>
        <w:rPr>
          <w:rFonts w:ascii="Book Antiqua" w:hAnsi="Book Antiqua"/>
        </w:rPr>
        <w:t>,</w:t>
      </w:r>
      <w:r w:rsidRPr="003B1260">
        <w:rPr>
          <w:rFonts w:ascii="Book Antiqua" w:hAnsi="Book Antiqua"/>
        </w:rPr>
        <w:t xml:space="preserve"> P. F., &amp; Wibisono</w:t>
      </w:r>
      <w:r>
        <w:rPr>
          <w:rFonts w:ascii="Book Antiqua" w:hAnsi="Book Antiqua"/>
        </w:rPr>
        <w:t>,</w:t>
      </w:r>
      <w:r w:rsidRPr="003B1260">
        <w:rPr>
          <w:rFonts w:ascii="Book Antiqua" w:hAnsi="Book Antiqua"/>
        </w:rPr>
        <w:t xml:space="preserve"> W., “The Role of Customary Law in the Settlement of Agrarian Disputes in Indonesia: An Empirical Study Using Comparative Methods,” Hakim: Journal of Law and Social Sciences, 2, no. 4, (2024): 807-822.</w:t>
      </w:r>
    </w:p>
    <w:p w14:paraId="7E066A56" w14:textId="77777777" w:rsidR="00CD641B" w:rsidRPr="003B1260" w:rsidRDefault="00CD641B" w:rsidP="00CD641B">
      <w:pPr>
        <w:pStyle w:val="FootnoteText"/>
        <w:spacing w:after="240"/>
        <w:ind w:left="851" w:hanging="851"/>
        <w:jc w:val="both"/>
        <w:rPr>
          <w:rFonts w:ascii="Book Antiqua" w:hAnsi="Book Antiqua"/>
          <w:sz w:val="24"/>
        </w:rPr>
      </w:pPr>
      <w:proofErr w:type="spellStart"/>
      <w:r w:rsidRPr="003B1260">
        <w:rPr>
          <w:rFonts w:ascii="Book Antiqua" w:hAnsi="Book Antiqua"/>
          <w:sz w:val="24"/>
        </w:rPr>
        <w:t>Priyanta</w:t>
      </w:r>
      <w:proofErr w:type="spellEnd"/>
      <w:r w:rsidRPr="003B1260">
        <w:rPr>
          <w:rFonts w:ascii="Book Antiqua" w:hAnsi="Book Antiqua"/>
          <w:sz w:val="24"/>
        </w:rPr>
        <w:t xml:space="preserve">, M. “Updating and harmonizing environmental and spatial planning regulations towards sustainable development,” </w:t>
      </w:r>
      <w:proofErr w:type="spellStart"/>
      <w:r w:rsidRPr="003B1260">
        <w:rPr>
          <w:rFonts w:ascii="Book Antiqua" w:hAnsi="Book Antiqua"/>
          <w:i/>
          <w:sz w:val="24"/>
        </w:rPr>
        <w:t>Hasanuddin</w:t>
      </w:r>
      <w:proofErr w:type="spellEnd"/>
      <w:r w:rsidRPr="003B1260">
        <w:rPr>
          <w:rFonts w:ascii="Book Antiqua" w:hAnsi="Book Antiqua"/>
          <w:i/>
          <w:sz w:val="24"/>
        </w:rPr>
        <w:t xml:space="preserve"> Law Review</w:t>
      </w:r>
      <w:r w:rsidRPr="003B1260">
        <w:rPr>
          <w:rFonts w:ascii="Book Antiqua" w:hAnsi="Book Antiqua"/>
          <w:sz w:val="24"/>
        </w:rPr>
        <w:t>, 1, no. 3, (2015): 337-349.</w:t>
      </w:r>
    </w:p>
    <w:p w14:paraId="572A4F57"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Rahmawati</w:t>
      </w:r>
      <w:proofErr w:type="spellEnd"/>
      <w:r w:rsidRPr="003B1260">
        <w:rPr>
          <w:rFonts w:ascii="Book Antiqua" w:hAnsi="Book Antiqua"/>
        </w:rPr>
        <w:t>, “</w:t>
      </w:r>
      <w:r w:rsidRPr="003B1260">
        <w:rPr>
          <w:rFonts w:ascii="Book Antiqua" w:hAnsi="Book Antiqua"/>
          <w:i/>
        </w:rPr>
        <w:t>Public Policy (Theory and Political Analysis</w:t>
      </w:r>
      <w:r w:rsidRPr="003B1260">
        <w:rPr>
          <w:rFonts w:ascii="Book Antiqua" w:hAnsi="Book Antiqua"/>
        </w:rPr>
        <w:t xml:space="preserve">),” </w:t>
      </w:r>
      <w:r>
        <w:rPr>
          <w:rFonts w:ascii="Book Antiqua" w:hAnsi="Book Antiqua"/>
        </w:rPr>
        <w:t>Jakarta: YPAD Publisher, 2025</w:t>
      </w:r>
    </w:p>
    <w:p w14:paraId="0D329E3E"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r w:rsidRPr="003B1260">
        <w:rPr>
          <w:rFonts w:ascii="Book Antiqua" w:hAnsi="Book Antiqua"/>
        </w:rPr>
        <w:t>Ridwan</w:t>
      </w:r>
      <w:r>
        <w:rPr>
          <w:rFonts w:ascii="Book Antiqua" w:hAnsi="Book Antiqua"/>
        </w:rPr>
        <w:t>,</w:t>
      </w:r>
      <w:r w:rsidRPr="003B1260">
        <w:rPr>
          <w:rFonts w:ascii="Book Antiqua" w:hAnsi="Book Antiqua"/>
        </w:rPr>
        <w:t xml:space="preserve"> I. H. J. &amp; </w:t>
      </w:r>
      <w:proofErr w:type="spellStart"/>
      <w:r w:rsidRPr="003B1260">
        <w:rPr>
          <w:rFonts w:ascii="Book Antiqua" w:hAnsi="Book Antiqua"/>
        </w:rPr>
        <w:t>Sodik</w:t>
      </w:r>
      <w:proofErr w:type="spellEnd"/>
      <w:r>
        <w:rPr>
          <w:rFonts w:ascii="Book Antiqua" w:hAnsi="Book Antiqua"/>
        </w:rPr>
        <w:t>,</w:t>
      </w:r>
      <w:r w:rsidRPr="003B1260">
        <w:rPr>
          <w:rFonts w:ascii="Book Antiqua" w:hAnsi="Book Antiqua"/>
        </w:rPr>
        <w:t xml:space="preserve"> </w:t>
      </w:r>
      <w:proofErr w:type="spellStart"/>
      <w:r w:rsidRPr="003B1260">
        <w:rPr>
          <w:rFonts w:ascii="Book Antiqua" w:hAnsi="Book Antiqua"/>
        </w:rPr>
        <w:t>Achmad</w:t>
      </w:r>
      <w:proofErr w:type="spellEnd"/>
      <w:r w:rsidRPr="003B1260">
        <w:rPr>
          <w:rFonts w:ascii="Book Antiqua" w:hAnsi="Book Antiqua"/>
        </w:rPr>
        <w:t>, ‘</w:t>
      </w:r>
      <w:r w:rsidRPr="003B1260">
        <w:rPr>
          <w:rFonts w:ascii="Book Antiqua" w:hAnsi="Book Antiqua"/>
          <w:i/>
        </w:rPr>
        <w:t>Spatial Law: in the concept of regional autonomy policy</w:t>
      </w:r>
      <w:r w:rsidRPr="003B1260">
        <w:rPr>
          <w:rFonts w:ascii="Book Antiqua" w:hAnsi="Book Antiqua"/>
        </w:rPr>
        <w:t xml:space="preserve">”, Jakarta: </w:t>
      </w:r>
      <w:proofErr w:type="spellStart"/>
      <w:r w:rsidRPr="003B1260">
        <w:rPr>
          <w:rFonts w:ascii="Book Antiqua" w:hAnsi="Book Antiqua"/>
        </w:rPr>
        <w:t>Nuansa</w:t>
      </w:r>
      <w:proofErr w:type="spellEnd"/>
      <w:r w:rsidRPr="003B1260">
        <w:rPr>
          <w:rFonts w:ascii="Book Antiqua" w:hAnsi="Book Antiqua"/>
        </w:rPr>
        <w:t xml:space="preserve"> </w:t>
      </w:r>
      <w:proofErr w:type="spellStart"/>
      <w:r w:rsidRPr="003B1260">
        <w:rPr>
          <w:rFonts w:ascii="Book Antiqua" w:hAnsi="Book Antiqua"/>
        </w:rPr>
        <w:t>Cendekia</w:t>
      </w:r>
      <w:proofErr w:type="spellEnd"/>
      <w:r w:rsidRPr="003B1260">
        <w:rPr>
          <w:rFonts w:ascii="Book Antiqua" w:hAnsi="Book Antiqua"/>
        </w:rPr>
        <w:t>, 2023.</w:t>
      </w:r>
    </w:p>
    <w:p w14:paraId="69ED57A2"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Safaat</w:t>
      </w:r>
      <w:proofErr w:type="spellEnd"/>
      <w:r w:rsidRPr="003B1260">
        <w:rPr>
          <w:rFonts w:ascii="Book Antiqua" w:hAnsi="Book Antiqua"/>
        </w:rPr>
        <w:t>, R.</w:t>
      </w:r>
      <w:r>
        <w:rPr>
          <w:rFonts w:ascii="Book Antiqua" w:hAnsi="Book Antiqua"/>
        </w:rPr>
        <w:t>,</w:t>
      </w:r>
      <w:r w:rsidRPr="003B1260">
        <w:rPr>
          <w:rFonts w:ascii="Book Antiqua" w:hAnsi="Book Antiqua"/>
        </w:rPr>
        <w:t xml:space="preserve"> &amp; </w:t>
      </w:r>
      <w:proofErr w:type="spellStart"/>
      <w:r w:rsidRPr="003B1260">
        <w:rPr>
          <w:rFonts w:ascii="Book Antiqua" w:hAnsi="Book Antiqua"/>
        </w:rPr>
        <w:t>Yono</w:t>
      </w:r>
      <w:proofErr w:type="spellEnd"/>
      <w:r>
        <w:rPr>
          <w:rFonts w:ascii="Book Antiqua" w:hAnsi="Book Antiqua"/>
        </w:rPr>
        <w:t>,</w:t>
      </w:r>
      <w:r w:rsidRPr="003B1260">
        <w:rPr>
          <w:rFonts w:ascii="Book Antiqua" w:hAnsi="Book Antiqua"/>
        </w:rPr>
        <w:t xml:space="preserve"> D., “The Role of the State in the Management of Marine Resources Based on Local Wisdom for Equitable Welfare”, Legality: Scientific Journal of Law, 25, no. 1, (2017): 22-43.</w:t>
      </w:r>
    </w:p>
    <w:p w14:paraId="5147DB03"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Saptomo</w:t>
      </w:r>
      <w:proofErr w:type="spellEnd"/>
      <w:r>
        <w:rPr>
          <w:rFonts w:ascii="Book Antiqua" w:hAnsi="Book Antiqua"/>
        </w:rPr>
        <w:t>,</w:t>
      </w:r>
      <w:r w:rsidRPr="003B1260">
        <w:rPr>
          <w:rFonts w:ascii="Book Antiqua" w:hAnsi="Book Antiqua"/>
        </w:rPr>
        <w:t xml:space="preserve"> A., “</w:t>
      </w:r>
      <w:r w:rsidRPr="003B1260">
        <w:rPr>
          <w:rFonts w:ascii="Book Antiqua" w:hAnsi="Book Antiqua"/>
          <w:i/>
        </w:rPr>
        <w:t>Law and Local Wisdom: Revitalization of Indigenous Law in the Archipelago</w:t>
      </w:r>
      <w:r>
        <w:rPr>
          <w:rFonts w:ascii="Book Antiqua" w:hAnsi="Book Antiqua"/>
        </w:rPr>
        <w:t xml:space="preserve">,” Jakarta: </w:t>
      </w:r>
      <w:proofErr w:type="spellStart"/>
      <w:r>
        <w:rPr>
          <w:rFonts w:ascii="Book Antiqua" w:hAnsi="Book Antiqua"/>
        </w:rPr>
        <w:t>Grasindo</w:t>
      </w:r>
      <w:proofErr w:type="spellEnd"/>
      <w:r>
        <w:rPr>
          <w:rFonts w:ascii="Book Antiqua" w:hAnsi="Book Antiqua"/>
        </w:rPr>
        <w:t>, 2010</w:t>
      </w:r>
    </w:p>
    <w:p w14:paraId="4CA9D0EA" w14:textId="77777777" w:rsidR="00CD641B" w:rsidRPr="003B1260" w:rsidRDefault="00CD641B" w:rsidP="00CD641B">
      <w:pPr>
        <w:pStyle w:val="FootnoteText"/>
        <w:spacing w:after="240"/>
        <w:ind w:left="851" w:hanging="851"/>
        <w:jc w:val="both"/>
        <w:rPr>
          <w:rFonts w:ascii="Book Antiqua" w:hAnsi="Book Antiqua"/>
          <w:sz w:val="24"/>
        </w:rPr>
      </w:pPr>
      <w:proofErr w:type="spellStart"/>
      <w:r w:rsidRPr="003B1260">
        <w:rPr>
          <w:rFonts w:ascii="Book Antiqua" w:hAnsi="Book Antiqua"/>
          <w:sz w:val="24"/>
        </w:rPr>
        <w:t>Saptomo</w:t>
      </w:r>
      <w:proofErr w:type="spellEnd"/>
      <w:r>
        <w:rPr>
          <w:rFonts w:ascii="Book Antiqua" w:hAnsi="Book Antiqua"/>
          <w:sz w:val="24"/>
        </w:rPr>
        <w:t>,</w:t>
      </w:r>
      <w:r w:rsidRPr="003B1260">
        <w:rPr>
          <w:rFonts w:ascii="Book Antiqua" w:hAnsi="Book Antiqua"/>
          <w:sz w:val="24"/>
        </w:rPr>
        <w:t xml:space="preserve"> Ade,</w:t>
      </w:r>
      <w:r w:rsidRPr="003B1260">
        <w:rPr>
          <w:rFonts w:ascii="Book Antiqua" w:hAnsi="Book Antiqua"/>
          <w:i/>
          <w:sz w:val="24"/>
        </w:rPr>
        <w:t xml:space="preserve"> </w:t>
      </w:r>
      <w:r w:rsidRPr="003B1260">
        <w:rPr>
          <w:rFonts w:ascii="Book Antiqua" w:hAnsi="Book Antiqua"/>
          <w:sz w:val="24"/>
        </w:rPr>
        <w:t>“</w:t>
      </w:r>
      <w:r w:rsidRPr="003B1260">
        <w:rPr>
          <w:rFonts w:ascii="Book Antiqua" w:hAnsi="Book Antiqua"/>
          <w:i/>
          <w:sz w:val="24"/>
        </w:rPr>
        <w:t>Law and Local Wisdom: Revitalization of Indigenous Law in the Archipelago,”</w:t>
      </w:r>
      <w:r w:rsidRPr="003B1260">
        <w:rPr>
          <w:rFonts w:ascii="Book Antiqua" w:hAnsi="Book Antiqua"/>
          <w:sz w:val="24"/>
        </w:rPr>
        <w:t xml:space="preserve"> Jakarta: PT. </w:t>
      </w:r>
      <w:proofErr w:type="spellStart"/>
      <w:r w:rsidRPr="003B1260">
        <w:rPr>
          <w:rFonts w:ascii="Book Antiqua" w:hAnsi="Book Antiqua"/>
          <w:sz w:val="24"/>
        </w:rPr>
        <w:t>Grasindo</w:t>
      </w:r>
      <w:proofErr w:type="spellEnd"/>
      <w:r w:rsidRPr="003B1260">
        <w:rPr>
          <w:rFonts w:ascii="Book Antiqua" w:hAnsi="Book Antiqua"/>
          <w:sz w:val="24"/>
        </w:rPr>
        <w:t>, 2010</w:t>
      </w:r>
    </w:p>
    <w:p w14:paraId="29C07E25"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Saragih</w:t>
      </w:r>
      <w:proofErr w:type="spellEnd"/>
      <w:r>
        <w:rPr>
          <w:rFonts w:ascii="Book Antiqua" w:hAnsi="Book Antiqua"/>
        </w:rPr>
        <w:t>,</w:t>
      </w:r>
      <w:r w:rsidRPr="003B1260">
        <w:rPr>
          <w:rFonts w:ascii="Book Antiqua" w:hAnsi="Book Antiqua"/>
        </w:rPr>
        <w:t xml:space="preserve"> R. A., R. </w:t>
      </w:r>
      <w:proofErr w:type="spellStart"/>
      <w:r w:rsidRPr="003B1260">
        <w:rPr>
          <w:rFonts w:ascii="Book Antiqua" w:hAnsi="Book Antiqua"/>
        </w:rPr>
        <w:t>Sembiring</w:t>
      </w:r>
      <w:proofErr w:type="spellEnd"/>
      <w:r w:rsidRPr="003B1260">
        <w:rPr>
          <w:rFonts w:ascii="Book Antiqua" w:hAnsi="Book Antiqua"/>
        </w:rPr>
        <w:t xml:space="preserve">, S. </w:t>
      </w:r>
      <w:proofErr w:type="spellStart"/>
      <w:r w:rsidRPr="003B1260">
        <w:rPr>
          <w:rFonts w:ascii="Book Antiqua" w:hAnsi="Book Antiqua"/>
        </w:rPr>
        <w:t>Suhaidi</w:t>
      </w:r>
      <w:proofErr w:type="spellEnd"/>
      <w:r w:rsidRPr="003B1260">
        <w:rPr>
          <w:rFonts w:ascii="Book Antiqua" w:hAnsi="Book Antiqua"/>
        </w:rPr>
        <w:t xml:space="preserve">, &amp; S. L. </w:t>
      </w:r>
      <w:proofErr w:type="spellStart"/>
      <w:r w:rsidRPr="003B1260">
        <w:rPr>
          <w:rFonts w:ascii="Book Antiqua" w:hAnsi="Book Antiqua"/>
        </w:rPr>
        <w:t>Andriati</w:t>
      </w:r>
      <w:proofErr w:type="spellEnd"/>
      <w:r w:rsidRPr="003B1260">
        <w:rPr>
          <w:rFonts w:ascii="Book Antiqua" w:hAnsi="Book Antiqua"/>
        </w:rPr>
        <w:t xml:space="preserve">, “Legal Analysis of Customary Forest Ownership and Management by Indigenous Peoples: (A Study of the </w:t>
      </w:r>
      <w:proofErr w:type="spellStart"/>
      <w:r w:rsidRPr="003B1260">
        <w:rPr>
          <w:rFonts w:ascii="Book Antiqua" w:hAnsi="Book Antiqua"/>
        </w:rPr>
        <w:t>Tombak</w:t>
      </w:r>
      <w:proofErr w:type="spellEnd"/>
      <w:r w:rsidRPr="003B1260">
        <w:rPr>
          <w:rFonts w:ascii="Book Antiqua" w:hAnsi="Book Antiqua"/>
        </w:rPr>
        <w:t xml:space="preserve"> </w:t>
      </w:r>
      <w:proofErr w:type="spellStart"/>
      <w:r w:rsidRPr="003B1260">
        <w:rPr>
          <w:rFonts w:ascii="Book Antiqua" w:hAnsi="Book Antiqua"/>
        </w:rPr>
        <w:t>Haminjon</w:t>
      </w:r>
      <w:proofErr w:type="spellEnd"/>
      <w:r w:rsidRPr="003B1260">
        <w:rPr>
          <w:rFonts w:ascii="Book Antiqua" w:hAnsi="Book Antiqua"/>
        </w:rPr>
        <w:t xml:space="preserve"> Customary Forest in </w:t>
      </w:r>
      <w:proofErr w:type="spellStart"/>
      <w:r w:rsidRPr="003B1260">
        <w:rPr>
          <w:rFonts w:ascii="Book Antiqua" w:hAnsi="Book Antiqua"/>
        </w:rPr>
        <w:t>Pandumaan</w:t>
      </w:r>
      <w:proofErr w:type="spellEnd"/>
      <w:r w:rsidRPr="003B1260">
        <w:rPr>
          <w:rFonts w:ascii="Book Antiqua" w:hAnsi="Book Antiqua"/>
        </w:rPr>
        <w:t xml:space="preserve"> Village and </w:t>
      </w:r>
      <w:proofErr w:type="spellStart"/>
      <w:r w:rsidRPr="003B1260">
        <w:rPr>
          <w:rFonts w:ascii="Book Antiqua" w:hAnsi="Book Antiqua"/>
        </w:rPr>
        <w:t>Sipituhuta</w:t>
      </w:r>
      <w:proofErr w:type="spellEnd"/>
      <w:r w:rsidRPr="003B1260">
        <w:rPr>
          <w:rFonts w:ascii="Book Antiqua" w:hAnsi="Book Antiqua"/>
        </w:rPr>
        <w:t xml:space="preserve"> Village, </w:t>
      </w:r>
      <w:proofErr w:type="spellStart"/>
      <w:r w:rsidRPr="003B1260">
        <w:rPr>
          <w:rFonts w:ascii="Book Antiqua" w:hAnsi="Book Antiqua"/>
        </w:rPr>
        <w:t>Humbang</w:t>
      </w:r>
      <w:proofErr w:type="spellEnd"/>
      <w:r w:rsidRPr="003B1260">
        <w:rPr>
          <w:rFonts w:ascii="Book Antiqua" w:hAnsi="Book Antiqua"/>
        </w:rPr>
        <w:t xml:space="preserve"> </w:t>
      </w:r>
      <w:proofErr w:type="spellStart"/>
      <w:r w:rsidRPr="003B1260">
        <w:rPr>
          <w:rFonts w:ascii="Book Antiqua" w:hAnsi="Book Antiqua"/>
        </w:rPr>
        <w:t>Hasudutan</w:t>
      </w:r>
      <w:proofErr w:type="spellEnd"/>
      <w:r w:rsidRPr="003B1260">
        <w:rPr>
          <w:rFonts w:ascii="Book Antiqua" w:hAnsi="Book Antiqua"/>
        </w:rPr>
        <w:t xml:space="preserve"> Regency).” </w:t>
      </w:r>
      <w:r w:rsidRPr="003B1260">
        <w:rPr>
          <w:rFonts w:ascii="Book Antiqua" w:hAnsi="Book Antiqua"/>
          <w:i/>
        </w:rPr>
        <w:t xml:space="preserve">Locus Journal of Academic Literature Review, </w:t>
      </w:r>
      <w:r w:rsidRPr="003B1260">
        <w:rPr>
          <w:rFonts w:ascii="Book Antiqua" w:hAnsi="Book Antiqua"/>
        </w:rPr>
        <w:t>2 no. 3, (2023): 243–260. https://doi.org/10.56128/ljoalr.v2i3.141</w:t>
      </w:r>
    </w:p>
    <w:p w14:paraId="58B422D0"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Setiadi</w:t>
      </w:r>
      <w:proofErr w:type="spellEnd"/>
      <w:r w:rsidRPr="003B1260">
        <w:rPr>
          <w:rFonts w:ascii="Book Antiqua" w:hAnsi="Book Antiqua"/>
        </w:rPr>
        <w:t>, G. “</w:t>
      </w:r>
      <w:proofErr w:type="spellStart"/>
      <w:r w:rsidRPr="003B1260">
        <w:rPr>
          <w:rFonts w:ascii="Book Antiqua" w:hAnsi="Book Antiqua"/>
          <w:i/>
        </w:rPr>
        <w:t>Pengetahuan</w:t>
      </w:r>
      <w:proofErr w:type="spellEnd"/>
      <w:r w:rsidRPr="003B1260">
        <w:rPr>
          <w:rFonts w:ascii="Book Antiqua" w:hAnsi="Book Antiqua"/>
          <w:i/>
        </w:rPr>
        <w:t xml:space="preserve"> Dasar Pancasila </w:t>
      </w:r>
      <w:proofErr w:type="spellStart"/>
      <w:r w:rsidRPr="003B1260">
        <w:rPr>
          <w:rFonts w:ascii="Book Antiqua" w:hAnsi="Book Antiqua"/>
          <w:i/>
        </w:rPr>
        <w:t>Untuk</w:t>
      </w:r>
      <w:proofErr w:type="spellEnd"/>
      <w:r w:rsidRPr="003B1260">
        <w:rPr>
          <w:rFonts w:ascii="Book Antiqua" w:hAnsi="Book Antiqua"/>
          <w:i/>
        </w:rPr>
        <w:t xml:space="preserve"> </w:t>
      </w:r>
      <w:proofErr w:type="spellStart"/>
      <w:r w:rsidRPr="003B1260">
        <w:rPr>
          <w:rFonts w:ascii="Book Antiqua" w:hAnsi="Book Antiqua"/>
          <w:i/>
        </w:rPr>
        <w:t>Perguruan</w:t>
      </w:r>
      <w:proofErr w:type="spellEnd"/>
      <w:r w:rsidRPr="003B1260">
        <w:rPr>
          <w:rFonts w:ascii="Book Antiqua" w:hAnsi="Book Antiqua"/>
          <w:i/>
        </w:rPr>
        <w:t xml:space="preserve"> Tinggi</w:t>
      </w:r>
      <w:r w:rsidRPr="003B1260">
        <w:rPr>
          <w:rFonts w:ascii="Book Antiqua" w:hAnsi="Book Antiqua"/>
        </w:rPr>
        <w:t>” (Basic Knowledge of Pancasila for Higher Educati</w:t>
      </w:r>
      <w:r>
        <w:rPr>
          <w:rFonts w:ascii="Book Antiqua" w:hAnsi="Book Antiqua"/>
        </w:rPr>
        <w:t xml:space="preserve">on), Jakarta: </w:t>
      </w:r>
      <w:proofErr w:type="spellStart"/>
      <w:r>
        <w:rPr>
          <w:rFonts w:ascii="Book Antiqua" w:hAnsi="Book Antiqua"/>
        </w:rPr>
        <w:t>Penerbitan</w:t>
      </w:r>
      <w:proofErr w:type="spellEnd"/>
      <w:r>
        <w:rPr>
          <w:rFonts w:ascii="Book Antiqua" w:hAnsi="Book Antiqua"/>
        </w:rPr>
        <w:t>, 2003</w:t>
      </w:r>
    </w:p>
    <w:p w14:paraId="11A86972"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Setyowati</w:t>
      </w:r>
      <w:proofErr w:type="spellEnd"/>
      <w:r>
        <w:rPr>
          <w:rFonts w:ascii="Book Antiqua" w:hAnsi="Book Antiqua"/>
        </w:rPr>
        <w:t>,</w:t>
      </w:r>
      <w:r w:rsidRPr="003B1260">
        <w:rPr>
          <w:rFonts w:ascii="Book Antiqua" w:hAnsi="Book Antiqua"/>
        </w:rPr>
        <w:t xml:space="preserve"> </w:t>
      </w:r>
      <w:proofErr w:type="spellStart"/>
      <w:r w:rsidRPr="003B1260">
        <w:rPr>
          <w:rFonts w:ascii="Book Antiqua" w:hAnsi="Book Antiqua"/>
        </w:rPr>
        <w:t>Retno</w:t>
      </w:r>
      <w:proofErr w:type="spellEnd"/>
      <w:r w:rsidRPr="003B1260">
        <w:rPr>
          <w:rFonts w:ascii="Book Antiqua" w:hAnsi="Book Antiqua"/>
        </w:rPr>
        <w:t xml:space="preserve"> </w:t>
      </w:r>
      <w:proofErr w:type="spellStart"/>
      <w:r w:rsidRPr="003B1260">
        <w:rPr>
          <w:rFonts w:ascii="Book Antiqua" w:hAnsi="Book Antiqua"/>
        </w:rPr>
        <w:t>Kus</w:t>
      </w:r>
      <w:proofErr w:type="spellEnd"/>
      <w:r w:rsidRPr="003B1260">
        <w:rPr>
          <w:rFonts w:ascii="Book Antiqua" w:hAnsi="Book Antiqua"/>
        </w:rPr>
        <w:t xml:space="preserve">, “State Recognition of Customary Law Communities,” </w:t>
      </w:r>
      <w:proofErr w:type="spellStart"/>
      <w:r w:rsidRPr="003B1260">
        <w:rPr>
          <w:rFonts w:ascii="Book Antiqua" w:hAnsi="Book Antiqua"/>
          <w:i/>
        </w:rPr>
        <w:t>Binamulia</w:t>
      </w:r>
      <w:proofErr w:type="spellEnd"/>
      <w:r w:rsidRPr="003B1260">
        <w:rPr>
          <w:rFonts w:ascii="Book Antiqua" w:hAnsi="Book Antiqua"/>
          <w:i/>
        </w:rPr>
        <w:t xml:space="preserve"> </w:t>
      </w:r>
      <w:proofErr w:type="spellStart"/>
      <w:r w:rsidRPr="003B1260">
        <w:rPr>
          <w:rFonts w:ascii="Book Antiqua" w:hAnsi="Book Antiqua"/>
          <w:i/>
        </w:rPr>
        <w:t>Hukum</w:t>
      </w:r>
      <w:proofErr w:type="spellEnd"/>
      <w:r w:rsidRPr="003B1260">
        <w:rPr>
          <w:rFonts w:ascii="Book Antiqua" w:hAnsi="Book Antiqua"/>
        </w:rPr>
        <w:t xml:space="preserve"> 12, no.1, (July 2023): 131-142</w:t>
      </w:r>
    </w:p>
    <w:p w14:paraId="04E1F2C4"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Sudiana</w:t>
      </w:r>
      <w:proofErr w:type="spellEnd"/>
      <w:r>
        <w:rPr>
          <w:rFonts w:ascii="Book Antiqua" w:hAnsi="Book Antiqua"/>
        </w:rPr>
        <w:t>,</w:t>
      </w:r>
      <w:r w:rsidRPr="003B1260">
        <w:rPr>
          <w:rFonts w:ascii="Book Antiqua" w:hAnsi="Book Antiqua"/>
        </w:rPr>
        <w:t xml:space="preserve"> A. K., “Regulation of Local Wisdom Integration in Environmental Management in Bali Province,” </w:t>
      </w:r>
      <w:proofErr w:type="spellStart"/>
      <w:r w:rsidRPr="003B1260">
        <w:rPr>
          <w:rFonts w:ascii="Book Antiqua" w:hAnsi="Book Antiqua"/>
          <w:i/>
        </w:rPr>
        <w:t>Saraswati</w:t>
      </w:r>
      <w:proofErr w:type="spellEnd"/>
      <w:r w:rsidRPr="003B1260">
        <w:rPr>
          <w:rFonts w:ascii="Book Antiqua" w:hAnsi="Book Antiqua"/>
          <w:i/>
        </w:rPr>
        <w:t xml:space="preserve"> Law Journal</w:t>
      </w:r>
      <w:r w:rsidRPr="003B1260">
        <w:rPr>
          <w:rFonts w:ascii="Book Antiqua" w:hAnsi="Book Antiqua"/>
        </w:rPr>
        <w:t>, 7, 01, (2025): 933-945.</w:t>
      </w:r>
    </w:p>
    <w:p w14:paraId="6B2AED17"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Sumardjono</w:t>
      </w:r>
      <w:proofErr w:type="spellEnd"/>
      <w:r>
        <w:rPr>
          <w:rFonts w:ascii="Book Antiqua" w:hAnsi="Book Antiqua"/>
        </w:rPr>
        <w:t>,</w:t>
      </w:r>
      <w:r w:rsidRPr="003B1260">
        <w:rPr>
          <w:rFonts w:ascii="Book Antiqua" w:hAnsi="Book Antiqua"/>
        </w:rPr>
        <w:t xml:space="preserve"> Maria S.W., “</w:t>
      </w:r>
      <w:r w:rsidRPr="003B1260">
        <w:rPr>
          <w:rFonts w:ascii="Book Antiqua" w:hAnsi="Book Antiqua"/>
          <w:i/>
        </w:rPr>
        <w:t>Land Policy between Regulation and Implementation”</w:t>
      </w:r>
      <w:r w:rsidRPr="003B1260">
        <w:rPr>
          <w:rFonts w:ascii="Book Antiqua" w:hAnsi="Book Antiqua"/>
        </w:rPr>
        <w:t>, (</w:t>
      </w:r>
      <w:proofErr w:type="spellStart"/>
      <w:r w:rsidRPr="003B1260">
        <w:rPr>
          <w:rFonts w:ascii="Book Antiqua" w:hAnsi="Book Antiqua"/>
        </w:rPr>
        <w:t>ogyakarta</w:t>
      </w:r>
      <w:proofErr w:type="spellEnd"/>
      <w:r w:rsidRPr="003B1260">
        <w:rPr>
          <w:rFonts w:ascii="Book Antiqua" w:hAnsi="Book Antiqua"/>
        </w:rPr>
        <w:t xml:space="preserve">: Gadjah </w:t>
      </w:r>
      <w:proofErr w:type="spellStart"/>
      <w:r w:rsidRPr="003B1260">
        <w:rPr>
          <w:rFonts w:ascii="Book Antiqua" w:hAnsi="Book Antiqua"/>
        </w:rPr>
        <w:t>Mada</w:t>
      </w:r>
      <w:proofErr w:type="spellEnd"/>
      <w:r w:rsidRPr="003B1260">
        <w:rPr>
          <w:rFonts w:ascii="Book Antiqua" w:hAnsi="Book Antiqua"/>
        </w:rPr>
        <w:t xml:space="preserve"> University Press,</w:t>
      </w:r>
      <w:r>
        <w:rPr>
          <w:rFonts w:ascii="Book Antiqua" w:hAnsi="Book Antiqua"/>
        </w:rPr>
        <w:t xml:space="preserve"> 2012</w:t>
      </w:r>
    </w:p>
    <w:p w14:paraId="68D68BC8" w14:textId="77777777" w:rsidR="00CD641B" w:rsidRPr="003B1260" w:rsidRDefault="00CD641B" w:rsidP="00CD641B">
      <w:pPr>
        <w:pStyle w:val="NormalWeb"/>
        <w:spacing w:before="0" w:beforeAutospacing="0" w:after="240" w:afterAutospacing="0"/>
        <w:jc w:val="both"/>
        <w:rPr>
          <w:rFonts w:ascii="Book Antiqua" w:hAnsi="Book Antiqua"/>
        </w:rPr>
      </w:pPr>
      <w:proofErr w:type="spellStart"/>
      <w:r w:rsidRPr="003B1260">
        <w:rPr>
          <w:rFonts w:ascii="Book Antiqua" w:hAnsi="Book Antiqua"/>
        </w:rPr>
        <w:t>Susiani</w:t>
      </w:r>
      <w:proofErr w:type="spellEnd"/>
      <w:r w:rsidRPr="003B1260">
        <w:rPr>
          <w:rFonts w:ascii="Book Antiqua" w:hAnsi="Book Antiqua"/>
        </w:rPr>
        <w:t>, D.  “</w:t>
      </w:r>
      <w:r w:rsidRPr="003B1260">
        <w:rPr>
          <w:rFonts w:ascii="Book Antiqua" w:hAnsi="Book Antiqua"/>
          <w:i/>
        </w:rPr>
        <w:t>Spatial Law</w:t>
      </w:r>
      <w:r w:rsidRPr="003B1260">
        <w:rPr>
          <w:rFonts w:ascii="Book Antiqua" w:hAnsi="Book Antiqua"/>
        </w:rPr>
        <w:t xml:space="preserve">,” (Jakarta: </w:t>
      </w:r>
      <w:proofErr w:type="spellStart"/>
      <w:r w:rsidRPr="003B1260">
        <w:rPr>
          <w:rFonts w:ascii="Book Antiqua" w:hAnsi="Book Antiqua"/>
        </w:rPr>
        <w:t>Pustaka</w:t>
      </w:r>
      <w:proofErr w:type="spellEnd"/>
      <w:r w:rsidRPr="003B1260">
        <w:rPr>
          <w:rFonts w:ascii="Book Antiqua" w:hAnsi="Book Antiqua"/>
        </w:rPr>
        <w:t xml:space="preserve"> Abadi, 2020)</w:t>
      </w:r>
    </w:p>
    <w:p w14:paraId="09BD5E63" w14:textId="77777777" w:rsidR="00CD641B" w:rsidRPr="003B1260" w:rsidRDefault="00CD641B" w:rsidP="00CD641B">
      <w:pPr>
        <w:pStyle w:val="FootnoteText"/>
        <w:spacing w:after="240"/>
        <w:ind w:left="851" w:hanging="851"/>
        <w:jc w:val="both"/>
        <w:rPr>
          <w:rFonts w:ascii="Book Antiqua" w:hAnsi="Book Antiqua"/>
          <w:sz w:val="24"/>
        </w:rPr>
      </w:pPr>
      <w:proofErr w:type="spellStart"/>
      <w:r w:rsidRPr="003B1260">
        <w:rPr>
          <w:rFonts w:ascii="Book Antiqua" w:hAnsi="Book Antiqua"/>
          <w:sz w:val="24"/>
        </w:rPr>
        <w:t>Syahriar</w:t>
      </w:r>
      <w:proofErr w:type="spellEnd"/>
      <w:r>
        <w:rPr>
          <w:rFonts w:ascii="Book Antiqua" w:hAnsi="Book Antiqua"/>
          <w:sz w:val="24"/>
        </w:rPr>
        <w:t>,</w:t>
      </w:r>
      <w:r w:rsidRPr="003B1260">
        <w:rPr>
          <w:rFonts w:ascii="Book Antiqua" w:hAnsi="Book Antiqua"/>
          <w:sz w:val="24"/>
        </w:rPr>
        <w:t xml:space="preserve"> I. &amp; </w:t>
      </w:r>
      <w:proofErr w:type="spellStart"/>
      <w:r w:rsidRPr="003B1260">
        <w:rPr>
          <w:rFonts w:ascii="Book Antiqua" w:hAnsi="Book Antiqua"/>
          <w:sz w:val="24"/>
        </w:rPr>
        <w:t>Bazarah</w:t>
      </w:r>
      <w:proofErr w:type="spellEnd"/>
      <w:r>
        <w:rPr>
          <w:rFonts w:ascii="Book Antiqua" w:hAnsi="Book Antiqua"/>
          <w:sz w:val="24"/>
        </w:rPr>
        <w:t>,</w:t>
      </w:r>
      <w:r w:rsidRPr="003B1260">
        <w:rPr>
          <w:rFonts w:ascii="Book Antiqua" w:hAnsi="Book Antiqua"/>
          <w:sz w:val="24"/>
        </w:rPr>
        <w:t xml:space="preserve"> J., “Social Justice in the Indonesian Legal State.” </w:t>
      </w:r>
      <w:proofErr w:type="spellStart"/>
      <w:r w:rsidRPr="003B1260">
        <w:rPr>
          <w:rFonts w:ascii="Book Antiqua" w:hAnsi="Book Antiqua"/>
          <w:i/>
          <w:sz w:val="24"/>
        </w:rPr>
        <w:t>Dedikasi</w:t>
      </w:r>
      <w:proofErr w:type="spellEnd"/>
      <w:r w:rsidRPr="003B1260">
        <w:rPr>
          <w:rFonts w:ascii="Book Antiqua" w:hAnsi="Book Antiqua"/>
          <w:i/>
          <w:sz w:val="24"/>
        </w:rPr>
        <w:t xml:space="preserve">: </w:t>
      </w:r>
      <w:proofErr w:type="spellStart"/>
      <w:r w:rsidRPr="003B1260">
        <w:rPr>
          <w:rFonts w:ascii="Book Antiqua" w:hAnsi="Book Antiqua"/>
          <w:i/>
          <w:sz w:val="24"/>
        </w:rPr>
        <w:t>Jurnal</w:t>
      </w:r>
      <w:proofErr w:type="spellEnd"/>
      <w:r w:rsidRPr="003B1260">
        <w:rPr>
          <w:rFonts w:ascii="Book Antiqua" w:hAnsi="Book Antiqua"/>
          <w:i/>
          <w:sz w:val="24"/>
        </w:rPr>
        <w:t xml:space="preserve"> </w:t>
      </w:r>
      <w:proofErr w:type="spellStart"/>
      <w:r w:rsidRPr="003B1260">
        <w:rPr>
          <w:rFonts w:ascii="Book Antiqua" w:hAnsi="Book Antiqua"/>
          <w:i/>
          <w:sz w:val="24"/>
        </w:rPr>
        <w:t>Ilmiah</w:t>
      </w:r>
      <w:proofErr w:type="spellEnd"/>
      <w:r w:rsidRPr="003B1260">
        <w:rPr>
          <w:rFonts w:ascii="Book Antiqua" w:hAnsi="Book Antiqua"/>
          <w:i/>
          <w:sz w:val="24"/>
        </w:rPr>
        <w:t xml:space="preserve"> </w:t>
      </w:r>
      <w:proofErr w:type="spellStart"/>
      <w:r w:rsidRPr="003B1260">
        <w:rPr>
          <w:rFonts w:ascii="Book Antiqua" w:hAnsi="Book Antiqua"/>
          <w:i/>
          <w:sz w:val="24"/>
        </w:rPr>
        <w:t>Sosial</w:t>
      </w:r>
      <w:proofErr w:type="spellEnd"/>
      <w:r w:rsidRPr="003B1260">
        <w:rPr>
          <w:rFonts w:ascii="Book Antiqua" w:hAnsi="Book Antiqua"/>
          <w:i/>
          <w:sz w:val="24"/>
        </w:rPr>
        <w:t xml:space="preserve">, </w:t>
      </w:r>
      <w:proofErr w:type="spellStart"/>
      <w:r w:rsidRPr="003B1260">
        <w:rPr>
          <w:rFonts w:ascii="Book Antiqua" w:hAnsi="Book Antiqua"/>
          <w:i/>
          <w:sz w:val="24"/>
        </w:rPr>
        <w:t>Hukum</w:t>
      </w:r>
      <w:proofErr w:type="spellEnd"/>
      <w:r w:rsidRPr="003B1260">
        <w:rPr>
          <w:rFonts w:ascii="Book Antiqua" w:hAnsi="Book Antiqua"/>
          <w:i/>
          <w:sz w:val="24"/>
        </w:rPr>
        <w:t xml:space="preserve">, </w:t>
      </w:r>
      <w:proofErr w:type="spellStart"/>
      <w:r w:rsidRPr="003B1260">
        <w:rPr>
          <w:rFonts w:ascii="Book Antiqua" w:hAnsi="Book Antiqua"/>
          <w:i/>
          <w:sz w:val="24"/>
        </w:rPr>
        <w:t>Budaya</w:t>
      </w:r>
      <w:proofErr w:type="spellEnd"/>
      <w:r w:rsidRPr="003B1260">
        <w:rPr>
          <w:rFonts w:ascii="Book Antiqua" w:hAnsi="Book Antiqua"/>
          <w:i/>
          <w:sz w:val="24"/>
        </w:rPr>
        <w:t xml:space="preserve">, </w:t>
      </w:r>
      <w:r w:rsidRPr="003B1260">
        <w:rPr>
          <w:rFonts w:ascii="Book Antiqua" w:hAnsi="Book Antiqua"/>
          <w:sz w:val="24"/>
        </w:rPr>
        <w:t>26, no. 1, (2025): 41-54</w:t>
      </w:r>
    </w:p>
    <w:p w14:paraId="40DAB091"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Tamburaka</w:t>
      </w:r>
      <w:proofErr w:type="spellEnd"/>
      <w:r w:rsidRPr="003B1260">
        <w:rPr>
          <w:rFonts w:ascii="Book Antiqua" w:hAnsi="Book Antiqua"/>
        </w:rPr>
        <w:t xml:space="preserve"> A. Y. “</w:t>
      </w:r>
      <w:r w:rsidRPr="003B1260">
        <w:rPr>
          <w:rFonts w:ascii="Book Antiqua" w:hAnsi="Book Antiqua"/>
          <w:i/>
        </w:rPr>
        <w:t>Customary Land, Mining, and CSR</w:t>
      </w:r>
      <w:r w:rsidRPr="003B1260">
        <w:rPr>
          <w:rFonts w:ascii="Book Antiqua" w:hAnsi="Book Antiqua"/>
        </w:rPr>
        <w:t xml:space="preserve">,” (Jakarta: CV. </w:t>
      </w:r>
      <w:proofErr w:type="spellStart"/>
      <w:r w:rsidRPr="003B1260">
        <w:rPr>
          <w:rFonts w:ascii="Book Antiqua" w:hAnsi="Book Antiqua"/>
        </w:rPr>
        <w:t>Azka</w:t>
      </w:r>
      <w:proofErr w:type="spellEnd"/>
      <w:r w:rsidRPr="003B1260">
        <w:rPr>
          <w:rFonts w:ascii="Book Antiqua" w:hAnsi="Book Antiqua"/>
        </w:rPr>
        <w:t xml:space="preserve"> </w:t>
      </w:r>
      <w:proofErr w:type="spellStart"/>
      <w:r w:rsidRPr="003B1260">
        <w:rPr>
          <w:rFonts w:ascii="Book Antiqua" w:hAnsi="Book Antiqua"/>
        </w:rPr>
        <w:t>Pustaka</w:t>
      </w:r>
      <w:proofErr w:type="spellEnd"/>
      <w:r w:rsidRPr="003B1260">
        <w:rPr>
          <w:rFonts w:ascii="Book Antiqua" w:hAnsi="Book Antiqua"/>
        </w:rPr>
        <w:t>, 2025).</w:t>
      </w:r>
    </w:p>
    <w:p w14:paraId="20B471C9"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r w:rsidRPr="003B1260">
        <w:rPr>
          <w:rFonts w:ascii="Book Antiqua" w:hAnsi="Book Antiqua"/>
        </w:rPr>
        <w:t>Teng, I.</w:t>
      </w:r>
      <w:r>
        <w:rPr>
          <w:rFonts w:ascii="Book Antiqua" w:hAnsi="Book Antiqua"/>
        </w:rPr>
        <w:t>,</w:t>
      </w:r>
      <w:r w:rsidRPr="003B1260">
        <w:rPr>
          <w:rFonts w:ascii="Book Antiqua" w:hAnsi="Book Antiqua"/>
        </w:rPr>
        <w:t xml:space="preserve"> “</w:t>
      </w:r>
      <w:proofErr w:type="spellStart"/>
      <w:r w:rsidRPr="003B1260">
        <w:rPr>
          <w:rFonts w:ascii="Book Antiqua" w:hAnsi="Book Antiqua"/>
        </w:rPr>
        <w:t>Bobeto</w:t>
      </w:r>
      <w:proofErr w:type="spellEnd"/>
      <w:r w:rsidRPr="003B1260">
        <w:rPr>
          <w:rFonts w:ascii="Book Antiqua" w:hAnsi="Book Antiqua"/>
        </w:rPr>
        <w:t xml:space="preserve">: A Local Wisdom Value that Shapes the Ritual Space between Humans and Nature in </w:t>
      </w:r>
      <w:proofErr w:type="spellStart"/>
      <w:r w:rsidRPr="003B1260">
        <w:rPr>
          <w:rFonts w:ascii="Book Antiqua" w:hAnsi="Book Antiqua"/>
        </w:rPr>
        <w:t>Kalaodi-Tidore</w:t>
      </w:r>
      <w:proofErr w:type="spellEnd"/>
      <w:r w:rsidRPr="003B1260">
        <w:rPr>
          <w:rFonts w:ascii="Book Antiqua" w:hAnsi="Book Antiqua"/>
        </w:rPr>
        <w:t xml:space="preserve">,” </w:t>
      </w:r>
      <w:r w:rsidRPr="003B1260">
        <w:rPr>
          <w:rFonts w:ascii="Book Antiqua" w:hAnsi="Book Antiqua"/>
          <w:i/>
        </w:rPr>
        <w:t>Local Wisdom</w:t>
      </w:r>
      <w:r w:rsidRPr="003B1260">
        <w:rPr>
          <w:rFonts w:ascii="Book Antiqua" w:hAnsi="Book Antiqua"/>
        </w:rPr>
        <w:t>, 1 no. 1, (2017): 12-22</w:t>
      </w:r>
    </w:p>
    <w:p w14:paraId="457DEDF5"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r w:rsidRPr="003B1260">
        <w:rPr>
          <w:rFonts w:ascii="Book Antiqua" w:hAnsi="Book Antiqua"/>
        </w:rPr>
        <w:lastRenderedPageBreak/>
        <w:t xml:space="preserve">Ter </w:t>
      </w:r>
      <w:proofErr w:type="spellStart"/>
      <w:r w:rsidRPr="003B1260">
        <w:rPr>
          <w:rFonts w:ascii="Book Antiqua" w:hAnsi="Book Antiqua"/>
        </w:rPr>
        <w:t>Haar</w:t>
      </w:r>
      <w:proofErr w:type="spellEnd"/>
      <w:r w:rsidRPr="003B1260">
        <w:rPr>
          <w:rFonts w:ascii="Book Antiqua" w:hAnsi="Book Antiqua"/>
        </w:rPr>
        <w:t xml:space="preserve"> B., “</w:t>
      </w:r>
      <w:r w:rsidRPr="003B1260">
        <w:rPr>
          <w:rFonts w:ascii="Book Antiqua" w:hAnsi="Book Antiqua"/>
          <w:i/>
        </w:rPr>
        <w:t>Indigenous Law in Indonesia</w:t>
      </w:r>
      <w:r w:rsidRPr="003B1260">
        <w:rPr>
          <w:rFonts w:ascii="Book Antiqua" w:hAnsi="Book Antiqua"/>
        </w:rPr>
        <w:t xml:space="preserve">,” Jakarta: </w:t>
      </w:r>
      <w:proofErr w:type="spellStart"/>
      <w:r w:rsidRPr="003B1260">
        <w:rPr>
          <w:rFonts w:ascii="Book Antiqua" w:hAnsi="Book Antiqua"/>
        </w:rPr>
        <w:t>Nuansa</w:t>
      </w:r>
      <w:proofErr w:type="spellEnd"/>
      <w:r w:rsidRPr="003B1260">
        <w:rPr>
          <w:rFonts w:ascii="Book Antiqua" w:hAnsi="Book Antiqua"/>
        </w:rPr>
        <w:t xml:space="preserve"> </w:t>
      </w:r>
      <w:proofErr w:type="spellStart"/>
      <w:r w:rsidRPr="003B1260">
        <w:rPr>
          <w:rFonts w:ascii="Book Antiqua" w:hAnsi="Book Antiqua"/>
        </w:rPr>
        <w:t>Cendekia</w:t>
      </w:r>
      <w:proofErr w:type="spellEnd"/>
      <w:r w:rsidRPr="003B1260">
        <w:rPr>
          <w:rFonts w:ascii="Book Antiqua" w:hAnsi="Book Antiqua"/>
        </w:rPr>
        <w:t>, 2024.</w:t>
      </w:r>
    </w:p>
    <w:p w14:paraId="0B1EA3DA"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proofErr w:type="spellStart"/>
      <w:r w:rsidRPr="003B1260">
        <w:rPr>
          <w:rFonts w:ascii="Book Antiqua" w:hAnsi="Book Antiqua"/>
        </w:rPr>
        <w:t>Wahyuni</w:t>
      </w:r>
      <w:proofErr w:type="spellEnd"/>
      <w:r w:rsidRPr="003B1260">
        <w:rPr>
          <w:rFonts w:ascii="Book Antiqua" w:hAnsi="Book Antiqua"/>
        </w:rPr>
        <w:t xml:space="preserve"> T., “Spatial Justice in Cities,” </w:t>
      </w:r>
      <w:r w:rsidRPr="003B1260">
        <w:rPr>
          <w:rFonts w:ascii="Book Antiqua" w:hAnsi="Book Antiqua"/>
          <w:i/>
        </w:rPr>
        <w:t>ISMETEK</w:t>
      </w:r>
      <w:r w:rsidRPr="003B1260">
        <w:rPr>
          <w:rFonts w:ascii="Book Antiqua" w:hAnsi="Book Antiqua"/>
        </w:rPr>
        <w:t>, 14 no.2, (2024).</w:t>
      </w:r>
    </w:p>
    <w:p w14:paraId="31809F7D" w14:textId="77777777" w:rsidR="00CD641B" w:rsidRPr="003B1260" w:rsidRDefault="00CD641B" w:rsidP="00CD641B">
      <w:pPr>
        <w:pStyle w:val="NormalWeb"/>
        <w:spacing w:before="0" w:beforeAutospacing="0" w:after="240" w:afterAutospacing="0"/>
        <w:ind w:left="851" w:hanging="851"/>
        <w:jc w:val="both"/>
        <w:rPr>
          <w:rFonts w:ascii="Book Antiqua" w:hAnsi="Book Antiqua"/>
        </w:rPr>
      </w:pPr>
      <w:r w:rsidRPr="003B1260">
        <w:rPr>
          <w:rFonts w:ascii="Book Antiqua" w:hAnsi="Book Antiqua"/>
        </w:rPr>
        <w:t>Wibowo</w:t>
      </w:r>
      <w:r>
        <w:rPr>
          <w:rFonts w:ascii="Book Antiqua" w:hAnsi="Book Antiqua"/>
        </w:rPr>
        <w:t>,</w:t>
      </w:r>
      <w:r w:rsidRPr="003B1260">
        <w:rPr>
          <w:rFonts w:ascii="Book Antiqua" w:hAnsi="Book Antiqua"/>
        </w:rPr>
        <w:t xml:space="preserve"> A., “</w:t>
      </w:r>
      <w:r w:rsidRPr="003B1260">
        <w:rPr>
          <w:rFonts w:ascii="Book Antiqua" w:hAnsi="Book Antiqua"/>
          <w:i/>
        </w:rPr>
        <w:t>Bankruptcy Law</w:t>
      </w:r>
      <w:r w:rsidRPr="003B1260">
        <w:rPr>
          <w:rFonts w:ascii="Book Antiqua" w:hAnsi="Book Antiqua"/>
        </w:rPr>
        <w:t xml:space="preserve">,” (Jakarta: Prima </w:t>
      </w:r>
      <w:proofErr w:type="spellStart"/>
      <w:r w:rsidRPr="003B1260">
        <w:rPr>
          <w:rFonts w:ascii="Book Antiqua" w:hAnsi="Book Antiqua"/>
        </w:rPr>
        <w:t>Agus</w:t>
      </w:r>
      <w:proofErr w:type="spellEnd"/>
      <w:r w:rsidRPr="003B1260">
        <w:rPr>
          <w:rFonts w:ascii="Book Antiqua" w:hAnsi="Book Antiqua"/>
        </w:rPr>
        <w:t xml:space="preserve"> Teknik Foundation Publisher).</w:t>
      </w:r>
    </w:p>
    <w:p w14:paraId="2E734837" w14:textId="77777777" w:rsidR="00CD641B" w:rsidRPr="003B1260" w:rsidRDefault="00CD641B" w:rsidP="00CD641B">
      <w:pPr>
        <w:pStyle w:val="FootnoteText"/>
        <w:spacing w:after="240"/>
        <w:ind w:left="851" w:hanging="851"/>
        <w:jc w:val="both"/>
        <w:rPr>
          <w:rFonts w:ascii="Book Antiqua" w:hAnsi="Book Antiqua"/>
          <w:sz w:val="24"/>
        </w:rPr>
      </w:pPr>
      <w:proofErr w:type="spellStart"/>
      <w:r w:rsidRPr="003B1260">
        <w:rPr>
          <w:rFonts w:ascii="Book Antiqua" w:hAnsi="Book Antiqua"/>
          <w:sz w:val="24"/>
        </w:rPr>
        <w:t>Wignjosoebroto</w:t>
      </w:r>
      <w:proofErr w:type="spellEnd"/>
      <w:r>
        <w:rPr>
          <w:rFonts w:ascii="Book Antiqua" w:hAnsi="Book Antiqua"/>
          <w:sz w:val="24"/>
        </w:rPr>
        <w:t>,</w:t>
      </w:r>
      <w:r w:rsidRPr="003B1260">
        <w:rPr>
          <w:rFonts w:ascii="Book Antiqua" w:hAnsi="Book Antiqua"/>
          <w:sz w:val="24"/>
        </w:rPr>
        <w:t xml:space="preserve"> </w:t>
      </w:r>
      <w:proofErr w:type="spellStart"/>
      <w:r w:rsidRPr="003B1260">
        <w:rPr>
          <w:rFonts w:ascii="Book Antiqua" w:hAnsi="Book Antiqua"/>
          <w:sz w:val="24"/>
        </w:rPr>
        <w:t>Soetandyo</w:t>
      </w:r>
      <w:proofErr w:type="spellEnd"/>
      <w:r w:rsidRPr="003B1260">
        <w:rPr>
          <w:rFonts w:ascii="Book Antiqua" w:hAnsi="Book Antiqua"/>
          <w:sz w:val="24"/>
        </w:rPr>
        <w:t>, "</w:t>
      </w:r>
      <w:r w:rsidRPr="003B1260">
        <w:rPr>
          <w:rFonts w:ascii="Book Antiqua" w:hAnsi="Book Antiqua"/>
          <w:i/>
          <w:sz w:val="24"/>
        </w:rPr>
        <w:t>From Colonial Law to National Law: Socio-Political Dynamics in the Development of Law in Indonesia.</w:t>
      </w:r>
      <w:r>
        <w:rPr>
          <w:rFonts w:ascii="Book Antiqua" w:hAnsi="Book Antiqua"/>
          <w:sz w:val="24"/>
        </w:rPr>
        <w:t xml:space="preserve"> Jakarta: </w:t>
      </w:r>
      <w:proofErr w:type="spellStart"/>
      <w:r>
        <w:rPr>
          <w:rFonts w:ascii="Book Antiqua" w:hAnsi="Book Antiqua"/>
          <w:sz w:val="24"/>
        </w:rPr>
        <w:t>Rajawali</w:t>
      </w:r>
      <w:proofErr w:type="spellEnd"/>
      <w:r>
        <w:rPr>
          <w:rFonts w:ascii="Book Antiqua" w:hAnsi="Book Antiqua"/>
          <w:sz w:val="24"/>
        </w:rPr>
        <w:t xml:space="preserve"> Press, 2002</w:t>
      </w:r>
    </w:p>
    <w:sectPr w:rsidR="00CD641B" w:rsidRPr="003B1260" w:rsidSect="00A43BE4">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01BDB" w14:textId="77777777" w:rsidR="004E2B46" w:rsidRDefault="004E2B46" w:rsidP="00256733">
      <w:pPr>
        <w:spacing w:line="240" w:lineRule="auto"/>
      </w:pPr>
      <w:r>
        <w:separator/>
      </w:r>
    </w:p>
  </w:endnote>
  <w:endnote w:type="continuationSeparator" w:id="0">
    <w:p w14:paraId="052BBB6B" w14:textId="77777777" w:rsidR="004E2B46" w:rsidRDefault="004E2B46" w:rsidP="00256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AC8BE" w14:textId="77777777" w:rsidR="004E2B46" w:rsidRDefault="004E2B46" w:rsidP="00256733">
      <w:pPr>
        <w:spacing w:line="240" w:lineRule="auto"/>
      </w:pPr>
      <w:r>
        <w:separator/>
      </w:r>
    </w:p>
  </w:footnote>
  <w:footnote w:type="continuationSeparator" w:id="0">
    <w:p w14:paraId="6CE8237D" w14:textId="77777777" w:rsidR="004E2B46" w:rsidRDefault="004E2B46" w:rsidP="00256733">
      <w:pPr>
        <w:spacing w:line="240" w:lineRule="auto"/>
      </w:pPr>
      <w:r>
        <w:continuationSeparator/>
      </w:r>
    </w:p>
  </w:footnote>
  <w:footnote w:id="1">
    <w:p w14:paraId="03098620" w14:textId="77777777" w:rsidR="00256733" w:rsidRPr="003B1260" w:rsidRDefault="00256733"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A. </w:t>
      </w:r>
      <w:proofErr w:type="spellStart"/>
      <w:r w:rsidRPr="003B1260">
        <w:rPr>
          <w:rFonts w:ascii="Book Antiqua" w:hAnsi="Book Antiqua"/>
          <w:sz w:val="20"/>
        </w:rPr>
        <w:t>Saptomo</w:t>
      </w:r>
      <w:proofErr w:type="spellEnd"/>
      <w:r w:rsidRPr="003B1260">
        <w:rPr>
          <w:rFonts w:ascii="Book Antiqua" w:hAnsi="Book Antiqua"/>
          <w:sz w:val="20"/>
        </w:rPr>
        <w:t>, “</w:t>
      </w:r>
      <w:r w:rsidRPr="003B1260">
        <w:rPr>
          <w:rFonts w:ascii="Book Antiqua" w:hAnsi="Book Antiqua"/>
          <w:i/>
          <w:sz w:val="20"/>
        </w:rPr>
        <w:t>Law and Local Wisdom: Revitalization of Indigenous Law in the Archipelago</w:t>
      </w:r>
      <w:r w:rsidRPr="003B1260">
        <w:rPr>
          <w:rFonts w:ascii="Book Antiqua" w:hAnsi="Book Antiqua"/>
          <w:sz w:val="20"/>
        </w:rPr>
        <w:t xml:space="preserve">,” (Jakarta: </w:t>
      </w:r>
      <w:proofErr w:type="spellStart"/>
      <w:r w:rsidRPr="003B1260">
        <w:rPr>
          <w:rFonts w:ascii="Book Antiqua" w:hAnsi="Book Antiqua"/>
          <w:sz w:val="20"/>
        </w:rPr>
        <w:t>Grasindo</w:t>
      </w:r>
      <w:proofErr w:type="spellEnd"/>
      <w:r w:rsidRPr="003B1260">
        <w:rPr>
          <w:rFonts w:ascii="Book Antiqua" w:hAnsi="Book Antiqua"/>
          <w:sz w:val="20"/>
        </w:rPr>
        <w:t>, 2010).</w:t>
      </w:r>
    </w:p>
  </w:footnote>
  <w:footnote w:id="2">
    <w:p w14:paraId="1F6B3173" w14:textId="77777777" w:rsidR="00256733" w:rsidRPr="003B1260" w:rsidRDefault="00256733"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D. G. E. </w:t>
      </w:r>
      <w:proofErr w:type="spellStart"/>
      <w:r w:rsidRPr="003B1260">
        <w:rPr>
          <w:rFonts w:ascii="Book Antiqua" w:hAnsi="Book Antiqua"/>
          <w:sz w:val="20"/>
        </w:rPr>
        <w:t>Praditha</w:t>
      </w:r>
      <w:proofErr w:type="spellEnd"/>
      <w:r w:rsidRPr="003B1260">
        <w:rPr>
          <w:rFonts w:ascii="Book Antiqua" w:hAnsi="Book Antiqua"/>
          <w:sz w:val="20"/>
        </w:rPr>
        <w:t>, “</w:t>
      </w:r>
      <w:r w:rsidRPr="003B1260">
        <w:rPr>
          <w:rFonts w:ascii="Book Antiqua" w:hAnsi="Book Antiqua"/>
          <w:i/>
          <w:sz w:val="20"/>
        </w:rPr>
        <w:t>Local Wisdom Law: An Introduction to Indigenous Law</w:t>
      </w:r>
      <w:r w:rsidRPr="003B1260">
        <w:rPr>
          <w:rFonts w:ascii="Book Antiqua" w:hAnsi="Book Antiqua"/>
          <w:sz w:val="20"/>
        </w:rPr>
        <w:t xml:space="preserve">,” (Malang: </w:t>
      </w:r>
      <w:proofErr w:type="spellStart"/>
      <w:r w:rsidRPr="003B1260">
        <w:rPr>
          <w:rFonts w:ascii="Book Antiqua" w:hAnsi="Book Antiqua"/>
          <w:sz w:val="20"/>
        </w:rPr>
        <w:t>Literasi</w:t>
      </w:r>
      <w:proofErr w:type="spellEnd"/>
      <w:r w:rsidRPr="003B1260">
        <w:rPr>
          <w:rFonts w:ascii="Book Antiqua" w:hAnsi="Book Antiqua"/>
          <w:sz w:val="20"/>
        </w:rPr>
        <w:t xml:space="preserve"> Nusantara Abadi, 2023)</w:t>
      </w:r>
    </w:p>
  </w:footnote>
  <w:footnote w:id="3">
    <w:p w14:paraId="6E54C89E" w14:textId="77777777" w:rsidR="00256733" w:rsidRPr="003B1260" w:rsidRDefault="00256733"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Fenny </w:t>
      </w:r>
      <w:proofErr w:type="spellStart"/>
      <w:r w:rsidRPr="003B1260">
        <w:rPr>
          <w:rFonts w:ascii="Book Antiqua" w:hAnsi="Book Antiqua"/>
          <w:sz w:val="20"/>
        </w:rPr>
        <w:t>Bintarawati</w:t>
      </w:r>
      <w:proofErr w:type="spellEnd"/>
      <w:r w:rsidRPr="003B1260">
        <w:rPr>
          <w:rFonts w:ascii="Book Antiqua" w:hAnsi="Book Antiqua"/>
          <w:sz w:val="20"/>
        </w:rPr>
        <w:t>, “</w:t>
      </w:r>
      <w:r w:rsidRPr="003B1260">
        <w:rPr>
          <w:rFonts w:ascii="Book Antiqua" w:hAnsi="Book Antiqua"/>
          <w:i/>
          <w:sz w:val="20"/>
        </w:rPr>
        <w:t>Customary Law in Indonesia</w:t>
      </w:r>
      <w:r w:rsidRPr="003B1260">
        <w:rPr>
          <w:rFonts w:ascii="Book Antiqua" w:hAnsi="Book Antiqua"/>
          <w:sz w:val="20"/>
        </w:rPr>
        <w:t xml:space="preserve">,” (Jakarta: </w:t>
      </w:r>
      <w:proofErr w:type="spellStart"/>
      <w:r w:rsidRPr="003B1260">
        <w:rPr>
          <w:rFonts w:ascii="Book Antiqua" w:hAnsi="Book Antiqua"/>
          <w:sz w:val="20"/>
        </w:rPr>
        <w:t>Penerbit</w:t>
      </w:r>
      <w:proofErr w:type="spellEnd"/>
      <w:r w:rsidRPr="003B1260">
        <w:rPr>
          <w:rFonts w:ascii="Book Antiqua" w:hAnsi="Book Antiqua"/>
          <w:sz w:val="20"/>
        </w:rPr>
        <w:t xml:space="preserve"> </w:t>
      </w:r>
      <w:proofErr w:type="spellStart"/>
      <w:r w:rsidRPr="003B1260">
        <w:rPr>
          <w:rFonts w:ascii="Book Antiqua" w:hAnsi="Book Antiqua"/>
          <w:sz w:val="20"/>
        </w:rPr>
        <w:t>Lawwana</w:t>
      </w:r>
      <w:proofErr w:type="spellEnd"/>
      <w:r w:rsidRPr="003B1260">
        <w:rPr>
          <w:rFonts w:ascii="Book Antiqua" w:hAnsi="Book Antiqua"/>
          <w:sz w:val="20"/>
        </w:rPr>
        <w:t>, 2024).</w:t>
      </w:r>
    </w:p>
  </w:footnote>
  <w:footnote w:id="4">
    <w:p w14:paraId="45A13CF3" w14:textId="77777777" w:rsidR="00256733" w:rsidRPr="003B1260" w:rsidRDefault="00256733"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00630BEF" w:rsidRPr="003B1260">
        <w:rPr>
          <w:rFonts w:ascii="Book Antiqua" w:hAnsi="Book Antiqua"/>
          <w:sz w:val="20"/>
        </w:rPr>
        <w:t>I. Teng, “</w:t>
      </w:r>
      <w:proofErr w:type="spellStart"/>
      <w:r w:rsidR="00630BEF" w:rsidRPr="003B1260">
        <w:rPr>
          <w:rFonts w:ascii="Book Antiqua" w:hAnsi="Book Antiqua"/>
          <w:sz w:val="20"/>
        </w:rPr>
        <w:t>Bobeto</w:t>
      </w:r>
      <w:proofErr w:type="spellEnd"/>
      <w:r w:rsidR="00630BEF" w:rsidRPr="003B1260">
        <w:rPr>
          <w:rFonts w:ascii="Book Antiqua" w:hAnsi="Book Antiqua"/>
          <w:sz w:val="20"/>
        </w:rPr>
        <w:t xml:space="preserve">: A Local Wisdom Value that Shapes the Ritual Space between Humans and Nature in </w:t>
      </w:r>
      <w:proofErr w:type="spellStart"/>
      <w:r w:rsidR="00630BEF" w:rsidRPr="003B1260">
        <w:rPr>
          <w:rFonts w:ascii="Book Antiqua" w:hAnsi="Book Antiqua"/>
          <w:sz w:val="20"/>
        </w:rPr>
        <w:t>Kalaodi-Tidore</w:t>
      </w:r>
      <w:proofErr w:type="spellEnd"/>
      <w:r w:rsidR="00630BEF" w:rsidRPr="003B1260">
        <w:rPr>
          <w:rFonts w:ascii="Book Antiqua" w:hAnsi="Book Antiqua"/>
          <w:sz w:val="20"/>
        </w:rPr>
        <w:t xml:space="preserve">,” </w:t>
      </w:r>
      <w:r w:rsidR="00630BEF" w:rsidRPr="003B1260">
        <w:rPr>
          <w:rFonts w:ascii="Book Antiqua" w:hAnsi="Book Antiqua"/>
          <w:i/>
          <w:sz w:val="20"/>
        </w:rPr>
        <w:t>Local Wisdom</w:t>
      </w:r>
      <w:r w:rsidR="00630BEF" w:rsidRPr="003B1260">
        <w:rPr>
          <w:rFonts w:ascii="Book Antiqua" w:hAnsi="Book Antiqua"/>
          <w:sz w:val="20"/>
        </w:rPr>
        <w:t>, 1 no. 1, (2017): 12-22</w:t>
      </w:r>
    </w:p>
  </w:footnote>
  <w:footnote w:id="5">
    <w:p w14:paraId="55AC1150" w14:textId="77777777" w:rsidR="00256733" w:rsidRPr="003B1260" w:rsidRDefault="00256733"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w:t>
      </w:r>
      <w:r w:rsidR="00630BEF" w:rsidRPr="003B1260">
        <w:rPr>
          <w:rFonts w:ascii="Book Antiqua" w:hAnsi="Book Antiqua"/>
          <w:sz w:val="20"/>
        </w:rPr>
        <w:t xml:space="preserve">A. Y. </w:t>
      </w:r>
      <w:proofErr w:type="spellStart"/>
      <w:r w:rsidR="00630BEF" w:rsidRPr="003B1260">
        <w:rPr>
          <w:rFonts w:ascii="Book Antiqua" w:hAnsi="Book Antiqua"/>
          <w:sz w:val="20"/>
        </w:rPr>
        <w:t>Tamburaka</w:t>
      </w:r>
      <w:proofErr w:type="spellEnd"/>
      <w:r w:rsidR="00630BEF" w:rsidRPr="003B1260">
        <w:rPr>
          <w:rFonts w:ascii="Book Antiqua" w:hAnsi="Book Antiqua"/>
          <w:sz w:val="20"/>
        </w:rPr>
        <w:t xml:space="preserve"> “</w:t>
      </w:r>
      <w:r w:rsidR="00630BEF" w:rsidRPr="003B1260">
        <w:rPr>
          <w:rFonts w:ascii="Book Antiqua" w:hAnsi="Book Antiqua"/>
          <w:i/>
          <w:sz w:val="20"/>
        </w:rPr>
        <w:t>Customary Land, Mining, and CSR</w:t>
      </w:r>
      <w:r w:rsidR="00630BEF" w:rsidRPr="003B1260">
        <w:rPr>
          <w:rFonts w:ascii="Book Antiqua" w:hAnsi="Book Antiqua"/>
          <w:sz w:val="20"/>
        </w:rPr>
        <w:t xml:space="preserve">,” (Jakarta: CV. </w:t>
      </w:r>
      <w:proofErr w:type="spellStart"/>
      <w:r w:rsidR="00630BEF" w:rsidRPr="003B1260">
        <w:rPr>
          <w:rFonts w:ascii="Book Antiqua" w:hAnsi="Book Antiqua"/>
          <w:sz w:val="20"/>
        </w:rPr>
        <w:t>Azka</w:t>
      </w:r>
      <w:proofErr w:type="spellEnd"/>
      <w:r w:rsidR="00630BEF" w:rsidRPr="003B1260">
        <w:rPr>
          <w:rFonts w:ascii="Book Antiqua" w:hAnsi="Book Antiqua"/>
          <w:sz w:val="20"/>
        </w:rPr>
        <w:t xml:space="preserve"> </w:t>
      </w:r>
      <w:proofErr w:type="spellStart"/>
      <w:r w:rsidR="00630BEF" w:rsidRPr="003B1260">
        <w:rPr>
          <w:rFonts w:ascii="Book Antiqua" w:hAnsi="Book Antiqua"/>
          <w:sz w:val="20"/>
        </w:rPr>
        <w:t>Pustaka</w:t>
      </w:r>
      <w:proofErr w:type="spellEnd"/>
      <w:r w:rsidR="00630BEF" w:rsidRPr="003B1260">
        <w:rPr>
          <w:rFonts w:ascii="Book Antiqua" w:hAnsi="Book Antiqua"/>
          <w:sz w:val="20"/>
        </w:rPr>
        <w:t>, 2025).</w:t>
      </w:r>
    </w:p>
  </w:footnote>
  <w:footnote w:id="6">
    <w:p w14:paraId="45211E80" w14:textId="77777777" w:rsidR="00630BEF" w:rsidRPr="003B1260" w:rsidRDefault="00630BEF" w:rsidP="00A43BE4">
      <w:pPr>
        <w:pStyle w:val="FootnoteText"/>
        <w:ind w:firstLine="720"/>
        <w:jc w:val="both"/>
        <w:rPr>
          <w:rFonts w:ascii="Book Antiqua" w:hAnsi="Book Antiqua"/>
        </w:rPr>
      </w:pPr>
      <w:r w:rsidRPr="003B1260">
        <w:rPr>
          <w:rStyle w:val="FootnoteReference"/>
          <w:rFonts w:ascii="Book Antiqua" w:hAnsi="Book Antiqua"/>
        </w:rPr>
        <w:footnoteRef/>
      </w:r>
      <w:r w:rsidRPr="003B1260">
        <w:rPr>
          <w:rFonts w:ascii="Book Antiqua" w:hAnsi="Book Antiqua"/>
        </w:rPr>
        <w:t xml:space="preserve"> I. </w:t>
      </w:r>
      <w:proofErr w:type="spellStart"/>
      <w:r w:rsidRPr="003B1260">
        <w:rPr>
          <w:rFonts w:ascii="Book Antiqua" w:hAnsi="Book Antiqua"/>
        </w:rPr>
        <w:t>Syahriar</w:t>
      </w:r>
      <w:proofErr w:type="spellEnd"/>
      <w:r w:rsidRPr="003B1260">
        <w:rPr>
          <w:rFonts w:ascii="Book Antiqua" w:hAnsi="Book Antiqua"/>
        </w:rPr>
        <w:t xml:space="preserve"> &amp; J. </w:t>
      </w:r>
      <w:proofErr w:type="spellStart"/>
      <w:r w:rsidRPr="003B1260">
        <w:rPr>
          <w:rFonts w:ascii="Book Antiqua" w:hAnsi="Book Antiqua"/>
        </w:rPr>
        <w:t>Bazarah</w:t>
      </w:r>
      <w:proofErr w:type="spellEnd"/>
      <w:r w:rsidRPr="003B1260">
        <w:rPr>
          <w:rFonts w:ascii="Book Antiqua" w:hAnsi="Book Antiqua"/>
        </w:rPr>
        <w:t xml:space="preserve">, “Social Justice in the Indonesian Legal State.” </w:t>
      </w:r>
      <w:proofErr w:type="spellStart"/>
      <w:r w:rsidRPr="003B1260">
        <w:rPr>
          <w:rFonts w:ascii="Book Antiqua" w:hAnsi="Book Antiqua"/>
          <w:i/>
        </w:rPr>
        <w:t>Dedikasi</w:t>
      </w:r>
      <w:proofErr w:type="spellEnd"/>
      <w:r w:rsidRPr="003B1260">
        <w:rPr>
          <w:rFonts w:ascii="Book Antiqua" w:hAnsi="Book Antiqua"/>
          <w:i/>
        </w:rPr>
        <w:t xml:space="preserve">: </w:t>
      </w:r>
      <w:proofErr w:type="spellStart"/>
      <w:r w:rsidRPr="003B1260">
        <w:rPr>
          <w:rFonts w:ascii="Book Antiqua" w:hAnsi="Book Antiqua"/>
          <w:i/>
        </w:rPr>
        <w:t>Jurnal</w:t>
      </w:r>
      <w:proofErr w:type="spellEnd"/>
      <w:r w:rsidRPr="003B1260">
        <w:rPr>
          <w:rFonts w:ascii="Book Antiqua" w:hAnsi="Book Antiqua"/>
          <w:i/>
        </w:rPr>
        <w:t xml:space="preserve"> </w:t>
      </w:r>
      <w:proofErr w:type="spellStart"/>
      <w:r w:rsidRPr="003B1260">
        <w:rPr>
          <w:rFonts w:ascii="Book Antiqua" w:hAnsi="Book Antiqua"/>
          <w:i/>
        </w:rPr>
        <w:t>Ilmiah</w:t>
      </w:r>
      <w:proofErr w:type="spellEnd"/>
      <w:r w:rsidRPr="003B1260">
        <w:rPr>
          <w:rFonts w:ascii="Book Antiqua" w:hAnsi="Book Antiqua"/>
          <w:i/>
        </w:rPr>
        <w:t xml:space="preserve"> </w:t>
      </w:r>
      <w:proofErr w:type="spellStart"/>
      <w:r w:rsidRPr="003B1260">
        <w:rPr>
          <w:rFonts w:ascii="Book Antiqua" w:hAnsi="Book Antiqua"/>
          <w:i/>
        </w:rPr>
        <w:t>Sosial</w:t>
      </w:r>
      <w:proofErr w:type="spellEnd"/>
      <w:r w:rsidRPr="003B1260">
        <w:rPr>
          <w:rFonts w:ascii="Book Antiqua" w:hAnsi="Book Antiqua"/>
          <w:i/>
        </w:rPr>
        <w:t xml:space="preserve">, </w:t>
      </w:r>
      <w:proofErr w:type="spellStart"/>
      <w:r w:rsidRPr="003B1260">
        <w:rPr>
          <w:rFonts w:ascii="Book Antiqua" w:hAnsi="Book Antiqua"/>
          <w:i/>
        </w:rPr>
        <w:t>Hukum</w:t>
      </w:r>
      <w:proofErr w:type="spellEnd"/>
      <w:r w:rsidRPr="003B1260">
        <w:rPr>
          <w:rFonts w:ascii="Book Antiqua" w:hAnsi="Book Antiqua"/>
          <w:i/>
        </w:rPr>
        <w:t xml:space="preserve">, </w:t>
      </w:r>
      <w:proofErr w:type="spellStart"/>
      <w:r w:rsidRPr="003B1260">
        <w:rPr>
          <w:rFonts w:ascii="Book Antiqua" w:hAnsi="Book Antiqua"/>
          <w:i/>
        </w:rPr>
        <w:t>Budaya</w:t>
      </w:r>
      <w:proofErr w:type="spellEnd"/>
      <w:r w:rsidRPr="003B1260">
        <w:rPr>
          <w:rFonts w:ascii="Book Antiqua" w:hAnsi="Book Antiqua"/>
          <w:i/>
        </w:rPr>
        <w:t xml:space="preserve">, </w:t>
      </w:r>
      <w:r w:rsidRPr="003B1260">
        <w:rPr>
          <w:rFonts w:ascii="Book Antiqua" w:hAnsi="Book Antiqua"/>
        </w:rPr>
        <w:t>26, no. 1, (2025): 41-54</w:t>
      </w:r>
    </w:p>
  </w:footnote>
  <w:footnote w:id="7">
    <w:p w14:paraId="229BF8AE"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G. </w:t>
      </w:r>
      <w:proofErr w:type="spellStart"/>
      <w:r w:rsidRPr="003B1260">
        <w:rPr>
          <w:rFonts w:ascii="Book Antiqua" w:hAnsi="Book Antiqua"/>
          <w:sz w:val="20"/>
        </w:rPr>
        <w:t>Setiadi</w:t>
      </w:r>
      <w:proofErr w:type="spellEnd"/>
      <w:r w:rsidRPr="003B1260">
        <w:rPr>
          <w:rFonts w:ascii="Book Antiqua" w:hAnsi="Book Antiqua"/>
          <w:sz w:val="20"/>
        </w:rPr>
        <w:t>, “</w:t>
      </w:r>
      <w:proofErr w:type="spellStart"/>
      <w:r w:rsidRPr="003B1260">
        <w:rPr>
          <w:rFonts w:ascii="Book Antiqua" w:hAnsi="Book Antiqua"/>
          <w:i/>
          <w:sz w:val="20"/>
        </w:rPr>
        <w:t>Pengetahuan</w:t>
      </w:r>
      <w:proofErr w:type="spellEnd"/>
      <w:r w:rsidRPr="003B1260">
        <w:rPr>
          <w:rFonts w:ascii="Book Antiqua" w:hAnsi="Book Antiqua"/>
          <w:i/>
          <w:sz w:val="20"/>
        </w:rPr>
        <w:t xml:space="preserve"> Dasar Pancasila </w:t>
      </w:r>
      <w:proofErr w:type="spellStart"/>
      <w:r w:rsidRPr="003B1260">
        <w:rPr>
          <w:rFonts w:ascii="Book Antiqua" w:hAnsi="Book Antiqua"/>
          <w:i/>
          <w:sz w:val="20"/>
        </w:rPr>
        <w:t>Untuk</w:t>
      </w:r>
      <w:proofErr w:type="spellEnd"/>
      <w:r w:rsidRPr="003B1260">
        <w:rPr>
          <w:rFonts w:ascii="Book Antiqua" w:hAnsi="Book Antiqua"/>
          <w:i/>
          <w:sz w:val="20"/>
        </w:rPr>
        <w:t xml:space="preserve"> </w:t>
      </w:r>
      <w:proofErr w:type="spellStart"/>
      <w:r w:rsidRPr="003B1260">
        <w:rPr>
          <w:rFonts w:ascii="Book Antiqua" w:hAnsi="Book Antiqua"/>
          <w:i/>
          <w:sz w:val="20"/>
        </w:rPr>
        <w:t>Perguruan</w:t>
      </w:r>
      <w:proofErr w:type="spellEnd"/>
      <w:r w:rsidRPr="003B1260">
        <w:rPr>
          <w:rFonts w:ascii="Book Antiqua" w:hAnsi="Book Antiqua"/>
          <w:i/>
          <w:sz w:val="20"/>
        </w:rPr>
        <w:t xml:space="preserve"> Tinggi</w:t>
      </w:r>
      <w:r w:rsidRPr="003B1260">
        <w:rPr>
          <w:rFonts w:ascii="Book Antiqua" w:hAnsi="Book Antiqua"/>
          <w:sz w:val="20"/>
        </w:rPr>
        <w:t xml:space="preserve">” (Basic Knowledge of Pancasila for Higher Education), (Jakarta: </w:t>
      </w:r>
      <w:proofErr w:type="spellStart"/>
      <w:r w:rsidRPr="003B1260">
        <w:rPr>
          <w:rFonts w:ascii="Book Antiqua" w:hAnsi="Book Antiqua"/>
          <w:sz w:val="20"/>
        </w:rPr>
        <w:t>Penerbitan</w:t>
      </w:r>
      <w:proofErr w:type="spellEnd"/>
      <w:r w:rsidRPr="003B1260">
        <w:rPr>
          <w:rFonts w:ascii="Book Antiqua" w:hAnsi="Book Antiqua"/>
          <w:sz w:val="20"/>
        </w:rPr>
        <w:t>, 2003)</w:t>
      </w:r>
    </w:p>
  </w:footnote>
  <w:footnote w:id="8">
    <w:p w14:paraId="549FFF6E"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w:t>
      </w:r>
      <w:proofErr w:type="spellStart"/>
      <w:r w:rsidRPr="003B1260">
        <w:rPr>
          <w:rFonts w:ascii="Book Antiqua" w:hAnsi="Book Antiqua"/>
          <w:sz w:val="20"/>
        </w:rPr>
        <w:t>Hilman</w:t>
      </w:r>
      <w:proofErr w:type="spellEnd"/>
      <w:r w:rsidRPr="003B1260">
        <w:rPr>
          <w:rFonts w:ascii="Book Antiqua" w:hAnsi="Book Antiqua"/>
          <w:sz w:val="20"/>
        </w:rPr>
        <w:t xml:space="preserve"> </w:t>
      </w:r>
      <w:proofErr w:type="spellStart"/>
      <w:r w:rsidRPr="003B1260">
        <w:rPr>
          <w:rFonts w:ascii="Book Antiqua" w:hAnsi="Book Antiqua"/>
          <w:sz w:val="20"/>
        </w:rPr>
        <w:t>Hadikusuma</w:t>
      </w:r>
      <w:proofErr w:type="spellEnd"/>
      <w:r w:rsidRPr="003B1260">
        <w:rPr>
          <w:rFonts w:ascii="Book Antiqua" w:hAnsi="Book Antiqua"/>
          <w:sz w:val="20"/>
        </w:rPr>
        <w:t>, “</w:t>
      </w:r>
      <w:r w:rsidRPr="003B1260">
        <w:rPr>
          <w:rFonts w:ascii="Book Antiqua" w:hAnsi="Book Antiqua"/>
          <w:i/>
          <w:sz w:val="20"/>
        </w:rPr>
        <w:t>Introduction to Indonesian Customary Law Revised Edition</w:t>
      </w:r>
      <w:r w:rsidRPr="003B1260">
        <w:rPr>
          <w:rFonts w:ascii="Book Antiqua" w:hAnsi="Book Antiqua"/>
          <w:sz w:val="20"/>
        </w:rPr>
        <w:t xml:space="preserve">”, (Bandung: Mandar </w:t>
      </w:r>
      <w:proofErr w:type="spellStart"/>
      <w:r w:rsidRPr="003B1260">
        <w:rPr>
          <w:rFonts w:ascii="Book Antiqua" w:hAnsi="Book Antiqua"/>
          <w:sz w:val="20"/>
        </w:rPr>
        <w:t>Maju</w:t>
      </w:r>
      <w:proofErr w:type="spellEnd"/>
      <w:r w:rsidRPr="003B1260">
        <w:rPr>
          <w:rFonts w:ascii="Book Antiqua" w:hAnsi="Book Antiqua"/>
          <w:sz w:val="20"/>
        </w:rPr>
        <w:t>, 2014)</w:t>
      </w:r>
    </w:p>
  </w:footnote>
  <w:footnote w:id="9">
    <w:p w14:paraId="1916FF19"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007B0093">
        <w:rPr>
          <w:rFonts w:ascii="Book Antiqua" w:hAnsi="Book Antiqua"/>
          <w:sz w:val="20"/>
        </w:rPr>
        <w:t xml:space="preserve"> </w:t>
      </w:r>
      <w:r w:rsidRPr="003B1260">
        <w:rPr>
          <w:rFonts w:ascii="Book Antiqua" w:hAnsi="Book Antiqua"/>
          <w:sz w:val="20"/>
        </w:rPr>
        <w:t>S. A. Awang, “</w:t>
      </w:r>
      <w:r w:rsidRPr="003B1260">
        <w:rPr>
          <w:rFonts w:ascii="Book Antiqua" w:hAnsi="Book Antiqua"/>
          <w:i/>
          <w:sz w:val="20"/>
        </w:rPr>
        <w:t>Community Forestry Politics</w:t>
      </w:r>
      <w:r w:rsidRPr="003B1260">
        <w:rPr>
          <w:rFonts w:ascii="Book Antiqua" w:hAnsi="Book Antiqua"/>
          <w:sz w:val="20"/>
        </w:rPr>
        <w:t xml:space="preserve">”. (Yogyakarta (ID): Center for Critical Social Studies &amp; </w:t>
      </w:r>
      <w:proofErr w:type="spellStart"/>
      <w:r w:rsidRPr="003B1260">
        <w:rPr>
          <w:rFonts w:ascii="Book Antiqua" w:hAnsi="Book Antiqua"/>
          <w:sz w:val="20"/>
        </w:rPr>
        <w:t>Kreasi</w:t>
      </w:r>
      <w:proofErr w:type="spellEnd"/>
      <w:r w:rsidRPr="003B1260">
        <w:rPr>
          <w:rFonts w:ascii="Book Antiqua" w:hAnsi="Book Antiqua"/>
          <w:sz w:val="20"/>
        </w:rPr>
        <w:t xml:space="preserve"> </w:t>
      </w:r>
      <w:proofErr w:type="spellStart"/>
      <w:r w:rsidRPr="003B1260">
        <w:rPr>
          <w:rFonts w:ascii="Book Antiqua" w:hAnsi="Book Antiqua"/>
          <w:sz w:val="20"/>
        </w:rPr>
        <w:t>Wacana</w:t>
      </w:r>
      <w:proofErr w:type="spellEnd"/>
      <w:r w:rsidRPr="003B1260">
        <w:rPr>
          <w:rFonts w:ascii="Book Antiqua" w:hAnsi="Book Antiqua"/>
          <w:sz w:val="20"/>
        </w:rPr>
        <w:t xml:space="preserve"> Yogyakarta, 2003)</w:t>
      </w:r>
    </w:p>
  </w:footnote>
  <w:footnote w:id="10">
    <w:p w14:paraId="22451749"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w:t>
      </w:r>
      <w:proofErr w:type="spellStart"/>
      <w:r w:rsidRPr="003B1260">
        <w:rPr>
          <w:rFonts w:ascii="Book Antiqua" w:hAnsi="Book Antiqua"/>
          <w:sz w:val="20"/>
        </w:rPr>
        <w:t>Retno</w:t>
      </w:r>
      <w:proofErr w:type="spellEnd"/>
      <w:r w:rsidRPr="003B1260">
        <w:rPr>
          <w:rFonts w:ascii="Book Antiqua" w:hAnsi="Book Antiqua"/>
          <w:sz w:val="20"/>
        </w:rPr>
        <w:t xml:space="preserve"> </w:t>
      </w:r>
      <w:proofErr w:type="spellStart"/>
      <w:r w:rsidRPr="003B1260">
        <w:rPr>
          <w:rFonts w:ascii="Book Antiqua" w:hAnsi="Book Antiqua"/>
          <w:sz w:val="20"/>
        </w:rPr>
        <w:t>Kus</w:t>
      </w:r>
      <w:proofErr w:type="spellEnd"/>
      <w:r w:rsidRPr="003B1260">
        <w:rPr>
          <w:rFonts w:ascii="Book Antiqua" w:hAnsi="Book Antiqua"/>
          <w:sz w:val="20"/>
        </w:rPr>
        <w:t xml:space="preserve"> </w:t>
      </w:r>
      <w:proofErr w:type="spellStart"/>
      <w:r w:rsidRPr="003B1260">
        <w:rPr>
          <w:rFonts w:ascii="Book Antiqua" w:hAnsi="Book Antiqua"/>
          <w:sz w:val="20"/>
        </w:rPr>
        <w:t>Setyowati</w:t>
      </w:r>
      <w:proofErr w:type="spellEnd"/>
      <w:r w:rsidRPr="003B1260">
        <w:rPr>
          <w:rFonts w:ascii="Book Antiqua" w:hAnsi="Book Antiqua"/>
          <w:sz w:val="20"/>
        </w:rPr>
        <w:t xml:space="preserve">, “State Recognition of Customary Law Communities,” </w:t>
      </w:r>
      <w:proofErr w:type="spellStart"/>
      <w:r w:rsidRPr="003B1260">
        <w:rPr>
          <w:rFonts w:ascii="Book Antiqua" w:hAnsi="Book Antiqua"/>
          <w:i/>
          <w:sz w:val="20"/>
        </w:rPr>
        <w:t>Binamulia</w:t>
      </w:r>
      <w:proofErr w:type="spellEnd"/>
      <w:r w:rsidRPr="003B1260">
        <w:rPr>
          <w:rFonts w:ascii="Book Antiqua" w:hAnsi="Book Antiqua"/>
          <w:i/>
          <w:sz w:val="20"/>
        </w:rPr>
        <w:t xml:space="preserve"> </w:t>
      </w:r>
      <w:proofErr w:type="spellStart"/>
      <w:r w:rsidRPr="003B1260">
        <w:rPr>
          <w:rFonts w:ascii="Book Antiqua" w:hAnsi="Book Antiqua"/>
          <w:i/>
          <w:sz w:val="20"/>
        </w:rPr>
        <w:t>Hukum</w:t>
      </w:r>
      <w:proofErr w:type="spellEnd"/>
      <w:r w:rsidRPr="003B1260">
        <w:rPr>
          <w:rFonts w:ascii="Book Antiqua" w:hAnsi="Book Antiqua"/>
          <w:sz w:val="20"/>
        </w:rPr>
        <w:t xml:space="preserve"> 12, no.1, (July 2023): 131-142</w:t>
      </w:r>
    </w:p>
  </w:footnote>
  <w:footnote w:id="11">
    <w:p w14:paraId="4F9AFDA5"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R. A. </w:t>
      </w:r>
      <w:proofErr w:type="spellStart"/>
      <w:r w:rsidRPr="003B1260">
        <w:rPr>
          <w:rFonts w:ascii="Book Antiqua" w:hAnsi="Book Antiqua"/>
          <w:sz w:val="20"/>
        </w:rPr>
        <w:t>Saragih</w:t>
      </w:r>
      <w:proofErr w:type="spellEnd"/>
      <w:r w:rsidRPr="003B1260">
        <w:rPr>
          <w:rFonts w:ascii="Book Antiqua" w:hAnsi="Book Antiqua"/>
          <w:sz w:val="20"/>
        </w:rPr>
        <w:t xml:space="preserve">, R. </w:t>
      </w:r>
      <w:proofErr w:type="spellStart"/>
      <w:r w:rsidRPr="003B1260">
        <w:rPr>
          <w:rFonts w:ascii="Book Antiqua" w:hAnsi="Book Antiqua"/>
          <w:sz w:val="20"/>
        </w:rPr>
        <w:t>Sembiring</w:t>
      </w:r>
      <w:proofErr w:type="spellEnd"/>
      <w:r w:rsidRPr="003B1260">
        <w:rPr>
          <w:rFonts w:ascii="Book Antiqua" w:hAnsi="Book Antiqua"/>
          <w:sz w:val="20"/>
        </w:rPr>
        <w:t xml:space="preserve">, S. </w:t>
      </w:r>
      <w:proofErr w:type="spellStart"/>
      <w:r w:rsidRPr="003B1260">
        <w:rPr>
          <w:rFonts w:ascii="Book Antiqua" w:hAnsi="Book Antiqua"/>
          <w:sz w:val="20"/>
        </w:rPr>
        <w:t>Suhaidi</w:t>
      </w:r>
      <w:proofErr w:type="spellEnd"/>
      <w:r w:rsidRPr="003B1260">
        <w:rPr>
          <w:rFonts w:ascii="Book Antiqua" w:hAnsi="Book Antiqua"/>
          <w:sz w:val="20"/>
        </w:rPr>
        <w:t xml:space="preserve">, &amp; S. L. </w:t>
      </w:r>
      <w:proofErr w:type="spellStart"/>
      <w:r w:rsidRPr="003B1260">
        <w:rPr>
          <w:rFonts w:ascii="Book Antiqua" w:hAnsi="Book Antiqua"/>
          <w:sz w:val="20"/>
        </w:rPr>
        <w:t>Andriati</w:t>
      </w:r>
      <w:proofErr w:type="spellEnd"/>
      <w:r w:rsidRPr="003B1260">
        <w:rPr>
          <w:rFonts w:ascii="Book Antiqua" w:hAnsi="Book Antiqua"/>
          <w:sz w:val="20"/>
        </w:rPr>
        <w:t xml:space="preserve">, “Legal Analysis of Customary Forest Ownership and Management by Indigenous Peoples: (A Study of the </w:t>
      </w:r>
      <w:proofErr w:type="spellStart"/>
      <w:r w:rsidRPr="003B1260">
        <w:rPr>
          <w:rFonts w:ascii="Book Antiqua" w:hAnsi="Book Antiqua"/>
          <w:sz w:val="20"/>
        </w:rPr>
        <w:t>Tombak</w:t>
      </w:r>
      <w:proofErr w:type="spellEnd"/>
      <w:r w:rsidRPr="003B1260">
        <w:rPr>
          <w:rFonts w:ascii="Book Antiqua" w:hAnsi="Book Antiqua"/>
          <w:sz w:val="20"/>
        </w:rPr>
        <w:t xml:space="preserve"> </w:t>
      </w:r>
      <w:proofErr w:type="spellStart"/>
      <w:r w:rsidRPr="003B1260">
        <w:rPr>
          <w:rFonts w:ascii="Book Antiqua" w:hAnsi="Book Antiqua"/>
          <w:sz w:val="20"/>
        </w:rPr>
        <w:t>Haminjon</w:t>
      </w:r>
      <w:proofErr w:type="spellEnd"/>
      <w:r w:rsidRPr="003B1260">
        <w:rPr>
          <w:rFonts w:ascii="Book Antiqua" w:hAnsi="Book Antiqua"/>
          <w:sz w:val="20"/>
        </w:rPr>
        <w:t xml:space="preserve"> Customary Forest in </w:t>
      </w:r>
      <w:proofErr w:type="spellStart"/>
      <w:r w:rsidRPr="003B1260">
        <w:rPr>
          <w:rFonts w:ascii="Book Antiqua" w:hAnsi="Book Antiqua"/>
          <w:sz w:val="20"/>
        </w:rPr>
        <w:t>Pandumaan</w:t>
      </w:r>
      <w:proofErr w:type="spellEnd"/>
      <w:r w:rsidRPr="003B1260">
        <w:rPr>
          <w:rFonts w:ascii="Book Antiqua" w:hAnsi="Book Antiqua"/>
          <w:sz w:val="20"/>
        </w:rPr>
        <w:t xml:space="preserve"> Village and </w:t>
      </w:r>
      <w:proofErr w:type="spellStart"/>
      <w:r w:rsidRPr="003B1260">
        <w:rPr>
          <w:rFonts w:ascii="Book Antiqua" w:hAnsi="Book Antiqua"/>
          <w:sz w:val="20"/>
        </w:rPr>
        <w:t>Sipituhuta</w:t>
      </w:r>
      <w:proofErr w:type="spellEnd"/>
      <w:r w:rsidRPr="003B1260">
        <w:rPr>
          <w:rFonts w:ascii="Book Antiqua" w:hAnsi="Book Antiqua"/>
          <w:sz w:val="20"/>
        </w:rPr>
        <w:t xml:space="preserve"> Village, </w:t>
      </w:r>
      <w:proofErr w:type="spellStart"/>
      <w:r w:rsidRPr="003B1260">
        <w:rPr>
          <w:rFonts w:ascii="Book Antiqua" w:hAnsi="Book Antiqua"/>
          <w:sz w:val="20"/>
        </w:rPr>
        <w:t>Humbang</w:t>
      </w:r>
      <w:proofErr w:type="spellEnd"/>
      <w:r w:rsidRPr="003B1260">
        <w:rPr>
          <w:rFonts w:ascii="Book Antiqua" w:hAnsi="Book Antiqua"/>
          <w:sz w:val="20"/>
        </w:rPr>
        <w:t xml:space="preserve"> </w:t>
      </w:r>
      <w:proofErr w:type="spellStart"/>
      <w:r w:rsidRPr="003B1260">
        <w:rPr>
          <w:rFonts w:ascii="Book Antiqua" w:hAnsi="Book Antiqua"/>
          <w:sz w:val="20"/>
        </w:rPr>
        <w:t>Hasudutan</w:t>
      </w:r>
      <w:proofErr w:type="spellEnd"/>
      <w:r w:rsidRPr="003B1260">
        <w:rPr>
          <w:rFonts w:ascii="Book Antiqua" w:hAnsi="Book Antiqua"/>
          <w:sz w:val="20"/>
        </w:rPr>
        <w:t xml:space="preserve"> Regency).” </w:t>
      </w:r>
      <w:r w:rsidRPr="003B1260">
        <w:rPr>
          <w:rFonts w:ascii="Book Antiqua" w:hAnsi="Book Antiqua"/>
          <w:i/>
          <w:sz w:val="20"/>
        </w:rPr>
        <w:t xml:space="preserve">Locus Journal of Academic Literature Review, </w:t>
      </w:r>
      <w:r w:rsidRPr="003B1260">
        <w:rPr>
          <w:rFonts w:ascii="Book Antiqua" w:hAnsi="Book Antiqua"/>
          <w:sz w:val="20"/>
        </w:rPr>
        <w:t>2 no. 3, (2023): 243–260. https://doi.org/10.56128/ljoalr.v2i3.141</w:t>
      </w:r>
    </w:p>
  </w:footnote>
  <w:footnote w:id="12">
    <w:p w14:paraId="080190A4"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w:t>
      </w:r>
      <w:proofErr w:type="spellStart"/>
      <w:r w:rsidRPr="003B1260">
        <w:rPr>
          <w:rFonts w:ascii="Book Antiqua" w:hAnsi="Book Antiqua"/>
          <w:sz w:val="20"/>
        </w:rPr>
        <w:t>Rahmawati</w:t>
      </w:r>
      <w:proofErr w:type="spellEnd"/>
      <w:r w:rsidRPr="003B1260">
        <w:rPr>
          <w:rFonts w:ascii="Book Antiqua" w:hAnsi="Book Antiqua"/>
          <w:sz w:val="20"/>
        </w:rPr>
        <w:t>, “</w:t>
      </w:r>
      <w:r w:rsidRPr="003B1260">
        <w:rPr>
          <w:rFonts w:ascii="Book Antiqua" w:hAnsi="Book Antiqua"/>
          <w:i/>
          <w:sz w:val="20"/>
        </w:rPr>
        <w:t>Public Policy (Theory and Political Analysis</w:t>
      </w:r>
      <w:r w:rsidRPr="003B1260">
        <w:rPr>
          <w:rFonts w:ascii="Book Antiqua" w:hAnsi="Book Antiqua"/>
          <w:sz w:val="20"/>
        </w:rPr>
        <w:t>),” (Jakarta: YPAD Publisher, 2025)</w:t>
      </w:r>
    </w:p>
  </w:footnote>
  <w:footnote w:id="13">
    <w:p w14:paraId="3F16940F"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Y. </w:t>
      </w:r>
      <w:proofErr w:type="spellStart"/>
      <w:r w:rsidRPr="003B1260">
        <w:rPr>
          <w:rFonts w:ascii="Book Antiqua" w:hAnsi="Book Antiqua"/>
          <w:sz w:val="20"/>
        </w:rPr>
        <w:t>Bernanda</w:t>
      </w:r>
      <w:proofErr w:type="spellEnd"/>
      <w:r w:rsidRPr="003B1260">
        <w:rPr>
          <w:rFonts w:ascii="Book Antiqua" w:hAnsi="Book Antiqua"/>
          <w:sz w:val="20"/>
        </w:rPr>
        <w:t xml:space="preserve">, I. </w:t>
      </w:r>
      <w:proofErr w:type="spellStart"/>
      <w:r w:rsidRPr="003B1260">
        <w:rPr>
          <w:rFonts w:ascii="Book Antiqua" w:hAnsi="Book Antiqua"/>
          <w:sz w:val="20"/>
        </w:rPr>
        <w:t>Qomariah</w:t>
      </w:r>
      <w:proofErr w:type="spellEnd"/>
      <w:r w:rsidRPr="003B1260">
        <w:rPr>
          <w:rFonts w:ascii="Book Antiqua" w:hAnsi="Book Antiqua"/>
          <w:sz w:val="20"/>
        </w:rPr>
        <w:t xml:space="preserve">, &amp; E. </w:t>
      </w:r>
      <w:proofErr w:type="spellStart"/>
      <w:r w:rsidRPr="003B1260">
        <w:rPr>
          <w:rFonts w:ascii="Book Antiqua" w:hAnsi="Book Antiqua"/>
          <w:sz w:val="20"/>
        </w:rPr>
        <w:t>Mandasari</w:t>
      </w:r>
      <w:proofErr w:type="spellEnd"/>
      <w:r w:rsidRPr="003B1260">
        <w:rPr>
          <w:rFonts w:ascii="Book Antiqua" w:hAnsi="Book Antiqua"/>
          <w:sz w:val="20"/>
        </w:rPr>
        <w:t xml:space="preserve">, “Analysis of Land Conflicts in the Context of Customary Law”, </w:t>
      </w:r>
      <w:r w:rsidRPr="003B1260">
        <w:rPr>
          <w:rFonts w:ascii="Book Antiqua" w:hAnsi="Book Antiqua"/>
          <w:i/>
          <w:sz w:val="20"/>
        </w:rPr>
        <w:t>Digital Footprints: Multidisciplinary Scientific Journal</w:t>
      </w:r>
      <w:r w:rsidRPr="003B1260">
        <w:rPr>
          <w:rFonts w:ascii="Book Antiqua" w:hAnsi="Book Antiqua"/>
          <w:sz w:val="20"/>
        </w:rPr>
        <w:t>, 1 no.3, (2024): 516-523.</w:t>
      </w:r>
    </w:p>
  </w:footnote>
  <w:footnote w:id="14">
    <w:p w14:paraId="603ACAEE" w14:textId="77777777" w:rsidR="00630BEF" w:rsidRPr="003B1260" w:rsidRDefault="00630BEF" w:rsidP="00A43BE4">
      <w:pPr>
        <w:pStyle w:val="FootnoteText"/>
        <w:ind w:firstLine="720"/>
        <w:jc w:val="both"/>
        <w:rPr>
          <w:rFonts w:ascii="Book Antiqua" w:hAnsi="Book Antiqua"/>
        </w:rPr>
      </w:pPr>
      <w:r w:rsidRPr="003B1260">
        <w:rPr>
          <w:rStyle w:val="FootnoteReference"/>
          <w:rFonts w:ascii="Book Antiqua" w:hAnsi="Book Antiqua"/>
        </w:rPr>
        <w:footnoteRef/>
      </w:r>
      <w:r w:rsidRPr="003B1260">
        <w:rPr>
          <w:rFonts w:ascii="Book Antiqua" w:hAnsi="Book Antiqua"/>
        </w:rPr>
        <w:t xml:space="preserve"> </w:t>
      </w:r>
      <w:proofErr w:type="spellStart"/>
      <w:r w:rsidRPr="003B1260">
        <w:rPr>
          <w:rFonts w:ascii="Book Antiqua" w:hAnsi="Book Antiqua"/>
        </w:rPr>
        <w:t>Soetandyo</w:t>
      </w:r>
      <w:proofErr w:type="spellEnd"/>
      <w:r w:rsidRPr="003B1260">
        <w:rPr>
          <w:rFonts w:ascii="Book Antiqua" w:hAnsi="Book Antiqua"/>
        </w:rPr>
        <w:t xml:space="preserve"> </w:t>
      </w:r>
      <w:proofErr w:type="spellStart"/>
      <w:r w:rsidRPr="003B1260">
        <w:rPr>
          <w:rFonts w:ascii="Book Antiqua" w:hAnsi="Book Antiqua"/>
        </w:rPr>
        <w:t>Wignjosoebroto</w:t>
      </w:r>
      <w:proofErr w:type="spellEnd"/>
      <w:r w:rsidRPr="003B1260">
        <w:rPr>
          <w:rFonts w:ascii="Book Antiqua" w:hAnsi="Book Antiqua"/>
        </w:rPr>
        <w:t>, "</w:t>
      </w:r>
      <w:r w:rsidRPr="003B1260">
        <w:rPr>
          <w:rFonts w:ascii="Book Antiqua" w:hAnsi="Book Antiqua"/>
          <w:i/>
        </w:rPr>
        <w:t>From Colonial Law to National Law: Socio-Political Dynamics in the Development of Law in Indonesia.</w:t>
      </w:r>
      <w:r w:rsidRPr="003B1260">
        <w:rPr>
          <w:rFonts w:ascii="Book Antiqua" w:hAnsi="Book Antiqua"/>
        </w:rPr>
        <w:t xml:space="preserve"> (J</w:t>
      </w:r>
      <w:r w:rsidR="007B0093">
        <w:rPr>
          <w:rFonts w:ascii="Book Antiqua" w:hAnsi="Book Antiqua"/>
        </w:rPr>
        <w:t xml:space="preserve">akarta: </w:t>
      </w:r>
      <w:proofErr w:type="spellStart"/>
      <w:r w:rsidR="007B0093">
        <w:rPr>
          <w:rFonts w:ascii="Book Antiqua" w:hAnsi="Book Antiqua"/>
        </w:rPr>
        <w:t>Rajawali</w:t>
      </w:r>
      <w:proofErr w:type="spellEnd"/>
      <w:r w:rsidR="007B0093">
        <w:rPr>
          <w:rFonts w:ascii="Book Antiqua" w:hAnsi="Book Antiqua"/>
        </w:rPr>
        <w:t xml:space="preserve"> Press, 2002)</w:t>
      </w:r>
    </w:p>
  </w:footnote>
  <w:footnote w:id="15">
    <w:p w14:paraId="4A87F13D"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A. </w:t>
      </w:r>
      <w:proofErr w:type="spellStart"/>
      <w:r w:rsidRPr="003B1260">
        <w:rPr>
          <w:rFonts w:ascii="Book Antiqua" w:hAnsi="Book Antiqua"/>
          <w:sz w:val="20"/>
        </w:rPr>
        <w:t>Mubarok</w:t>
      </w:r>
      <w:proofErr w:type="spellEnd"/>
      <w:r w:rsidRPr="003B1260">
        <w:rPr>
          <w:rFonts w:ascii="Book Antiqua" w:hAnsi="Book Antiqua"/>
          <w:sz w:val="20"/>
        </w:rPr>
        <w:t xml:space="preserve">, A. </w:t>
      </w:r>
      <w:proofErr w:type="spellStart"/>
      <w:r w:rsidRPr="003B1260">
        <w:rPr>
          <w:rFonts w:ascii="Book Antiqua" w:hAnsi="Book Antiqua"/>
          <w:sz w:val="20"/>
        </w:rPr>
        <w:t>Alviana</w:t>
      </w:r>
      <w:proofErr w:type="spellEnd"/>
      <w:r w:rsidRPr="003B1260">
        <w:rPr>
          <w:rFonts w:ascii="Book Antiqua" w:hAnsi="Book Antiqua"/>
          <w:sz w:val="20"/>
        </w:rPr>
        <w:t xml:space="preserve">, F. P. </w:t>
      </w:r>
      <w:proofErr w:type="spellStart"/>
      <w:r w:rsidRPr="003B1260">
        <w:rPr>
          <w:rFonts w:ascii="Book Antiqua" w:hAnsi="Book Antiqua"/>
          <w:sz w:val="20"/>
        </w:rPr>
        <w:t>Marselina</w:t>
      </w:r>
      <w:proofErr w:type="spellEnd"/>
      <w:r w:rsidRPr="003B1260">
        <w:rPr>
          <w:rFonts w:ascii="Book Antiqua" w:hAnsi="Book Antiqua"/>
          <w:sz w:val="20"/>
        </w:rPr>
        <w:t xml:space="preserve">, M. A. B. </w:t>
      </w:r>
      <w:proofErr w:type="spellStart"/>
      <w:r w:rsidRPr="003B1260">
        <w:rPr>
          <w:rFonts w:ascii="Book Antiqua" w:hAnsi="Book Antiqua"/>
          <w:sz w:val="20"/>
        </w:rPr>
        <w:t>Febriansyah</w:t>
      </w:r>
      <w:proofErr w:type="spellEnd"/>
      <w:r w:rsidRPr="003B1260">
        <w:rPr>
          <w:rFonts w:ascii="Book Antiqua" w:hAnsi="Book Antiqua"/>
          <w:sz w:val="20"/>
        </w:rPr>
        <w:t xml:space="preserve">, S. </w:t>
      </w:r>
      <w:proofErr w:type="spellStart"/>
      <w:r w:rsidRPr="003B1260">
        <w:rPr>
          <w:rFonts w:ascii="Book Antiqua" w:hAnsi="Book Antiqua"/>
          <w:sz w:val="20"/>
        </w:rPr>
        <w:t>Shabrina</w:t>
      </w:r>
      <w:proofErr w:type="spellEnd"/>
      <w:r w:rsidRPr="003B1260">
        <w:rPr>
          <w:rFonts w:ascii="Book Antiqua" w:hAnsi="Book Antiqua"/>
          <w:sz w:val="20"/>
        </w:rPr>
        <w:t xml:space="preserve">, &amp; T. I Gayatri, “Protection of indigenous peoples' land rights in the era of regional autonomy: Challenges and opportunities,” </w:t>
      </w:r>
      <w:proofErr w:type="spellStart"/>
      <w:r w:rsidRPr="003B1260">
        <w:rPr>
          <w:rFonts w:ascii="Book Antiqua" w:hAnsi="Book Antiqua"/>
          <w:i/>
          <w:sz w:val="20"/>
        </w:rPr>
        <w:t>Almufi</w:t>
      </w:r>
      <w:proofErr w:type="spellEnd"/>
      <w:r w:rsidRPr="003B1260">
        <w:rPr>
          <w:rFonts w:ascii="Book Antiqua" w:hAnsi="Book Antiqua"/>
          <w:i/>
          <w:sz w:val="20"/>
        </w:rPr>
        <w:t xml:space="preserve"> Journal of Social and Humanities</w:t>
      </w:r>
      <w:r w:rsidRPr="003B1260">
        <w:rPr>
          <w:rFonts w:ascii="Book Antiqua" w:hAnsi="Book Antiqua"/>
          <w:sz w:val="20"/>
        </w:rPr>
        <w:t>, 1, no.2, (2024): 69-77.)</w:t>
      </w:r>
    </w:p>
  </w:footnote>
  <w:footnote w:id="16">
    <w:p w14:paraId="5C3E96C3"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Muhammad Erwin, “</w:t>
      </w:r>
      <w:r w:rsidRPr="003B1260">
        <w:rPr>
          <w:rFonts w:ascii="Book Antiqua" w:hAnsi="Book Antiqua"/>
          <w:i/>
          <w:sz w:val="20"/>
        </w:rPr>
        <w:t>Environmental Law in the Indonesian National Legal System</w:t>
      </w:r>
      <w:r w:rsidRPr="003B1260">
        <w:rPr>
          <w:rFonts w:ascii="Book Antiqua" w:hAnsi="Book Antiqua"/>
          <w:sz w:val="20"/>
        </w:rPr>
        <w:t xml:space="preserve">,” (Jakarta: </w:t>
      </w:r>
      <w:proofErr w:type="spellStart"/>
      <w:r w:rsidRPr="003B1260">
        <w:rPr>
          <w:rFonts w:ascii="Book Antiqua" w:hAnsi="Book Antiqua"/>
          <w:sz w:val="20"/>
        </w:rPr>
        <w:t>Refika</w:t>
      </w:r>
      <w:proofErr w:type="spellEnd"/>
      <w:r w:rsidRPr="003B1260">
        <w:rPr>
          <w:rFonts w:ascii="Book Antiqua" w:hAnsi="Book Antiqua"/>
          <w:sz w:val="20"/>
        </w:rPr>
        <w:t xml:space="preserve"> </w:t>
      </w:r>
      <w:proofErr w:type="spellStart"/>
      <w:r w:rsidRPr="003B1260">
        <w:rPr>
          <w:rFonts w:ascii="Book Antiqua" w:hAnsi="Book Antiqua"/>
          <w:sz w:val="20"/>
        </w:rPr>
        <w:t>Aditama</w:t>
      </w:r>
      <w:proofErr w:type="spellEnd"/>
      <w:r w:rsidRPr="003B1260">
        <w:rPr>
          <w:rFonts w:ascii="Book Antiqua" w:hAnsi="Book Antiqua"/>
          <w:sz w:val="20"/>
        </w:rPr>
        <w:t>, 2019).</w:t>
      </w:r>
    </w:p>
  </w:footnote>
  <w:footnote w:id="17">
    <w:p w14:paraId="682A9C5E"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w:t>
      </w:r>
      <w:proofErr w:type="spellStart"/>
      <w:r w:rsidRPr="003B1260">
        <w:rPr>
          <w:rFonts w:ascii="Book Antiqua" w:hAnsi="Book Antiqua"/>
          <w:sz w:val="20"/>
        </w:rPr>
        <w:t>Jimly</w:t>
      </w:r>
      <w:proofErr w:type="spellEnd"/>
      <w:r w:rsidRPr="003B1260">
        <w:rPr>
          <w:rFonts w:ascii="Book Antiqua" w:hAnsi="Book Antiqua"/>
          <w:sz w:val="20"/>
        </w:rPr>
        <w:t xml:space="preserve"> </w:t>
      </w:r>
      <w:proofErr w:type="spellStart"/>
      <w:r w:rsidRPr="003B1260">
        <w:rPr>
          <w:rFonts w:ascii="Book Antiqua" w:hAnsi="Book Antiqua"/>
          <w:sz w:val="20"/>
        </w:rPr>
        <w:t>Asshiddiqie</w:t>
      </w:r>
      <w:proofErr w:type="spellEnd"/>
      <w:r w:rsidRPr="003B1260">
        <w:rPr>
          <w:rFonts w:ascii="Book Antiqua" w:hAnsi="Book Antiqua"/>
          <w:sz w:val="20"/>
        </w:rPr>
        <w:t>, “</w:t>
      </w:r>
      <w:r w:rsidRPr="003B1260">
        <w:rPr>
          <w:rFonts w:ascii="Book Antiqua" w:hAnsi="Book Antiqua"/>
          <w:i/>
          <w:sz w:val="20"/>
        </w:rPr>
        <w:t>The Constitution and Law in Controversial</w:t>
      </w:r>
      <w:r w:rsidRPr="003B1260">
        <w:rPr>
          <w:rFonts w:ascii="Book Antiqua" w:hAnsi="Book Antiqua"/>
          <w:sz w:val="20"/>
        </w:rPr>
        <w:t xml:space="preserve"> Issues,” (Jakarta: </w:t>
      </w:r>
      <w:proofErr w:type="spellStart"/>
      <w:r w:rsidRPr="003B1260">
        <w:rPr>
          <w:rFonts w:ascii="Book Antiqua" w:hAnsi="Book Antiqua"/>
          <w:sz w:val="20"/>
        </w:rPr>
        <w:t>Konstitusi</w:t>
      </w:r>
      <w:proofErr w:type="spellEnd"/>
      <w:r w:rsidRPr="003B1260">
        <w:rPr>
          <w:rFonts w:ascii="Book Antiqua" w:hAnsi="Book Antiqua"/>
          <w:sz w:val="20"/>
        </w:rPr>
        <w:t xml:space="preserve"> Press, 2019).</w:t>
      </w:r>
    </w:p>
  </w:footnote>
  <w:footnote w:id="18">
    <w:p w14:paraId="45BDA0B5"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T. </w:t>
      </w:r>
      <w:proofErr w:type="spellStart"/>
      <w:r w:rsidRPr="003B1260">
        <w:rPr>
          <w:rFonts w:ascii="Book Antiqua" w:hAnsi="Book Antiqua"/>
          <w:sz w:val="20"/>
        </w:rPr>
        <w:t>Wahyuni</w:t>
      </w:r>
      <w:proofErr w:type="spellEnd"/>
      <w:r w:rsidRPr="003B1260">
        <w:rPr>
          <w:rFonts w:ascii="Book Antiqua" w:hAnsi="Book Antiqua"/>
          <w:sz w:val="20"/>
        </w:rPr>
        <w:t xml:space="preserve">, “Spatial Justice in Cities,” </w:t>
      </w:r>
      <w:r w:rsidRPr="003B1260">
        <w:rPr>
          <w:rFonts w:ascii="Book Antiqua" w:hAnsi="Book Antiqua"/>
          <w:i/>
          <w:sz w:val="20"/>
        </w:rPr>
        <w:t>ISMETEK</w:t>
      </w:r>
      <w:r w:rsidRPr="003B1260">
        <w:rPr>
          <w:rFonts w:ascii="Book Antiqua" w:hAnsi="Book Antiqua"/>
          <w:sz w:val="20"/>
        </w:rPr>
        <w:t>, 14 no.2, (2024).</w:t>
      </w:r>
    </w:p>
  </w:footnote>
  <w:footnote w:id="19">
    <w:p w14:paraId="16CB2270" w14:textId="77777777" w:rsidR="00630BEF" w:rsidRPr="003B1260" w:rsidRDefault="00630BEF" w:rsidP="00A43BE4">
      <w:pPr>
        <w:pStyle w:val="FootnoteText"/>
        <w:ind w:firstLine="720"/>
        <w:jc w:val="both"/>
        <w:rPr>
          <w:rFonts w:ascii="Book Antiqua" w:hAnsi="Book Antiqua"/>
        </w:rPr>
      </w:pPr>
      <w:r w:rsidRPr="003B1260">
        <w:rPr>
          <w:rStyle w:val="FootnoteReference"/>
          <w:rFonts w:ascii="Book Antiqua" w:hAnsi="Book Antiqua"/>
        </w:rPr>
        <w:footnoteRef/>
      </w:r>
      <w:r w:rsidRPr="003B1260">
        <w:rPr>
          <w:rFonts w:ascii="Book Antiqua" w:hAnsi="Book Antiqua"/>
        </w:rPr>
        <w:t xml:space="preserve"> M. </w:t>
      </w:r>
      <w:proofErr w:type="spellStart"/>
      <w:r w:rsidRPr="003B1260">
        <w:rPr>
          <w:rFonts w:ascii="Book Antiqua" w:hAnsi="Book Antiqua"/>
        </w:rPr>
        <w:t>Junef</w:t>
      </w:r>
      <w:proofErr w:type="spellEnd"/>
      <w:r w:rsidRPr="003B1260">
        <w:rPr>
          <w:rFonts w:ascii="Book Antiqua" w:hAnsi="Book Antiqua"/>
        </w:rPr>
        <w:t xml:space="preserve">, “Law Enforcement in the Context of Spatial Planning to Achieve Sustainable Development,” </w:t>
      </w:r>
      <w:r w:rsidRPr="003B1260">
        <w:rPr>
          <w:rFonts w:ascii="Book Antiqua" w:hAnsi="Book Antiqua"/>
          <w:i/>
        </w:rPr>
        <w:t>Journal of Legal Research</w:t>
      </w:r>
      <w:r w:rsidRPr="003B1260">
        <w:rPr>
          <w:rFonts w:ascii="Book Antiqua" w:hAnsi="Book Antiqua"/>
        </w:rPr>
        <w:t xml:space="preserve">, 1410, (2024): 5632. </w:t>
      </w:r>
    </w:p>
  </w:footnote>
  <w:footnote w:id="20">
    <w:p w14:paraId="33832D97" w14:textId="0101382C" w:rsidR="00973EF7" w:rsidRDefault="00973EF7" w:rsidP="00973EF7">
      <w:pPr>
        <w:pStyle w:val="FootnoteText"/>
        <w:ind w:firstLine="720"/>
      </w:pPr>
      <w:r>
        <w:rPr>
          <w:rStyle w:val="FootnoteReference"/>
        </w:rPr>
        <w:footnoteRef/>
      </w:r>
      <w:r>
        <w:t xml:space="preserve"> </w:t>
      </w:r>
      <w:r w:rsidRPr="003B1260">
        <w:rPr>
          <w:rFonts w:ascii="Book Antiqua" w:hAnsi="Book Antiqua"/>
        </w:rPr>
        <w:t>Zainuddin Ali, “</w:t>
      </w:r>
      <w:r w:rsidRPr="003B1260">
        <w:rPr>
          <w:rFonts w:ascii="Book Antiqua" w:hAnsi="Book Antiqua"/>
          <w:i/>
        </w:rPr>
        <w:t>Legal Research Methods</w:t>
      </w:r>
      <w:r w:rsidRPr="003B1260">
        <w:rPr>
          <w:rFonts w:ascii="Book Antiqua" w:hAnsi="Book Antiqua"/>
        </w:rPr>
        <w:t xml:space="preserve">,” (Jakarta: </w:t>
      </w:r>
      <w:proofErr w:type="spellStart"/>
      <w:r w:rsidRPr="003B1260">
        <w:rPr>
          <w:rFonts w:ascii="Book Antiqua" w:hAnsi="Book Antiqua"/>
        </w:rPr>
        <w:t>Sinar</w:t>
      </w:r>
      <w:proofErr w:type="spellEnd"/>
      <w:r w:rsidRPr="003B1260">
        <w:rPr>
          <w:rFonts w:ascii="Book Antiqua" w:hAnsi="Book Antiqua"/>
        </w:rPr>
        <w:t xml:space="preserve"> </w:t>
      </w:r>
      <w:proofErr w:type="spellStart"/>
      <w:r w:rsidRPr="003B1260">
        <w:rPr>
          <w:rFonts w:ascii="Book Antiqua" w:hAnsi="Book Antiqua"/>
        </w:rPr>
        <w:t>Grafika</w:t>
      </w:r>
      <w:proofErr w:type="spellEnd"/>
      <w:r w:rsidRPr="003B1260">
        <w:rPr>
          <w:rFonts w:ascii="Book Antiqua" w:hAnsi="Book Antiqua"/>
        </w:rPr>
        <w:t>: 2016)</w:t>
      </w:r>
    </w:p>
  </w:footnote>
  <w:footnote w:id="21">
    <w:p w14:paraId="120DAC52"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E. N. </w:t>
      </w:r>
      <w:proofErr w:type="spellStart"/>
      <w:r w:rsidRPr="003B1260">
        <w:rPr>
          <w:rFonts w:ascii="Book Antiqua" w:hAnsi="Book Antiqua"/>
          <w:sz w:val="20"/>
        </w:rPr>
        <w:t>Kristiyanto</w:t>
      </w:r>
      <w:proofErr w:type="spellEnd"/>
      <w:r w:rsidRPr="003B1260">
        <w:rPr>
          <w:rFonts w:ascii="Book Antiqua" w:hAnsi="Book Antiqua"/>
          <w:sz w:val="20"/>
        </w:rPr>
        <w:t xml:space="preserve">, “The position of local wisdom and the role of the community in spatial planning in the regions”, </w:t>
      </w:r>
      <w:proofErr w:type="spellStart"/>
      <w:r w:rsidRPr="003B1260">
        <w:rPr>
          <w:rFonts w:ascii="Book Antiqua" w:hAnsi="Book Antiqua"/>
          <w:i/>
          <w:sz w:val="20"/>
        </w:rPr>
        <w:t>Rechts</w:t>
      </w:r>
      <w:proofErr w:type="spellEnd"/>
      <w:r w:rsidRPr="003B1260">
        <w:rPr>
          <w:rFonts w:ascii="Book Antiqua" w:hAnsi="Book Antiqua"/>
          <w:i/>
          <w:sz w:val="20"/>
        </w:rPr>
        <w:t xml:space="preserve"> </w:t>
      </w:r>
      <w:proofErr w:type="spellStart"/>
      <w:r w:rsidRPr="003B1260">
        <w:rPr>
          <w:rFonts w:ascii="Book Antiqua" w:hAnsi="Book Antiqua"/>
          <w:i/>
          <w:sz w:val="20"/>
        </w:rPr>
        <w:t>Vinding</w:t>
      </w:r>
      <w:proofErr w:type="spellEnd"/>
      <w:r w:rsidRPr="003B1260">
        <w:rPr>
          <w:rFonts w:ascii="Book Antiqua" w:hAnsi="Book Antiqua"/>
          <w:sz w:val="20"/>
        </w:rPr>
        <w:t>, 6, no. 2, (2017): 151-169.</w:t>
      </w:r>
    </w:p>
  </w:footnote>
  <w:footnote w:id="22">
    <w:p w14:paraId="3198737F"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M.</w:t>
      </w:r>
      <w:r w:rsidR="007B0093" w:rsidRPr="007B0093">
        <w:rPr>
          <w:rFonts w:ascii="Book Antiqua" w:hAnsi="Book Antiqua"/>
          <w:sz w:val="20"/>
        </w:rPr>
        <w:t xml:space="preserve"> </w:t>
      </w:r>
      <w:proofErr w:type="spellStart"/>
      <w:r w:rsidR="007B0093" w:rsidRPr="003B1260">
        <w:rPr>
          <w:rFonts w:ascii="Book Antiqua" w:hAnsi="Book Antiqua"/>
          <w:sz w:val="20"/>
        </w:rPr>
        <w:t>Junef</w:t>
      </w:r>
      <w:proofErr w:type="spellEnd"/>
      <w:r w:rsidR="007B0093">
        <w:rPr>
          <w:rFonts w:ascii="Book Antiqua" w:hAnsi="Book Antiqua"/>
          <w:sz w:val="20"/>
        </w:rPr>
        <w:t>,</w:t>
      </w:r>
      <w:r w:rsidRPr="003B1260">
        <w:rPr>
          <w:rFonts w:ascii="Book Antiqua" w:hAnsi="Book Antiqua"/>
          <w:sz w:val="20"/>
        </w:rPr>
        <w:t xml:space="preserve"> Law Enforcement in the Context of Spatial Planning to Achieve Sustainable Development. </w:t>
      </w:r>
      <w:r w:rsidRPr="003B1260">
        <w:rPr>
          <w:rFonts w:ascii="Book Antiqua" w:hAnsi="Book Antiqua"/>
          <w:i/>
          <w:sz w:val="20"/>
        </w:rPr>
        <w:t>Journal of Legal Research</w:t>
      </w:r>
      <w:r w:rsidRPr="003B1260">
        <w:rPr>
          <w:rFonts w:ascii="Book Antiqua" w:hAnsi="Book Antiqua"/>
          <w:sz w:val="20"/>
        </w:rPr>
        <w:t xml:space="preserve"> P-ISSN, </w:t>
      </w:r>
      <w:r w:rsidR="007B0093" w:rsidRPr="003B1260">
        <w:rPr>
          <w:rFonts w:ascii="Book Antiqua" w:hAnsi="Book Antiqua"/>
          <w:sz w:val="20"/>
        </w:rPr>
        <w:t>(2021)</w:t>
      </w:r>
      <w:r w:rsidR="007B0093">
        <w:rPr>
          <w:rFonts w:ascii="Book Antiqua" w:hAnsi="Book Antiqua"/>
          <w:sz w:val="20"/>
        </w:rPr>
        <w:t>:</w:t>
      </w:r>
      <w:r w:rsidR="007B0093" w:rsidRPr="003B1260">
        <w:rPr>
          <w:rFonts w:ascii="Book Antiqua" w:hAnsi="Book Antiqua"/>
          <w:sz w:val="20"/>
        </w:rPr>
        <w:t xml:space="preserve"> </w:t>
      </w:r>
      <w:r w:rsidRPr="003B1260">
        <w:rPr>
          <w:rFonts w:ascii="Book Antiqua" w:hAnsi="Book Antiqua"/>
          <w:sz w:val="20"/>
        </w:rPr>
        <w:t>1410, 5632.</w:t>
      </w:r>
    </w:p>
  </w:footnote>
  <w:footnote w:id="23">
    <w:p w14:paraId="4093A155"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Maria S.W. </w:t>
      </w:r>
      <w:proofErr w:type="spellStart"/>
      <w:r w:rsidRPr="003B1260">
        <w:rPr>
          <w:rFonts w:ascii="Book Antiqua" w:hAnsi="Book Antiqua"/>
          <w:sz w:val="20"/>
        </w:rPr>
        <w:t>Sumardjono</w:t>
      </w:r>
      <w:proofErr w:type="spellEnd"/>
      <w:r w:rsidRPr="003B1260">
        <w:rPr>
          <w:rFonts w:ascii="Book Antiqua" w:hAnsi="Book Antiqua"/>
          <w:sz w:val="20"/>
        </w:rPr>
        <w:t xml:space="preserve">, </w:t>
      </w:r>
      <w:r w:rsidR="00A43BE4" w:rsidRPr="003B1260">
        <w:rPr>
          <w:rFonts w:ascii="Book Antiqua" w:hAnsi="Book Antiqua"/>
          <w:sz w:val="20"/>
        </w:rPr>
        <w:t>“</w:t>
      </w:r>
      <w:r w:rsidRPr="003B1260">
        <w:rPr>
          <w:rFonts w:ascii="Book Antiqua" w:hAnsi="Book Antiqua"/>
          <w:i/>
          <w:sz w:val="20"/>
        </w:rPr>
        <w:t>Land Policy between Regulation and Implementation</w:t>
      </w:r>
      <w:r w:rsidR="00A43BE4" w:rsidRPr="003B1260">
        <w:rPr>
          <w:rFonts w:ascii="Book Antiqua" w:hAnsi="Book Antiqua"/>
          <w:i/>
          <w:sz w:val="20"/>
        </w:rPr>
        <w:t>”</w:t>
      </w:r>
      <w:r w:rsidRPr="003B1260">
        <w:rPr>
          <w:rFonts w:ascii="Book Antiqua" w:hAnsi="Book Antiqua"/>
          <w:sz w:val="20"/>
        </w:rPr>
        <w:t xml:space="preserve">, (Yogyakarta: Gadjah </w:t>
      </w:r>
      <w:proofErr w:type="spellStart"/>
      <w:r w:rsidRPr="003B1260">
        <w:rPr>
          <w:rFonts w:ascii="Book Antiqua" w:hAnsi="Book Antiqua"/>
          <w:sz w:val="20"/>
        </w:rPr>
        <w:t>Mada</w:t>
      </w:r>
      <w:proofErr w:type="spellEnd"/>
      <w:r w:rsidRPr="003B1260">
        <w:rPr>
          <w:rFonts w:ascii="Book Antiqua" w:hAnsi="Book Antiqua"/>
          <w:sz w:val="20"/>
        </w:rPr>
        <w:t xml:space="preserve"> University Press,</w:t>
      </w:r>
      <w:r w:rsidR="007B0093">
        <w:rPr>
          <w:rFonts w:ascii="Book Antiqua" w:hAnsi="Book Antiqua"/>
          <w:sz w:val="20"/>
        </w:rPr>
        <w:t xml:space="preserve"> 2012)</w:t>
      </w:r>
    </w:p>
  </w:footnote>
  <w:footnote w:id="24">
    <w:p w14:paraId="7AA11DAE" w14:textId="77777777" w:rsidR="00630BEF" w:rsidRPr="003B1260" w:rsidRDefault="00630BEF" w:rsidP="00A43BE4">
      <w:pPr>
        <w:pStyle w:val="FootnoteText"/>
        <w:ind w:firstLine="720"/>
        <w:jc w:val="both"/>
        <w:rPr>
          <w:rFonts w:ascii="Book Antiqua" w:hAnsi="Book Antiqua"/>
        </w:rPr>
      </w:pPr>
      <w:r w:rsidRPr="003B1260">
        <w:rPr>
          <w:rStyle w:val="FootnoteReference"/>
          <w:rFonts w:ascii="Book Antiqua" w:hAnsi="Book Antiqua"/>
        </w:rPr>
        <w:footnoteRef/>
      </w:r>
      <w:r w:rsidRPr="003B1260">
        <w:rPr>
          <w:rFonts w:ascii="Book Antiqua" w:hAnsi="Book Antiqua"/>
        </w:rPr>
        <w:t xml:space="preserve"> </w:t>
      </w:r>
      <w:proofErr w:type="spellStart"/>
      <w:r w:rsidRPr="003B1260">
        <w:rPr>
          <w:rFonts w:ascii="Book Antiqua" w:hAnsi="Book Antiqua"/>
        </w:rPr>
        <w:t>Partini</w:t>
      </w:r>
      <w:proofErr w:type="spellEnd"/>
      <w:r w:rsidRPr="003B1260">
        <w:rPr>
          <w:rFonts w:ascii="Book Antiqua" w:hAnsi="Book Antiqua"/>
        </w:rPr>
        <w:t xml:space="preserve">, N. N. T. (2024). The Role of Customary Law in Law Enforcement and Dispute Resolution. </w:t>
      </w:r>
      <w:r w:rsidRPr="003B1260">
        <w:rPr>
          <w:rFonts w:ascii="Book Antiqua" w:hAnsi="Book Antiqua"/>
          <w:i/>
        </w:rPr>
        <w:t>Virtue Jurisprudence</w:t>
      </w:r>
      <w:r w:rsidRPr="003B1260">
        <w:rPr>
          <w:rFonts w:ascii="Book Antiqua" w:hAnsi="Book Antiqua"/>
        </w:rPr>
        <w:t>, 2</w:t>
      </w:r>
      <w:r w:rsidR="00A43BE4" w:rsidRPr="003B1260">
        <w:rPr>
          <w:rFonts w:ascii="Book Antiqua" w:hAnsi="Book Antiqua"/>
        </w:rPr>
        <w:t xml:space="preserve"> no. </w:t>
      </w:r>
      <w:r w:rsidRPr="003B1260">
        <w:rPr>
          <w:rFonts w:ascii="Book Antiqua" w:hAnsi="Book Antiqua"/>
        </w:rPr>
        <w:t>2,</w:t>
      </w:r>
      <w:r w:rsidR="00A43BE4" w:rsidRPr="003B1260">
        <w:rPr>
          <w:rFonts w:ascii="Book Antiqua" w:hAnsi="Book Antiqua"/>
        </w:rPr>
        <w:t xml:space="preserve"> (2024):</w:t>
      </w:r>
      <w:r w:rsidRPr="003B1260">
        <w:rPr>
          <w:rFonts w:ascii="Book Antiqua" w:hAnsi="Book Antiqua"/>
        </w:rPr>
        <w:t xml:space="preserve"> 192-201.</w:t>
      </w:r>
    </w:p>
  </w:footnote>
  <w:footnote w:id="25">
    <w:p w14:paraId="11FC9A52" w14:textId="77777777" w:rsidR="00630BEF" w:rsidRPr="003B1260" w:rsidRDefault="00630BEF"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00A43BE4" w:rsidRPr="003B1260">
        <w:rPr>
          <w:rFonts w:ascii="Book Antiqua" w:hAnsi="Book Antiqua"/>
          <w:sz w:val="20"/>
        </w:rPr>
        <w:t xml:space="preserve">. T. P. </w:t>
      </w:r>
      <w:proofErr w:type="spellStart"/>
      <w:r w:rsidR="00A43BE4" w:rsidRPr="003B1260">
        <w:rPr>
          <w:rFonts w:ascii="Book Antiqua" w:hAnsi="Book Antiqua"/>
          <w:sz w:val="20"/>
        </w:rPr>
        <w:t>Alfath</w:t>
      </w:r>
      <w:proofErr w:type="spellEnd"/>
      <w:r w:rsidR="00A43BE4" w:rsidRPr="003B1260">
        <w:rPr>
          <w:rFonts w:ascii="Book Antiqua" w:hAnsi="Book Antiqua"/>
          <w:sz w:val="20"/>
        </w:rPr>
        <w:t xml:space="preserve">, &amp; I. N. </w:t>
      </w:r>
      <w:proofErr w:type="spellStart"/>
      <w:r w:rsidR="00A43BE4" w:rsidRPr="003B1260">
        <w:rPr>
          <w:rFonts w:ascii="Book Antiqua" w:hAnsi="Book Antiqua"/>
          <w:sz w:val="20"/>
        </w:rPr>
        <w:t>Padli</w:t>
      </w:r>
      <w:proofErr w:type="spellEnd"/>
      <w:r w:rsidR="00A43BE4" w:rsidRPr="003B1260">
        <w:rPr>
          <w:rFonts w:ascii="Book Antiqua" w:hAnsi="Book Antiqua"/>
          <w:sz w:val="20"/>
        </w:rPr>
        <w:t xml:space="preserve">, “The Application of Customary Law Principles in Equitable Infrastructure Development” </w:t>
      </w:r>
      <w:r w:rsidR="00A43BE4" w:rsidRPr="003B1260">
        <w:rPr>
          <w:rFonts w:ascii="Book Antiqua" w:hAnsi="Book Antiqua"/>
          <w:i/>
          <w:sz w:val="20"/>
        </w:rPr>
        <w:t xml:space="preserve">Arena </w:t>
      </w:r>
      <w:proofErr w:type="spellStart"/>
      <w:r w:rsidR="00A43BE4" w:rsidRPr="003B1260">
        <w:rPr>
          <w:rFonts w:ascii="Book Antiqua" w:hAnsi="Book Antiqua"/>
          <w:i/>
          <w:sz w:val="20"/>
        </w:rPr>
        <w:t>Hukum</w:t>
      </w:r>
      <w:proofErr w:type="spellEnd"/>
      <w:r w:rsidR="00A43BE4" w:rsidRPr="003B1260">
        <w:rPr>
          <w:rFonts w:ascii="Book Antiqua" w:hAnsi="Book Antiqua"/>
          <w:sz w:val="20"/>
        </w:rPr>
        <w:t>, 14 no. 1, (2021) :150-163</w:t>
      </w:r>
    </w:p>
  </w:footnote>
  <w:footnote w:id="26">
    <w:p w14:paraId="22B8E3E1"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B. </w:t>
      </w:r>
      <w:proofErr w:type="spellStart"/>
      <w:r w:rsidRPr="003B1260">
        <w:rPr>
          <w:rFonts w:ascii="Book Antiqua" w:hAnsi="Book Antiqua"/>
          <w:sz w:val="20"/>
        </w:rPr>
        <w:t>Pratiwi</w:t>
      </w:r>
      <w:proofErr w:type="spellEnd"/>
      <w:r w:rsidRPr="003B1260">
        <w:rPr>
          <w:rFonts w:ascii="Book Antiqua" w:hAnsi="Book Antiqua"/>
          <w:sz w:val="20"/>
        </w:rPr>
        <w:t xml:space="preserve">, P. F. </w:t>
      </w:r>
      <w:proofErr w:type="spellStart"/>
      <w:r w:rsidRPr="003B1260">
        <w:rPr>
          <w:rFonts w:ascii="Book Antiqua" w:hAnsi="Book Antiqua"/>
          <w:sz w:val="20"/>
        </w:rPr>
        <w:t>Soeparan</w:t>
      </w:r>
      <w:proofErr w:type="spellEnd"/>
      <w:r w:rsidRPr="003B1260">
        <w:rPr>
          <w:rFonts w:ascii="Book Antiqua" w:hAnsi="Book Antiqua"/>
          <w:sz w:val="20"/>
        </w:rPr>
        <w:t>, &amp; W. Wibisono, “The Role of Customary Law in the Settlement of Agrarian Disputes in Indonesia: An Empirical Study Using Comparative Methods,” Hakim: Journal of Law and Social Sciences, 2, no. 4, (2024): 807-822.</w:t>
      </w:r>
    </w:p>
  </w:footnote>
  <w:footnote w:id="27">
    <w:p w14:paraId="2A0AE909"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R. </w:t>
      </w:r>
      <w:proofErr w:type="spellStart"/>
      <w:r w:rsidRPr="003B1260">
        <w:rPr>
          <w:rFonts w:ascii="Book Antiqua" w:hAnsi="Book Antiqua"/>
          <w:sz w:val="20"/>
        </w:rPr>
        <w:t>Safaat</w:t>
      </w:r>
      <w:proofErr w:type="spellEnd"/>
      <w:r w:rsidRPr="003B1260">
        <w:rPr>
          <w:rFonts w:ascii="Book Antiqua" w:hAnsi="Book Antiqua"/>
          <w:sz w:val="20"/>
        </w:rPr>
        <w:t xml:space="preserve">, &amp; D. </w:t>
      </w:r>
      <w:proofErr w:type="spellStart"/>
      <w:r w:rsidRPr="003B1260">
        <w:rPr>
          <w:rFonts w:ascii="Book Antiqua" w:hAnsi="Book Antiqua"/>
          <w:sz w:val="20"/>
        </w:rPr>
        <w:t>Yono</w:t>
      </w:r>
      <w:proofErr w:type="spellEnd"/>
      <w:r w:rsidRPr="003B1260">
        <w:rPr>
          <w:rFonts w:ascii="Book Antiqua" w:hAnsi="Book Antiqua"/>
          <w:sz w:val="20"/>
        </w:rPr>
        <w:t>, “The Role of the State in the Management of Marine Resources Based on Local Wisdom for Equitable Welfare”, Legality: Scientific Journal of Law, 25, no. 1, (2017): 22-43.</w:t>
      </w:r>
    </w:p>
  </w:footnote>
  <w:footnote w:id="28">
    <w:p w14:paraId="7F9ABDE1" w14:textId="77777777" w:rsidR="00A43BE4" w:rsidRPr="003B1260" w:rsidRDefault="00A43BE4" w:rsidP="003B1260">
      <w:pPr>
        <w:pStyle w:val="FootnoteText"/>
        <w:ind w:firstLine="720"/>
        <w:jc w:val="both"/>
        <w:rPr>
          <w:rFonts w:ascii="Book Antiqua" w:hAnsi="Book Antiqua"/>
        </w:rPr>
      </w:pPr>
      <w:r w:rsidRPr="003B1260">
        <w:rPr>
          <w:rStyle w:val="FootnoteReference"/>
          <w:rFonts w:ascii="Book Antiqua" w:hAnsi="Book Antiqua"/>
        </w:rPr>
        <w:footnoteRef/>
      </w:r>
      <w:r w:rsidRPr="003B1260">
        <w:rPr>
          <w:rFonts w:ascii="Book Antiqua" w:hAnsi="Book Antiqua"/>
        </w:rPr>
        <w:t xml:space="preserve"> </w:t>
      </w:r>
      <w:r w:rsidR="003B1260" w:rsidRPr="003B1260">
        <w:rPr>
          <w:rFonts w:ascii="Book Antiqua" w:hAnsi="Book Antiqua"/>
        </w:rPr>
        <w:t xml:space="preserve">M. </w:t>
      </w:r>
      <w:proofErr w:type="spellStart"/>
      <w:r w:rsidR="003B1260" w:rsidRPr="003B1260">
        <w:rPr>
          <w:rFonts w:ascii="Book Antiqua" w:hAnsi="Book Antiqua"/>
        </w:rPr>
        <w:t>Priyanta</w:t>
      </w:r>
      <w:proofErr w:type="spellEnd"/>
      <w:r w:rsidR="003B1260" w:rsidRPr="003B1260">
        <w:rPr>
          <w:rFonts w:ascii="Book Antiqua" w:hAnsi="Book Antiqua"/>
        </w:rPr>
        <w:t xml:space="preserve">, “Updating and harmonizing environmental and spatial planning regulations towards sustainable development,” </w:t>
      </w:r>
      <w:proofErr w:type="spellStart"/>
      <w:r w:rsidR="003B1260" w:rsidRPr="003B1260">
        <w:rPr>
          <w:rFonts w:ascii="Book Antiqua" w:hAnsi="Book Antiqua"/>
          <w:i/>
        </w:rPr>
        <w:t>Hasanuddin</w:t>
      </w:r>
      <w:proofErr w:type="spellEnd"/>
      <w:r w:rsidR="003B1260" w:rsidRPr="003B1260">
        <w:rPr>
          <w:rFonts w:ascii="Book Antiqua" w:hAnsi="Book Antiqua"/>
          <w:i/>
        </w:rPr>
        <w:t xml:space="preserve"> Law Review</w:t>
      </w:r>
      <w:r w:rsidR="003B1260" w:rsidRPr="003B1260">
        <w:rPr>
          <w:rFonts w:ascii="Book Antiqua" w:hAnsi="Book Antiqua"/>
        </w:rPr>
        <w:t>, 1, no. 3, (2015): 337-349.</w:t>
      </w:r>
    </w:p>
  </w:footnote>
  <w:footnote w:id="29">
    <w:p w14:paraId="6E73691B"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S. H. </w:t>
      </w:r>
      <w:proofErr w:type="spellStart"/>
      <w:r w:rsidRPr="003B1260">
        <w:rPr>
          <w:rFonts w:ascii="Book Antiqua" w:hAnsi="Book Antiqua"/>
          <w:sz w:val="20"/>
        </w:rPr>
        <w:t>Enala</w:t>
      </w:r>
      <w:proofErr w:type="spellEnd"/>
      <w:r w:rsidRPr="003B1260">
        <w:rPr>
          <w:rFonts w:ascii="Book Antiqua" w:hAnsi="Book Antiqua"/>
          <w:sz w:val="20"/>
        </w:rPr>
        <w:t xml:space="preserve">, F. A. Mana, M. N. </w:t>
      </w:r>
      <w:proofErr w:type="spellStart"/>
      <w:r w:rsidRPr="003B1260">
        <w:rPr>
          <w:rFonts w:ascii="Book Antiqua" w:hAnsi="Book Antiqua"/>
          <w:sz w:val="20"/>
        </w:rPr>
        <w:t>Prasetya</w:t>
      </w:r>
      <w:proofErr w:type="spellEnd"/>
      <w:r w:rsidRPr="003B1260">
        <w:rPr>
          <w:rFonts w:ascii="Book Antiqua" w:hAnsi="Book Antiqua"/>
          <w:sz w:val="20"/>
        </w:rPr>
        <w:t xml:space="preserve">, &amp; A. F. Adam, “Empowering Indigenous Peoples in Local Development Decision-Making in Regencies,” </w:t>
      </w:r>
      <w:r w:rsidRPr="003B1260">
        <w:rPr>
          <w:rFonts w:ascii="Book Antiqua" w:hAnsi="Book Antiqua"/>
          <w:i/>
          <w:sz w:val="20"/>
        </w:rPr>
        <w:t>Journal of Community Service and Innovation</w:t>
      </w:r>
      <w:r w:rsidRPr="003B1260">
        <w:rPr>
          <w:rFonts w:ascii="Book Antiqua" w:hAnsi="Book Antiqua"/>
          <w:sz w:val="20"/>
        </w:rPr>
        <w:t>, 2, no. 01, (2025): 8-17.</w:t>
      </w:r>
    </w:p>
  </w:footnote>
  <w:footnote w:id="30">
    <w:p w14:paraId="5C942120"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A. Wibowo, “</w:t>
      </w:r>
      <w:r w:rsidRPr="003B1260">
        <w:rPr>
          <w:rFonts w:ascii="Book Antiqua" w:hAnsi="Book Antiqua"/>
          <w:i/>
          <w:sz w:val="20"/>
        </w:rPr>
        <w:t>Bankruptcy Law</w:t>
      </w:r>
      <w:r w:rsidRPr="003B1260">
        <w:rPr>
          <w:rFonts w:ascii="Book Antiqua" w:hAnsi="Book Antiqua"/>
          <w:sz w:val="20"/>
        </w:rPr>
        <w:t xml:space="preserve">,” (Jakarta: Prima </w:t>
      </w:r>
      <w:proofErr w:type="spellStart"/>
      <w:r w:rsidRPr="003B1260">
        <w:rPr>
          <w:rFonts w:ascii="Book Antiqua" w:hAnsi="Book Antiqua"/>
          <w:sz w:val="20"/>
        </w:rPr>
        <w:t>Agus</w:t>
      </w:r>
      <w:proofErr w:type="spellEnd"/>
      <w:r w:rsidRPr="003B1260">
        <w:rPr>
          <w:rFonts w:ascii="Book Antiqua" w:hAnsi="Book Antiqua"/>
          <w:sz w:val="20"/>
        </w:rPr>
        <w:t xml:space="preserve"> Teknik Foundation Publisher).</w:t>
      </w:r>
    </w:p>
  </w:footnote>
  <w:footnote w:id="31">
    <w:p w14:paraId="39C7AD41"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Franz von Benda-Beckmann, “</w:t>
      </w:r>
      <w:r w:rsidRPr="003B1260">
        <w:rPr>
          <w:rFonts w:ascii="Book Antiqua" w:hAnsi="Book Antiqua"/>
          <w:i/>
          <w:sz w:val="20"/>
        </w:rPr>
        <w:t>The Law of the Land: Customary Law in the Globalizing World</w:t>
      </w:r>
      <w:r w:rsidRPr="003B1260">
        <w:rPr>
          <w:rFonts w:ascii="Book Antiqua" w:hAnsi="Book Antiqua"/>
          <w:sz w:val="20"/>
        </w:rPr>
        <w:t>,” (Leiden: KITLV Press, 2013).</w:t>
      </w:r>
    </w:p>
  </w:footnote>
  <w:footnote w:id="32">
    <w:p w14:paraId="3C4E6E48" w14:textId="77777777" w:rsidR="00A43BE4" w:rsidRPr="003B1260" w:rsidRDefault="00A43BE4" w:rsidP="00A43BE4">
      <w:pPr>
        <w:pStyle w:val="FootnoteText"/>
        <w:ind w:firstLine="720"/>
        <w:jc w:val="both"/>
        <w:rPr>
          <w:rFonts w:ascii="Book Antiqua" w:hAnsi="Book Antiqua"/>
          <w:i/>
        </w:rPr>
      </w:pPr>
      <w:r w:rsidRPr="003B1260">
        <w:rPr>
          <w:rStyle w:val="FootnoteReference"/>
          <w:rFonts w:ascii="Book Antiqua" w:hAnsi="Book Antiqua"/>
        </w:rPr>
        <w:footnoteRef/>
      </w:r>
      <w:r w:rsidRPr="003B1260">
        <w:rPr>
          <w:rFonts w:ascii="Book Antiqua" w:hAnsi="Book Antiqua"/>
        </w:rPr>
        <w:t xml:space="preserve"> R. Kurniawan, “Legal Harmonization as Legal Protection for Workers in Bankrupt Companies from the Perspective of the Fifth Principle of Pancasila,” </w:t>
      </w:r>
      <w:r w:rsidRPr="003B1260">
        <w:rPr>
          <w:rFonts w:ascii="Book Antiqua" w:hAnsi="Book Antiqua"/>
          <w:i/>
        </w:rPr>
        <w:t>Journal of Legal Insight,</w:t>
      </w:r>
      <w:r w:rsidRPr="003B1260">
        <w:rPr>
          <w:rFonts w:ascii="Book Antiqua" w:hAnsi="Book Antiqua"/>
        </w:rPr>
        <w:t xml:space="preserve"> 28, no.1, (2013</w:t>
      </w:r>
      <w:proofErr w:type="gramStart"/>
      <w:r w:rsidRPr="003B1260">
        <w:rPr>
          <w:rFonts w:ascii="Book Antiqua" w:hAnsi="Book Antiqua"/>
        </w:rPr>
        <w:t>) :</w:t>
      </w:r>
      <w:proofErr w:type="gramEnd"/>
      <w:r w:rsidRPr="003B1260">
        <w:rPr>
          <w:rFonts w:ascii="Book Antiqua" w:hAnsi="Book Antiqua"/>
        </w:rPr>
        <w:t xml:space="preserve"> </w:t>
      </w:r>
      <w:r w:rsidRPr="003B1260">
        <w:rPr>
          <w:rFonts w:ascii="Book Antiqua" w:hAnsi="Book Antiqua"/>
          <w:i/>
        </w:rPr>
        <w:t>687-704.</w:t>
      </w:r>
    </w:p>
  </w:footnote>
  <w:footnote w:id="33">
    <w:p w14:paraId="27E98791" w14:textId="77777777" w:rsidR="00A43BE4" w:rsidRPr="003B1260" w:rsidRDefault="00A43BE4" w:rsidP="00A43BE4">
      <w:pPr>
        <w:pStyle w:val="FootnoteText"/>
        <w:ind w:firstLine="720"/>
        <w:jc w:val="both"/>
        <w:rPr>
          <w:rFonts w:ascii="Book Antiqua" w:hAnsi="Book Antiqua"/>
        </w:rPr>
      </w:pPr>
      <w:r w:rsidRPr="003B1260">
        <w:rPr>
          <w:rStyle w:val="FootnoteReference"/>
          <w:rFonts w:ascii="Book Antiqua" w:hAnsi="Book Antiqua"/>
          <w:i/>
        </w:rPr>
        <w:footnoteRef/>
      </w:r>
      <w:r w:rsidRPr="003B1260">
        <w:rPr>
          <w:rFonts w:ascii="Book Antiqua" w:hAnsi="Book Antiqua"/>
          <w:i/>
        </w:rPr>
        <w:t xml:space="preserve"> Ade </w:t>
      </w:r>
      <w:proofErr w:type="spellStart"/>
      <w:r w:rsidRPr="003B1260">
        <w:rPr>
          <w:rFonts w:ascii="Book Antiqua" w:hAnsi="Book Antiqua"/>
          <w:i/>
        </w:rPr>
        <w:t>Saptomo</w:t>
      </w:r>
      <w:proofErr w:type="spellEnd"/>
      <w:r w:rsidRPr="003B1260">
        <w:rPr>
          <w:rFonts w:ascii="Book Antiqua" w:hAnsi="Book Antiqua"/>
          <w:i/>
        </w:rPr>
        <w:t>, “Law and</w:t>
      </w:r>
      <w:r w:rsidRPr="003B1260">
        <w:rPr>
          <w:rFonts w:ascii="Book Antiqua" w:hAnsi="Book Antiqua"/>
        </w:rPr>
        <w:t xml:space="preserve"> Local Wisdom: Revitalization of Indigenous Law in the Archipelago,” (Jakarta: PT. </w:t>
      </w:r>
      <w:proofErr w:type="spellStart"/>
      <w:r w:rsidRPr="003B1260">
        <w:rPr>
          <w:rFonts w:ascii="Book Antiqua" w:hAnsi="Book Antiqua"/>
        </w:rPr>
        <w:t>Grasindo</w:t>
      </w:r>
      <w:proofErr w:type="spellEnd"/>
      <w:r w:rsidRPr="003B1260">
        <w:rPr>
          <w:rFonts w:ascii="Book Antiqua" w:hAnsi="Book Antiqua"/>
        </w:rPr>
        <w:t>, 2010</w:t>
      </w:r>
    </w:p>
  </w:footnote>
  <w:footnote w:id="34">
    <w:p w14:paraId="45027D1F"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B. Ter </w:t>
      </w:r>
      <w:proofErr w:type="spellStart"/>
      <w:r w:rsidRPr="003B1260">
        <w:rPr>
          <w:rFonts w:ascii="Book Antiqua" w:hAnsi="Book Antiqua"/>
          <w:sz w:val="20"/>
        </w:rPr>
        <w:t>Haar</w:t>
      </w:r>
      <w:proofErr w:type="spellEnd"/>
      <w:r w:rsidRPr="003B1260">
        <w:rPr>
          <w:rFonts w:ascii="Book Antiqua" w:hAnsi="Book Antiqua"/>
          <w:sz w:val="20"/>
        </w:rPr>
        <w:t>, “</w:t>
      </w:r>
      <w:r w:rsidRPr="003B1260">
        <w:rPr>
          <w:rFonts w:ascii="Book Antiqua" w:hAnsi="Book Antiqua"/>
          <w:i/>
          <w:sz w:val="20"/>
        </w:rPr>
        <w:t>Indigenous Law in Indonesia</w:t>
      </w:r>
      <w:r w:rsidRPr="003B1260">
        <w:rPr>
          <w:rFonts w:ascii="Book Antiqua" w:hAnsi="Book Antiqua"/>
          <w:sz w:val="20"/>
        </w:rPr>
        <w:t xml:space="preserve">,” (Jakarta: </w:t>
      </w:r>
      <w:proofErr w:type="spellStart"/>
      <w:r w:rsidRPr="003B1260">
        <w:rPr>
          <w:rFonts w:ascii="Book Antiqua" w:hAnsi="Book Antiqua"/>
          <w:sz w:val="20"/>
        </w:rPr>
        <w:t>Nuansa</w:t>
      </w:r>
      <w:proofErr w:type="spellEnd"/>
      <w:r w:rsidRPr="003B1260">
        <w:rPr>
          <w:rFonts w:ascii="Book Antiqua" w:hAnsi="Book Antiqua"/>
          <w:sz w:val="20"/>
        </w:rPr>
        <w:t xml:space="preserve"> </w:t>
      </w:r>
      <w:proofErr w:type="spellStart"/>
      <w:r w:rsidRPr="003B1260">
        <w:rPr>
          <w:rFonts w:ascii="Book Antiqua" w:hAnsi="Book Antiqua"/>
          <w:sz w:val="20"/>
        </w:rPr>
        <w:t>Cendekia</w:t>
      </w:r>
      <w:proofErr w:type="spellEnd"/>
      <w:r w:rsidRPr="003B1260">
        <w:rPr>
          <w:rFonts w:ascii="Book Antiqua" w:hAnsi="Book Antiqua"/>
          <w:sz w:val="20"/>
        </w:rPr>
        <w:t>, 2024).</w:t>
      </w:r>
    </w:p>
  </w:footnote>
  <w:footnote w:id="35">
    <w:p w14:paraId="0B86F7FD"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I. H. J. Ridwan &amp; </w:t>
      </w:r>
      <w:proofErr w:type="spellStart"/>
      <w:r w:rsidRPr="003B1260">
        <w:rPr>
          <w:rFonts w:ascii="Book Antiqua" w:hAnsi="Book Antiqua"/>
          <w:sz w:val="20"/>
        </w:rPr>
        <w:t>Achmad</w:t>
      </w:r>
      <w:proofErr w:type="spellEnd"/>
      <w:r w:rsidRPr="003B1260">
        <w:rPr>
          <w:rFonts w:ascii="Book Antiqua" w:hAnsi="Book Antiqua"/>
          <w:sz w:val="20"/>
        </w:rPr>
        <w:t xml:space="preserve"> </w:t>
      </w:r>
      <w:proofErr w:type="spellStart"/>
      <w:r w:rsidRPr="003B1260">
        <w:rPr>
          <w:rFonts w:ascii="Book Antiqua" w:hAnsi="Book Antiqua"/>
          <w:sz w:val="20"/>
        </w:rPr>
        <w:t>Sodik</w:t>
      </w:r>
      <w:proofErr w:type="spellEnd"/>
      <w:r w:rsidRPr="003B1260">
        <w:rPr>
          <w:rFonts w:ascii="Book Antiqua" w:hAnsi="Book Antiqua"/>
          <w:sz w:val="20"/>
        </w:rPr>
        <w:t>, ‘</w:t>
      </w:r>
      <w:r w:rsidRPr="003B1260">
        <w:rPr>
          <w:rFonts w:ascii="Book Antiqua" w:hAnsi="Book Antiqua"/>
          <w:i/>
          <w:sz w:val="20"/>
        </w:rPr>
        <w:t>Spatial Law: in the concept of regional autonomy policy</w:t>
      </w:r>
      <w:r w:rsidRPr="003B1260">
        <w:rPr>
          <w:rFonts w:ascii="Book Antiqua" w:hAnsi="Book Antiqua"/>
          <w:sz w:val="20"/>
        </w:rPr>
        <w:t xml:space="preserve">”, (Jakarta: </w:t>
      </w:r>
      <w:proofErr w:type="spellStart"/>
      <w:r w:rsidRPr="003B1260">
        <w:rPr>
          <w:rFonts w:ascii="Book Antiqua" w:hAnsi="Book Antiqua"/>
          <w:sz w:val="20"/>
        </w:rPr>
        <w:t>Nuansa</w:t>
      </w:r>
      <w:proofErr w:type="spellEnd"/>
      <w:r w:rsidRPr="003B1260">
        <w:rPr>
          <w:rFonts w:ascii="Book Antiqua" w:hAnsi="Book Antiqua"/>
          <w:sz w:val="20"/>
        </w:rPr>
        <w:t xml:space="preserve"> </w:t>
      </w:r>
      <w:proofErr w:type="spellStart"/>
      <w:r w:rsidRPr="003B1260">
        <w:rPr>
          <w:rFonts w:ascii="Book Antiqua" w:hAnsi="Book Antiqua"/>
          <w:sz w:val="20"/>
        </w:rPr>
        <w:t>Cendekia</w:t>
      </w:r>
      <w:proofErr w:type="spellEnd"/>
      <w:r w:rsidRPr="003B1260">
        <w:rPr>
          <w:rFonts w:ascii="Book Antiqua" w:hAnsi="Book Antiqua"/>
          <w:sz w:val="20"/>
        </w:rPr>
        <w:t>, 2023).</w:t>
      </w:r>
    </w:p>
  </w:footnote>
  <w:footnote w:id="36">
    <w:p w14:paraId="53E463B3"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H. Budiman, “Spatial Planning Policy in the Implementation of Local Activity Centers in </w:t>
      </w:r>
      <w:proofErr w:type="spellStart"/>
      <w:r w:rsidRPr="003B1260">
        <w:rPr>
          <w:rFonts w:ascii="Book Antiqua" w:hAnsi="Book Antiqua"/>
          <w:sz w:val="20"/>
        </w:rPr>
        <w:t>Kuningan</w:t>
      </w:r>
      <w:proofErr w:type="spellEnd"/>
      <w:r w:rsidRPr="003B1260">
        <w:rPr>
          <w:rFonts w:ascii="Book Antiqua" w:hAnsi="Book Antiqua"/>
          <w:sz w:val="20"/>
        </w:rPr>
        <w:t xml:space="preserve"> Regency to Increase Local Revenue</w:t>
      </w:r>
      <w:r w:rsidRPr="003B1260">
        <w:rPr>
          <w:rFonts w:ascii="Book Antiqua" w:hAnsi="Book Antiqua"/>
          <w:i/>
          <w:sz w:val="20"/>
        </w:rPr>
        <w:t xml:space="preserve">.” </w:t>
      </w:r>
      <w:proofErr w:type="spellStart"/>
      <w:r w:rsidRPr="003B1260">
        <w:rPr>
          <w:rFonts w:ascii="Book Antiqua" w:hAnsi="Book Antiqua"/>
          <w:i/>
          <w:sz w:val="20"/>
        </w:rPr>
        <w:t>Unifikasi</w:t>
      </w:r>
      <w:proofErr w:type="spellEnd"/>
      <w:r w:rsidRPr="003B1260">
        <w:rPr>
          <w:rFonts w:ascii="Book Antiqua" w:hAnsi="Book Antiqua"/>
          <w:i/>
          <w:sz w:val="20"/>
        </w:rPr>
        <w:t>: Journal of Law</w:t>
      </w:r>
      <w:r w:rsidRPr="003B1260">
        <w:rPr>
          <w:rFonts w:ascii="Book Antiqua" w:hAnsi="Book Antiqua"/>
          <w:sz w:val="20"/>
        </w:rPr>
        <w:t>, 2, no.2, (2015).</w:t>
      </w:r>
    </w:p>
  </w:footnote>
  <w:footnote w:id="37">
    <w:p w14:paraId="7BD1AC1B"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A. A. I. A. A. </w:t>
      </w:r>
      <w:proofErr w:type="spellStart"/>
      <w:r w:rsidRPr="003B1260">
        <w:rPr>
          <w:rFonts w:ascii="Book Antiqua" w:hAnsi="Book Antiqua"/>
          <w:sz w:val="20"/>
        </w:rPr>
        <w:t>Dewi</w:t>
      </w:r>
      <w:proofErr w:type="spellEnd"/>
      <w:r w:rsidRPr="003B1260">
        <w:rPr>
          <w:rFonts w:ascii="Book Antiqua" w:hAnsi="Book Antiqua"/>
          <w:sz w:val="20"/>
        </w:rPr>
        <w:t xml:space="preserve">, I. G. P. </w:t>
      </w:r>
      <w:proofErr w:type="spellStart"/>
      <w:r w:rsidRPr="003B1260">
        <w:rPr>
          <w:rFonts w:ascii="Book Antiqua" w:hAnsi="Book Antiqua"/>
          <w:sz w:val="20"/>
        </w:rPr>
        <w:t>Pramana</w:t>
      </w:r>
      <w:proofErr w:type="spellEnd"/>
      <w:r w:rsidRPr="003B1260">
        <w:rPr>
          <w:rFonts w:ascii="Book Antiqua" w:hAnsi="Book Antiqua"/>
          <w:sz w:val="20"/>
        </w:rPr>
        <w:t xml:space="preserve">, &amp; P. E. </w:t>
      </w:r>
      <w:proofErr w:type="spellStart"/>
      <w:r w:rsidRPr="003B1260">
        <w:rPr>
          <w:rFonts w:ascii="Book Antiqua" w:hAnsi="Book Antiqua"/>
          <w:sz w:val="20"/>
        </w:rPr>
        <w:t>Tanaya</w:t>
      </w:r>
      <w:proofErr w:type="spellEnd"/>
      <w:r w:rsidRPr="003B1260">
        <w:rPr>
          <w:rFonts w:ascii="Book Antiqua" w:hAnsi="Book Antiqua"/>
          <w:sz w:val="20"/>
        </w:rPr>
        <w:t xml:space="preserve">, “Customary Law and National Law: Elaboration in the Implementation of Regional Government to Achieve Community Welfare,” </w:t>
      </w:r>
      <w:proofErr w:type="spellStart"/>
      <w:r w:rsidRPr="003B1260">
        <w:rPr>
          <w:rFonts w:ascii="Book Antiqua" w:hAnsi="Book Antiqua"/>
          <w:i/>
          <w:sz w:val="20"/>
        </w:rPr>
        <w:t>Jurnal</w:t>
      </w:r>
      <w:proofErr w:type="spellEnd"/>
      <w:r w:rsidRPr="003B1260">
        <w:rPr>
          <w:rFonts w:ascii="Book Antiqua" w:hAnsi="Book Antiqua"/>
          <w:i/>
          <w:sz w:val="20"/>
        </w:rPr>
        <w:t xml:space="preserve"> </w:t>
      </w:r>
      <w:proofErr w:type="spellStart"/>
      <w:r w:rsidRPr="003B1260">
        <w:rPr>
          <w:rFonts w:ascii="Book Antiqua" w:hAnsi="Book Antiqua"/>
          <w:i/>
          <w:sz w:val="20"/>
        </w:rPr>
        <w:t>Majelis</w:t>
      </w:r>
      <w:proofErr w:type="spellEnd"/>
      <w:r w:rsidRPr="003B1260">
        <w:rPr>
          <w:rFonts w:ascii="Book Antiqua" w:hAnsi="Book Antiqua"/>
          <w:sz w:val="20"/>
        </w:rPr>
        <w:t>, 1, (2020): 115-50.</w:t>
      </w:r>
    </w:p>
  </w:footnote>
  <w:footnote w:id="38">
    <w:p w14:paraId="35C47F18"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A. K. </w:t>
      </w:r>
      <w:proofErr w:type="spellStart"/>
      <w:r w:rsidRPr="003B1260">
        <w:rPr>
          <w:rFonts w:ascii="Book Antiqua" w:hAnsi="Book Antiqua"/>
          <w:sz w:val="20"/>
        </w:rPr>
        <w:t>Sudiana</w:t>
      </w:r>
      <w:proofErr w:type="spellEnd"/>
      <w:r w:rsidRPr="003B1260">
        <w:rPr>
          <w:rFonts w:ascii="Book Antiqua" w:hAnsi="Book Antiqua"/>
          <w:sz w:val="20"/>
        </w:rPr>
        <w:t xml:space="preserve">, “Regulation of Local Wisdom Integration in Environmental Management in Bali Province,” </w:t>
      </w:r>
      <w:proofErr w:type="spellStart"/>
      <w:r w:rsidRPr="003B1260">
        <w:rPr>
          <w:rFonts w:ascii="Book Antiqua" w:hAnsi="Book Antiqua"/>
          <w:i/>
          <w:sz w:val="20"/>
        </w:rPr>
        <w:t>Saraswati</w:t>
      </w:r>
      <w:proofErr w:type="spellEnd"/>
      <w:r w:rsidRPr="003B1260">
        <w:rPr>
          <w:rFonts w:ascii="Book Antiqua" w:hAnsi="Book Antiqua"/>
          <w:i/>
          <w:sz w:val="20"/>
        </w:rPr>
        <w:t xml:space="preserve"> Law Journal</w:t>
      </w:r>
      <w:r w:rsidRPr="003B1260">
        <w:rPr>
          <w:rFonts w:ascii="Book Antiqua" w:hAnsi="Book Antiqua"/>
          <w:sz w:val="20"/>
        </w:rPr>
        <w:t>, 7, 01, (2025): 933-945.</w:t>
      </w:r>
    </w:p>
  </w:footnote>
  <w:footnote w:id="39">
    <w:p w14:paraId="4E4C9C27" w14:textId="77777777" w:rsidR="00C94DD5" w:rsidRDefault="00C94DD5" w:rsidP="00C94DD5">
      <w:pPr>
        <w:pStyle w:val="FootnoteText"/>
        <w:ind w:firstLine="720"/>
        <w:jc w:val="both"/>
      </w:pPr>
      <w:r>
        <w:rPr>
          <w:rStyle w:val="FootnoteReference"/>
        </w:rPr>
        <w:footnoteRef/>
      </w:r>
      <w:r>
        <w:t xml:space="preserve"> </w:t>
      </w:r>
      <w:r w:rsidRPr="00C94DD5">
        <w:rPr>
          <w:rFonts w:ascii="Book Antiqua" w:eastAsia="Times New Roman" w:hAnsi="Book Antiqua" w:cs="Times New Roman"/>
          <w:szCs w:val="24"/>
        </w:rPr>
        <w:t xml:space="preserve">M.A. Adnan, T.M. </w:t>
      </w:r>
      <w:proofErr w:type="spellStart"/>
      <w:r w:rsidRPr="00C94DD5">
        <w:rPr>
          <w:rFonts w:ascii="Book Antiqua" w:eastAsia="Times New Roman" w:hAnsi="Book Antiqua" w:cs="Times New Roman"/>
          <w:szCs w:val="24"/>
        </w:rPr>
        <w:t>Simbolon</w:t>
      </w:r>
      <w:proofErr w:type="spellEnd"/>
      <w:r w:rsidRPr="00C94DD5">
        <w:rPr>
          <w:rFonts w:ascii="Book Antiqua" w:eastAsia="Times New Roman" w:hAnsi="Book Antiqua" w:cs="Times New Roman"/>
          <w:szCs w:val="24"/>
        </w:rPr>
        <w:t xml:space="preserve">, R.A. Turnip, A. </w:t>
      </w:r>
      <w:proofErr w:type="spellStart"/>
      <w:r w:rsidRPr="00C94DD5">
        <w:rPr>
          <w:rFonts w:ascii="Book Antiqua" w:eastAsia="Times New Roman" w:hAnsi="Book Antiqua" w:cs="Times New Roman"/>
          <w:szCs w:val="24"/>
        </w:rPr>
        <w:t>Sunarto</w:t>
      </w:r>
      <w:proofErr w:type="spellEnd"/>
      <w:r w:rsidRPr="00C94DD5">
        <w:rPr>
          <w:rFonts w:ascii="Book Antiqua" w:eastAsia="Times New Roman" w:hAnsi="Book Antiqua" w:cs="Times New Roman"/>
          <w:szCs w:val="24"/>
        </w:rPr>
        <w:t xml:space="preserve">, “Legal Protection in the Utilization of Above-Ground and Underground Space Based on the Spatial Planning Law,” </w:t>
      </w:r>
      <w:proofErr w:type="spellStart"/>
      <w:r w:rsidRPr="00C94DD5">
        <w:rPr>
          <w:rFonts w:ascii="Book Antiqua" w:eastAsia="Times New Roman" w:hAnsi="Book Antiqua" w:cs="Times New Roman"/>
          <w:i/>
          <w:szCs w:val="24"/>
        </w:rPr>
        <w:t>Kerta</w:t>
      </w:r>
      <w:proofErr w:type="spellEnd"/>
      <w:r w:rsidRPr="00C94DD5">
        <w:rPr>
          <w:rFonts w:ascii="Book Antiqua" w:eastAsia="Times New Roman" w:hAnsi="Book Antiqua" w:cs="Times New Roman"/>
          <w:i/>
          <w:szCs w:val="24"/>
        </w:rPr>
        <w:t xml:space="preserve"> </w:t>
      </w:r>
      <w:proofErr w:type="spellStart"/>
      <w:proofErr w:type="gramStart"/>
      <w:r w:rsidRPr="00C94DD5">
        <w:rPr>
          <w:rFonts w:ascii="Book Antiqua" w:eastAsia="Times New Roman" w:hAnsi="Book Antiqua" w:cs="Times New Roman"/>
          <w:i/>
          <w:szCs w:val="24"/>
        </w:rPr>
        <w:t>Semaya</w:t>
      </w:r>
      <w:proofErr w:type="spellEnd"/>
      <w:r w:rsidRPr="00C94DD5">
        <w:rPr>
          <w:rFonts w:ascii="Book Antiqua" w:eastAsia="Times New Roman" w:hAnsi="Book Antiqua" w:cs="Times New Roman"/>
          <w:szCs w:val="24"/>
        </w:rPr>
        <w:t>,  13</w:t>
      </w:r>
      <w:proofErr w:type="gramEnd"/>
      <w:r w:rsidRPr="00C94DD5">
        <w:rPr>
          <w:rFonts w:ascii="Book Antiqua" w:eastAsia="Times New Roman" w:hAnsi="Book Antiqua" w:cs="Times New Roman"/>
          <w:szCs w:val="24"/>
        </w:rPr>
        <w:t xml:space="preserve">  no.4, (2025): 501-513</w:t>
      </w:r>
    </w:p>
  </w:footnote>
  <w:footnote w:id="40">
    <w:p w14:paraId="6C0F553D" w14:textId="77777777" w:rsidR="00A43BE4" w:rsidRPr="003B1260" w:rsidRDefault="00A43BE4" w:rsidP="00A43BE4">
      <w:pPr>
        <w:pStyle w:val="FootnoteText"/>
        <w:ind w:firstLine="720"/>
        <w:jc w:val="both"/>
        <w:rPr>
          <w:rFonts w:ascii="Book Antiqua" w:hAnsi="Book Antiqua"/>
        </w:rPr>
      </w:pPr>
      <w:r w:rsidRPr="003B1260">
        <w:rPr>
          <w:rStyle w:val="FootnoteReference"/>
          <w:rFonts w:ascii="Book Antiqua" w:hAnsi="Book Antiqua"/>
        </w:rPr>
        <w:footnoteRef/>
      </w:r>
      <w:r w:rsidRPr="003B1260">
        <w:rPr>
          <w:rFonts w:ascii="Book Antiqua" w:hAnsi="Book Antiqua"/>
        </w:rPr>
        <w:t xml:space="preserve"> A. R. </w:t>
      </w:r>
      <w:proofErr w:type="spellStart"/>
      <w:r w:rsidRPr="003B1260">
        <w:rPr>
          <w:rFonts w:ascii="Book Antiqua" w:hAnsi="Book Antiqua"/>
        </w:rPr>
        <w:t>Bustomi</w:t>
      </w:r>
      <w:proofErr w:type="spellEnd"/>
      <w:r w:rsidRPr="003B1260">
        <w:rPr>
          <w:rFonts w:ascii="Book Antiqua" w:hAnsi="Book Antiqua"/>
        </w:rPr>
        <w:t xml:space="preserve">, D. A. </w:t>
      </w:r>
      <w:proofErr w:type="spellStart"/>
      <w:r w:rsidRPr="003B1260">
        <w:rPr>
          <w:rFonts w:ascii="Book Antiqua" w:hAnsi="Book Antiqua"/>
        </w:rPr>
        <w:t>Sugianto</w:t>
      </w:r>
      <w:proofErr w:type="spellEnd"/>
      <w:r w:rsidRPr="003B1260">
        <w:rPr>
          <w:rFonts w:ascii="Book Antiqua" w:hAnsi="Book Antiqua"/>
        </w:rPr>
        <w:t xml:space="preserve">, &amp; F. Z. </w:t>
      </w:r>
      <w:proofErr w:type="spellStart"/>
      <w:r w:rsidRPr="003B1260">
        <w:rPr>
          <w:rFonts w:ascii="Book Antiqua" w:hAnsi="Book Antiqua"/>
        </w:rPr>
        <w:t>Juniawan</w:t>
      </w:r>
      <w:proofErr w:type="spellEnd"/>
      <w:r w:rsidRPr="003B1260">
        <w:rPr>
          <w:rFonts w:ascii="Book Antiqua" w:hAnsi="Book Antiqua"/>
        </w:rPr>
        <w:t xml:space="preserve">, “Legal Politics in Natural Resource Management: Between State Interests and Indigenous Peoples’ Rights”, </w:t>
      </w:r>
      <w:proofErr w:type="spellStart"/>
      <w:r w:rsidRPr="003B1260">
        <w:rPr>
          <w:rFonts w:ascii="Book Antiqua" w:hAnsi="Book Antiqua"/>
          <w:i/>
        </w:rPr>
        <w:t>Hutanasyah</w:t>
      </w:r>
      <w:proofErr w:type="spellEnd"/>
      <w:r w:rsidRPr="003B1260">
        <w:rPr>
          <w:rFonts w:ascii="Book Antiqua" w:hAnsi="Book Antiqua"/>
          <w:i/>
        </w:rPr>
        <w:t>: Journal of Constitutional Law</w:t>
      </w:r>
      <w:r w:rsidRPr="003B1260">
        <w:rPr>
          <w:rFonts w:ascii="Book Antiqua" w:hAnsi="Book Antiqua"/>
        </w:rPr>
        <w:t>, 4, no. 1, (2025) :89-100.</w:t>
      </w:r>
    </w:p>
  </w:footnote>
  <w:footnote w:id="41">
    <w:p w14:paraId="2345F388"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A. M. M. </w:t>
      </w:r>
      <w:proofErr w:type="spellStart"/>
      <w:r w:rsidRPr="003B1260">
        <w:rPr>
          <w:rFonts w:ascii="Book Antiqua" w:hAnsi="Book Antiqua"/>
          <w:sz w:val="20"/>
        </w:rPr>
        <w:t>Nasoha</w:t>
      </w:r>
      <w:proofErr w:type="spellEnd"/>
      <w:r w:rsidRPr="003B1260">
        <w:rPr>
          <w:rFonts w:ascii="Book Antiqua" w:hAnsi="Book Antiqua"/>
          <w:sz w:val="20"/>
        </w:rPr>
        <w:t xml:space="preserve">, A. N. </w:t>
      </w:r>
      <w:proofErr w:type="spellStart"/>
      <w:r w:rsidRPr="003B1260">
        <w:rPr>
          <w:rFonts w:ascii="Book Antiqua" w:hAnsi="Book Antiqua"/>
          <w:sz w:val="20"/>
        </w:rPr>
        <w:t>Atqiya</w:t>
      </w:r>
      <w:proofErr w:type="spellEnd"/>
      <w:r w:rsidRPr="003B1260">
        <w:rPr>
          <w:rFonts w:ascii="Book Antiqua" w:hAnsi="Book Antiqua"/>
          <w:sz w:val="20"/>
        </w:rPr>
        <w:t xml:space="preserve">, D. A. </w:t>
      </w:r>
      <w:proofErr w:type="spellStart"/>
      <w:r w:rsidRPr="003B1260">
        <w:rPr>
          <w:rFonts w:ascii="Book Antiqua" w:hAnsi="Book Antiqua"/>
          <w:sz w:val="20"/>
        </w:rPr>
        <w:t>Rahmawati</w:t>
      </w:r>
      <w:proofErr w:type="spellEnd"/>
      <w:r w:rsidRPr="003B1260">
        <w:rPr>
          <w:rFonts w:ascii="Book Antiqua" w:hAnsi="Book Antiqua"/>
          <w:sz w:val="20"/>
        </w:rPr>
        <w:t>, Z. L. A. Az-</w:t>
      </w:r>
      <w:proofErr w:type="spellStart"/>
      <w:r w:rsidRPr="003B1260">
        <w:rPr>
          <w:rFonts w:ascii="Book Antiqua" w:hAnsi="Book Antiqua"/>
          <w:sz w:val="20"/>
        </w:rPr>
        <w:t>zahra</w:t>
      </w:r>
      <w:proofErr w:type="spellEnd"/>
      <w:r w:rsidRPr="003B1260">
        <w:rPr>
          <w:rFonts w:ascii="Book Antiqua" w:hAnsi="Book Antiqua"/>
          <w:sz w:val="20"/>
        </w:rPr>
        <w:t xml:space="preserve">, &amp; N. </w:t>
      </w:r>
      <w:proofErr w:type="spellStart"/>
      <w:r w:rsidRPr="003B1260">
        <w:rPr>
          <w:rFonts w:ascii="Book Antiqua" w:hAnsi="Book Antiqua"/>
          <w:sz w:val="20"/>
        </w:rPr>
        <w:t>Shafira</w:t>
      </w:r>
      <w:proofErr w:type="spellEnd"/>
      <w:r w:rsidRPr="003B1260">
        <w:rPr>
          <w:rFonts w:ascii="Book Antiqua" w:hAnsi="Book Antiqua"/>
          <w:sz w:val="20"/>
        </w:rPr>
        <w:t xml:space="preserve">, Integration of Pancasila Values in the Indonesian Constitutional Law System: Implications for the Protection of Customary Law. </w:t>
      </w:r>
      <w:r w:rsidRPr="003B1260">
        <w:rPr>
          <w:rFonts w:ascii="Book Antiqua" w:hAnsi="Book Antiqua"/>
          <w:i/>
          <w:sz w:val="20"/>
        </w:rPr>
        <w:t>Progressive Politics: Journal of Law, Politics and Humanities</w:t>
      </w:r>
      <w:r w:rsidRPr="003B1260">
        <w:rPr>
          <w:rFonts w:ascii="Book Antiqua" w:hAnsi="Book Antiqua"/>
          <w:sz w:val="20"/>
        </w:rPr>
        <w:t>, 1, no. 4, (2024): 47-59.</w:t>
      </w:r>
    </w:p>
  </w:footnote>
  <w:footnote w:id="42">
    <w:p w14:paraId="4D9C7150" w14:textId="77777777" w:rsidR="00A43BE4" w:rsidRPr="003B1260" w:rsidRDefault="00A43BE4" w:rsidP="00A43BE4">
      <w:pPr>
        <w:pStyle w:val="NormalWeb"/>
        <w:spacing w:before="0" w:beforeAutospacing="0" w:after="0" w:afterAutospacing="0"/>
        <w:ind w:firstLine="720"/>
        <w:jc w:val="both"/>
        <w:rPr>
          <w:rFonts w:ascii="Book Antiqua" w:hAnsi="Book Antiqua"/>
          <w:sz w:val="20"/>
        </w:rPr>
      </w:pPr>
      <w:r w:rsidRPr="003B1260">
        <w:rPr>
          <w:rStyle w:val="FootnoteReference"/>
          <w:rFonts w:ascii="Book Antiqua" w:hAnsi="Book Antiqua"/>
          <w:sz w:val="20"/>
        </w:rPr>
        <w:footnoteRef/>
      </w:r>
      <w:r w:rsidRPr="003B1260">
        <w:rPr>
          <w:rFonts w:ascii="Book Antiqua" w:hAnsi="Book Antiqua"/>
          <w:sz w:val="20"/>
        </w:rPr>
        <w:t xml:space="preserve"> D. </w:t>
      </w:r>
      <w:proofErr w:type="spellStart"/>
      <w:r w:rsidRPr="003B1260">
        <w:rPr>
          <w:rFonts w:ascii="Book Antiqua" w:hAnsi="Book Antiqua"/>
          <w:sz w:val="20"/>
        </w:rPr>
        <w:t>Susiani</w:t>
      </w:r>
      <w:proofErr w:type="spellEnd"/>
      <w:r w:rsidRPr="003B1260">
        <w:rPr>
          <w:rFonts w:ascii="Book Antiqua" w:hAnsi="Book Antiqua"/>
          <w:sz w:val="20"/>
        </w:rPr>
        <w:t>, “</w:t>
      </w:r>
      <w:r w:rsidRPr="003B1260">
        <w:rPr>
          <w:rFonts w:ascii="Book Antiqua" w:hAnsi="Book Antiqua"/>
          <w:i/>
          <w:sz w:val="20"/>
        </w:rPr>
        <w:t>Spatial Law</w:t>
      </w:r>
      <w:r w:rsidRPr="003B1260">
        <w:rPr>
          <w:rFonts w:ascii="Book Antiqua" w:hAnsi="Book Antiqua"/>
          <w:sz w:val="20"/>
        </w:rPr>
        <w:t xml:space="preserve">,” (Jakarta: </w:t>
      </w:r>
      <w:proofErr w:type="spellStart"/>
      <w:r w:rsidRPr="003B1260">
        <w:rPr>
          <w:rFonts w:ascii="Book Antiqua" w:hAnsi="Book Antiqua"/>
          <w:sz w:val="20"/>
        </w:rPr>
        <w:t>Pustaka</w:t>
      </w:r>
      <w:proofErr w:type="spellEnd"/>
      <w:r w:rsidRPr="003B1260">
        <w:rPr>
          <w:rFonts w:ascii="Book Antiqua" w:hAnsi="Book Antiqua"/>
          <w:sz w:val="20"/>
        </w:rPr>
        <w:t xml:space="preserve"> Abadi,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FE"/>
    <w:rsid w:val="000B22B1"/>
    <w:rsid w:val="000B4333"/>
    <w:rsid w:val="00256733"/>
    <w:rsid w:val="00394969"/>
    <w:rsid w:val="003B1260"/>
    <w:rsid w:val="003E2BEB"/>
    <w:rsid w:val="004E2B46"/>
    <w:rsid w:val="005B16A7"/>
    <w:rsid w:val="005B50FE"/>
    <w:rsid w:val="00630BEF"/>
    <w:rsid w:val="006C3376"/>
    <w:rsid w:val="007B0093"/>
    <w:rsid w:val="008343F8"/>
    <w:rsid w:val="008C661B"/>
    <w:rsid w:val="00973EF7"/>
    <w:rsid w:val="009E7A79"/>
    <w:rsid w:val="00A43BE4"/>
    <w:rsid w:val="00A6165C"/>
    <w:rsid w:val="00AA4187"/>
    <w:rsid w:val="00B46614"/>
    <w:rsid w:val="00C94202"/>
    <w:rsid w:val="00C94DD5"/>
    <w:rsid w:val="00CD641B"/>
    <w:rsid w:val="00D55EF3"/>
    <w:rsid w:val="00E52FDE"/>
    <w:rsid w:val="00ED225A"/>
    <w:rsid w:val="00F75333"/>
    <w:rsid w:val="00FD7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B3102"/>
  <w15:docId w15:val="{F9B1872D-1329-49E9-AF1D-47F8D5A9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61B"/>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8C661B"/>
    <w:rPr>
      <w:color w:val="0000FF"/>
      <w:u w:val="single"/>
    </w:rPr>
  </w:style>
  <w:style w:type="paragraph" w:styleId="FootnoteText">
    <w:name w:val="footnote text"/>
    <w:basedOn w:val="Normal"/>
    <w:link w:val="FootnoteTextChar"/>
    <w:uiPriority w:val="99"/>
    <w:unhideWhenUsed/>
    <w:rsid w:val="008343F8"/>
    <w:pPr>
      <w:spacing w:line="240" w:lineRule="auto"/>
    </w:pPr>
    <w:rPr>
      <w:sz w:val="20"/>
      <w:szCs w:val="20"/>
    </w:rPr>
  </w:style>
  <w:style w:type="character" w:customStyle="1" w:styleId="FootnoteTextChar">
    <w:name w:val="Footnote Text Char"/>
    <w:basedOn w:val="DefaultParagraphFont"/>
    <w:link w:val="FootnoteText"/>
    <w:uiPriority w:val="99"/>
    <w:rsid w:val="008343F8"/>
    <w:rPr>
      <w:sz w:val="20"/>
      <w:szCs w:val="20"/>
    </w:rPr>
  </w:style>
  <w:style w:type="table" w:styleId="TableGrid">
    <w:name w:val="Table Grid"/>
    <w:basedOn w:val="TableNormal"/>
    <w:uiPriority w:val="59"/>
    <w:qFormat/>
    <w:rsid w:val="008343F8"/>
    <w:pPr>
      <w:spacing w:line="240" w:lineRule="auto"/>
    </w:pPr>
    <w:rPr>
      <w:rFonts w:ascii="Calibri" w:eastAsia="Calibri" w:hAnsi="Calibri"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567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047">
      <w:bodyDiv w:val="1"/>
      <w:marLeft w:val="0"/>
      <w:marRight w:val="0"/>
      <w:marTop w:val="0"/>
      <w:marBottom w:val="0"/>
      <w:divBdr>
        <w:top w:val="none" w:sz="0" w:space="0" w:color="auto"/>
        <w:left w:val="none" w:sz="0" w:space="0" w:color="auto"/>
        <w:bottom w:val="none" w:sz="0" w:space="0" w:color="auto"/>
        <w:right w:val="none" w:sz="0" w:space="0" w:color="auto"/>
      </w:divBdr>
    </w:div>
    <w:div w:id="25445750">
      <w:bodyDiv w:val="1"/>
      <w:marLeft w:val="0"/>
      <w:marRight w:val="0"/>
      <w:marTop w:val="0"/>
      <w:marBottom w:val="0"/>
      <w:divBdr>
        <w:top w:val="none" w:sz="0" w:space="0" w:color="auto"/>
        <w:left w:val="none" w:sz="0" w:space="0" w:color="auto"/>
        <w:bottom w:val="none" w:sz="0" w:space="0" w:color="auto"/>
        <w:right w:val="none" w:sz="0" w:space="0" w:color="auto"/>
      </w:divBdr>
    </w:div>
    <w:div w:id="70081785">
      <w:bodyDiv w:val="1"/>
      <w:marLeft w:val="0"/>
      <w:marRight w:val="0"/>
      <w:marTop w:val="0"/>
      <w:marBottom w:val="0"/>
      <w:divBdr>
        <w:top w:val="none" w:sz="0" w:space="0" w:color="auto"/>
        <w:left w:val="none" w:sz="0" w:space="0" w:color="auto"/>
        <w:bottom w:val="none" w:sz="0" w:space="0" w:color="auto"/>
        <w:right w:val="none" w:sz="0" w:space="0" w:color="auto"/>
      </w:divBdr>
    </w:div>
    <w:div w:id="90401000">
      <w:bodyDiv w:val="1"/>
      <w:marLeft w:val="0"/>
      <w:marRight w:val="0"/>
      <w:marTop w:val="0"/>
      <w:marBottom w:val="0"/>
      <w:divBdr>
        <w:top w:val="none" w:sz="0" w:space="0" w:color="auto"/>
        <w:left w:val="none" w:sz="0" w:space="0" w:color="auto"/>
        <w:bottom w:val="none" w:sz="0" w:space="0" w:color="auto"/>
        <w:right w:val="none" w:sz="0" w:space="0" w:color="auto"/>
      </w:divBdr>
    </w:div>
    <w:div w:id="94903647">
      <w:bodyDiv w:val="1"/>
      <w:marLeft w:val="0"/>
      <w:marRight w:val="0"/>
      <w:marTop w:val="0"/>
      <w:marBottom w:val="0"/>
      <w:divBdr>
        <w:top w:val="none" w:sz="0" w:space="0" w:color="auto"/>
        <w:left w:val="none" w:sz="0" w:space="0" w:color="auto"/>
        <w:bottom w:val="none" w:sz="0" w:space="0" w:color="auto"/>
        <w:right w:val="none" w:sz="0" w:space="0" w:color="auto"/>
      </w:divBdr>
    </w:div>
    <w:div w:id="123280475">
      <w:bodyDiv w:val="1"/>
      <w:marLeft w:val="0"/>
      <w:marRight w:val="0"/>
      <w:marTop w:val="0"/>
      <w:marBottom w:val="0"/>
      <w:divBdr>
        <w:top w:val="none" w:sz="0" w:space="0" w:color="auto"/>
        <w:left w:val="none" w:sz="0" w:space="0" w:color="auto"/>
        <w:bottom w:val="none" w:sz="0" w:space="0" w:color="auto"/>
        <w:right w:val="none" w:sz="0" w:space="0" w:color="auto"/>
      </w:divBdr>
    </w:div>
    <w:div w:id="159732779">
      <w:bodyDiv w:val="1"/>
      <w:marLeft w:val="0"/>
      <w:marRight w:val="0"/>
      <w:marTop w:val="0"/>
      <w:marBottom w:val="0"/>
      <w:divBdr>
        <w:top w:val="none" w:sz="0" w:space="0" w:color="auto"/>
        <w:left w:val="none" w:sz="0" w:space="0" w:color="auto"/>
        <w:bottom w:val="none" w:sz="0" w:space="0" w:color="auto"/>
        <w:right w:val="none" w:sz="0" w:space="0" w:color="auto"/>
      </w:divBdr>
    </w:div>
    <w:div w:id="198708635">
      <w:bodyDiv w:val="1"/>
      <w:marLeft w:val="0"/>
      <w:marRight w:val="0"/>
      <w:marTop w:val="0"/>
      <w:marBottom w:val="0"/>
      <w:divBdr>
        <w:top w:val="none" w:sz="0" w:space="0" w:color="auto"/>
        <w:left w:val="none" w:sz="0" w:space="0" w:color="auto"/>
        <w:bottom w:val="none" w:sz="0" w:space="0" w:color="auto"/>
        <w:right w:val="none" w:sz="0" w:space="0" w:color="auto"/>
      </w:divBdr>
    </w:div>
    <w:div w:id="292635706">
      <w:bodyDiv w:val="1"/>
      <w:marLeft w:val="0"/>
      <w:marRight w:val="0"/>
      <w:marTop w:val="0"/>
      <w:marBottom w:val="0"/>
      <w:divBdr>
        <w:top w:val="none" w:sz="0" w:space="0" w:color="auto"/>
        <w:left w:val="none" w:sz="0" w:space="0" w:color="auto"/>
        <w:bottom w:val="none" w:sz="0" w:space="0" w:color="auto"/>
        <w:right w:val="none" w:sz="0" w:space="0" w:color="auto"/>
      </w:divBdr>
    </w:div>
    <w:div w:id="310402123">
      <w:bodyDiv w:val="1"/>
      <w:marLeft w:val="0"/>
      <w:marRight w:val="0"/>
      <w:marTop w:val="0"/>
      <w:marBottom w:val="0"/>
      <w:divBdr>
        <w:top w:val="none" w:sz="0" w:space="0" w:color="auto"/>
        <w:left w:val="none" w:sz="0" w:space="0" w:color="auto"/>
        <w:bottom w:val="none" w:sz="0" w:space="0" w:color="auto"/>
        <w:right w:val="none" w:sz="0" w:space="0" w:color="auto"/>
      </w:divBdr>
    </w:div>
    <w:div w:id="339161485">
      <w:bodyDiv w:val="1"/>
      <w:marLeft w:val="0"/>
      <w:marRight w:val="0"/>
      <w:marTop w:val="0"/>
      <w:marBottom w:val="0"/>
      <w:divBdr>
        <w:top w:val="none" w:sz="0" w:space="0" w:color="auto"/>
        <w:left w:val="none" w:sz="0" w:space="0" w:color="auto"/>
        <w:bottom w:val="none" w:sz="0" w:space="0" w:color="auto"/>
        <w:right w:val="none" w:sz="0" w:space="0" w:color="auto"/>
      </w:divBdr>
    </w:div>
    <w:div w:id="373114432">
      <w:bodyDiv w:val="1"/>
      <w:marLeft w:val="0"/>
      <w:marRight w:val="0"/>
      <w:marTop w:val="0"/>
      <w:marBottom w:val="0"/>
      <w:divBdr>
        <w:top w:val="none" w:sz="0" w:space="0" w:color="auto"/>
        <w:left w:val="none" w:sz="0" w:space="0" w:color="auto"/>
        <w:bottom w:val="none" w:sz="0" w:space="0" w:color="auto"/>
        <w:right w:val="none" w:sz="0" w:space="0" w:color="auto"/>
      </w:divBdr>
    </w:div>
    <w:div w:id="375935146">
      <w:bodyDiv w:val="1"/>
      <w:marLeft w:val="0"/>
      <w:marRight w:val="0"/>
      <w:marTop w:val="0"/>
      <w:marBottom w:val="0"/>
      <w:divBdr>
        <w:top w:val="none" w:sz="0" w:space="0" w:color="auto"/>
        <w:left w:val="none" w:sz="0" w:space="0" w:color="auto"/>
        <w:bottom w:val="none" w:sz="0" w:space="0" w:color="auto"/>
        <w:right w:val="none" w:sz="0" w:space="0" w:color="auto"/>
      </w:divBdr>
    </w:div>
    <w:div w:id="386343772">
      <w:bodyDiv w:val="1"/>
      <w:marLeft w:val="0"/>
      <w:marRight w:val="0"/>
      <w:marTop w:val="0"/>
      <w:marBottom w:val="0"/>
      <w:divBdr>
        <w:top w:val="none" w:sz="0" w:space="0" w:color="auto"/>
        <w:left w:val="none" w:sz="0" w:space="0" w:color="auto"/>
        <w:bottom w:val="none" w:sz="0" w:space="0" w:color="auto"/>
        <w:right w:val="none" w:sz="0" w:space="0" w:color="auto"/>
      </w:divBdr>
    </w:div>
    <w:div w:id="462122093">
      <w:bodyDiv w:val="1"/>
      <w:marLeft w:val="0"/>
      <w:marRight w:val="0"/>
      <w:marTop w:val="0"/>
      <w:marBottom w:val="0"/>
      <w:divBdr>
        <w:top w:val="none" w:sz="0" w:space="0" w:color="auto"/>
        <w:left w:val="none" w:sz="0" w:space="0" w:color="auto"/>
        <w:bottom w:val="none" w:sz="0" w:space="0" w:color="auto"/>
        <w:right w:val="none" w:sz="0" w:space="0" w:color="auto"/>
      </w:divBdr>
    </w:div>
    <w:div w:id="471363160">
      <w:bodyDiv w:val="1"/>
      <w:marLeft w:val="0"/>
      <w:marRight w:val="0"/>
      <w:marTop w:val="0"/>
      <w:marBottom w:val="0"/>
      <w:divBdr>
        <w:top w:val="none" w:sz="0" w:space="0" w:color="auto"/>
        <w:left w:val="none" w:sz="0" w:space="0" w:color="auto"/>
        <w:bottom w:val="none" w:sz="0" w:space="0" w:color="auto"/>
        <w:right w:val="none" w:sz="0" w:space="0" w:color="auto"/>
      </w:divBdr>
    </w:div>
    <w:div w:id="603151116">
      <w:bodyDiv w:val="1"/>
      <w:marLeft w:val="0"/>
      <w:marRight w:val="0"/>
      <w:marTop w:val="0"/>
      <w:marBottom w:val="0"/>
      <w:divBdr>
        <w:top w:val="none" w:sz="0" w:space="0" w:color="auto"/>
        <w:left w:val="none" w:sz="0" w:space="0" w:color="auto"/>
        <w:bottom w:val="none" w:sz="0" w:space="0" w:color="auto"/>
        <w:right w:val="none" w:sz="0" w:space="0" w:color="auto"/>
      </w:divBdr>
    </w:div>
    <w:div w:id="667562925">
      <w:bodyDiv w:val="1"/>
      <w:marLeft w:val="0"/>
      <w:marRight w:val="0"/>
      <w:marTop w:val="0"/>
      <w:marBottom w:val="0"/>
      <w:divBdr>
        <w:top w:val="none" w:sz="0" w:space="0" w:color="auto"/>
        <w:left w:val="none" w:sz="0" w:space="0" w:color="auto"/>
        <w:bottom w:val="none" w:sz="0" w:space="0" w:color="auto"/>
        <w:right w:val="none" w:sz="0" w:space="0" w:color="auto"/>
      </w:divBdr>
    </w:div>
    <w:div w:id="735593193">
      <w:bodyDiv w:val="1"/>
      <w:marLeft w:val="0"/>
      <w:marRight w:val="0"/>
      <w:marTop w:val="0"/>
      <w:marBottom w:val="0"/>
      <w:divBdr>
        <w:top w:val="none" w:sz="0" w:space="0" w:color="auto"/>
        <w:left w:val="none" w:sz="0" w:space="0" w:color="auto"/>
        <w:bottom w:val="none" w:sz="0" w:space="0" w:color="auto"/>
        <w:right w:val="none" w:sz="0" w:space="0" w:color="auto"/>
      </w:divBdr>
    </w:div>
    <w:div w:id="846408917">
      <w:bodyDiv w:val="1"/>
      <w:marLeft w:val="0"/>
      <w:marRight w:val="0"/>
      <w:marTop w:val="0"/>
      <w:marBottom w:val="0"/>
      <w:divBdr>
        <w:top w:val="none" w:sz="0" w:space="0" w:color="auto"/>
        <w:left w:val="none" w:sz="0" w:space="0" w:color="auto"/>
        <w:bottom w:val="none" w:sz="0" w:space="0" w:color="auto"/>
        <w:right w:val="none" w:sz="0" w:space="0" w:color="auto"/>
      </w:divBdr>
    </w:div>
    <w:div w:id="895121176">
      <w:bodyDiv w:val="1"/>
      <w:marLeft w:val="0"/>
      <w:marRight w:val="0"/>
      <w:marTop w:val="0"/>
      <w:marBottom w:val="0"/>
      <w:divBdr>
        <w:top w:val="none" w:sz="0" w:space="0" w:color="auto"/>
        <w:left w:val="none" w:sz="0" w:space="0" w:color="auto"/>
        <w:bottom w:val="none" w:sz="0" w:space="0" w:color="auto"/>
        <w:right w:val="none" w:sz="0" w:space="0" w:color="auto"/>
      </w:divBdr>
    </w:div>
    <w:div w:id="899709447">
      <w:bodyDiv w:val="1"/>
      <w:marLeft w:val="0"/>
      <w:marRight w:val="0"/>
      <w:marTop w:val="0"/>
      <w:marBottom w:val="0"/>
      <w:divBdr>
        <w:top w:val="none" w:sz="0" w:space="0" w:color="auto"/>
        <w:left w:val="none" w:sz="0" w:space="0" w:color="auto"/>
        <w:bottom w:val="none" w:sz="0" w:space="0" w:color="auto"/>
        <w:right w:val="none" w:sz="0" w:space="0" w:color="auto"/>
      </w:divBdr>
    </w:div>
    <w:div w:id="961811167">
      <w:bodyDiv w:val="1"/>
      <w:marLeft w:val="0"/>
      <w:marRight w:val="0"/>
      <w:marTop w:val="0"/>
      <w:marBottom w:val="0"/>
      <w:divBdr>
        <w:top w:val="none" w:sz="0" w:space="0" w:color="auto"/>
        <w:left w:val="none" w:sz="0" w:space="0" w:color="auto"/>
        <w:bottom w:val="none" w:sz="0" w:space="0" w:color="auto"/>
        <w:right w:val="none" w:sz="0" w:space="0" w:color="auto"/>
      </w:divBdr>
    </w:div>
    <w:div w:id="1073235137">
      <w:bodyDiv w:val="1"/>
      <w:marLeft w:val="0"/>
      <w:marRight w:val="0"/>
      <w:marTop w:val="0"/>
      <w:marBottom w:val="0"/>
      <w:divBdr>
        <w:top w:val="none" w:sz="0" w:space="0" w:color="auto"/>
        <w:left w:val="none" w:sz="0" w:space="0" w:color="auto"/>
        <w:bottom w:val="none" w:sz="0" w:space="0" w:color="auto"/>
        <w:right w:val="none" w:sz="0" w:space="0" w:color="auto"/>
      </w:divBdr>
    </w:div>
    <w:div w:id="1116675551">
      <w:bodyDiv w:val="1"/>
      <w:marLeft w:val="0"/>
      <w:marRight w:val="0"/>
      <w:marTop w:val="0"/>
      <w:marBottom w:val="0"/>
      <w:divBdr>
        <w:top w:val="none" w:sz="0" w:space="0" w:color="auto"/>
        <w:left w:val="none" w:sz="0" w:space="0" w:color="auto"/>
        <w:bottom w:val="none" w:sz="0" w:space="0" w:color="auto"/>
        <w:right w:val="none" w:sz="0" w:space="0" w:color="auto"/>
      </w:divBdr>
    </w:div>
    <w:div w:id="1137067597">
      <w:bodyDiv w:val="1"/>
      <w:marLeft w:val="0"/>
      <w:marRight w:val="0"/>
      <w:marTop w:val="0"/>
      <w:marBottom w:val="0"/>
      <w:divBdr>
        <w:top w:val="none" w:sz="0" w:space="0" w:color="auto"/>
        <w:left w:val="none" w:sz="0" w:space="0" w:color="auto"/>
        <w:bottom w:val="none" w:sz="0" w:space="0" w:color="auto"/>
        <w:right w:val="none" w:sz="0" w:space="0" w:color="auto"/>
      </w:divBdr>
    </w:div>
    <w:div w:id="1201283611">
      <w:bodyDiv w:val="1"/>
      <w:marLeft w:val="0"/>
      <w:marRight w:val="0"/>
      <w:marTop w:val="0"/>
      <w:marBottom w:val="0"/>
      <w:divBdr>
        <w:top w:val="none" w:sz="0" w:space="0" w:color="auto"/>
        <w:left w:val="none" w:sz="0" w:space="0" w:color="auto"/>
        <w:bottom w:val="none" w:sz="0" w:space="0" w:color="auto"/>
        <w:right w:val="none" w:sz="0" w:space="0" w:color="auto"/>
      </w:divBdr>
    </w:div>
    <w:div w:id="1294752901">
      <w:bodyDiv w:val="1"/>
      <w:marLeft w:val="0"/>
      <w:marRight w:val="0"/>
      <w:marTop w:val="0"/>
      <w:marBottom w:val="0"/>
      <w:divBdr>
        <w:top w:val="none" w:sz="0" w:space="0" w:color="auto"/>
        <w:left w:val="none" w:sz="0" w:space="0" w:color="auto"/>
        <w:bottom w:val="none" w:sz="0" w:space="0" w:color="auto"/>
        <w:right w:val="none" w:sz="0" w:space="0" w:color="auto"/>
      </w:divBdr>
    </w:div>
    <w:div w:id="1324167390">
      <w:bodyDiv w:val="1"/>
      <w:marLeft w:val="0"/>
      <w:marRight w:val="0"/>
      <w:marTop w:val="0"/>
      <w:marBottom w:val="0"/>
      <w:divBdr>
        <w:top w:val="none" w:sz="0" w:space="0" w:color="auto"/>
        <w:left w:val="none" w:sz="0" w:space="0" w:color="auto"/>
        <w:bottom w:val="none" w:sz="0" w:space="0" w:color="auto"/>
        <w:right w:val="none" w:sz="0" w:space="0" w:color="auto"/>
      </w:divBdr>
    </w:div>
    <w:div w:id="1345131507">
      <w:bodyDiv w:val="1"/>
      <w:marLeft w:val="0"/>
      <w:marRight w:val="0"/>
      <w:marTop w:val="0"/>
      <w:marBottom w:val="0"/>
      <w:divBdr>
        <w:top w:val="none" w:sz="0" w:space="0" w:color="auto"/>
        <w:left w:val="none" w:sz="0" w:space="0" w:color="auto"/>
        <w:bottom w:val="none" w:sz="0" w:space="0" w:color="auto"/>
        <w:right w:val="none" w:sz="0" w:space="0" w:color="auto"/>
      </w:divBdr>
    </w:div>
    <w:div w:id="1395619292">
      <w:bodyDiv w:val="1"/>
      <w:marLeft w:val="0"/>
      <w:marRight w:val="0"/>
      <w:marTop w:val="0"/>
      <w:marBottom w:val="0"/>
      <w:divBdr>
        <w:top w:val="none" w:sz="0" w:space="0" w:color="auto"/>
        <w:left w:val="none" w:sz="0" w:space="0" w:color="auto"/>
        <w:bottom w:val="none" w:sz="0" w:space="0" w:color="auto"/>
        <w:right w:val="none" w:sz="0" w:space="0" w:color="auto"/>
      </w:divBdr>
    </w:div>
    <w:div w:id="1507556391">
      <w:bodyDiv w:val="1"/>
      <w:marLeft w:val="0"/>
      <w:marRight w:val="0"/>
      <w:marTop w:val="0"/>
      <w:marBottom w:val="0"/>
      <w:divBdr>
        <w:top w:val="none" w:sz="0" w:space="0" w:color="auto"/>
        <w:left w:val="none" w:sz="0" w:space="0" w:color="auto"/>
        <w:bottom w:val="none" w:sz="0" w:space="0" w:color="auto"/>
        <w:right w:val="none" w:sz="0" w:space="0" w:color="auto"/>
      </w:divBdr>
    </w:div>
    <w:div w:id="1590429207">
      <w:bodyDiv w:val="1"/>
      <w:marLeft w:val="0"/>
      <w:marRight w:val="0"/>
      <w:marTop w:val="0"/>
      <w:marBottom w:val="0"/>
      <w:divBdr>
        <w:top w:val="none" w:sz="0" w:space="0" w:color="auto"/>
        <w:left w:val="none" w:sz="0" w:space="0" w:color="auto"/>
        <w:bottom w:val="none" w:sz="0" w:space="0" w:color="auto"/>
        <w:right w:val="none" w:sz="0" w:space="0" w:color="auto"/>
      </w:divBdr>
    </w:div>
    <w:div w:id="1881699727">
      <w:bodyDiv w:val="1"/>
      <w:marLeft w:val="0"/>
      <w:marRight w:val="0"/>
      <w:marTop w:val="0"/>
      <w:marBottom w:val="0"/>
      <w:divBdr>
        <w:top w:val="none" w:sz="0" w:space="0" w:color="auto"/>
        <w:left w:val="none" w:sz="0" w:space="0" w:color="auto"/>
        <w:bottom w:val="none" w:sz="0" w:space="0" w:color="auto"/>
        <w:right w:val="none" w:sz="0" w:space="0" w:color="auto"/>
      </w:divBdr>
    </w:div>
    <w:div w:id="1893540994">
      <w:bodyDiv w:val="1"/>
      <w:marLeft w:val="0"/>
      <w:marRight w:val="0"/>
      <w:marTop w:val="0"/>
      <w:marBottom w:val="0"/>
      <w:divBdr>
        <w:top w:val="none" w:sz="0" w:space="0" w:color="auto"/>
        <w:left w:val="none" w:sz="0" w:space="0" w:color="auto"/>
        <w:bottom w:val="none" w:sz="0" w:space="0" w:color="auto"/>
        <w:right w:val="none" w:sz="0" w:space="0" w:color="auto"/>
      </w:divBdr>
    </w:div>
    <w:div w:id="1958488374">
      <w:bodyDiv w:val="1"/>
      <w:marLeft w:val="0"/>
      <w:marRight w:val="0"/>
      <w:marTop w:val="0"/>
      <w:marBottom w:val="0"/>
      <w:divBdr>
        <w:top w:val="none" w:sz="0" w:space="0" w:color="auto"/>
        <w:left w:val="none" w:sz="0" w:space="0" w:color="auto"/>
        <w:bottom w:val="none" w:sz="0" w:space="0" w:color="auto"/>
        <w:right w:val="none" w:sz="0" w:space="0" w:color="auto"/>
      </w:divBdr>
    </w:div>
    <w:div w:id="2029793035">
      <w:bodyDiv w:val="1"/>
      <w:marLeft w:val="0"/>
      <w:marRight w:val="0"/>
      <w:marTop w:val="0"/>
      <w:marBottom w:val="0"/>
      <w:divBdr>
        <w:top w:val="none" w:sz="0" w:space="0" w:color="auto"/>
        <w:left w:val="none" w:sz="0" w:space="0" w:color="auto"/>
        <w:bottom w:val="none" w:sz="0" w:space="0" w:color="auto"/>
        <w:right w:val="none" w:sz="0" w:space="0" w:color="auto"/>
      </w:divBdr>
    </w:div>
    <w:div w:id="21067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crossmark.crossref.org/dialog/?doi=10.47268/sasi.v26i3.247&amp;domai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39B9-B97F-43DF-8C6B-7D742908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5688</Words>
  <Characters>38003</Characters>
  <Application>Microsoft Office Word</Application>
  <DocSecurity>0</DocSecurity>
  <Lines>603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 Khair</cp:lastModifiedBy>
  <cp:revision>2</cp:revision>
  <dcterms:created xsi:type="dcterms:W3CDTF">2025-10-16T13:41:00Z</dcterms:created>
  <dcterms:modified xsi:type="dcterms:W3CDTF">2025-10-16T13:41:00Z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bc2083ea-ed98-4e30-b535-657856618ab1</vt:lpwstr>
  </property>
</Properties>
</file>