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210" w:type="dxa"/>
        <w:tblLook w:val="04A0" w:firstRow="1" w:lastRow="0" w:firstColumn="1" w:lastColumn="0" w:noHBand="0" w:noVBand="1"/>
      </w:tblPr>
      <w:tblGrid>
        <w:gridCol w:w="1276"/>
        <w:gridCol w:w="6934"/>
      </w:tblGrid>
      <w:tr w:rsidR="007F1C0E" w14:paraId="130A551B" w14:textId="77777777" w:rsidTr="00A92C6C">
        <w:trPr>
          <w:trHeight w:val="2061"/>
        </w:trPr>
        <w:tc>
          <w:tcPr>
            <w:tcW w:w="1276" w:type="dxa"/>
            <w:tcBorders>
              <w:top w:val="nil"/>
              <w:left w:val="nil"/>
              <w:bottom w:val="single" w:sz="12" w:space="0" w:color="auto"/>
              <w:right w:val="nil"/>
            </w:tcBorders>
          </w:tcPr>
          <w:p w14:paraId="5B7177E5" w14:textId="77777777" w:rsidR="007F1C0E" w:rsidRPr="00131259" w:rsidRDefault="007E79AA" w:rsidP="00424260">
            <w:pPr>
              <w:pStyle w:val="Pa1"/>
              <w:spacing w:line="240" w:lineRule="auto"/>
              <w:rPr>
                <w:vertAlign w:val="superscript"/>
              </w:rPr>
            </w:pPr>
            <w:r>
              <w:rPr>
                <w:noProof/>
                <w:lang w:val="en-US"/>
              </w:rPr>
              <w:drawing>
                <wp:anchor distT="0" distB="0" distL="114300" distR="114300" simplePos="0" relativeHeight="251668480" behindDoc="1" locked="0" layoutInCell="1" allowOverlap="1" wp14:anchorId="0EF77D44" wp14:editId="478D4E14">
                  <wp:simplePos x="0" y="0"/>
                  <wp:positionH relativeFrom="column">
                    <wp:posOffset>-91440</wp:posOffset>
                  </wp:positionH>
                  <wp:positionV relativeFrom="paragraph">
                    <wp:posOffset>51435</wp:posOffset>
                  </wp:positionV>
                  <wp:extent cx="809625" cy="1245235"/>
                  <wp:effectExtent l="19050" t="19050" r="28575"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09625" cy="1245235"/>
                          </a:xfrm>
                          <a:prstGeom prst="rect">
                            <a:avLst/>
                          </a:prstGeom>
                          <a:noFill/>
                          <a:ln>
                            <a:solidFill>
                              <a:schemeClr val="bg2">
                                <a:lumMod val="90000"/>
                              </a:schemeClr>
                            </a:solidFill>
                          </a:ln>
                        </pic:spPr>
                      </pic:pic>
                    </a:graphicData>
                  </a:graphic>
                  <wp14:sizeRelH relativeFrom="page">
                    <wp14:pctWidth>0</wp14:pctWidth>
                  </wp14:sizeRelH>
                  <wp14:sizeRelV relativeFrom="page">
                    <wp14:pctHeight>0</wp14:pctHeight>
                  </wp14:sizeRelV>
                </wp:anchor>
              </w:drawing>
            </w:r>
          </w:p>
        </w:tc>
        <w:tc>
          <w:tcPr>
            <w:tcW w:w="6934" w:type="dxa"/>
            <w:tcBorders>
              <w:top w:val="nil"/>
              <w:left w:val="nil"/>
              <w:bottom w:val="single" w:sz="12" w:space="0" w:color="auto"/>
              <w:right w:val="nil"/>
            </w:tcBorders>
          </w:tcPr>
          <w:p w14:paraId="2B1180B5" w14:textId="77777777" w:rsidR="007F1C0E" w:rsidRPr="00065DFF" w:rsidRDefault="007F1C0E" w:rsidP="00424260">
            <w:pPr>
              <w:autoSpaceDE w:val="0"/>
              <w:autoSpaceDN w:val="0"/>
              <w:adjustRightInd w:val="0"/>
              <w:spacing w:after="0" w:line="240" w:lineRule="auto"/>
              <w:jc w:val="both"/>
              <w:rPr>
                <w:rFonts w:ascii="Algerian" w:hAnsi="Algerian"/>
                <w:b/>
                <w:color w:val="8EAADB" w:themeColor="accent5" w:themeTint="99"/>
                <w:sz w:val="80"/>
                <w:szCs w:val="80"/>
              </w:rPr>
            </w:pPr>
            <w:r w:rsidRPr="00065DFF">
              <w:rPr>
                <w:noProof/>
                <w:sz w:val="80"/>
                <w:szCs w:val="80"/>
                <w:lang w:eastAsia="en-US"/>
              </w:rPr>
              <mc:AlternateContent>
                <mc:Choice Requires="wps">
                  <w:drawing>
                    <wp:anchor distT="0" distB="0" distL="114300" distR="114300" simplePos="0" relativeHeight="251669504" behindDoc="0" locked="0" layoutInCell="1" allowOverlap="1" wp14:anchorId="12F92DD5" wp14:editId="7C6012AD">
                      <wp:simplePos x="0" y="0"/>
                      <wp:positionH relativeFrom="column">
                        <wp:posOffset>-1015365</wp:posOffset>
                      </wp:positionH>
                      <wp:positionV relativeFrom="paragraph">
                        <wp:posOffset>38100</wp:posOffset>
                      </wp:positionV>
                      <wp:extent cx="53435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53435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1DC6B" id="Straight Connector 7"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95pt,3pt" to="340.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" strokecolor="black [3200]" strokeweight="1pt">
                      <v:stroke joinstyle="miter"/>
                    </v:line>
                  </w:pict>
                </mc:Fallback>
              </mc:AlternateContent>
            </w:r>
            <w:r w:rsidRPr="00065DFF">
              <w:rPr>
                <w:rFonts w:ascii="Algerian" w:hAnsi="Algerian"/>
                <w:b/>
                <w:color w:val="8EAADB" w:themeColor="accent5" w:themeTint="99"/>
                <w:sz w:val="80"/>
                <w:szCs w:val="80"/>
              </w:rPr>
              <w:t>S</w:t>
            </w:r>
            <w:r w:rsidRPr="00065DFF">
              <w:rPr>
                <w:rFonts w:ascii="Algerian" w:hAnsi="Algerian"/>
                <w:b/>
                <w:color w:val="8EAADB" w:themeColor="accent5" w:themeTint="99"/>
                <w:sz w:val="80"/>
                <w:szCs w:val="80"/>
                <w:lang w:val="en-US"/>
              </w:rPr>
              <w:t xml:space="preserve"> </w:t>
            </w:r>
            <w:r w:rsidRPr="00065DFF">
              <w:rPr>
                <w:rFonts w:ascii="Algerian" w:hAnsi="Algerian"/>
                <w:b/>
                <w:color w:val="8EAADB" w:themeColor="accent5" w:themeTint="99"/>
                <w:sz w:val="80"/>
                <w:szCs w:val="80"/>
              </w:rPr>
              <w:t>A</w:t>
            </w:r>
            <w:r w:rsidRPr="00065DFF">
              <w:rPr>
                <w:rFonts w:ascii="Algerian" w:hAnsi="Algerian"/>
                <w:b/>
                <w:color w:val="8EAADB" w:themeColor="accent5" w:themeTint="99"/>
                <w:sz w:val="80"/>
                <w:szCs w:val="80"/>
                <w:lang w:val="en-US"/>
              </w:rPr>
              <w:t xml:space="preserve"> </w:t>
            </w:r>
            <w:r w:rsidRPr="00065DFF">
              <w:rPr>
                <w:rFonts w:ascii="Algerian" w:hAnsi="Algerian"/>
                <w:b/>
                <w:color w:val="8EAADB" w:themeColor="accent5" w:themeTint="99"/>
                <w:sz w:val="80"/>
                <w:szCs w:val="80"/>
              </w:rPr>
              <w:t>S</w:t>
            </w:r>
            <w:r w:rsidRPr="00065DFF">
              <w:rPr>
                <w:rFonts w:ascii="Algerian" w:hAnsi="Algerian"/>
                <w:b/>
                <w:color w:val="8EAADB" w:themeColor="accent5" w:themeTint="99"/>
                <w:sz w:val="80"/>
                <w:szCs w:val="80"/>
                <w:lang w:val="en-US"/>
              </w:rPr>
              <w:t xml:space="preserve"> </w:t>
            </w:r>
            <w:r w:rsidRPr="00065DFF">
              <w:rPr>
                <w:rFonts w:ascii="Algerian" w:hAnsi="Algerian"/>
                <w:b/>
                <w:color w:val="8EAADB" w:themeColor="accent5" w:themeTint="99"/>
                <w:sz w:val="80"/>
                <w:szCs w:val="80"/>
              </w:rPr>
              <w:t>I</w:t>
            </w:r>
          </w:p>
          <w:p w14:paraId="59836489" w14:textId="77777777" w:rsidR="007F1C0E" w:rsidRPr="00B127F9" w:rsidRDefault="007F1C0E" w:rsidP="00424260">
            <w:pPr>
              <w:autoSpaceDE w:val="0"/>
              <w:autoSpaceDN w:val="0"/>
              <w:adjustRightInd w:val="0"/>
              <w:spacing w:after="0" w:line="240" w:lineRule="auto"/>
              <w:jc w:val="both"/>
              <w:rPr>
                <w:rFonts w:ascii="Arial Rounded MT Bold" w:hAnsi="Arial Rounded MT Bold" w:cs="Times New Roman"/>
                <w:b/>
                <w:sz w:val="30"/>
                <w:szCs w:val="30"/>
              </w:rPr>
            </w:pPr>
            <w:r>
              <w:rPr>
                <w:rFonts w:ascii="Arial Rounded MT Bold" w:hAnsi="Arial Rounded MT Bold" w:cs="Times New Roman"/>
                <w:b/>
                <w:color w:val="C00000"/>
                <w:szCs w:val="30"/>
              </w:rPr>
              <w:t>Volume xx</w:t>
            </w:r>
            <w:r w:rsidRPr="00B127F9">
              <w:rPr>
                <w:rFonts w:ascii="Arial Rounded MT Bold" w:hAnsi="Arial Rounded MT Bold" w:cs="Times New Roman"/>
                <w:b/>
                <w:color w:val="C00000"/>
                <w:szCs w:val="30"/>
              </w:rPr>
              <w:t xml:space="preserve"> Nomor </w:t>
            </w:r>
            <w:r>
              <w:rPr>
                <w:rFonts w:ascii="Arial Rounded MT Bold" w:hAnsi="Arial Rounded MT Bold" w:cs="Times New Roman"/>
                <w:b/>
                <w:color w:val="C00000"/>
                <w:szCs w:val="30"/>
                <w:lang w:val="en-ID"/>
              </w:rPr>
              <w:t>x</w:t>
            </w:r>
            <w:r>
              <w:rPr>
                <w:rFonts w:ascii="Arial Rounded MT Bold" w:hAnsi="Arial Rounded MT Bold" w:cs="Times New Roman"/>
                <w:b/>
                <w:color w:val="C00000"/>
                <w:szCs w:val="30"/>
              </w:rPr>
              <w:t>, Bulan</w:t>
            </w:r>
            <w:r w:rsidRPr="00B127F9">
              <w:rPr>
                <w:rFonts w:ascii="Arial Rounded MT Bold" w:hAnsi="Arial Rounded MT Bold" w:cs="Times New Roman"/>
                <w:b/>
                <w:color w:val="C00000"/>
                <w:szCs w:val="30"/>
              </w:rPr>
              <w:t xml:space="preserve"> - </w:t>
            </w:r>
            <w:proofErr w:type="spellStart"/>
            <w:r>
              <w:rPr>
                <w:rFonts w:ascii="Arial Rounded MT Bold" w:hAnsi="Arial Rounded MT Bold" w:cs="Times New Roman"/>
                <w:b/>
                <w:color w:val="C00000"/>
                <w:szCs w:val="30"/>
                <w:lang w:val="en-ID"/>
              </w:rPr>
              <w:t>Bulan</w:t>
            </w:r>
            <w:proofErr w:type="spellEnd"/>
            <w:r>
              <w:rPr>
                <w:rFonts w:ascii="Arial Rounded MT Bold" w:hAnsi="Arial Rounded MT Bold" w:cs="Times New Roman"/>
                <w:b/>
                <w:color w:val="C00000"/>
                <w:szCs w:val="30"/>
              </w:rPr>
              <w:t xml:space="preserve"> Tahun</w:t>
            </w:r>
            <w:r w:rsidRPr="00B127F9">
              <w:rPr>
                <w:rFonts w:ascii="Arial Rounded MT Bold" w:hAnsi="Arial Rounded MT Bold" w:cs="Times New Roman"/>
                <w:b/>
                <w:color w:val="C00000"/>
                <w:szCs w:val="30"/>
              </w:rPr>
              <w:t>:</w:t>
            </w:r>
            <w:r>
              <w:rPr>
                <w:rFonts w:ascii="Arial Rounded MT Bold" w:hAnsi="Arial Rounded MT Bold" w:cs="Times New Roman"/>
                <w:b/>
                <w:color w:val="C00000"/>
                <w:szCs w:val="30"/>
              </w:rPr>
              <w:t xml:space="preserve"> h</w:t>
            </w:r>
            <w:r w:rsidRPr="00B127F9">
              <w:rPr>
                <w:rFonts w:ascii="Arial Rounded MT Bold" w:hAnsi="Arial Rounded MT Bold" w:cs="Times New Roman"/>
                <w:b/>
                <w:color w:val="C00000"/>
                <w:szCs w:val="30"/>
              </w:rPr>
              <w:t xml:space="preserve">. </w:t>
            </w:r>
            <w:r>
              <w:rPr>
                <w:rFonts w:ascii="Arial Rounded MT Bold" w:hAnsi="Arial Rounded MT Bold" w:cs="Times New Roman"/>
                <w:b/>
                <w:color w:val="C00000"/>
                <w:szCs w:val="30"/>
                <w:lang w:val="en-ID"/>
              </w:rPr>
              <w:t>x</w:t>
            </w:r>
            <w:r w:rsidRPr="00B127F9">
              <w:rPr>
                <w:rFonts w:ascii="Arial Rounded MT Bold" w:hAnsi="Arial Rounded MT Bold" w:cs="Times New Roman"/>
                <w:b/>
                <w:color w:val="C00000"/>
                <w:szCs w:val="30"/>
                <w:lang w:val="en-ID"/>
              </w:rPr>
              <w:t xml:space="preserve"> </w:t>
            </w:r>
            <w:r w:rsidRPr="00B127F9">
              <w:rPr>
                <w:rFonts w:ascii="Arial Rounded MT Bold" w:hAnsi="Arial Rounded MT Bold" w:cs="Times New Roman"/>
                <w:b/>
                <w:color w:val="C00000"/>
                <w:szCs w:val="30"/>
              </w:rPr>
              <w:t>-</w:t>
            </w:r>
            <w:r w:rsidRPr="00B127F9">
              <w:rPr>
                <w:rFonts w:ascii="Arial Rounded MT Bold" w:hAnsi="Arial Rounded MT Bold" w:cs="Times New Roman"/>
                <w:b/>
                <w:color w:val="C00000"/>
                <w:szCs w:val="30"/>
                <w:lang w:val="en-ID"/>
              </w:rPr>
              <w:t xml:space="preserve"> </w:t>
            </w:r>
            <w:r>
              <w:rPr>
                <w:rFonts w:ascii="Arial Rounded MT Bold" w:hAnsi="Arial Rounded MT Bold" w:cs="Times New Roman"/>
                <w:b/>
                <w:color w:val="C00000"/>
                <w:szCs w:val="30"/>
                <w:lang w:val="en-ID"/>
              </w:rPr>
              <w:t>xx</w:t>
            </w:r>
            <w:r w:rsidRPr="00B127F9">
              <w:rPr>
                <w:rFonts w:ascii="Arial Rounded MT Bold" w:hAnsi="Arial Rounded MT Bold" w:cs="Times New Roman"/>
                <w:b/>
                <w:color w:val="C00000"/>
                <w:sz w:val="30"/>
                <w:szCs w:val="30"/>
                <w:lang w:val="en-ID"/>
              </w:rPr>
              <w:t xml:space="preserve"> </w:t>
            </w:r>
            <w:r w:rsidRPr="00B127F9">
              <w:rPr>
                <w:rFonts w:ascii="Arial Rounded MT Bold" w:hAnsi="Arial Rounded MT Bold" w:cs="Times New Roman"/>
                <w:b/>
                <w:sz w:val="30"/>
                <w:szCs w:val="30"/>
              </w:rPr>
              <w:t xml:space="preserve"> </w:t>
            </w:r>
          </w:p>
          <w:p w14:paraId="20B4D23C" w14:textId="77777777" w:rsidR="007F1C0E" w:rsidRPr="00B127F9" w:rsidRDefault="000360EE" w:rsidP="00424260">
            <w:pPr>
              <w:autoSpaceDE w:val="0"/>
              <w:autoSpaceDN w:val="0"/>
              <w:adjustRightInd w:val="0"/>
              <w:spacing w:after="0" w:line="240" w:lineRule="auto"/>
              <w:jc w:val="both"/>
              <w:rPr>
                <w:rFonts w:ascii="Cambria Math" w:hAnsi="Cambria Math" w:cstheme="minorHAnsi" w:hint="eastAsia"/>
                <w:b/>
                <w:szCs w:val="24"/>
              </w:rPr>
            </w:pPr>
            <w:r w:rsidRPr="008953F1">
              <w:rPr>
                <w:noProof/>
                <w:color w:val="000000" w:themeColor="text1"/>
                <w:sz w:val="22"/>
                <w:lang w:eastAsia="en-US"/>
              </w:rPr>
              <w:drawing>
                <wp:anchor distT="0" distB="0" distL="114300" distR="114300" simplePos="0" relativeHeight="251671552" behindDoc="0" locked="0" layoutInCell="1" allowOverlap="1" wp14:anchorId="0CB96FEF" wp14:editId="4107EBAE">
                  <wp:simplePos x="0" y="0"/>
                  <wp:positionH relativeFrom="column">
                    <wp:posOffset>3956686</wp:posOffset>
                  </wp:positionH>
                  <wp:positionV relativeFrom="paragraph">
                    <wp:posOffset>175895</wp:posOffset>
                  </wp:positionV>
                  <wp:extent cx="514350" cy="273685"/>
                  <wp:effectExtent l="0" t="0" r="0" b="0"/>
                  <wp:wrapNone/>
                  <wp:docPr id="1" name="Picture 1"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C0E" w:rsidRPr="00B127F9">
              <w:rPr>
                <w:rFonts w:ascii="Cambria Math" w:hAnsi="Cambria Math" w:cstheme="minorHAnsi"/>
                <w:b/>
                <w:szCs w:val="24"/>
              </w:rPr>
              <w:t>p-ISSN: 1693-0061 | e-ISSN: 2614-2961</w:t>
            </w:r>
          </w:p>
          <w:p w14:paraId="53F201F1" w14:textId="77777777" w:rsidR="007F1C0E" w:rsidRDefault="007F1C0E" w:rsidP="007E79AA">
            <w:pPr>
              <w:autoSpaceDE w:val="0"/>
              <w:autoSpaceDN w:val="0"/>
              <w:adjustRightInd w:val="0"/>
              <w:spacing w:after="0" w:line="240" w:lineRule="auto"/>
              <w:jc w:val="both"/>
              <w:rPr>
                <w:rFonts w:ascii="Cambria Math" w:hAnsi="Cambria Math" w:cstheme="minorHAnsi" w:hint="eastAsia"/>
                <w:i/>
                <w:iCs/>
                <w:sz w:val="20"/>
                <w:szCs w:val="24"/>
              </w:rPr>
            </w:pPr>
            <w:r w:rsidRPr="00CB6AEC">
              <w:rPr>
                <w:rFonts w:ascii="Cambria Math" w:hAnsi="Cambria Math" w:cstheme="minorHAnsi"/>
                <w:i/>
                <w:iCs/>
                <w:sz w:val="20"/>
                <w:szCs w:val="24"/>
              </w:rPr>
              <w:t>Jurnal Terakreditasi Nasional, SK. No. 28/E/KPT/2019</w:t>
            </w:r>
          </w:p>
          <w:p w14:paraId="06415298" w14:textId="77777777" w:rsidR="007E79AA" w:rsidRPr="00892E83" w:rsidRDefault="008C5DBA" w:rsidP="00424260">
            <w:pPr>
              <w:autoSpaceDE w:val="0"/>
              <w:autoSpaceDN w:val="0"/>
              <w:adjustRightInd w:val="0"/>
              <w:spacing w:after="0" w:line="240" w:lineRule="auto"/>
              <w:jc w:val="both"/>
            </w:pPr>
            <w:hyperlink r:id="rId12" w:history="1">
              <w:r w:rsidR="007E79AA" w:rsidRPr="00892E83">
                <w:rPr>
                  <w:rStyle w:val="Hyperlink"/>
                  <w:color w:val="000000" w:themeColor="text1"/>
                  <w:sz w:val="20"/>
                  <w:u w:val="none"/>
                </w:rPr>
                <w:t>Under Lisensi Creative Commons Atribusi-NonCommercial 4.0 Internasional</w:t>
              </w:r>
            </w:hyperlink>
          </w:p>
        </w:tc>
      </w:tr>
    </w:tbl>
    <w:p w14:paraId="0E6FB604" w14:textId="77777777" w:rsidR="007F1C0E" w:rsidRPr="00A81566" w:rsidRDefault="007F1C0E" w:rsidP="007F1C0E">
      <w:pPr>
        <w:widowControl/>
        <w:spacing w:after="0" w:line="240" w:lineRule="auto"/>
        <w:ind w:left="1530"/>
        <w:jc w:val="both"/>
        <w:rPr>
          <w:rFonts w:cs="Times New Roman"/>
          <w:szCs w:val="24"/>
        </w:rPr>
      </w:pPr>
    </w:p>
    <w:p w14:paraId="6EA67CAF" w14:textId="77777777" w:rsidR="0091743E" w:rsidRPr="0091743E" w:rsidRDefault="0091743E" w:rsidP="00DC7FCE">
      <w:pPr>
        <w:pStyle w:val="Default"/>
        <w:jc w:val="center"/>
        <w:rPr>
          <w:b/>
          <w:bCs/>
          <w:sz w:val="16"/>
        </w:rPr>
      </w:pPr>
    </w:p>
    <w:p w14:paraId="411A488F" w14:textId="77777777" w:rsidR="003C05E3" w:rsidRPr="003C05E3" w:rsidRDefault="003C05E3" w:rsidP="003C05E3">
      <w:pPr>
        <w:pStyle w:val="Default"/>
        <w:jc w:val="center"/>
        <w:rPr>
          <w:b/>
          <w:color w:val="auto"/>
          <w:sz w:val="32"/>
          <w:szCs w:val="32"/>
          <w:lang w:val="id-ID"/>
        </w:rPr>
      </w:pPr>
      <w:r w:rsidRPr="003C05E3">
        <w:rPr>
          <w:b/>
          <w:color w:val="auto"/>
          <w:sz w:val="32"/>
          <w:szCs w:val="32"/>
          <w:lang w:val="id-ID"/>
        </w:rPr>
        <w:t xml:space="preserve">URGENSI PEMBENTUKAN UU </w:t>
      </w:r>
      <w:r w:rsidRPr="003C05E3">
        <w:rPr>
          <w:b/>
          <w:i/>
          <w:color w:val="auto"/>
          <w:sz w:val="32"/>
          <w:szCs w:val="32"/>
          <w:lang w:val="id-ID"/>
        </w:rPr>
        <w:t>FI</w:t>
      </w:r>
      <w:bookmarkStart w:id="0" w:name="_GoBack"/>
      <w:bookmarkEnd w:id="0"/>
      <w:r w:rsidRPr="003C05E3">
        <w:rPr>
          <w:b/>
          <w:i/>
          <w:color w:val="auto"/>
          <w:sz w:val="32"/>
          <w:szCs w:val="32"/>
          <w:lang w:val="id-ID"/>
        </w:rPr>
        <w:t>NTECH</w:t>
      </w:r>
      <w:r w:rsidRPr="003C05E3">
        <w:rPr>
          <w:b/>
          <w:color w:val="auto"/>
          <w:sz w:val="32"/>
          <w:szCs w:val="32"/>
          <w:lang w:val="id-ID"/>
        </w:rPr>
        <w:t xml:space="preserve"> DI INDONESIA: HARAPAN DAN REALITA DI ERA PANDEMIC COVID-19</w:t>
      </w:r>
    </w:p>
    <w:p w14:paraId="18323FE8" w14:textId="77777777" w:rsidR="00EF2CB4" w:rsidRPr="0031161B" w:rsidRDefault="00EF2CB4" w:rsidP="007253E7">
      <w:pPr>
        <w:tabs>
          <w:tab w:val="left" w:pos="6540"/>
        </w:tabs>
        <w:spacing w:after="0"/>
        <w:rPr>
          <w:b/>
          <w:i/>
          <w:color w:val="000000" w:themeColor="text1"/>
        </w:rPr>
      </w:pPr>
    </w:p>
    <w:p w14:paraId="5ACA622C" w14:textId="7AFF8C06" w:rsidR="009B0FC0" w:rsidRPr="0031161B" w:rsidRDefault="003C05E3" w:rsidP="007253E7">
      <w:pPr>
        <w:spacing w:after="0" w:line="240" w:lineRule="auto"/>
        <w:rPr>
          <w:b/>
          <w:color w:val="000000" w:themeColor="text1"/>
          <w:vertAlign w:val="superscript"/>
        </w:rPr>
      </w:pPr>
      <w:proofErr w:type="spellStart"/>
      <w:r>
        <w:rPr>
          <w:b/>
          <w:color w:val="000000" w:themeColor="text1"/>
        </w:rPr>
        <w:t>Didik</w:t>
      </w:r>
      <w:proofErr w:type="spellEnd"/>
      <w:r>
        <w:rPr>
          <w:b/>
          <w:color w:val="000000" w:themeColor="text1"/>
        </w:rPr>
        <w:t xml:space="preserve"> </w:t>
      </w:r>
      <w:proofErr w:type="spellStart"/>
      <w:r>
        <w:rPr>
          <w:b/>
          <w:color w:val="000000" w:themeColor="text1"/>
        </w:rPr>
        <w:t>Irawansah</w:t>
      </w:r>
      <w:proofErr w:type="spellEnd"/>
      <w:r w:rsidR="006505C5" w:rsidRPr="0031161B">
        <w:rPr>
          <w:b/>
          <w:color w:val="000000" w:themeColor="text1"/>
        </w:rPr>
        <w:t xml:space="preserve"> </w:t>
      </w:r>
      <w:r w:rsidR="009B0FC0" w:rsidRPr="00BC66B6">
        <w:rPr>
          <w:color w:val="000000" w:themeColor="text1"/>
          <w:vertAlign w:val="superscript"/>
        </w:rPr>
        <w:t>1</w:t>
      </w:r>
      <w:r w:rsidR="00BC66B6" w:rsidRPr="00BC66B6">
        <w:rPr>
          <w:color w:val="000000" w:themeColor="text1"/>
          <w:vertAlign w:val="superscript"/>
        </w:rPr>
        <w:t>*</w:t>
      </w:r>
      <w:proofErr w:type="gramStart"/>
      <w:r w:rsidR="00BC66B6" w:rsidRPr="00BC66B6">
        <w:rPr>
          <w:b/>
          <w:color w:val="000000" w:themeColor="text1"/>
        </w:rPr>
        <w:t>,</w:t>
      </w:r>
      <w:r w:rsidR="00BC66B6">
        <w:rPr>
          <w:b/>
          <w:color w:val="000000" w:themeColor="text1"/>
          <w:vertAlign w:val="superscript"/>
        </w:rPr>
        <w:t xml:space="preserve"> </w:t>
      </w:r>
      <w:r>
        <w:rPr>
          <w:b/>
          <w:color w:val="000000" w:themeColor="text1"/>
        </w:rPr>
        <w:t xml:space="preserve"> </w:t>
      </w:r>
      <w:proofErr w:type="spellStart"/>
      <w:r>
        <w:rPr>
          <w:b/>
          <w:color w:val="000000" w:themeColor="text1"/>
        </w:rPr>
        <w:t>Wardah</w:t>
      </w:r>
      <w:proofErr w:type="spellEnd"/>
      <w:proofErr w:type="gramEnd"/>
      <w:r>
        <w:rPr>
          <w:b/>
          <w:color w:val="000000" w:themeColor="text1"/>
        </w:rPr>
        <w:t xml:space="preserve"> </w:t>
      </w:r>
      <w:proofErr w:type="spellStart"/>
      <w:r>
        <w:rPr>
          <w:b/>
          <w:color w:val="000000" w:themeColor="text1"/>
        </w:rPr>
        <w:t>Yuspin</w:t>
      </w:r>
      <w:proofErr w:type="spellEnd"/>
      <w:r w:rsidR="00CD1961">
        <w:rPr>
          <w:b/>
          <w:color w:val="000000" w:themeColor="text1"/>
        </w:rPr>
        <w:t xml:space="preserve"> </w:t>
      </w:r>
      <w:r w:rsidR="009B0FC0" w:rsidRPr="00BC66B6">
        <w:rPr>
          <w:color w:val="000000" w:themeColor="text1"/>
          <w:vertAlign w:val="superscript"/>
        </w:rPr>
        <w:t>2</w:t>
      </w:r>
      <w:r w:rsidR="00BC66B6">
        <w:rPr>
          <w:b/>
          <w:color w:val="000000" w:themeColor="text1"/>
          <w:vertAlign w:val="superscript"/>
        </w:rPr>
        <w:t xml:space="preserve"> </w:t>
      </w:r>
    </w:p>
    <w:p w14:paraId="21252959" w14:textId="77777777" w:rsidR="00602F3A" w:rsidRPr="0031161B" w:rsidRDefault="007B0CC5" w:rsidP="007253E7">
      <w:pPr>
        <w:spacing w:after="0" w:line="240" w:lineRule="auto"/>
        <w:rPr>
          <w:bCs/>
          <w:i/>
          <w:iCs/>
          <w:color w:val="000000" w:themeColor="text1"/>
          <w:sz w:val="20"/>
        </w:rPr>
      </w:pPr>
      <w:r>
        <w:rPr>
          <w:bCs/>
          <w:i/>
          <w:iCs/>
          <w:noProof/>
          <w:color w:val="000000" w:themeColor="text1"/>
          <w:sz w:val="20"/>
          <w:lang w:eastAsia="en-US"/>
        </w:rPr>
        <w:drawing>
          <wp:anchor distT="0" distB="0" distL="114300" distR="114300" simplePos="0" relativeHeight="251675648" behindDoc="1" locked="0" layoutInCell="1" allowOverlap="1" wp14:anchorId="67E95377" wp14:editId="7D33F396">
            <wp:simplePos x="0" y="0"/>
            <wp:positionH relativeFrom="margin">
              <wp:posOffset>4714875</wp:posOffset>
            </wp:positionH>
            <wp:positionV relativeFrom="paragraph">
              <wp:posOffset>63500</wp:posOffset>
            </wp:positionV>
            <wp:extent cx="702945" cy="702945"/>
            <wp:effectExtent l="0" t="0" r="1905" b="1905"/>
            <wp:wrapNone/>
            <wp:docPr id="4"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945" cy="702945"/>
                    </a:xfrm>
                    <a:prstGeom prst="rect">
                      <a:avLst/>
                    </a:prstGeom>
                  </pic:spPr>
                </pic:pic>
              </a:graphicData>
            </a:graphic>
            <wp14:sizeRelH relativeFrom="page">
              <wp14:pctWidth>0</wp14:pctWidth>
            </wp14:sizeRelH>
            <wp14:sizeRelV relativeFrom="page">
              <wp14:pctHeight>0</wp14:pctHeight>
            </wp14:sizeRelV>
          </wp:anchor>
        </w:drawing>
      </w:r>
    </w:p>
    <w:p w14:paraId="5F719576" w14:textId="3BF25D43" w:rsidR="00BC66B6" w:rsidRPr="0031161B" w:rsidRDefault="00602F3A" w:rsidP="003C05E3">
      <w:pPr>
        <w:spacing w:after="0" w:line="240" w:lineRule="auto"/>
        <w:rPr>
          <w:bCs/>
          <w:i/>
          <w:iCs/>
          <w:color w:val="000000" w:themeColor="text1"/>
          <w:sz w:val="20"/>
        </w:rPr>
      </w:pPr>
      <w:r w:rsidRPr="0031161B">
        <w:rPr>
          <w:bCs/>
          <w:i/>
          <w:iCs/>
          <w:color w:val="000000" w:themeColor="text1"/>
          <w:sz w:val="20"/>
          <w:vertAlign w:val="superscript"/>
        </w:rPr>
        <w:t>1</w:t>
      </w:r>
      <w:r w:rsidR="00CD1961">
        <w:rPr>
          <w:bCs/>
          <w:i/>
          <w:iCs/>
          <w:color w:val="000000" w:themeColor="text1"/>
          <w:sz w:val="20"/>
          <w:vertAlign w:val="superscript"/>
        </w:rPr>
        <w:t>,2</w:t>
      </w:r>
      <w:r w:rsidR="003C05E3">
        <w:rPr>
          <w:bCs/>
          <w:i/>
          <w:iCs/>
          <w:color w:val="000000" w:themeColor="text1"/>
          <w:sz w:val="20"/>
        </w:rPr>
        <w:t xml:space="preserve">Magister </w:t>
      </w:r>
      <w:proofErr w:type="spellStart"/>
      <w:r w:rsidR="003C05E3">
        <w:rPr>
          <w:bCs/>
          <w:i/>
          <w:iCs/>
          <w:color w:val="000000" w:themeColor="text1"/>
          <w:sz w:val="20"/>
        </w:rPr>
        <w:t>Ilmu</w:t>
      </w:r>
      <w:proofErr w:type="spellEnd"/>
      <w:r w:rsidR="003C05E3">
        <w:rPr>
          <w:bCs/>
          <w:i/>
          <w:iCs/>
          <w:color w:val="000000" w:themeColor="text1"/>
          <w:sz w:val="20"/>
        </w:rPr>
        <w:t xml:space="preserve"> </w:t>
      </w:r>
      <w:proofErr w:type="spellStart"/>
      <w:r w:rsidR="00CD1961">
        <w:rPr>
          <w:bCs/>
          <w:i/>
          <w:iCs/>
          <w:color w:val="000000" w:themeColor="text1"/>
          <w:sz w:val="20"/>
        </w:rPr>
        <w:t>Hukum</w:t>
      </w:r>
      <w:proofErr w:type="spellEnd"/>
      <w:r w:rsidR="00CD1961">
        <w:rPr>
          <w:bCs/>
          <w:i/>
          <w:iCs/>
          <w:color w:val="000000" w:themeColor="text1"/>
          <w:sz w:val="20"/>
        </w:rPr>
        <w:t xml:space="preserve"> </w:t>
      </w:r>
      <w:proofErr w:type="spellStart"/>
      <w:r w:rsidR="00CD1961">
        <w:rPr>
          <w:bCs/>
          <w:i/>
          <w:iCs/>
          <w:color w:val="000000" w:themeColor="text1"/>
          <w:sz w:val="20"/>
        </w:rPr>
        <w:t>Universitas</w:t>
      </w:r>
      <w:proofErr w:type="spellEnd"/>
      <w:r w:rsidR="00CD1961">
        <w:rPr>
          <w:bCs/>
          <w:i/>
          <w:iCs/>
          <w:color w:val="000000" w:themeColor="text1"/>
          <w:sz w:val="20"/>
        </w:rPr>
        <w:t xml:space="preserve"> </w:t>
      </w:r>
      <w:proofErr w:type="spellStart"/>
      <w:r w:rsidR="003C05E3">
        <w:rPr>
          <w:bCs/>
          <w:i/>
          <w:iCs/>
          <w:color w:val="000000" w:themeColor="text1"/>
          <w:sz w:val="20"/>
        </w:rPr>
        <w:t>Muhammadiyah</w:t>
      </w:r>
      <w:proofErr w:type="spellEnd"/>
      <w:r w:rsidR="003C05E3">
        <w:rPr>
          <w:bCs/>
          <w:i/>
          <w:iCs/>
          <w:color w:val="000000" w:themeColor="text1"/>
          <w:sz w:val="20"/>
        </w:rPr>
        <w:t xml:space="preserve"> Surakarta, </w:t>
      </w:r>
      <w:proofErr w:type="spellStart"/>
      <w:proofErr w:type="gramStart"/>
      <w:r w:rsidR="003C05E3">
        <w:rPr>
          <w:bCs/>
          <w:i/>
          <w:iCs/>
          <w:color w:val="000000" w:themeColor="text1"/>
          <w:sz w:val="20"/>
        </w:rPr>
        <w:t>Jateng</w:t>
      </w:r>
      <w:proofErr w:type="spellEnd"/>
      <w:r w:rsidR="003C05E3">
        <w:rPr>
          <w:bCs/>
          <w:i/>
          <w:iCs/>
          <w:color w:val="000000" w:themeColor="text1"/>
          <w:sz w:val="20"/>
        </w:rPr>
        <w:t xml:space="preserve"> </w:t>
      </w:r>
      <w:r w:rsidR="00BC66B6">
        <w:rPr>
          <w:bCs/>
          <w:i/>
          <w:iCs/>
          <w:color w:val="000000" w:themeColor="text1"/>
          <w:sz w:val="20"/>
        </w:rPr>
        <w:t>,</w:t>
      </w:r>
      <w:proofErr w:type="gramEnd"/>
      <w:r w:rsidR="00BC66B6">
        <w:rPr>
          <w:bCs/>
          <w:i/>
          <w:iCs/>
          <w:color w:val="000000" w:themeColor="text1"/>
          <w:sz w:val="20"/>
        </w:rPr>
        <w:t xml:space="preserve"> </w:t>
      </w:r>
      <w:r w:rsidR="00CD1961">
        <w:rPr>
          <w:bCs/>
          <w:i/>
          <w:iCs/>
          <w:color w:val="000000" w:themeColor="text1"/>
          <w:sz w:val="20"/>
        </w:rPr>
        <w:t>Indonesia</w:t>
      </w:r>
      <w:r w:rsidR="003C05E3">
        <w:rPr>
          <w:bCs/>
          <w:i/>
          <w:iCs/>
          <w:color w:val="000000" w:themeColor="text1"/>
          <w:sz w:val="20"/>
        </w:rPr>
        <w:t>.</w:t>
      </w:r>
      <w:r w:rsidR="00545474" w:rsidRPr="00545474">
        <w:rPr>
          <w:bCs/>
          <w:i/>
          <w:iCs/>
          <w:noProof/>
          <w:color w:val="000000" w:themeColor="text1"/>
          <w:sz w:val="20"/>
          <w:lang w:eastAsia="en-US"/>
        </w:rPr>
        <w:t xml:space="preserve"> </w:t>
      </w:r>
    </w:p>
    <w:p w14:paraId="237FBE9D" w14:textId="2F2E259A" w:rsidR="00EF2CB4" w:rsidRPr="003C05E3" w:rsidRDefault="00BC66B6" w:rsidP="007253E7">
      <w:pPr>
        <w:spacing w:after="0" w:line="240" w:lineRule="auto"/>
        <w:rPr>
          <w:rStyle w:val="Hyperlink"/>
        </w:rPr>
      </w:pPr>
      <w:r>
        <w:rPr>
          <w:rFonts w:cs="Times New Roman"/>
          <w:bCs/>
          <w:i/>
          <w:color w:val="000000" w:themeColor="text1"/>
          <w:sz w:val="20"/>
          <w:vertAlign w:val="superscript"/>
        </w:rPr>
        <w:t xml:space="preserve">* </w:t>
      </w:r>
      <w:r w:rsidR="003B56F9" w:rsidRPr="0031161B">
        <w:rPr>
          <w:rFonts w:cs="Times New Roman"/>
          <w:bCs/>
          <w:i/>
          <w:color w:val="000000" w:themeColor="text1"/>
          <w:sz w:val="20"/>
        </w:rPr>
        <w:t>E</w:t>
      </w:r>
      <w:r w:rsidR="00B77D57" w:rsidRPr="0031161B">
        <w:rPr>
          <w:rFonts w:cs="Times New Roman"/>
          <w:bCs/>
          <w:i/>
          <w:color w:val="000000" w:themeColor="text1"/>
          <w:sz w:val="20"/>
        </w:rPr>
        <w:t>-</w:t>
      </w:r>
      <w:r w:rsidR="009B0FC0" w:rsidRPr="0031161B">
        <w:rPr>
          <w:rFonts w:cs="Times New Roman"/>
          <w:bCs/>
          <w:i/>
          <w:color w:val="000000" w:themeColor="text1"/>
          <w:sz w:val="20"/>
        </w:rPr>
        <w:t xml:space="preserve">mail: </w:t>
      </w:r>
      <w:hyperlink r:id="rId15" w:history="1">
        <w:r w:rsidR="003C05E3" w:rsidRPr="00B7204E">
          <w:rPr>
            <w:rStyle w:val="Hyperlink"/>
            <w:rFonts w:cs="Times New Roman"/>
            <w:bCs/>
            <w:i/>
            <w:sz w:val="20"/>
          </w:rPr>
          <w:t xml:space="preserve">didikirawansah@gmail.com </w:t>
        </w:r>
      </w:hyperlink>
      <w:r w:rsidR="003C05E3">
        <w:rPr>
          <w:rFonts w:cs="Times New Roman"/>
          <w:bCs/>
          <w:i/>
          <w:sz w:val="20"/>
        </w:rPr>
        <w:t xml:space="preserve"> </w:t>
      </w:r>
      <w:proofErr w:type="spellStart"/>
      <w:r w:rsidR="003C05E3">
        <w:rPr>
          <w:rStyle w:val="Hyperlink"/>
          <w:rFonts w:cs="Times New Roman"/>
          <w:bCs/>
          <w:i/>
          <w:color w:val="000000" w:themeColor="text1"/>
          <w:sz w:val="20"/>
          <w:u w:val="none"/>
        </w:rPr>
        <w:t>dan</w:t>
      </w:r>
      <w:proofErr w:type="spellEnd"/>
      <w:r w:rsidR="003C05E3">
        <w:rPr>
          <w:rStyle w:val="Hyperlink"/>
          <w:rFonts w:cs="Times New Roman"/>
          <w:bCs/>
          <w:i/>
          <w:color w:val="000000" w:themeColor="text1"/>
          <w:sz w:val="20"/>
          <w:u w:val="none"/>
        </w:rPr>
        <w:t xml:space="preserve"> </w:t>
      </w:r>
      <w:proofErr w:type="spellStart"/>
      <w:r w:rsidR="003C05E3">
        <w:rPr>
          <w:rStyle w:val="Hyperlink"/>
          <w:rFonts w:cs="Times New Roman"/>
          <w:bCs/>
          <w:i/>
          <w:color w:val="000000" w:themeColor="text1"/>
          <w:sz w:val="20"/>
          <w:u w:val="none"/>
        </w:rPr>
        <w:t>atau</w:t>
      </w:r>
      <w:proofErr w:type="spellEnd"/>
      <w:r w:rsidR="003C05E3">
        <w:rPr>
          <w:rStyle w:val="Hyperlink"/>
          <w:rFonts w:cs="Times New Roman"/>
          <w:bCs/>
          <w:i/>
          <w:color w:val="000000" w:themeColor="text1"/>
          <w:sz w:val="20"/>
          <w:u w:val="none"/>
        </w:rPr>
        <w:t xml:space="preserve"> </w:t>
      </w:r>
      <w:r w:rsidR="003C05E3" w:rsidRPr="003C05E3">
        <w:rPr>
          <w:rStyle w:val="Hyperlink"/>
          <w:rFonts w:cs="Times New Roman"/>
          <w:bCs/>
          <w:i/>
          <w:sz w:val="20"/>
        </w:rPr>
        <w:t>wy204</w:t>
      </w:r>
      <w:r w:rsidR="00EF58ED">
        <w:rPr>
          <w:rStyle w:val="Hyperlink"/>
          <w:rFonts w:cs="Times New Roman"/>
          <w:bCs/>
          <w:i/>
          <w:sz w:val="20"/>
        </w:rPr>
        <w:t>@ums.ac.id</w:t>
      </w:r>
      <w:r w:rsidR="003C05E3" w:rsidRPr="003C05E3">
        <w:rPr>
          <w:rStyle w:val="Hyperlink"/>
          <w:rFonts w:cs="Times New Roman"/>
          <w:bCs/>
          <w:i/>
          <w:sz w:val="20"/>
        </w:rPr>
        <w:t xml:space="preserve"> </w:t>
      </w:r>
    </w:p>
    <w:p w14:paraId="76C05257" w14:textId="77777777" w:rsidR="009B0FC0" w:rsidRDefault="009B0FC0" w:rsidP="00DC7FCE">
      <w:pPr>
        <w:spacing w:after="0"/>
        <w:jc w:val="center"/>
        <w:rPr>
          <w:rFonts w:cs="Times New Roman"/>
          <w:bCs/>
          <w:color w:val="000000" w:themeColor="text1"/>
          <w:sz w:val="20"/>
        </w:rPr>
      </w:pPr>
    </w:p>
    <w:tbl>
      <w:tblPr>
        <w:tblStyle w:val="TableGrid"/>
        <w:tblW w:w="8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7"/>
        <w:gridCol w:w="199"/>
        <w:gridCol w:w="2670"/>
        <w:gridCol w:w="2768"/>
        <w:gridCol w:w="45"/>
      </w:tblGrid>
      <w:tr w:rsidR="004D0AAA" w:rsidRPr="00E63023" w14:paraId="30A5E878" w14:textId="77777777" w:rsidTr="00CF6381">
        <w:trPr>
          <w:gridAfter w:val="1"/>
          <w:wAfter w:w="45" w:type="dxa"/>
          <w:trHeight w:val="188"/>
        </w:trPr>
        <w:tc>
          <w:tcPr>
            <w:tcW w:w="2868" w:type="dxa"/>
            <w:gridSpan w:val="2"/>
            <w:shd w:val="clear" w:color="auto" w:fill="D9D9D9" w:themeFill="background1" w:themeFillShade="D9"/>
            <w:vAlign w:val="center"/>
          </w:tcPr>
          <w:p w14:paraId="4B23D47B" w14:textId="77777777"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Dikirim</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2869" w:type="dxa"/>
            <w:gridSpan w:val="2"/>
            <w:shd w:val="clear" w:color="auto" w:fill="D9D9D9" w:themeFill="background1" w:themeFillShade="D9"/>
            <w:vAlign w:val="center"/>
          </w:tcPr>
          <w:p w14:paraId="389B5CB5" w14:textId="77777777"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Direvisi</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2768" w:type="dxa"/>
            <w:shd w:val="clear" w:color="auto" w:fill="D9D9D9" w:themeFill="background1" w:themeFillShade="D9"/>
            <w:vAlign w:val="center"/>
          </w:tcPr>
          <w:p w14:paraId="3B40666B" w14:textId="77777777" w:rsidR="004D0AAA" w:rsidRPr="00E63023" w:rsidRDefault="004D0AAA" w:rsidP="004D0AAA">
            <w:pPr>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Dipublikasi</w:t>
            </w:r>
            <w:proofErr w:type="spellEnd"/>
            <w:r w:rsidRPr="00E63023">
              <w:rPr>
                <w:rFonts w:cs="Times New Roman"/>
                <w:bCs/>
                <w:color w:val="000000" w:themeColor="text1"/>
                <w:sz w:val="20"/>
                <w:lang w:val="en-US"/>
              </w:rPr>
              <w:t>:</w:t>
            </w:r>
          </w:p>
        </w:tc>
      </w:tr>
      <w:tr w:rsidR="0080283A" w14:paraId="444A82B2" w14:textId="77777777" w:rsidTr="00CF6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single" w:sz="4" w:space="0" w:color="auto"/>
              <w:right w:val="nil"/>
            </w:tcBorders>
            <w:shd w:val="clear" w:color="auto" w:fill="DEEAF6" w:themeFill="accent1" w:themeFillTint="33"/>
            <w:vAlign w:val="center"/>
          </w:tcPr>
          <w:p w14:paraId="67D41603" w14:textId="77777777"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Info Artikel</w:t>
            </w:r>
          </w:p>
        </w:tc>
        <w:tc>
          <w:tcPr>
            <w:tcW w:w="236" w:type="dxa"/>
            <w:gridSpan w:val="2"/>
            <w:tcBorders>
              <w:top w:val="nil"/>
              <w:left w:val="nil"/>
              <w:bottom w:val="nil"/>
              <w:right w:val="nil"/>
            </w:tcBorders>
            <w:shd w:val="clear" w:color="auto" w:fill="FFFFFF" w:themeFill="background1"/>
            <w:vAlign w:val="center"/>
          </w:tcPr>
          <w:p w14:paraId="4E5D69CC" w14:textId="77777777" w:rsidR="0080283A" w:rsidRPr="0080283A" w:rsidRDefault="0080283A" w:rsidP="0080283A">
            <w:pPr>
              <w:spacing w:after="0"/>
              <w:jc w:val="both"/>
              <w:rPr>
                <w:rFonts w:cs="Times New Roman"/>
                <w:bCs/>
                <w:color w:val="000000" w:themeColor="text1"/>
                <w:sz w:val="20"/>
              </w:rPr>
            </w:pPr>
          </w:p>
        </w:tc>
        <w:tc>
          <w:tcPr>
            <w:tcW w:w="5483" w:type="dxa"/>
            <w:gridSpan w:val="3"/>
            <w:tcBorders>
              <w:left w:val="nil"/>
              <w:bottom w:val="single" w:sz="4" w:space="0" w:color="auto"/>
              <w:right w:val="nil"/>
            </w:tcBorders>
            <w:shd w:val="clear" w:color="auto" w:fill="DEEAF6" w:themeFill="accent1" w:themeFillTint="33"/>
            <w:vAlign w:val="center"/>
          </w:tcPr>
          <w:p w14:paraId="70B0A8D9" w14:textId="77777777"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Abstract</w:t>
            </w:r>
          </w:p>
        </w:tc>
      </w:tr>
      <w:tr w:rsidR="0080283A" w14:paraId="38DC359B" w14:textId="77777777" w:rsidTr="00CF6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nil"/>
              <w:right w:val="nil"/>
            </w:tcBorders>
            <w:shd w:val="clear" w:color="auto" w:fill="BDD6EE" w:themeFill="accent1" w:themeFillTint="66"/>
            <w:vAlign w:val="center"/>
          </w:tcPr>
          <w:p w14:paraId="7984B5DC" w14:textId="77777777" w:rsidR="0080283A" w:rsidRPr="00DB38A4" w:rsidRDefault="0080283A" w:rsidP="0080283A">
            <w:pPr>
              <w:tabs>
                <w:tab w:val="left" w:pos="330"/>
              </w:tabs>
              <w:spacing w:after="0" w:line="240" w:lineRule="auto"/>
              <w:jc w:val="both"/>
              <w:rPr>
                <w:rFonts w:cs="Times New Roman"/>
                <w:b/>
                <w:bCs/>
                <w:i/>
                <w:iCs/>
                <w:color w:val="000000" w:themeColor="text1"/>
                <w:sz w:val="22"/>
              </w:rPr>
            </w:pPr>
            <w:r w:rsidRPr="00DB38A4">
              <w:rPr>
                <w:rFonts w:cs="Times New Roman"/>
                <w:b/>
                <w:bCs/>
                <w:i/>
                <w:iCs/>
                <w:color w:val="000000" w:themeColor="text1"/>
                <w:sz w:val="22"/>
              </w:rPr>
              <w:t>Keywords:</w:t>
            </w:r>
          </w:p>
          <w:p w14:paraId="3B5F32AF" w14:textId="362C34F9" w:rsidR="0080283A" w:rsidRPr="00DB38A4" w:rsidRDefault="00FF5055" w:rsidP="0080283A">
            <w:pPr>
              <w:spacing w:after="0" w:line="240" w:lineRule="auto"/>
              <w:jc w:val="both"/>
              <w:rPr>
                <w:rFonts w:cs="Times New Roman"/>
                <w:bCs/>
                <w:color w:val="000000" w:themeColor="text1"/>
                <w:sz w:val="20"/>
              </w:rPr>
            </w:pPr>
            <w:r w:rsidRPr="00FF5055">
              <w:rPr>
                <w:rFonts w:cs="Times New Roman"/>
                <w:i/>
                <w:color w:val="000000" w:themeColor="text1"/>
                <w:sz w:val="22"/>
              </w:rPr>
              <w:t>Urgency; Fintech Act; pandemic; Hope and Reality.</w:t>
            </w:r>
          </w:p>
        </w:tc>
        <w:tc>
          <w:tcPr>
            <w:tcW w:w="236" w:type="dxa"/>
            <w:gridSpan w:val="2"/>
            <w:tcBorders>
              <w:top w:val="nil"/>
              <w:left w:val="nil"/>
              <w:bottom w:val="nil"/>
              <w:right w:val="nil"/>
            </w:tcBorders>
            <w:vAlign w:val="center"/>
          </w:tcPr>
          <w:p w14:paraId="4E284967" w14:textId="77777777" w:rsidR="0080283A" w:rsidRDefault="0080283A" w:rsidP="0080283A">
            <w:pPr>
              <w:spacing w:after="0"/>
              <w:jc w:val="both"/>
              <w:rPr>
                <w:rFonts w:cs="Times New Roman"/>
                <w:bCs/>
                <w:color w:val="000000" w:themeColor="text1"/>
                <w:sz w:val="20"/>
              </w:rPr>
            </w:pPr>
          </w:p>
        </w:tc>
        <w:tc>
          <w:tcPr>
            <w:tcW w:w="5483" w:type="dxa"/>
            <w:gridSpan w:val="3"/>
            <w:tcBorders>
              <w:left w:val="nil"/>
              <w:bottom w:val="single" w:sz="4" w:space="0" w:color="auto"/>
              <w:right w:val="nil"/>
            </w:tcBorders>
          </w:tcPr>
          <w:p w14:paraId="7A94C87C" w14:textId="486A3ED4" w:rsidR="0080283A" w:rsidRPr="00FF5055" w:rsidRDefault="00FF5055" w:rsidP="00A2373D">
            <w:pPr>
              <w:spacing w:after="0"/>
              <w:ind w:left="-115" w:right="-61"/>
              <w:jc w:val="both"/>
              <w:rPr>
                <w:rFonts w:cs="Times New Roman"/>
                <w:bCs/>
                <w:color w:val="000000" w:themeColor="text1"/>
                <w:sz w:val="20"/>
                <w:lang w:val="en-US"/>
              </w:rPr>
            </w:pPr>
            <w:r w:rsidRPr="00FF5055">
              <w:rPr>
                <w:rFonts w:cs="Times New Roman"/>
                <w:i/>
                <w:sz w:val="22"/>
              </w:rPr>
              <w:t>This study aims to describe the importance of establishing the Peer to Peer Lending Fintech Act amidst the PSBB (Large-Scale Social Restrictions) restriction policy in the Covid-19 era. This article also explains the development of the fintech industry in Indonesia, especially during the Pandemic, where the fintech industry experienced significant development so that this is an idea to provide a clear legal framework for the fintech industry. The research method used is normative juridical using library data and observations of fintech developments through internet media. It was found that so far, fintech in Indonesia has used regulations contained in the POJK and PBI as the basis for implementing fintech, although it is felt that the regulations issued by POJK and PBI have not been able to provide maximum legal protection for the implementation of the fintech industry. so it is necessary to establish a law in order to provide legal protection for the development of the fintech industry now and in the future</w:t>
            </w:r>
            <w:r>
              <w:rPr>
                <w:rFonts w:cs="Times New Roman"/>
                <w:i/>
                <w:sz w:val="22"/>
                <w:lang w:val="en-US"/>
              </w:rPr>
              <w:t>.</w:t>
            </w:r>
          </w:p>
        </w:tc>
      </w:tr>
      <w:tr w:rsidR="0080283A" w14:paraId="4FFD9083" w14:textId="77777777" w:rsidTr="00CF6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tcPr>
          <w:p w14:paraId="73015F2F" w14:textId="77777777" w:rsidR="0080283A" w:rsidRDefault="0080283A" w:rsidP="0080283A">
            <w:pPr>
              <w:spacing w:after="0"/>
              <w:jc w:val="center"/>
              <w:rPr>
                <w:rFonts w:cs="Times New Roman"/>
                <w:bCs/>
                <w:color w:val="000000" w:themeColor="text1"/>
                <w:sz w:val="20"/>
              </w:rPr>
            </w:pPr>
          </w:p>
        </w:tc>
        <w:tc>
          <w:tcPr>
            <w:tcW w:w="236" w:type="dxa"/>
            <w:gridSpan w:val="2"/>
            <w:tcBorders>
              <w:top w:val="nil"/>
              <w:left w:val="nil"/>
              <w:bottom w:val="nil"/>
              <w:right w:val="nil"/>
            </w:tcBorders>
          </w:tcPr>
          <w:p w14:paraId="16AD9326" w14:textId="77777777" w:rsidR="0080283A" w:rsidRDefault="0080283A" w:rsidP="0080283A">
            <w:pPr>
              <w:spacing w:after="0"/>
              <w:jc w:val="center"/>
              <w:rPr>
                <w:rFonts w:cs="Times New Roman"/>
                <w:bCs/>
                <w:color w:val="000000" w:themeColor="text1"/>
                <w:sz w:val="20"/>
              </w:rPr>
            </w:pPr>
          </w:p>
        </w:tc>
        <w:tc>
          <w:tcPr>
            <w:tcW w:w="5483" w:type="dxa"/>
            <w:gridSpan w:val="3"/>
            <w:tcBorders>
              <w:left w:val="nil"/>
              <w:bottom w:val="single" w:sz="4" w:space="0" w:color="auto"/>
              <w:right w:val="nil"/>
            </w:tcBorders>
            <w:shd w:val="clear" w:color="auto" w:fill="DEEAF6" w:themeFill="accent1" w:themeFillTint="33"/>
          </w:tcPr>
          <w:p w14:paraId="1BF2E310" w14:textId="77777777" w:rsidR="0080283A" w:rsidRPr="0080283A" w:rsidRDefault="0080283A" w:rsidP="0080283A">
            <w:pPr>
              <w:spacing w:after="0"/>
              <w:jc w:val="both"/>
              <w:rPr>
                <w:rFonts w:cs="Times New Roman"/>
                <w:b/>
                <w:bCs/>
                <w:iCs/>
                <w:color w:val="000000"/>
                <w:szCs w:val="24"/>
              </w:rPr>
            </w:pPr>
            <w:r w:rsidRPr="00DB38A4">
              <w:rPr>
                <w:rFonts w:cs="Times New Roman"/>
                <w:b/>
                <w:bCs/>
                <w:iCs/>
                <w:color w:val="000000"/>
                <w:sz w:val="22"/>
                <w:szCs w:val="24"/>
              </w:rPr>
              <w:t>Abstrak</w:t>
            </w:r>
          </w:p>
        </w:tc>
      </w:tr>
      <w:tr w:rsidR="0080283A" w:rsidRPr="003C05E3" w14:paraId="1DAA44C4" w14:textId="77777777" w:rsidTr="00CF6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vAlign w:val="center"/>
          </w:tcPr>
          <w:p w14:paraId="4D9DD82B" w14:textId="77777777" w:rsidR="0080283A" w:rsidRPr="00DB38A4" w:rsidRDefault="0080283A" w:rsidP="00CD1961">
            <w:pPr>
              <w:spacing w:after="0"/>
              <w:jc w:val="both"/>
              <w:rPr>
                <w:rFonts w:cs="Times New Roman"/>
                <w:b/>
                <w:i/>
                <w:color w:val="000000" w:themeColor="text1"/>
                <w:sz w:val="22"/>
              </w:rPr>
            </w:pPr>
            <w:r w:rsidRPr="00DB38A4">
              <w:rPr>
                <w:rFonts w:cs="Times New Roman"/>
                <w:b/>
                <w:i/>
                <w:iCs/>
                <w:color w:val="000000" w:themeColor="text1"/>
                <w:sz w:val="22"/>
              </w:rPr>
              <w:t>Kata Kunci</w:t>
            </w:r>
            <w:r w:rsidRPr="00DB38A4">
              <w:rPr>
                <w:rFonts w:cs="Times New Roman"/>
                <w:b/>
                <w:i/>
                <w:color w:val="000000" w:themeColor="text1"/>
                <w:sz w:val="22"/>
              </w:rPr>
              <w:t>:</w:t>
            </w:r>
          </w:p>
          <w:p w14:paraId="2F305410" w14:textId="77777777" w:rsidR="003C05E3" w:rsidRPr="003C05E3" w:rsidRDefault="003C05E3" w:rsidP="003C05E3">
            <w:pPr>
              <w:spacing w:after="0" w:line="240" w:lineRule="auto"/>
              <w:jc w:val="both"/>
              <w:rPr>
                <w:rFonts w:cs="Times New Roman"/>
                <w:i/>
                <w:sz w:val="22"/>
              </w:rPr>
            </w:pPr>
            <w:r w:rsidRPr="003C05E3">
              <w:rPr>
                <w:rFonts w:cs="Times New Roman"/>
                <w:i/>
                <w:sz w:val="22"/>
              </w:rPr>
              <w:t>Urgensi; UU Fintech; Pandemic; Harapan dan Realita.</w:t>
            </w:r>
          </w:p>
          <w:p w14:paraId="6DBDCDA7" w14:textId="77777777" w:rsidR="0080283A" w:rsidRDefault="0080283A" w:rsidP="0080283A">
            <w:pPr>
              <w:spacing w:after="0"/>
              <w:jc w:val="both"/>
              <w:rPr>
                <w:rFonts w:cs="Times New Roman"/>
                <w:bCs/>
                <w:color w:val="000000" w:themeColor="text1"/>
                <w:sz w:val="22"/>
              </w:rPr>
            </w:pPr>
          </w:p>
          <w:p w14:paraId="25876739" w14:textId="77777777" w:rsidR="003E74B3" w:rsidRDefault="003E74B3" w:rsidP="0080283A">
            <w:pPr>
              <w:spacing w:after="0"/>
              <w:jc w:val="both"/>
              <w:rPr>
                <w:rFonts w:cs="Times New Roman"/>
                <w:bCs/>
                <w:color w:val="000000" w:themeColor="text1"/>
                <w:sz w:val="22"/>
                <w:lang w:val="en-US"/>
              </w:rPr>
            </w:pPr>
            <w:r>
              <w:rPr>
                <w:rFonts w:cs="Times New Roman"/>
                <w:bCs/>
                <w:color w:val="000000" w:themeColor="text1"/>
                <w:sz w:val="22"/>
                <w:lang w:val="en-US"/>
              </w:rPr>
              <w:t xml:space="preserve"> </w:t>
            </w:r>
          </w:p>
          <w:p w14:paraId="568FAA61" w14:textId="77777777" w:rsidR="003E74B3" w:rsidRPr="003E74B3" w:rsidRDefault="003E74B3" w:rsidP="0080283A">
            <w:pPr>
              <w:spacing w:after="0"/>
              <w:jc w:val="both"/>
              <w:rPr>
                <w:rFonts w:cs="Times New Roman"/>
                <w:bCs/>
                <w:color w:val="000000" w:themeColor="text1"/>
                <w:sz w:val="22"/>
                <w:lang w:val="en-US"/>
              </w:rPr>
            </w:pPr>
          </w:p>
        </w:tc>
        <w:tc>
          <w:tcPr>
            <w:tcW w:w="236" w:type="dxa"/>
            <w:gridSpan w:val="2"/>
            <w:tcBorders>
              <w:top w:val="nil"/>
              <w:left w:val="nil"/>
              <w:bottom w:val="nil"/>
              <w:right w:val="nil"/>
            </w:tcBorders>
          </w:tcPr>
          <w:p w14:paraId="60883FAD" w14:textId="77777777" w:rsidR="0080283A" w:rsidRDefault="0080283A" w:rsidP="0080283A">
            <w:pPr>
              <w:spacing w:after="0"/>
              <w:jc w:val="center"/>
              <w:rPr>
                <w:rFonts w:cs="Times New Roman"/>
                <w:bCs/>
                <w:color w:val="000000" w:themeColor="text1"/>
                <w:sz w:val="20"/>
              </w:rPr>
            </w:pPr>
          </w:p>
        </w:tc>
        <w:tc>
          <w:tcPr>
            <w:tcW w:w="5483" w:type="dxa"/>
            <w:gridSpan w:val="3"/>
            <w:vMerge w:val="restart"/>
            <w:tcBorders>
              <w:left w:val="nil"/>
              <w:right w:val="nil"/>
            </w:tcBorders>
          </w:tcPr>
          <w:p w14:paraId="65FFB406" w14:textId="19927442" w:rsidR="00BF264E" w:rsidRPr="003C05E3" w:rsidRDefault="003C05E3" w:rsidP="003C05E3">
            <w:pPr>
              <w:spacing w:after="0"/>
              <w:jc w:val="both"/>
              <w:rPr>
                <w:rFonts w:cs="Times New Roman"/>
                <w:sz w:val="22"/>
                <w:lang w:val="en-US"/>
              </w:rPr>
            </w:pPr>
            <w:r w:rsidRPr="003C05E3">
              <w:rPr>
                <w:rFonts w:cs="Times New Roman"/>
                <w:sz w:val="22"/>
              </w:rPr>
              <w:t xml:space="preserve">Penelitian ini bertujuan untuk menguraikan pentingnya pembentukan Undang-Undang </w:t>
            </w:r>
            <w:r w:rsidRPr="003C05E3">
              <w:rPr>
                <w:rFonts w:cs="Times New Roman"/>
                <w:i/>
                <w:sz w:val="22"/>
              </w:rPr>
              <w:t>fintech</w:t>
            </w:r>
            <w:r w:rsidRPr="003C05E3">
              <w:rPr>
                <w:rFonts w:cs="Times New Roman"/>
                <w:sz w:val="22"/>
              </w:rPr>
              <w:t xml:space="preserve"> </w:t>
            </w:r>
            <w:r w:rsidRPr="003C05E3">
              <w:rPr>
                <w:rFonts w:cs="Times New Roman"/>
                <w:i/>
                <w:sz w:val="22"/>
              </w:rPr>
              <w:t>Peer</w:t>
            </w:r>
            <w:r w:rsidRPr="003C05E3">
              <w:rPr>
                <w:rFonts w:cs="Times New Roman"/>
                <w:sz w:val="22"/>
              </w:rPr>
              <w:t xml:space="preserve"> </w:t>
            </w:r>
            <w:r w:rsidRPr="003C05E3">
              <w:rPr>
                <w:rFonts w:cs="Times New Roman"/>
                <w:i/>
                <w:sz w:val="22"/>
              </w:rPr>
              <w:t>to Peer Lending</w:t>
            </w:r>
            <w:r w:rsidRPr="003C05E3">
              <w:rPr>
                <w:rFonts w:cs="Times New Roman"/>
                <w:sz w:val="22"/>
              </w:rPr>
              <w:t xml:space="preserve"> ditengah kebijakan pembatasan PSBB (Pembatasan Sosial Berskala Besar) diera Covid-19. Artikel ini juga menjelaskan perkembangan industry </w:t>
            </w:r>
            <w:r w:rsidRPr="003C05E3">
              <w:rPr>
                <w:rFonts w:cs="Times New Roman"/>
                <w:i/>
                <w:sz w:val="22"/>
              </w:rPr>
              <w:t xml:space="preserve">fintech </w:t>
            </w:r>
            <w:r w:rsidRPr="003C05E3">
              <w:rPr>
                <w:rFonts w:cs="Times New Roman"/>
                <w:sz w:val="22"/>
              </w:rPr>
              <w:t xml:space="preserve">di Indonesia terutama saat terjadinya Pandemic, dimana industri </w:t>
            </w:r>
            <w:r w:rsidRPr="003C05E3">
              <w:rPr>
                <w:rFonts w:cs="Times New Roman"/>
                <w:i/>
                <w:sz w:val="22"/>
              </w:rPr>
              <w:t>fintech</w:t>
            </w:r>
            <w:r w:rsidRPr="003C05E3">
              <w:rPr>
                <w:rFonts w:cs="Times New Roman"/>
                <w:sz w:val="22"/>
              </w:rPr>
              <w:t xml:space="preserve"> mengalami perkembangan yang cukup signifikan sehingga ini suatu pemikiran untuk memberikan suatu kerangka hukum yang jelas terhadap industri </w:t>
            </w:r>
            <w:r w:rsidRPr="003C05E3">
              <w:rPr>
                <w:rFonts w:cs="Times New Roman"/>
                <w:i/>
                <w:sz w:val="22"/>
              </w:rPr>
              <w:t xml:space="preserve">fintech. </w:t>
            </w:r>
            <w:r w:rsidRPr="003C05E3">
              <w:rPr>
                <w:rFonts w:cs="Times New Roman"/>
                <w:sz w:val="22"/>
              </w:rPr>
              <w:t xml:space="preserve">Metode penelitian yang digunakan adalah Yuridis Normatif dengan menggunakan data-data kepustakaan dan observasi perkembangan </w:t>
            </w:r>
            <w:r w:rsidRPr="003C05E3">
              <w:rPr>
                <w:rFonts w:cs="Times New Roman"/>
                <w:i/>
                <w:sz w:val="22"/>
              </w:rPr>
              <w:t>fintech</w:t>
            </w:r>
            <w:r w:rsidRPr="003C05E3">
              <w:rPr>
                <w:rFonts w:cs="Times New Roman"/>
                <w:sz w:val="22"/>
              </w:rPr>
              <w:t xml:space="preserve"> melalui </w:t>
            </w:r>
            <w:r w:rsidRPr="003C05E3">
              <w:rPr>
                <w:rFonts w:cs="Times New Roman"/>
                <w:sz w:val="22"/>
              </w:rPr>
              <w:lastRenderedPageBreak/>
              <w:t xml:space="preserve">media internet. Ditemukan bahwa selama ini </w:t>
            </w:r>
            <w:r w:rsidRPr="003C05E3">
              <w:rPr>
                <w:rFonts w:cs="Times New Roman"/>
                <w:i/>
                <w:sz w:val="22"/>
              </w:rPr>
              <w:t>fintech</w:t>
            </w:r>
            <w:r w:rsidRPr="003C05E3">
              <w:rPr>
                <w:rFonts w:cs="Times New Roman"/>
                <w:sz w:val="22"/>
              </w:rPr>
              <w:t xml:space="preserve"> di Indonesia menggunakan regulasi yang berada didalam POJK dan PBI sebagai dasar pemberlakuan </w:t>
            </w:r>
            <w:r w:rsidRPr="003C05E3">
              <w:rPr>
                <w:rFonts w:cs="Times New Roman"/>
                <w:i/>
                <w:sz w:val="22"/>
              </w:rPr>
              <w:t xml:space="preserve">fintech, </w:t>
            </w:r>
            <w:r w:rsidRPr="003C05E3">
              <w:rPr>
                <w:rFonts w:cs="Times New Roman"/>
                <w:sz w:val="22"/>
              </w:rPr>
              <w:t xml:space="preserve">meskipun dirasa regulasi  yang di keluarkan Oleh POJK dan PBI ini belum dapat memberikan perlindungan hukum yang maksimal terhadap pelaksanaan industri </w:t>
            </w:r>
            <w:r w:rsidRPr="003C05E3">
              <w:rPr>
                <w:rFonts w:cs="Times New Roman"/>
                <w:i/>
                <w:sz w:val="22"/>
              </w:rPr>
              <w:t xml:space="preserve">fintech. </w:t>
            </w:r>
            <w:r w:rsidRPr="003C05E3">
              <w:rPr>
                <w:rFonts w:cs="Times New Roman"/>
                <w:sz w:val="22"/>
              </w:rPr>
              <w:t xml:space="preserve">sehingga perlu kiranya pembentukan Undang-undang agar dapat memberikan perlindungan hukum terhadap perkembangan industry </w:t>
            </w:r>
            <w:r w:rsidRPr="003C05E3">
              <w:rPr>
                <w:rFonts w:cs="Times New Roman"/>
                <w:i/>
                <w:sz w:val="22"/>
              </w:rPr>
              <w:t xml:space="preserve">fintech </w:t>
            </w:r>
            <w:r w:rsidRPr="003C05E3">
              <w:rPr>
                <w:rFonts w:cs="Times New Roman"/>
                <w:sz w:val="22"/>
              </w:rPr>
              <w:t>kini dan akan datang.</w:t>
            </w:r>
          </w:p>
        </w:tc>
      </w:tr>
      <w:tr w:rsidR="0080283A" w:rsidRPr="003C05E3" w14:paraId="0A000A20" w14:textId="77777777" w:rsidTr="00CF6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single" w:sz="4" w:space="0" w:color="auto"/>
              <w:right w:val="nil"/>
            </w:tcBorders>
            <w:shd w:val="clear" w:color="auto" w:fill="BDD6EE" w:themeFill="accent1" w:themeFillTint="66"/>
            <w:vAlign w:val="center"/>
          </w:tcPr>
          <w:p w14:paraId="281CCCFA" w14:textId="77777777" w:rsidR="0080283A" w:rsidRPr="00DB38A4" w:rsidRDefault="0080283A" w:rsidP="00DB38A4">
            <w:pPr>
              <w:spacing w:after="0" w:line="240" w:lineRule="auto"/>
              <w:jc w:val="both"/>
              <w:rPr>
                <w:rFonts w:cs="Times New Roman"/>
                <w:b/>
                <w:bCs/>
                <w:i/>
                <w:iCs/>
                <w:color w:val="000000" w:themeColor="text1"/>
                <w:sz w:val="22"/>
              </w:rPr>
            </w:pPr>
            <w:r w:rsidRPr="00DB38A4">
              <w:rPr>
                <w:rFonts w:cs="Times New Roman"/>
                <w:b/>
                <w:bCs/>
                <w:i/>
                <w:iCs/>
                <w:color w:val="000000" w:themeColor="text1"/>
                <w:sz w:val="22"/>
              </w:rPr>
              <w:t>DOI:</w:t>
            </w:r>
          </w:p>
          <w:p w14:paraId="73F04804" w14:textId="77777777" w:rsidR="008978C9" w:rsidRPr="00435093" w:rsidRDefault="00241083" w:rsidP="00435093">
            <w:pPr>
              <w:spacing w:after="0" w:line="360" w:lineRule="auto"/>
              <w:jc w:val="both"/>
              <w:rPr>
                <w:rFonts w:cs="Times New Roman"/>
                <w:color w:val="000000" w:themeColor="text1"/>
                <w:sz w:val="22"/>
                <w:lang w:val="en-US"/>
              </w:rPr>
            </w:pPr>
            <w:r w:rsidRPr="00241083">
              <w:rPr>
                <w:rFonts w:cs="Times New Roman"/>
                <w:color w:val="000000" w:themeColor="text1"/>
                <w:sz w:val="22"/>
                <w:lang w:eastAsia="ko-KR"/>
              </w:rPr>
              <w:t>10</w:t>
            </w:r>
            <w:r w:rsidRPr="00241083">
              <w:rPr>
                <w:rFonts w:cs="Times New Roman"/>
                <w:color w:val="000000" w:themeColor="text1"/>
                <w:sz w:val="22"/>
                <w:lang w:val="en-US" w:eastAsia="ko-KR"/>
              </w:rPr>
              <w:t>.47268/</w:t>
            </w:r>
            <w:proofErr w:type="spellStart"/>
            <w:r w:rsidRPr="00241083">
              <w:rPr>
                <w:rFonts w:cs="Times New Roman"/>
                <w:color w:val="000000" w:themeColor="text1"/>
                <w:sz w:val="22"/>
                <w:lang w:val="en-US" w:eastAsia="ko-KR"/>
              </w:rPr>
              <w:t>sasi</w:t>
            </w:r>
            <w:proofErr w:type="spellEnd"/>
            <w:r>
              <w:rPr>
                <w:rFonts w:cs="Times New Roman"/>
                <w:color w:val="000000" w:themeColor="text1"/>
                <w:sz w:val="22"/>
                <w:lang w:val="en-US" w:eastAsia="ko-KR"/>
              </w:rPr>
              <w:t>…</w:t>
            </w:r>
          </w:p>
          <w:p w14:paraId="6407C04E" w14:textId="77777777" w:rsidR="003E74B3" w:rsidRPr="008953F1" w:rsidRDefault="003E74B3" w:rsidP="008953F1">
            <w:pPr>
              <w:spacing w:after="0" w:line="240" w:lineRule="auto"/>
              <w:ind w:firstLine="1242"/>
              <w:jc w:val="both"/>
              <w:rPr>
                <w:rFonts w:cs="Times New Roman"/>
                <w:color w:val="000000" w:themeColor="text1"/>
                <w:sz w:val="20"/>
              </w:rPr>
            </w:pPr>
          </w:p>
        </w:tc>
        <w:tc>
          <w:tcPr>
            <w:tcW w:w="236" w:type="dxa"/>
            <w:gridSpan w:val="2"/>
            <w:tcBorders>
              <w:top w:val="nil"/>
              <w:left w:val="nil"/>
              <w:bottom w:val="nil"/>
              <w:right w:val="nil"/>
            </w:tcBorders>
          </w:tcPr>
          <w:p w14:paraId="18695E1C" w14:textId="77777777" w:rsidR="0080283A" w:rsidRDefault="0080283A" w:rsidP="0080283A">
            <w:pPr>
              <w:spacing w:after="0"/>
              <w:jc w:val="center"/>
              <w:rPr>
                <w:rFonts w:cs="Times New Roman"/>
                <w:bCs/>
                <w:color w:val="000000" w:themeColor="text1"/>
                <w:sz w:val="20"/>
              </w:rPr>
            </w:pPr>
          </w:p>
        </w:tc>
        <w:tc>
          <w:tcPr>
            <w:tcW w:w="5483" w:type="dxa"/>
            <w:gridSpan w:val="3"/>
            <w:vMerge/>
            <w:tcBorders>
              <w:left w:val="nil"/>
              <w:right w:val="nil"/>
            </w:tcBorders>
          </w:tcPr>
          <w:p w14:paraId="1D4C0F9F" w14:textId="77777777" w:rsidR="0080283A" w:rsidRPr="003C05E3" w:rsidRDefault="0080283A" w:rsidP="0080283A">
            <w:pPr>
              <w:spacing w:after="0"/>
              <w:jc w:val="center"/>
              <w:rPr>
                <w:rFonts w:cs="Times New Roman"/>
                <w:bCs/>
                <w:color w:val="000000" w:themeColor="text1"/>
                <w:sz w:val="22"/>
              </w:rPr>
            </w:pPr>
          </w:p>
        </w:tc>
      </w:tr>
    </w:tbl>
    <w:p w14:paraId="36A3BB1C" w14:textId="77777777" w:rsidR="00CF6381" w:rsidRDefault="00CF6381" w:rsidP="00DC7FCE">
      <w:pPr>
        <w:spacing w:after="0"/>
        <w:jc w:val="center"/>
        <w:rPr>
          <w:rFonts w:cs="Times New Roman"/>
          <w:bCs/>
          <w:color w:val="000000" w:themeColor="text1"/>
          <w:sz w:val="20"/>
        </w:rPr>
      </w:pPr>
    </w:p>
    <w:p w14:paraId="58F8FF3D" w14:textId="77777777" w:rsidR="00FF5055" w:rsidRDefault="00FF5055" w:rsidP="00DC7FCE">
      <w:pPr>
        <w:spacing w:after="0"/>
        <w:jc w:val="center"/>
        <w:rPr>
          <w:rFonts w:cs="Times New Roman"/>
          <w:bCs/>
          <w:color w:val="000000" w:themeColor="text1"/>
          <w:sz w:val="20"/>
        </w:rPr>
      </w:pPr>
    </w:p>
    <w:p w14:paraId="10F544F3" w14:textId="77777777" w:rsidR="003C05E3" w:rsidRDefault="00E13DB4" w:rsidP="003C05E3">
      <w:pPr>
        <w:pStyle w:val="ListParagraph1"/>
        <w:numPr>
          <w:ilvl w:val="0"/>
          <w:numId w:val="1"/>
        </w:numPr>
        <w:tabs>
          <w:tab w:val="left" w:pos="426"/>
        </w:tabs>
        <w:spacing w:after="0" w:line="360" w:lineRule="auto"/>
        <w:ind w:left="426" w:hanging="426"/>
        <w:jc w:val="both"/>
        <w:rPr>
          <w:b/>
          <w:bCs/>
          <w:color w:val="1F4E79" w:themeColor="accent1" w:themeShade="80"/>
        </w:rPr>
      </w:pPr>
      <w:r w:rsidRPr="00E13DB4">
        <w:rPr>
          <w:b/>
          <w:bCs/>
          <w:color w:val="1F4E79" w:themeColor="accent1" w:themeShade="80"/>
        </w:rPr>
        <w:t>PENDAHULUAN</w:t>
      </w:r>
    </w:p>
    <w:p w14:paraId="0754D468" w14:textId="77777777" w:rsidR="003C05E3" w:rsidRDefault="003C05E3" w:rsidP="003C05E3">
      <w:pPr>
        <w:pStyle w:val="ListParagraph1"/>
        <w:tabs>
          <w:tab w:val="left" w:pos="426"/>
        </w:tabs>
        <w:spacing w:after="0" w:line="240" w:lineRule="auto"/>
        <w:ind w:left="0" w:firstLine="720"/>
        <w:jc w:val="both"/>
        <w:rPr>
          <w:rFonts w:cs="Times New Roman"/>
          <w:szCs w:val="24"/>
        </w:rPr>
      </w:pPr>
      <w:r w:rsidRPr="003C05E3">
        <w:rPr>
          <w:rFonts w:cs="Times New Roman"/>
          <w:szCs w:val="24"/>
          <w:lang w:val="id-ID"/>
        </w:rPr>
        <w:t xml:space="preserve">Pandemic </w:t>
      </w:r>
      <w:r w:rsidRPr="003C05E3">
        <w:rPr>
          <w:rFonts w:cs="Times New Roman"/>
          <w:i/>
          <w:szCs w:val="24"/>
          <w:lang w:val="id-ID"/>
        </w:rPr>
        <w:t>Covid</w:t>
      </w:r>
      <w:r w:rsidRPr="003C05E3">
        <w:rPr>
          <w:rFonts w:cs="Times New Roman"/>
          <w:szCs w:val="24"/>
          <w:lang w:val="id-ID"/>
        </w:rPr>
        <w:t>-19 menjadi masalah bagi seluruh Negara di dunia.</w:t>
      </w:r>
      <w:r w:rsidRPr="00EA5BEA">
        <w:rPr>
          <w:rStyle w:val="FootnoteReference"/>
          <w:rFonts w:cs="Times New Roman"/>
          <w:szCs w:val="24"/>
          <w:lang w:val="id-ID"/>
        </w:rPr>
        <w:footnoteReference w:id="1"/>
      </w:r>
      <w:r w:rsidRPr="003C05E3">
        <w:rPr>
          <w:rFonts w:cs="Times New Roman"/>
          <w:szCs w:val="24"/>
          <w:lang w:val="id-ID"/>
        </w:rPr>
        <w:t xml:space="preserve"> Kondisi ini juga mendorong pemerintah Indonesia pada tanggal 31 Maret 2020 tahun lalu menetapkan Indonesia dalam Kedaruratan Kesehatan masyarakat terkait Pandemic </w:t>
      </w:r>
      <w:r w:rsidRPr="003C05E3">
        <w:rPr>
          <w:rFonts w:cs="Times New Roman"/>
          <w:i/>
          <w:szCs w:val="24"/>
          <w:lang w:val="id-ID"/>
        </w:rPr>
        <w:t>Covid</w:t>
      </w:r>
      <w:r w:rsidRPr="003C05E3">
        <w:rPr>
          <w:rFonts w:cs="Times New Roman"/>
          <w:szCs w:val="24"/>
          <w:lang w:val="id-ID"/>
        </w:rPr>
        <w:t>- 19 dan kemudian menerbitkan kebijakan Pembatasan Sosial Berskala Besar (PSBB),</w:t>
      </w:r>
      <w:r w:rsidRPr="00EA5BEA">
        <w:rPr>
          <w:rStyle w:val="FootnoteReference"/>
          <w:rFonts w:cs="Times New Roman"/>
          <w:szCs w:val="24"/>
          <w:lang w:val="id-ID"/>
        </w:rPr>
        <w:footnoteReference w:id="2"/>
      </w:r>
      <w:r w:rsidRPr="003C05E3">
        <w:rPr>
          <w:rFonts w:cs="Times New Roman"/>
          <w:szCs w:val="24"/>
          <w:lang w:val="id-ID"/>
        </w:rPr>
        <w:t xml:space="preserve"> sampai dengan tahun 2021 ini. Hal ini didasarkan karena Wabah </w:t>
      </w:r>
      <w:r w:rsidRPr="003C05E3">
        <w:rPr>
          <w:rFonts w:cs="Times New Roman"/>
          <w:i/>
          <w:szCs w:val="24"/>
          <w:lang w:val="id-ID"/>
        </w:rPr>
        <w:t xml:space="preserve">Corona Virus Disease (Covis-19) </w:t>
      </w:r>
      <w:r w:rsidRPr="003C05E3">
        <w:rPr>
          <w:rFonts w:cs="Times New Roman"/>
          <w:szCs w:val="24"/>
          <w:lang w:val="id-ID"/>
        </w:rPr>
        <w:t xml:space="preserve">menjadi problem secara global. Organisasi </w:t>
      </w:r>
      <w:r w:rsidRPr="003C05E3">
        <w:rPr>
          <w:rFonts w:cs="Times New Roman"/>
          <w:i/>
          <w:szCs w:val="24"/>
          <w:lang w:val="id-ID"/>
        </w:rPr>
        <w:t xml:space="preserve">Word Health Organization </w:t>
      </w:r>
      <w:r w:rsidRPr="003C05E3">
        <w:rPr>
          <w:rFonts w:cs="Times New Roman"/>
          <w:szCs w:val="24"/>
          <w:lang w:val="id-ID"/>
        </w:rPr>
        <w:t>(WHO) mencatat dari 196 Negara di Dunia, sebanyak 1.696.588 kasus terkonfirmasi positif Covid-19, dan dari jumlah tersebut sebanyak 105.952 dilaporkan meninggal dunia berdasarkan data tahun 2020.</w:t>
      </w:r>
      <w:r w:rsidRPr="00EA5BEA">
        <w:rPr>
          <w:rStyle w:val="FootnoteReference"/>
          <w:rFonts w:cs="Times New Roman"/>
          <w:szCs w:val="24"/>
          <w:lang w:val="id-ID"/>
        </w:rPr>
        <w:footnoteReference w:id="3"/>
      </w:r>
      <w:r w:rsidRPr="003C05E3">
        <w:rPr>
          <w:rFonts w:cs="Times New Roman"/>
          <w:szCs w:val="24"/>
          <w:lang w:val="id-ID"/>
        </w:rPr>
        <w:t xml:space="preserve"> Sedangkan perkembangan Pandemic </w:t>
      </w:r>
      <w:r w:rsidRPr="003C05E3">
        <w:rPr>
          <w:rFonts w:cs="Times New Roman"/>
          <w:i/>
          <w:szCs w:val="24"/>
          <w:lang w:val="id-ID"/>
        </w:rPr>
        <w:t>Covid</w:t>
      </w:r>
      <w:r w:rsidRPr="003C05E3">
        <w:rPr>
          <w:rFonts w:cs="Times New Roman"/>
          <w:szCs w:val="24"/>
          <w:lang w:val="id-ID"/>
        </w:rPr>
        <w:t xml:space="preserve">-19 per 15 Maret tahun 2021, secara Global, sebanyak 103 Negara di dunia dan terkonfirmasi sebanyak 83.626.585 kasus terkonfirmasi positif  </w:t>
      </w:r>
      <w:r w:rsidRPr="003C05E3">
        <w:rPr>
          <w:rFonts w:cs="Times New Roman"/>
          <w:i/>
          <w:szCs w:val="24"/>
          <w:lang w:val="id-ID"/>
        </w:rPr>
        <w:t>Covid</w:t>
      </w:r>
      <w:r w:rsidRPr="003C05E3">
        <w:rPr>
          <w:rFonts w:cs="Times New Roman"/>
          <w:szCs w:val="24"/>
          <w:lang w:val="id-ID"/>
        </w:rPr>
        <w:t xml:space="preserve">-19 dan dari jumlah tersebut sebanyak 2.094.136 dilaporkan meninggal dunia. Sedangkan di Indonesia sendiri tercatat 1.927.708. yang terkonfirmasi positif </w:t>
      </w:r>
      <w:r w:rsidRPr="003C05E3">
        <w:rPr>
          <w:rFonts w:cs="Times New Roman"/>
          <w:i/>
          <w:szCs w:val="24"/>
          <w:lang w:val="id-ID"/>
        </w:rPr>
        <w:t>Covid</w:t>
      </w:r>
      <w:r w:rsidRPr="003C05E3">
        <w:rPr>
          <w:rFonts w:cs="Times New Roman"/>
          <w:szCs w:val="24"/>
          <w:lang w:val="id-ID"/>
        </w:rPr>
        <w:t xml:space="preserve"> -19 dan dari jumlah tersebut sebanyak 53.280 dilaporkan meninggal dunia.</w:t>
      </w:r>
      <w:r w:rsidRPr="00EA5BEA">
        <w:rPr>
          <w:rStyle w:val="FootnoteReference"/>
          <w:rFonts w:cs="Times New Roman"/>
          <w:szCs w:val="24"/>
          <w:lang w:val="id-ID"/>
        </w:rPr>
        <w:footnoteReference w:id="4"/>
      </w:r>
      <w:r w:rsidRPr="003C05E3">
        <w:rPr>
          <w:rFonts w:cs="Times New Roman"/>
          <w:szCs w:val="24"/>
          <w:lang w:val="id-ID"/>
        </w:rPr>
        <w:t xml:space="preserve"> Kondisi ini walaupun ada penurunan dari tahun 2020 sampai dengan tahun 2021 penyebaran dan tingkat kematian akibat </w:t>
      </w:r>
      <w:r w:rsidRPr="003C05E3">
        <w:rPr>
          <w:rFonts w:cs="Times New Roman"/>
          <w:i/>
          <w:szCs w:val="24"/>
          <w:lang w:val="id-ID"/>
        </w:rPr>
        <w:t>Covid</w:t>
      </w:r>
      <w:r w:rsidRPr="003C05E3">
        <w:rPr>
          <w:rFonts w:cs="Times New Roman"/>
          <w:szCs w:val="24"/>
          <w:lang w:val="id-ID"/>
        </w:rPr>
        <w:t xml:space="preserve">-19 tidak menurun secara signifikan, kondisi ini membuat Negara-negara masih tetap tidak bisa beraktifitas secara normal dan masih menetapkan kebijakan PSBB termasuk Indonesia. Disamping itu juga Pandemic </w:t>
      </w:r>
      <w:r w:rsidRPr="003C05E3">
        <w:rPr>
          <w:rFonts w:cs="Times New Roman"/>
          <w:i/>
          <w:szCs w:val="24"/>
          <w:lang w:val="id-ID"/>
        </w:rPr>
        <w:t>Covid</w:t>
      </w:r>
      <w:r w:rsidRPr="003C05E3">
        <w:rPr>
          <w:rFonts w:cs="Times New Roman"/>
          <w:szCs w:val="24"/>
          <w:lang w:val="id-ID"/>
        </w:rPr>
        <w:t>-19 telah memberikan dampak cukup besar Bagi Perekonomian global dan perekonomian Indonesia.</w:t>
      </w:r>
      <w:r w:rsidRPr="00EA5BEA">
        <w:rPr>
          <w:rStyle w:val="FootnoteReference"/>
          <w:rFonts w:cs="Times New Roman"/>
          <w:szCs w:val="24"/>
          <w:lang w:val="id-ID"/>
        </w:rPr>
        <w:footnoteReference w:id="5"/>
      </w:r>
    </w:p>
    <w:p w14:paraId="0A2589E2" w14:textId="77777777" w:rsidR="003C05E3" w:rsidRDefault="003C05E3" w:rsidP="003C05E3">
      <w:pPr>
        <w:pStyle w:val="ListParagraph1"/>
        <w:tabs>
          <w:tab w:val="left" w:pos="426"/>
        </w:tabs>
        <w:spacing w:after="0" w:line="240" w:lineRule="auto"/>
        <w:ind w:left="0" w:firstLine="720"/>
        <w:jc w:val="both"/>
        <w:rPr>
          <w:rFonts w:cs="Times New Roman"/>
          <w:szCs w:val="24"/>
        </w:rPr>
      </w:pPr>
      <w:r w:rsidRPr="00EA5BEA">
        <w:rPr>
          <w:rFonts w:cs="Times New Roman"/>
          <w:szCs w:val="24"/>
          <w:lang w:val="id-ID"/>
        </w:rPr>
        <w:t>Akibat pandemic Covid-19 di Indonesia, pemerintah menerapkan suatu peraturan Pembatasan Sosial Berskala Besar (PSBB), hal ini sebagai suatu langkah  pencegahan terhadap penyebaran Pandemic Covid-19, namun kebijakan ini berdampak besar pada perekonomian masyarakat, dampak yang cukup signifikan adalah menurunya penghasilan masyarakat sehingga mengalami kesulitan dalam memenuhi kebutuhan sehari-hari.</w:t>
      </w:r>
      <w:r w:rsidRPr="00EA5BEA">
        <w:rPr>
          <w:rStyle w:val="FootnoteReference"/>
          <w:rFonts w:cs="Times New Roman"/>
          <w:szCs w:val="24"/>
          <w:lang w:val="id-ID"/>
        </w:rPr>
        <w:footnoteReference w:id="6"/>
      </w:r>
      <w:r w:rsidRPr="00EA5BEA">
        <w:rPr>
          <w:rFonts w:cs="Times New Roman"/>
          <w:szCs w:val="24"/>
          <w:lang w:val="id-ID"/>
        </w:rPr>
        <w:t xml:space="preserve"> Dengan demikian masyarakat mencari alternatif lain untuk mencukupi </w:t>
      </w:r>
      <w:r w:rsidRPr="00EA5BEA">
        <w:rPr>
          <w:rFonts w:cs="Times New Roman"/>
          <w:szCs w:val="24"/>
          <w:lang w:val="id-ID"/>
        </w:rPr>
        <w:lastRenderedPageBreak/>
        <w:t>kebutuhannya dengan melakukan peminjaman di financial teknologi (</w:t>
      </w:r>
      <w:r w:rsidRPr="00EA5BEA">
        <w:rPr>
          <w:rFonts w:cs="Times New Roman"/>
          <w:i/>
          <w:szCs w:val="24"/>
          <w:lang w:val="id-ID"/>
        </w:rPr>
        <w:t xml:space="preserve">Fintech) Peer To Peer lending. </w:t>
      </w:r>
      <w:r w:rsidRPr="00EA5BEA">
        <w:rPr>
          <w:rFonts w:cs="Times New Roman"/>
          <w:szCs w:val="24"/>
          <w:lang w:val="id-ID"/>
        </w:rPr>
        <w:t xml:space="preserve">Indonesia, setelah ditetapkannya sebagai bencana nasional, pemerintah melakukan upaya-upaya guna mengurangi penyebaran </w:t>
      </w:r>
      <w:r w:rsidRPr="00EA5BEA">
        <w:rPr>
          <w:rFonts w:cs="Times New Roman"/>
          <w:i/>
          <w:szCs w:val="24"/>
          <w:lang w:val="id-ID"/>
        </w:rPr>
        <w:t>Covid</w:t>
      </w:r>
      <w:r w:rsidRPr="00EA5BEA">
        <w:rPr>
          <w:rFonts w:cs="Times New Roman"/>
          <w:szCs w:val="24"/>
          <w:lang w:val="id-ID"/>
        </w:rPr>
        <w:t>-19 dengan kebijakan-kebijakan hukum, baik berupa Peraturan Pemerintah maupun berupa Surat Edaran, dampak yang dialami oleh masyarakat lebih kom</w:t>
      </w:r>
      <w:r>
        <w:rPr>
          <w:rFonts w:cs="Times New Roman"/>
          <w:szCs w:val="24"/>
          <w:lang w:val="id-ID"/>
        </w:rPr>
        <w:t>pleks dengan kebijakan tersebut</w:t>
      </w:r>
      <w:r>
        <w:rPr>
          <w:rFonts w:cs="Times New Roman"/>
          <w:szCs w:val="24"/>
        </w:rPr>
        <w:t>.</w:t>
      </w:r>
    </w:p>
    <w:p w14:paraId="16AB430D" w14:textId="5D275ED1" w:rsidR="003C05E3" w:rsidRPr="003C05E3" w:rsidRDefault="003C05E3" w:rsidP="003C05E3">
      <w:pPr>
        <w:pStyle w:val="ListParagraph1"/>
        <w:tabs>
          <w:tab w:val="left" w:pos="426"/>
        </w:tabs>
        <w:spacing w:after="0" w:line="240" w:lineRule="auto"/>
        <w:ind w:left="0" w:firstLine="720"/>
        <w:jc w:val="both"/>
        <w:rPr>
          <w:b/>
          <w:bCs/>
          <w:color w:val="1F4E79" w:themeColor="accent1" w:themeShade="80"/>
        </w:rPr>
      </w:pPr>
      <w:r w:rsidRPr="00EA5BEA">
        <w:rPr>
          <w:rFonts w:cs="Times New Roman"/>
          <w:szCs w:val="24"/>
          <w:lang w:val="id-ID"/>
        </w:rPr>
        <w:t xml:space="preserve">Sector-sektor yang terkena dampak meliputi sector ekonomi, Politik, pariwisata, dan lainnya. Kondisi diatas, yang berdampak sangat besar adalah disektor ekonomi. Di Indonesia kegiatan ekonomi yang marak dilakukan oleh masyarakat adalah pengajuan kredit. Pemberian kredit sendiri tidak hanya dilakukan pada sector perbankan tetapi juga dilakukan pada lembaga-lembaga pembiayaan, sebagaimana saat ini banyak diminati oleh masyarakat yaitu pinjaman berbasis </w:t>
      </w:r>
      <w:r w:rsidRPr="00EA5BEA">
        <w:rPr>
          <w:rFonts w:cs="Times New Roman"/>
          <w:i/>
          <w:szCs w:val="24"/>
          <w:lang w:val="id-ID"/>
        </w:rPr>
        <w:t>online.</w:t>
      </w:r>
    </w:p>
    <w:p w14:paraId="4337FA47" w14:textId="77777777" w:rsidR="003C05E3" w:rsidRPr="00EA5BEA" w:rsidRDefault="003C05E3" w:rsidP="003C05E3">
      <w:pPr>
        <w:spacing w:after="0" w:line="240" w:lineRule="auto"/>
        <w:ind w:firstLine="720"/>
        <w:jc w:val="both"/>
        <w:rPr>
          <w:rFonts w:cs="Times New Roman"/>
          <w:i/>
          <w:szCs w:val="24"/>
          <w:lang w:val="id-ID"/>
        </w:rPr>
      </w:pPr>
      <w:r w:rsidRPr="00EA5BEA">
        <w:rPr>
          <w:rFonts w:cs="Times New Roman"/>
          <w:szCs w:val="24"/>
          <w:lang w:val="id-ID"/>
        </w:rPr>
        <w:t xml:space="preserve">Di Indonesia, pinjam meminjam berbasis </w:t>
      </w:r>
      <w:r w:rsidRPr="00EA5BEA">
        <w:rPr>
          <w:rFonts w:cs="Times New Roman"/>
          <w:i/>
          <w:szCs w:val="24"/>
          <w:lang w:val="id-ID"/>
        </w:rPr>
        <w:t xml:space="preserve">online </w:t>
      </w:r>
      <w:r w:rsidRPr="00EA5BEA">
        <w:rPr>
          <w:rFonts w:cs="Times New Roman"/>
          <w:szCs w:val="24"/>
          <w:lang w:val="id-ID"/>
        </w:rPr>
        <w:t xml:space="preserve">dilakukan dengan menggunakan pinjaman secara </w:t>
      </w:r>
      <w:r w:rsidRPr="00EA5BEA">
        <w:rPr>
          <w:rFonts w:cs="Times New Roman"/>
          <w:i/>
          <w:szCs w:val="24"/>
          <w:lang w:val="id-ID"/>
        </w:rPr>
        <w:t>online</w:t>
      </w:r>
      <w:r w:rsidRPr="00EA5BEA">
        <w:rPr>
          <w:rFonts w:cs="Times New Roman"/>
          <w:szCs w:val="24"/>
          <w:lang w:val="id-ID"/>
        </w:rPr>
        <w:t xml:space="preserve">, hal ini dapat  mempermudah masyarakat guna mengakses produk-produk keuangan yang dibutuhkan. Pinjam meminjam berbasis </w:t>
      </w:r>
      <w:r w:rsidRPr="00EA5BEA">
        <w:rPr>
          <w:rFonts w:cs="Times New Roman"/>
          <w:i/>
          <w:szCs w:val="24"/>
          <w:lang w:val="id-ID"/>
        </w:rPr>
        <w:t>online</w:t>
      </w:r>
      <w:r w:rsidRPr="00EA5BEA">
        <w:rPr>
          <w:rFonts w:cs="Times New Roman"/>
          <w:szCs w:val="24"/>
          <w:lang w:val="id-ID"/>
        </w:rPr>
        <w:t xml:space="preserve"> mepermudah masyarakat karena tidak perlu bertemu secara langsung tetapi melalui aplikasi atau laman </w:t>
      </w:r>
      <w:r w:rsidRPr="00EA5BEA">
        <w:rPr>
          <w:rFonts w:cs="Times New Roman"/>
          <w:i/>
          <w:szCs w:val="24"/>
          <w:lang w:val="id-ID"/>
        </w:rPr>
        <w:t xml:space="preserve">website, </w:t>
      </w:r>
      <w:r w:rsidRPr="00EA5BEA">
        <w:rPr>
          <w:rFonts w:cs="Times New Roman"/>
          <w:szCs w:val="24"/>
          <w:lang w:val="id-ID"/>
        </w:rPr>
        <w:t xml:space="preserve">disamping kemudahan terhadap pinjam meminjam berbasis </w:t>
      </w:r>
      <w:r w:rsidRPr="00EA5BEA">
        <w:rPr>
          <w:rFonts w:cs="Times New Roman"/>
          <w:i/>
          <w:szCs w:val="24"/>
          <w:lang w:val="id-ID"/>
        </w:rPr>
        <w:t xml:space="preserve">online, </w:t>
      </w:r>
      <w:r w:rsidRPr="00EA5BEA">
        <w:rPr>
          <w:rFonts w:cs="Times New Roman"/>
          <w:szCs w:val="24"/>
          <w:lang w:val="id-ID"/>
        </w:rPr>
        <w:t xml:space="preserve">ternyata juga berdampak buruk pada masyarakat, terutama suku bunga yang tinggi dan tersebarnya data-data konsumen </w:t>
      </w:r>
      <w:r w:rsidRPr="00EA5BEA">
        <w:rPr>
          <w:rFonts w:cs="Times New Roman"/>
          <w:i/>
          <w:szCs w:val="24"/>
          <w:lang w:val="id-ID"/>
        </w:rPr>
        <w:t xml:space="preserve">fintech </w:t>
      </w:r>
      <w:r w:rsidRPr="00EA5BEA">
        <w:rPr>
          <w:rFonts w:cs="Times New Roman"/>
          <w:szCs w:val="24"/>
          <w:lang w:val="id-ID"/>
        </w:rPr>
        <w:t>serta adanya ancaman-ancaman dari berbagai penagih akibat gagal bayar.</w:t>
      </w:r>
    </w:p>
    <w:p w14:paraId="5589443E" w14:textId="77777777" w:rsidR="003C05E3" w:rsidRPr="00EA5BEA" w:rsidRDefault="003C05E3" w:rsidP="003C05E3">
      <w:pPr>
        <w:spacing w:after="0" w:line="240" w:lineRule="auto"/>
        <w:ind w:firstLine="720"/>
        <w:jc w:val="both"/>
        <w:rPr>
          <w:rFonts w:cs="Times New Roman"/>
          <w:szCs w:val="24"/>
          <w:lang w:val="id-ID"/>
        </w:rPr>
      </w:pPr>
      <w:r w:rsidRPr="00EA5BEA">
        <w:rPr>
          <w:rFonts w:cs="Times New Roman"/>
          <w:szCs w:val="24"/>
          <w:lang w:val="id-ID"/>
        </w:rPr>
        <w:t xml:space="preserve">Dampak terhadap </w:t>
      </w:r>
      <w:r w:rsidRPr="00EA5BEA">
        <w:rPr>
          <w:rFonts w:cs="Times New Roman"/>
          <w:i/>
          <w:szCs w:val="24"/>
          <w:lang w:val="id-ID"/>
        </w:rPr>
        <w:t xml:space="preserve">covid -19 </w:t>
      </w:r>
      <w:r w:rsidRPr="00EA5BEA">
        <w:rPr>
          <w:rFonts w:cs="Times New Roman"/>
          <w:szCs w:val="24"/>
          <w:lang w:val="id-ID"/>
        </w:rPr>
        <w:t xml:space="preserve">memaksa masyarakat mengurangi aktifitas tatap muka diperbankan secara tatap muka, dan mengharuskan beralih ke proses digital dan menggunakan jasa </w:t>
      </w:r>
      <w:r w:rsidRPr="00EA5BEA">
        <w:rPr>
          <w:rFonts w:cs="Times New Roman"/>
          <w:i/>
          <w:szCs w:val="24"/>
          <w:lang w:val="id-ID"/>
        </w:rPr>
        <w:t xml:space="preserve">fintech peer to peer lending, </w:t>
      </w:r>
      <w:r w:rsidRPr="00EA5BEA">
        <w:rPr>
          <w:rFonts w:cs="Times New Roman"/>
          <w:szCs w:val="24"/>
          <w:lang w:val="id-ID"/>
        </w:rPr>
        <w:t xml:space="preserve">data OJK ditahun 2020 menyebutkan transaksi di </w:t>
      </w:r>
      <w:r w:rsidRPr="00EA5BEA">
        <w:rPr>
          <w:rFonts w:cs="Times New Roman"/>
          <w:i/>
          <w:szCs w:val="24"/>
          <w:lang w:val="id-ID"/>
        </w:rPr>
        <w:t xml:space="preserve">e-Commerce </w:t>
      </w:r>
      <w:r w:rsidRPr="00EA5BEA">
        <w:rPr>
          <w:rFonts w:cs="Times New Roman"/>
          <w:szCs w:val="24"/>
          <w:lang w:val="id-ID"/>
        </w:rPr>
        <w:t xml:space="preserve">meningkat hingga 400 % dimasa Pandemic </w:t>
      </w:r>
      <w:r w:rsidRPr="00EA5BEA">
        <w:rPr>
          <w:rFonts w:cs="Times New Roman"/>
          <w:i/>
          <w:szCs w:val="24"/>
          <w:lang w:val="id-ID"/>
        </w:rPr>
        <w:t>Covid</w:t>
      </w:r>
      <w:r w:rsidRPr="00EA5BEA">
        <w:rPr>
          <w:rFonts w:cs="Times New Roman"/>
          <w:szCs w:val="24"/>
          <w:lang w:val="id-ID"/>
        </w:rPr>
        <w:t>-19, sehingga ditahun 2021, akan semakin meningkat.</w:t>
      </w:r>
      <w:r w:rsidRPr="00EA5BEA">
        <w:rPr>
          <w:rStyle w:val="FootnoteReference"/>
          <w:rFonts w:cs="Times New Roman"/>
          <w:szCs w:val="24"/>
          <w:lang w:val="id-ID"/>
        </w:rPr>
        <w:footnoteReference w:id="7"/>
      </w:r>
      <w:r w:rsidRPr="00EA5BEA">
        <w:rPr>
          <w:rFonts w:cs="Times New Roman"/>
          <w:szCs w:val="24"/>
          <w:lang w:val="id-ID"/>
        </w:rPr>
        <w:t xml:space="preserve"> Kasus yang timbul dimasyarakat sebagai akibat dari hadirnya </w:t>
      </w:r>
      <w:r w:rsidRPr="00EA5BEA">
        <w:rPr>
          <w:rFonts w:cs="Times New Roman"/>
          <w:i/>
          <w:szCs w:val="24"/>
          <w:lang w:val="id-ID"/>
        </w:rPr>
        <w:t xml:space="preserve">fintech </w:t>
      </w:r>
      <w:r w:rsidRPr="00EA5BEA">
        <w:rPr>
          <w:rFonts w:cs="Times New Roman"/>
          <w:szCs w:val="24"/>
          <w:lang w:val="id-ID"/>
        </w:rPr>
        <w:t>ada berbagai macam,</w:t>
      </w:r>
      <w:r w:rsidRPr="00EA5BEA">
        <w:rPr>
          <w:rFonts w:cs="Times New Roman"/>
          <w:i/>
          <w:szCs w:val="24"/>
          <w:lang w:val="id-ID"/>
        </w:rPr>
        <w:t xml:space="preserve"> </w:t>
      </w:r>
      <w:r w:rsidRPr="00EA5BEA">
        <w:rPr>
          <w:rFonts w:cs="Times New Roman"/>
          <w:szCs w:val="24"/>
          <w:lang w:val="id-ID"/>
        </w:rPr>
        <w:t xml:space="preserve">seperti pengenaan pajak yang tinggi oleh entitas </w:t>
      </w:r>
      <w:r w:rsidRPr="00EA5BEA">
        <w:rPr>
          <w:rFonts w:cs="Times New Roman"/>
          <w:i/>
          <w:szCs w:val="24"/>
          <w:lang w:val="id-ID"/>
        </w:rPr>
        <w:t>fintech</w:t>
      </w:r>
      <w:r w:rsidRPr="00EA5BEA">
        <w:rPr>
          <w:rFonts w:cs="Times New Roman"/>
          <w:szCs w:val="24"/>
          <w:lang w:val="id-ID"/>
        </w:rPr>
        <w:t xml:space="preserve">, penagihan hutang yang tidak sesuai dengan prosedur, pengambilan data pribadi, tindak pidana pengancaman, bahkan dalam beberapa kasus diikuti oleh tindak pidana pelecehan seksual. Banyaknya kasus </w:t>
      </w:r>
      <w:r w:rsidRPr="00EA5BEA">
        <w:rPr>
          <w:rFonts w:cs="Times New Roman"/>
          <w:i/>
          <w:szCs w:val="24"/>
          <w:lang w:val="id-ID"/>
        </w:rPr>
        <w:t>fintech</w:t>
      </w:r>
      <w:r w:rsidRPr="00EA5BEA">
        <w:rPr>
          <w:rFonts w:cs="Times New Roman"/>
          <w:szCs w:val="24"/>
          <w:lang w:val="id-ID"/>
        </w:rPr>
        <w:t xml:space="preserve"> baik yang bersifat </w:t>
      </w:r>
      <w:r w:rsidRPr="00EA5BEA">
        <w:rPr>
          <w:rFonts w:cs="Times New Roman"/>
          <w:i/>
          <w:szCs w:val="24"/>
          <w:lang w:val="id-ID"/>
        </w:rPr>
        <w:t>illegal</w:t>
      </w:r>
      <w:r w:rsidRPr="00EA5BEA">
        <w:rPr>
          <w:rFonts w:cs="Times New Roman"/>
          <w:szCs w:val="24"/>
          <w:lang w:val="id-ID"/>
        </w:rPr>
        <w:t xml:space="preserve">, maupun kasus </w:t>
      </w:r>
      <w:r w:rsidRPr="00EA5BEA">
        <w:rPr>
          <w:rFonts w:cs="Times New Roman"/>
          <w:i/>
          <w:szCs w:val="24"/>
          <w:lang w:val="id-ID"/>
        </w:rPr>
        <w:t>fintech</w:t>
      </w:r>
      <w:r w:rsidRPr="00EA5BEA">
        <w:rPr>
          <w:rFonts w:cs="Times New Roman"/>
          <w:szCs w:val="24"/>
          <w:lang w:val="id-ID"/>
        </w:rPr>
        <w:t xml:space="preserve"> yang melakukan pelanggaran hukum terhadap hak konsumen sangat perlu mendapatkan perhatian  pemerintah karena menyangkut masalah hidup banyak orang dalam semua lapisan sosial masyarakat, meskipun memang lebih banyak dialami oleh masyarakat sosial lapisan bawah. Hal ini tentu saja terjadi karena minimnya pengetahuan dalam bertaransaksi dengan menggunakan teknologi yang berkembang cukup pesat, juga disebabkan oleh mudahnya orang-orang tertarik melihat aplikasi pinjaman </w:t>
      </w:r>
      <w:r w:rsidRPr="00EA5BEA">
        <w:rPr>
          <w:rFonts w:cs="Times New Roman"/>
          <w:i/>
          <w:szCs w:val="24"/>
          <w:lang w:val="id-ID"/>
        </w:rPr>
        <w:t>online</w:t>
      </w:r>
      <w:r w:rsidRPr="00EA5BEA">
        <w:rPr>
          <w:rFonts w:cs="Times New Roman"/>
          <w:szCs w:val="24"/>
          <w:lang w:val="id-ID"/>
        </w:rPr>
        <w:t xml:space="preserve"> yang menberikan iming-iming yang menggiurkan seperti proses pencairan pinjaman yang hanya memakan waktu 15 hingga 20 menit. Disamping itu, masyarakat Indonesia juga rendahnya minat baca sehingga mudah terjerat </w:t>
      </w:r>
      <w:r w:rsidRPr="00EA5BEA">
        <w:rPr>
          <w:rFonts w:cs="Times New Roman"/>
          <w:i/>
          <w:szCs w:val="24"/>
          <w:lang w:val="id-ID"/>
        </w:rPr>
        <w:t xml:space="preserve">fintech </w:t>
      </w:r>
      <w:r w:rsidRPr="00EA5BEA">
        <w:rPr>
          <w:rFonts w:cs="Times New Roman"/>
          <w:szCs w:val="24"/>
          <w:lang w:val="id-ID"/>
        </w:rPr>
        <w:t xml:space="preserve">yang illegal sebagaimana yang dipaparkan oleh UNESCO pada tahun 2016 yang lalu bahwa tingkat membaca orang Indonesia sangat memprihatinkan, hanya sekitar 0.001 % yang artinya dari 1000 orang di Indonesia hanya 1 orang yang rajin membaca. Semetara sebagaimana diketahui, setiap website maupun aplikasi yang disediakan oleh entitas </w:t>
      </w:r>
      <w:r w:rsidRPr="00EA5BEA">
        <w:rPr>
          <w:rFonts w:cs="Times New Roman"/>
          <w:i/>
          <w:szCs w:val="24"/>
          <w:lang w:val="id-ID"/>
        </w:rPr>
        <w:t>fintech</w:t>
      </w:r>
      <w:r w:rsidRPr="00EA5BEA">
        <w:rPr>
          <w:rFonts w:cs="Times New Roman"/>
          <w:szCs w:val="24"/>
          <w:lang w:val="id-ID"/>
        </w:rPr>
        <w:t xml:space="preserve"> sebelum masuk dan mendaftar kedalam website atau aplikasi tersebut selalu menampilkan dan memuat </w:t>
      </w:r>
      <w:r w:rsidRPr="00EA5BEA">
        <w:rPr>
          <w:rFonts w:cs="Times New Roman"/>
          <w:i/>
          <w:szCs w:val="24"/>
          <w:lang w:val="id-ID"/>
        </w:rPr>
        <w:t>ternm and condition</w:t>
      </w:r>
      <w:r w:rsidRPr="00EA5BEA">
        <w:rPr>
          <w:rFonts w:cs="Times New Roman"/>
          <w:szCs w:val="24"/>
          <w:lang w:val="id-ID"/>
        </w:rPr>
        <w:t xml:space="preserve"> yang menjelaskan segala syarat pengguna dari aplikasi tersebut dan memuat hal-hal yang dapat diakses dan sebagainya.</w:t>
      </w:r>
    </w:p>
    <w:p w14:paraId="0E0BDF2F" w14:textId="77777777" w:rsidR="003C05E3" w:rsidRPr="00EA5BEA" w:rsidRDefault="003C05E3" w:rsidP="003C05E3">
      <w:pPr>
        <w:spacing w:after="0" w:line="240" w:lineRule="auto"/>
        <w:ind w:firstLine="720"/>
        <w:jc w:val="both"/>
        <w:rPr>
          <w:rFonts w:cs="Times New Roman"/>
          <w:i/>
          <w:szCs w:val="24"/>
          <w:lang w:val="id-ID"/>
        </w:rPr>
      </w:pPr>
      <w:r w:rsidRPr="00EA5BEA">
        <w:rPr>
          <w:rFonts w:cs="Times New Roman"/>
          <w:szCs w:val="24"/>
          <w:lang w:val="id-ID"/>
        </w:rPr>
        <w:t xml:space="preserve">Peraturan yang dikeluarkan oleh Otoritas Jasa Keuangan maupun peraturan Bank Indonesia dianggap masih bersifat administrasi, yang berarti bahwa dalam hal </w:t>
      </w:r>
      <w:r w:rsidRPr="00EA5BEA">
        <w:rPr>
          <w:rFonts w:cs="Times New Roman"/>
          <w:szCs w:val="24"/>
          <w:lang w:val="id-ID"/>
        </w:rPr>
        <w:lastRenderedPageBreak/>
        <w:t xml:space="preserve">terjadinya pelanggaran hukum oleh </w:t>
      </w:r>
      <w:r w:rsidRPr="00EA5BEA">
        <w:rPr>
          <w:rFonts w:cs="Times New Roman"/>
          <w:i/>
          <w:szCs w:val="24"/>
          <w:lang w:val="id-ID"/>
        </w:rPr>
        <w:t>Fintech</w:t>
      </w:r>
      <w:r w:rsidRPr="00EA5BEA">
        <w:rPr>
          <w:rFonts w:cs="Times New Roman"/>
          <w:szCs w:val="24"/>
          <w:lang w:val="id-ID"/>
        </w:rPr>
        <w:t xml:space="preserve">, sanksi yang dapat diberikan sesuai dengan peraturan tersebut tidak dapat melindungi semua hak konsumen. Hal ini karena dalam peraturan yang dikeluarkan oleh OJK, tidak memuat sanksi pidana maupun sanksi denda apabila terjadi pelanggaran oleh </w:t>
      </w:r>
      <w:r w:rsidRPr="00EA5BEA">
        <w:rPr>
          <w:rFonts w:cs="Times New Roman"/>
          <w:i/>
          <w:szCs w:val="24"/>
          <w:lang w:val="id-ID"/>
        </w:rPr>
        <w:t>Fintech</w:t>
      </w:r>
      <w:r w:rsidRPr="00EA5BEA">
        <w:rPr>
          <w:rFonts w:cs="Times New Roman"/>
          <w:szCs w:val="24"/>
          <w:lang w:val="id-ID"/>
        </w:rPr>
        <w:t>, sangsi maksimal yang dikeluarkan, hanyalah sanksi pencabutan tanda terdaftar dan pencabutan izin.</w:t>
      </w:r>
    </w:p>
    <w:p w14:paraId="787DCDAF" w14:textId="77777777" w:rsidR="003C05E3" w:rsidRPr="00EA5BEA" w:rsidRDefault="003C05E3" w:rsidP="003C05E3">
      <w:pPr>
        <w:spacing w:after="0" w:line="240" w:lineRule="auto"/>
        <w:ind w:firstLine="990"/>
        <w:jc w:val="both"/>
        <w:rPr>
          <w:rFonts w:cs="Times New Roman"/>
          <w:i/>
          <w:szCs w:val="24"/>
          <w:lang w:val="id-ID"/>
        </w:rPr>
      </w:pPr>
      <w:r w:rsidRPr="00EA5BEA">
        <w:rPr>
          <w:rFonts w:cs="Times New Roman"/>
          <w:i/>
          <w:szCs w:val="24"/>
          <w:lang w:val="id-ID"/>
        </w:rPr>
        <w:t>Fintech</w:t>
      </w:r>
      <w:r w:rsidRPr="00EA5BEA">
        <w:rPr>
          <w:rFonts w:cs="Times New Roman"/>
          <w:b/>
          <w:szCs w:val="24"/>
          <w:lang w:val="id-ID"/>
        </w:rPr>
        <w:t xml:space="preserve"> </w:t>
      </w:r>
      <w:r w:rsidRPr="00EA5BEA">
        <w:rPr>
          <w:rFonts w:cs="Times New Roman"/>
          <w:szCs w:val="24"/>
          <w:lang w:val="id-ID"/>
        </w:rPr>
        <w:t xml:space="preserve">telah berkembang pesat diseluruh dunia, dalam beberapa tahun terakhir perkembangan </w:t>
      </w:r>
      <w:r w:rsidRPr="00EA5BEA">
        <w:rPr>
          <w:rFonts w:cs="Times New Roman"/>
          <w:i/>
          <w:szCs w:val="24"/>
          <w:lang w:val="id-ID"/>
        </w:rPr>
        <w:t>fintech</w:t>
      </w:r>
      <w:r w:rsidRPr="00EA5BEA">
        <w:rPr>
          <w:rFonts w:cs="Times New Roman"/>
          <w:szCs w:val="24"/>
          <w:lang w:val="id-ID"/>
        </w:rPr>
        <w:t xml:space="preserve"> sangat berfariasi diberbagai Negara. Fariasi </w:t>
      </w:r>
      <w:r w:rsidRPr="00EA5BEA">
        <w:rPr>
          <w:rFonts w:cs="Times New Roman"/>
          <w:i/>
          <w:szCs w:val="24"/>
          <w:lang w:val="id-ID"/>
        </w:rPr>
        <w:t>fintech</w:t>
      </w:r>
      <w:r w:rsidRPr="00EA5BEA">
        <w:rPr>
          <w:rFonts w:cs="Times New Roman"/>
          <w:szCs w:val="24"/>
          <w:lang w:val="id-ID"/>
        </w:rPr>
        <w:t xml:space="preserve"> ini mencerminkan perbedaan dalam perkembangan ekonomi dan struktur pasar keuangan global. Kondisi ini menunjukan semakin tinggi pendapatan suatu Negara dan semakin besar pula aktifitas kredit </w:t>
      </w:r>
      <w:r w:rsidRPr="00EA5BEA">
        <w:rPr>
          <w:rFonts w:cs="Times New Roman"/>
          <w:i/>
          <w:szCs w:val="24"/>
          <w:lang w:val="id-ID"/>
        </w:rPr>
        <w:t xml:space="preserve">fintech. </w:t>
      </w:r>
      <w:r w:rsidRPr="00EA5BEA">
        <w:rPr>
          <w:rFonts w:cs="Times New Roman"/>
          <w:szCs w:val="24"/>
          <w:lang w:val="id-ID"/>
        </w:rPr>
        <w:t xml:space="preserve">Volume kredit </w:t>
      </w:r>
      <w:r w:rsidRPr="00EA5BEA">
        <w:rPr>
          <w:rFonts w:cs="Times New Roman"/>
          <w:i/>
          <w:szCs w:val="24"/>
          <w:lang w:val="id-ID"/>
        </w:rPr>
        <w:t>Fintech</w:t>
      </w:r>
      <w:r w:rsidRPr="00EA5BEA">
        <w:rPr>
          <w:rFonts w:cs="Times New Roman"/>
          <w:szCs w:val="24"/>
          <w:lang w:val="id-ID"/>
        </w:rPr>
        <w:t xml:space="preserve"> juga lebih besar di Negara-negara dengan regulasi perbankan yang tidak terlalu ketat.</w:t>
      </w:r>
      <w:r w:rsidRPr="00EA5BEA">
        <w:rPr>
          <w:rStyle w:val="FootnoteReference"/>
          <w:rFonts w:cs="Times New Roman"/>
          <w:i/>
          <w:szCs w:val="24"/>
          <w:lang w:val="id-ID"/>
        </w:rPr>
        <w:t xml:space="preserve"> </w:t>
      </w:r>
      <w:r w:rsidRPr="00EA5BEA">
        <w:rPr>
          <w:rStyle w:val="FootnoteReference"/>
          <w:rFonts w:cs="Times New Roman"/>
          <w:szCs w:val="24"/>
          <w:lang w:val="id-ID"/>
        </w:rPr>
        <w:footnoteReference w:id="8"/>
      </w:r>
    </w:p>
    <w:p w14:paraId="0D48BAF2" w14:textId="77777777" w:rsidR="003C05E3" w:rsidRPr="00EA5BEA" w:rsidRDefault="003C05E3" w:rsidP="003C05E3">
      <w:pPr>
        <w:spacing w:after="0" w:line="240" w:lineRule="auto"/>
        <w:ind w:firstLine="990"/>
        <w:jc w:val="both"/>
        <w:rPr>
          <w:rFonts w:cs="Times New Roman"/>
          <w:i/>
          <w:szCs w:val="24"/>
          <w:lang w:val="id-ID"/>
        </w:rPr>
      </w:pPr>
      <w:r w:rsidRPr="00EA5BEA">
        <w:rPr>
          <w:rFonts w:cs="Times New Roman"/>
          <w:szCs w:val="24"/>
          <w:lang w:val="id-ID"/>
        </w:rPr>
        <w:t xml:space="preserve">Perkembangan </w:t>
      </w:r>
      <w:r w:rsidRPr="00EA5BEA">
        <w:rPr>
          <w:rFonts w:cs="Times New Roman"/>
          <w:i/>
          <w:szCs w:val="24"/>
          <w:lang w:val="id-ID"/>
        </w:rPr>
        <w:t>fintech</w:t>
      </w:r>
      <w:r w:rsidRPr="00EA5BEA">
        <w:rPr>
          <w:rFonts w:cs="Times New Roman"/>
          <w:szCs w:val="24"/>
          <w:lang w:val="id-ID"/>
        </w:rPr>
        <w:t xml:space="preserve"> diberbagai Negara dapat menimbulkan peluang sekaligus tantangan Tantangan saat ini sebagian besar pada Negara – Negara ini yaitu pada perlindungan konsumen dan investor, kondisi ini muncul kekhawatiran terhadap meningkatnya kerugian kredit </w:t>
      </w:r>
      <w:r w:rsidRPr="00EA5BEA">
        <w:rPr>
          <w:rFonts w:cs="Times New Roman"/>
          <w:i/>
          <w:szCs w:val="24"/>
          <w:lang w:val="id-ID"/>
        </w:rPr>
        <w:t>fintech</w:t>
      </w:r>
      <w:r w:rsidRPr="00EA5BEA">
        <w:rPr>
          <w:rFonts w:cs="Times New Roman"/>
          <w:szCs w:val="24"/>
          <w:lang w:val="id-ID"/>
        </w:rPr>
        <w:t xml:space="preserve"> dan perilaku bisnis yang buruk di beberapa Negara tersebut.</w:t>
      </w:r>
      <w:r w:rsidRPr="00EA5BEA">
        <w:rPr>
          <w:rStyle w:val="FootnoteReference"/>
          <w:rFonts w:cs="Times New Roman"/>
          <w:szCs w:val="24"/>
          <w:lang w:val="id-ID"/>
        </w:rPr>
        <w:footnoteReference w:id="9"/>
      </w:r>
    </w:p>
    <w:p w14:paraId="3A389FDE" w14:textId="77777777" w:rsidR="003C05E3" w:rsidRPr="00EA5BEA" w:rsidRDefault="003C05E3" w:rsidP="003C05E3">
      <w:pPr>
        <w:spacing w:after="0" w:line="240" w:lineRule="auto"/>
        <w:ind w:firstLine="567"/>
        <w:jc w:val="both"/>
        <w:rPr>
          <w:rFonts w:cs="Times New Roman"/>
          <w:szCs w:val="24"/>
          <w:lang w:val="id-ID"/>
        </w:rPr>
      </w:pPr>
      <w:r w:rsidRPr="00EA5BEA">
        <w:rPr>
          <w:rFonts w:cs="Times New Roman"/>
          <w:szCs w:val="24"/>
          <w:lang w:val="id-ID"/>
        </w:rPr>
        <w:t xml:space="preserve">Peran Negara sangat diperlukan salah satunya adalah kebijakan Pembentukan Undang-Undang Khusus </w:t>
      </w:r>
      <w:r w:rsidRPr="00EA5BEA">
        <w:rPr>
          <w:rFonts w:cs="Times New Roman"/>
          <w:i/>
          <w:szCs w:val="24"/>
          <w:lang w:val="id-ID"/>
        </w:rPr>
        <w:t>fintech</w:t>
      </w:r>
      <w:r w:rsidRPr="00EA5BEA">
        <w:rPr>
          <w:rFonts w:cs="Times New Roman"/>
          <w:szCs w:val="24"/>
          <w:lang w:val="id-ID"/>
        </w:rPr>
        <w:t xml:space="preserve"> sebagai upaya penyelesaian sengketa hukum di bidang </w:t>
      </w:r>
      <w:r w:rsidRPr="00EA5BEA">
        <w:rPr>
          <w:rFonts w:cs="Times New Roman"/>
          <w:i/>
          <w:szCs w:val="24"/>
          <w:lang w:val="id-ID"/>
        </w:rPr>
        <w:t>financial</w:t>
      </w:r>
      <w:r w:rsidRPr="00EA5BEA">
        <w:rPr>
          <w:rFonts w:cs="Times New Roman"/>
          <w:szCs w:val="24"/>
          <w:lang w:val="id-ID"/>
        </w:rPr>
        <w:t xml:space="preserve"> technologi. Pada dasarnya kehadiran </w:t>
      </w:r>
      <w:r w:rsidRPr="00EA5BEA">
        <w:rPr>
          <w:rFonts w:cs="Times New Roman"/>
          <w:i/>
          <w:szCs w:val="24"/>
          <w:lang w:val="id-ID"/>
        </w:rPr>
        <w:t>fintech</w:t>
      </w:r>
      <w:r w:rsidRPr="00EA5BEA">
        <w:rPr>
          <w:rFonts w:cs="Times New Roman"/>
          <w:szCs w:val="24"/>
          <w:lang w:val="id-ID"/>
        </w:rPr>
        <w:t xml:space="preserve"> diindonesia sangat bagus terutama memudahkan masyarakat kelas menengah dalam membutuhkan modal usaha yang didalamnya tanpa ribet dan/atau waktu lama, namun kondisi ini memiliki dampak yang cukup serius, terutama legalitas hukum nya, kondisi ini perlu ada kebijakan khusus pemerintah dalam penanganannya, terutama produk hukum khusus </w:t>
      </w:r>
      <w:r w:rsidRPr="00EA5BEA">
        <w:rPr>
          <w:rFonts w:cs="Times New Roman"/>
          <w:i/>
          <w:szCs w:val="24"/>
          <w:lang w:val="id-ID"/>
        </w:rPr>
        <w:t>fintech</w:t>
      </w:r>
      <w:r w:rsidRPr="00EA5BEA">
        <w:rPr>
          <w:rFonts w:cs="Times New Roman"/>
          <w:szCs w:val="24"/>
          <w:lang w:val="id-ID"/>
        </w:rPr>
        <w:t xml:space="preserve"> berupa Undang-Undang tersendiri untuk mengakomodir baik dalam Perijinan, Pengaturan, Pengawasan, Penyelenggaraan serta pada perlindungan hukum terhadap kegiatan </w:t>
      </w:r>
      <w:r w:rsidRPr="00EA5BEA">
        <w:rPr>
          <w:rFonts w:cs="Times New Roman"/>
          <w:i/>
          <w:szCs w:val="24"/>
          <w:lang w:val="id-ID"/>
        </w:rPr>
        <w:t>Financial</w:t>
      </w:r>
      <w:r w:rsidRPr="00EA5BEA">
        <w:rPr>
          <w:rFonts w:cs="Times New Roman"/>
          <w:szCs w:val="24"/>
          <w:lang w:val="id-ID"/>
        </w:rPr>
        <w:t xml:space="preserve"> </w:t>
      </w:r>
      <w:r w:rsidRPr="00EA5BEA">
        <w:rPr>
          <w:rFonts w:cs="Times New Roman"/>
          <w:i/>
          <w:szCs w:val="24"/>
          <w:lang w:val="id-ID"/>
        </w:rPr>
        <w:t>Technology</w:t>
      </w:r>
      <w:r w:rsidRPr="00EA5BEA">
        <w:rPr>
          <w:rFonts w:cs="Times New Roman"/>
          <w:szCs w:val="24"/>
          <w:lang w:val="id-ID"/>
        </w:rPr>
        <w:t>.</w:t>
      </w:r>
    </w:p>
    <w:p w14:paraId="2959EC34" w14:textId="77777777" w:rsidR="003C05E3" w:rsidRPr="00EA5BEA" w:rsidRDefault="003C05E3" w:rsidP="003C05E3">
      <w:pPr>
        <w:spacing w:after="0" w:line="240" w:lineRule="auto"/>
        <w:ind w:firstLine="567"/>
        <w:jc w:val="both"/>
        <w:rPr>
          <w:rFonts w:cs="Times New Roman"/>
          <w:szCs w:val="24"/>
          <w:lang w:val="id-ID"/>
        </w:rPr>
      </w:pPr>
      <w:r w:rsidRPr="00EA5BEA">
        <w:rPr>
          <w:rFonts w:cs="Times New Roman"/>
          <w:szCs w:val="24"/>
          <w:lang w:val="id-ID"/>
        </w:rPr>
        <w:t xml:space="preserve">Pada industry 4.0, Permasalahan </w:t>
      </w:r>
      <w:r w:rsidRPr="00EA5BEA">
        <w:rPr>
          <w:rFonts w:cs="Times New Roman"/>
          <w:i/>
          <w:szCs w:val="24"/>
          <w:lang w:val="id-ID"/>
        </w:rPr>
        <w:t>fintech</w:t>
      </w:r>
      <w:r w:rsidRPr="00EA5BEA">
        <w:rPr>
          <w:rFonts w:cs="Times New Roman"/>
          <w:szCs w:val="24"/>
          <w:lang w:val="id-ID"/>
        </w:rPr>
        <w:t xml:space="preserve"> cukup serius, terdapat banyaknya </w:t>
      </w:r>
      <w:r w:rsidRPr="00EA5BEA">
        <w:rPr>
          <w:rFonts w:cs="Times New Roman"/>
          <w:i/>
          <w:szCs w:val="24"/>
          <w:lang w:val="id-ID"/>
        </w:rPr>
        <w:t>fintech</w:t>
      </w:r>
      <w:r w:rsidRPr="00EA5BEA">
        <w:rPr>
          <w:rFonts w:cs="Times New Roman"/>
          <w:szCs w:val="24"/>
          <w:lang w:val="id-ID"/>
        </w:rPr>
        <w:t xml:space="preserve"> yang illegal, ragam masalah hukum terjadi baik proses penagihanya dengan bahasa yang kasar, pelecehan seksual, Tingginya bunga pinjaman dan pencurian data nasabah.</w:t>
      </w:r>
      <w:r w:rsidRPr="00EA5BEA">
        <w:rPr>
          <w:rStyle w:val="FootnoteReference"/>
          <w:rFonts w:cs="Times New Roman"/>
          <w:szCs w:val="24"/>
          <w:lang w:val="id-ID"/>
        </w:rPr>
        <w:footnoteReference w:id="10"/>
      </w:r>
      <w:r w:rsidRPr="00EA5BEA">
        <w:rPr>
          <w:rFonts w:cs="Times New Roman"/>
          <w:szCs w:val="24"/>
          <w:lang w:val="id-ID"/>
        </w:rPr>
        <w:t xml:space="preserve"> Dalam proses penegakannya, Kebijakan hukum hanya menitiberatkan pada OJK dalam melakukan Pengawasan. Peran Otoritas Jasa Keuangan dalam melakukan pengawasan dan perlindungan hukum dinilai kurang aktif sehingga didalamnya masih menimbulkan problem yang dapat berdampak pada inklusi keuangan. Serta masih lemahnya perlindungan hukum terhadap pengguna jasa </w:t>
      </w:r>
      <w:r w:rsidRPr="00EA5BEA">
        <w:rPr>
          <w:rFonts w:cs="Times New Roman"/>
          <w:i/>
          <w:szCs w:val="24"/>
          <w:lang w:val="id-ID"/>
        </w:rPr>
        <w:t>fintech</w:t>
      </w:r>
      <w:r w:rsidRPr="00EA5BEA">
        <w:rPr>
          <w:rFonts w:cs="Times New Roman"/>
          <w:szCs w:val="24"/>
          <w:lang w:val="id-ID"/>
        </w:rPr>
        <w:t>.</w:t>
      </w:r>
      <w:r w:rsidRPr="00EA5BEA">
        <w:rPr>
          <w:rStyle w:val="FootnoteReference"/>
          <w:rFonts w:cs="Times New Roman"/>
          <w:szCs w:val="24"/>
          <w:lang w:val="id-ID"/>
        </w:rPr>
        <w:footnoteReference w:id="11"/>
      </w:r>
      <w:r w:rsidRPr="00EA5BEA">
        <w:rPr>
          <w:rFonts w:cs="Times New Roman"/>
          <w:szCs w:val="24"/>
          <w:lang w:val="id-ID"/>
        </w:rPr>
        <w:t xml:space="preserve"> Ini menunjukan atas lemahnya regulasi hukum, karena Indonesia sendiri belum ada UU Khusus </w:t>
      </w:r>
      <w:r w:rsidRPr="00EA5BEA">
        <w:rPr>
          <w:rFonts w:cs="Times New Roman"/>
          <w:i/>
          <w:szCs w:val="24"/>
          <w:lang w:val="id-ID"/>
        </w:rPr>
        <w:t>Fintech</w:t>
      </w:r>
      <w:r w:rsidRPr="00EA5BEA">
        <w:rPr>
          <w:rFonts w:cs="Times New Roman"/>
          <w:szCs w:val="24"/>
          <w:lang w:val="id-ID"/>
        </w:rPr>
        <w:t>, melainkan hanya aturan-aturan teknis yang dikelurkan oleh BI maupun oleh OJK.</w:t>
      </w:r>
      <w:r w:rsidRPr="00EA5BEA">
        <w:rPr>
          <w:rStyle w:val="FootnoteReference"/>
          <w:rFonts w:cs="Times New Roman"/>
          <w:szCs w:val="24"/>
          <w:lang w:val="id-ID"/>
        </w:rPr>
        <w:t xml:space="preserve"> </w:t>
      </w:r>
      <w:r w:rsidRPr="00EA5BEA">
        <w:rPr>
          <w:rStyle w:val="FootnoteReference"/>
          <w:rFonts w:cs="Times New Roman"/>
          <w:szCs w:val="24"/>
          <w:lang w:val="id-ID"/>
        </w:rPr>
        <w:footnoteReference w:id="12"/>
      </w:r>
    </w:p>
    <w:p w14:paraId="79C75796" w14:textId="77777777" w:rsidR="003C05E3" w:rsidRPr="00EA5BEA" w:rsidRDefault="003C05E3" w:rsidP="003C05E3">
      <w:pPr>
        <w:spacing w:after="0" w:line="240" w:lineRule="auto"/>
        <w:ind w:firstLine="709"/>
        <w:jc w:val="both"/>
        <w:rPr>
          <w:rFonts w:cs="Times New Roman"/>
          <w:szCs w:val="24"/>
          <w:lang w:val="id-ID"/>
        </w:rPr>
      </w:pPr>
      <w:r w:rsidRPr="00EA5BEA">
        <w:rPr>
          <w:rFonts w:cs="Times New Roman"/>
          <w:szCs w:val="24"/>
          <w:lang w:val="id-ID"/>
        </w:rPr>
        <w:t xml:space="preserve">Salah satu alasan konsumen enggan menggunakan </w:t>
      </w:r>
      <w:r w:rsidRPr="00EA5BEA">
        <w:rPr>
          <w:rFonts w:cs="Times New Roman"/>
          <w:i/>
          <w:szCs w:val="24"/>
          <w:lang w:val="id-ID"/>
        </w:rPr>
        <w:t xml:space="preserve">Fintech </w:t>
      </w:r>
      <w:r w:rsidRPr="00EA5BEA">
        <w:rPr>
          <w:rFonts w:cs="Times New Roman"/>
          <w:szCs w:val="24"/>
          <w:lang w:val="id-ID"/>
        </w:rPr>
        <w:t xml:space="preserve">adalah karena </w:t>
      </w:r>
      <w:r w:rsidRPr="00EA5BEA">
        <w:rPr>
          <w:rFonts w:cs="Times New Roman"/>
          <w:i/>
          <w:szCs w:val="24"/>
          <w:lang w:val="id-ID"/>
        </w:rPr>
        <w:t>fintech</w:t>
      </w:r>
      <w:r w:rsidRPr="00EA5BEA">
        <w:rPr>
          <w:rFonts w:cs="Times New Roman"/>
          <w:szCs w:val="24"/>
          <w:lang w:val="id-ID"/>
        </w:rPr>
        <w:t xml:space="preserve"> dianggap kurang aman lantaran tidak adanya regulasi yang memadai dalam memberikan </w:t>
      </w:r>
      <w:r w:rsidRPr="00EA5BEA">
        <w:rPr>
          <w:rFonts w:cs="Times New Roman"/>
          <w:szCs w:val="24"/>
          <w:lang w:val="id-ID"/>
        </w:rPr>
        <w:lastRenderedPageBreak/>
        <w:t xml:space="preserve">perlindungan hukum dalam kegiatan </w:t>
      </w:r>
      <w:r w:rsidRPr="00EA5BEA">
        <w:rPr>
          <w:rFonts w:cs="Times New Roman"/>
          <w:i/>
          <w:szCs w:val="24"/>
          <w:lang w:val="id-ID"/>
        </w:rPr>
        <w:t>fintech</w:t>
      </w:r>
      <w:r w:rsidRPr="00EA5BEA">
        <w:rPr>
          <w:rFonts w:cs="Times New Roman"/>
          <w:szCs w:val="24"/>
          <w:lang w:val="id-ID"/>
        </w:rPr>
        <w:t>.</w:t>
      </w:r>
      <w:r w:rsidRPr="00EA5BEA">
        <w:rPr>
          <w:rStyle w:val="FootnoteReference"/>
          <w:rFonts w:cs="Times New Roman"/>
          <w:szCs w:val="24"/>
          <w:lang w:val="id-ID"/>
        </w:rPr>
        <w:footnoteReference w:id="13"/>
      </w:r>
      <w:r w:rsidRPr="00EA5BEA">
        <w:rPr>
          <w:rFonts w:cs="Times New Roman"/>
          <w:szCs w:val="24"/>
          <w:lang w:val="id-ID"/>
        </w:rPr>
        <w:t xml:space="preserve"> Sedangkan tujuan Regulasi pada umunya adalah berusaha menyeimbangkan tujuan bersaing untuk mempromosikan inovasi, stabiltas keuangan, pemantaun pelaporan, kepatuhan serta perlindungan konsumen.</w:t>
      </w:r>
      <w:r w:rsidRPr="00EA5BEA">
        <w:rPr>
          <w:rStyle w:val="FootnoteReference"/>
          <w:rFonts w:cs="Times New Roman"/>
          <w:szCs w:val="24"/>
          <w:lang w:val="id-ID"/>
        </w:rPr>
        <w:footnoteReference w:id="14"/>
      </w:r>
    </w:p>
    <w:p w14:paraId="6F780761" w14:textId="77777777" w:rsidR="003C05E3" w:rsidRPr="00EA5BEA" w:rsidRDefault="003C05E3" w:rsidP="003C05E3">
      <w:pPr>
        <w:spacing w:after="0" w:line="240" w:lineRule="auto"/>
        <w:ind w:firstLine="709"/>
        <w:jc w:val="both"/>
        <w:rPr>
          <w:rFonts w:cs="Times New Roman"/>
          <w:szCs w:val="24"/>
          <w:lang w:val="id-ID"/>
        </w:rPr>
      </w:pPr>
      <w:r w:rsidRPr="00EA5BEA">
        <w:rPr>
          <w:rFonts w:cs="Times New Roman"/>
          <w:szCs w:val="24"/>
          <w:lang w:val="id-ID"/>
        </w:rPr>
        <w:t xml:space="preserve">Pertumbuhan </w:t>
      </w:r>
      <w:r w:rsidRPr="00EA5BEA">
        <w:rPr>
          <w:rFonts w:cs="Times New Roman"/>
          <w:i/>
          <w:szCs w:val="24"/>
          <w:lang w:val="id-ID"/>
        </w:rPr>
        <w:t xml:space="preserve">financial technology </w:t>
      </w:r>
      <w:r w:rsidRPr="00EA5BEA">
        <w:rPr>
          <w:rFonts w:cs="Times New Roman"/>
          <w:szCs w:val="24"/>
          <w:lang w:val="id-ID"/>
        </w:rPr>
        <w:t xml:space="preserve">sangat pesat, terhitung </w:t>
      </w:r>
      <w:r w:rsidRPr="00EA5BEA">
        <w:rPr>
          <w:rFonts w:cs="Times New Roman"/>
          <w:i/>
          <w:szCs w:val="24"/>
          <w:lang w:val="id-ID"/>
        </w:rPr>
        <w:t>fintech</w:t>
      </w:r>
      <w:r w:rsidRPr="00EA5BEA">
        <w:rPr>
          <w:rFonts w:cs="Times New Roman"/>
          <w:szCs w:val="24"/>
          <w:lang w:val="id-ID"/>
        </w:rPr>
        <w:t xml:space="preserve"> yang terdaftar dan beijin diindonesia sejumlah 146 perusahaan </w:t>
      </w:r>
      <w:r w:rsidRPr="00EA5BEA">
        <w:rPr>
          <w:rFonts w:cs="Times New Roman"/>
          <w:i/>
          <w:szCs w:val="24"/>
          <w:lang w:val="id-ID"/>
        </w:rPr>
        <w:t>fintech</w:t>
      </w:r>
      <w:r w:rsidRPr="00EA5BEA">
        <w:rPr>
          <w:rFonts w:cs="Times New Roman"/>
          <w:szCs w:val="24"/>
          <w:lang w:val="id-ID"/>
        </w:rPr>
        <w:t xml:space="preserve"> per 4 Mei 2021 sedangkan </w:t>
      </w:r>
      <w:r w:rsidRPr="00EA5BEA">
        <w:rPr>
          <w:rFonts w:cs="Times New Roman"/>
          <w:i/>
          <w:szCs w:val="24"/>
          <w:lang w:val="id-ID"/>
        </w:rPr>
        <w:t>fintech</w:t>
      </w:r>
      <w:r w:rsidRPr="00EA5BEA">
        <w:rPr>
          <w:rFonts w:cs="Times New Roman"/>
          <w:szCs w:val="24"/>
          <w:lang w:val="id-ID"/>
        </w:rPr>
        <w:t xml:space="preserve"> yang </w:t>
      </w:r>
      <w:r w:rsidRPr="00EA5BEA">
        <w:rPr>
          <w:rFonts w:cs="Times New Roman"/>
          <w:i/>
          <w:szCs w:val="24"/>
          <w:lang w:val="id-ID"/>
        </w:rPr>
        <w:t>illegal</w:t>
      </w:r>
      <w:r w:rsidRPr="00EA5BEA">
        <w:rPr>
          <w:rFonts w:cs="Times New Roman"/>
          <w:szCs w:val="24"/>
          <w:lang w:val="id-ID"/>
        </w:rPr>
        <w:t xml:space="preserve"> sejumlah 338.</w:t>
      </w:r>
      <w:r w:rsidRPr="00EA5BEA">
        <w:rPr>
          <w:rStyle w:val="FootnoteReference"/>
          <w:rFonts w:cs="Times New Roman"/>
          <w:szCs w:val="24"/>
          <w:lang w:val="id-ID"/>
        </w:rPr>
        <w:footnoteReference w:id="15"/>
      </w:r>
      <w:r w:rsidRPr="00EA5BEA">
        <w:rPr>
          <w:rFonts w:cs="Times New Roman"/>
          <w:szCs w:val="24"/>
          <w:lang w:val="id-ID"/>
        </w:rPr>
        <w:t xml:space="preserve"> Kondisi ini, Pemerintah semestinya diikuti dengan lahirnya peraturan perundang-undang yang memadai agar menyokongnya. Peraturan-peraturan ini agar memberikan keamanan bagi seluruh stakeholder terkait praktek </w:t>
      </w:r>
      <w:r w:rsidRPr="00EA5BEA">
        <w:rPr>
          <w:rFonts w:cs="Times New Roman"/>
          <w:i/>
          <w:szCs w:val="24"/>
          <w:lang w:val="id-ID"/>
        </w:rPr>
        <w:t>financial</w:t>
      </w:r>
      <w:r w:rsidRPr="00EA5BEA">
        <w:rPr>
          <w:rFonts w:cs="Times New Roman"/>
          <w:szCs w:val="24"/>
          <w:lang w:val="id-ID"/>
        </w:rPr>
        <w:t xml:space="preserve">. Peraturan-peraturan hukum yang sebelumnya ada masih sangat terbatas mengenai pengaturan dan perlindungan hukum terhadap transaksi </w:t>
      </w:r>
      <w:r w:rsidRPr="00EA5BEA">
        <w:rPr>
          <w:rFonts w:cs="Times New Roman"/>
          <w:i/>
          <w:szCs w:val="24"/>
          <w:lang w:val="id-ID"/>
        </w:rPr>
        <w:t>fintech</w:t>
      </w:r>
      <w:r w:rsidRPr="00EA5BEA">
        <w:rPr>
          <w:rFonts w:cs="Times New Roman"/>
          <w:szCs w:val="24"/>
          <w:lang w:val="id-ID"/>
        </w:rPr>
        <w:t xml:space="preserve">, menurut Deputi Komisioner Otoritas Jasa Keuangan Institute dan Keuangan Digital menyatakan bahwa </w:t>
      </w:r>
      <w:r w:rsidRPr="00EA5BEA">
        <w:rPr>
          <w:rFonts w:cs="Times New Roman"/>
          <w:i/>
          <w:szCs w:val="24"/>
          <w:lang w:val="id-ID"/>
        </w:rPr>
        <w:t>fintech</w:t>
      </w:r>
      <w:r w:rsidRPr="00EA5BEA">
        <w:rPr>
          <w:rFonts w:cs="Times New Roman"/>
          <w:szCs w:val="24"/>
          <w:lang w:val="id-ID"/>
        </w:rPr>
        <w:t xml:space="preserve"> ini belum ada undang-Undangnya, dengan kondisi yang demikian maka perlu pembuatan Undang-Undang tentang </w:t>
      </w:r>
      <w:r w:rsidRPr="00EA5BEA">
        <w:rPr>
          <w:rFonts w:cs="Times New Roman"/>
          <w:i/>
          <w:szCs w:val="24"/>
          <w:lang w:val="id-ID"/>
        </w:rPr>
        <w:t>fintech</w:t>
      </w:r>
      <w:r w:rsidRPr="00EA5BEA">
        <w:rPr>
          <w:rFonts w:cs="Times New Roman"/>
          <w:szCs w:val="24"/>
          <w:lang w:val="id-ID"/>
        </w:rPr>
        <w:t xml:space="preserve"> agar memperjelas kedudukannya. Hal ini menyangkut penjelasan mengenai </w:t>
      </w:r>
      <w:r w:rsidRPr="00EA5BEA">
        <w:rPr>
          <w:rFonts w:cs="Times New Roman"/>
          <w:i/>
          <w:szCs w:val="24"/>
          <w:lang w:val="id-ID"/>
        </w:rPr>
        <w:t>fintech</w:t>
      </w:r>
      <w:r w:rsidRPr="00EA5BEA">
        <w:rPr>
          <w:rFonts w:cs="Times New Roman"/>
          <w:szCs w:val="24"/>
          <w:lang w:val="id-ID"/>
        </w:rPr>
        <w:t xml:space="preserve"> itu apa, kemudian cakupan komoditinya seperti apa, serta siapa saja yang mengaturnya, apa saja yang diharuskan dan dilarang, ini semua harus jelas.</w:t>
      </w:r>
      <w:r w:rsidRPr="00EA5BEA">
        <w:rPr>
          <w:rStyle w:val="FootnoteReference"/>
          <w:rFonts w:cs="Times New Roman"/>
          <w:szCs w:val="24"/>
          <w:lang w:val="id-ID"/>
        </w:rPr>
        <w:t xml:space="preserve"> </w:t>
      </w:r>
      <w:r w:rsidRPr="00EA5BEA">
        <w:rPr>
          <w:rStyle w:val="FootnoteReference"/>
          <w:rFonts w:cs="Times New Roman"/>
          <w:szCs w:val="24"/>
          <w:lang w:val="id-ID"/>
        </w:rPr>
        <w:footnoteReference w:id="16"/>
      </w:r>
    </w:p>
    <w:p w14:paraId="6AC01809" w14:textId="77777777" w:rsidR="003C05E3" w:rsidRPr="00EA5BEA" w:rsidRDefault="003C05E3" w:rsidP="003C05E3">
      <w:pPr>
        <w:spacing w:after="0" w:line="240" w:lineRule="auto"/>
        <w:ind w:firstLine="709"/>
        <w:jc w:val="both"/>
        <w:rPr>
          <w:rFonts w:cs="Times New Roman"/>
          <w:szCs w:val="24"/>
          <w:lang w:val="id-ID"/>
        </w:rPr>
      </w:pPr>
      <w:r w:rsidRPr="00EA5BEA">
        <w:rPr>
          <w:rFonts w:cs="Times New Roman"/>
          <w:szCs w:val="24"/>
          <w:lang w:val="id-ID"/>
        </w:rPr>
        <w:t xml:space="preserve">Menurut Deputi Komisioner Otoritas Jasa Keuangan, permasalah lain terkait </w:t>
      </w:r>
      <w:r w:rsidRPr="00EA5BEA">
        <w:rPr>
          <w:rFonts w:cs="Times New Roman"/>
          <w:i/>
          <w:szCs w:val="24"/>
          <w:lang w:val="id-ID"/>
        </w:rPr>
        <w:t>financial</w:t>
      </w:r>
      <w:r w:rsidRPr="00EA5BEA">
        <w:rPr>
          <w:rFonts w:cs="Times New Roman"/>
          <w:szCs w:val="24"/>
          <w:lang w:val="id-ID"/>
        </w:rPr>
        <w:t xml:space="preserve"> </w:t>
      </w:r>
      <w:r w:rsidRPr="00EA5BEA">
        <w:rPr>
          <w:rFonts w:cs="Times New Roman"/>
          <w:i/>
          <w:szCs w:val="24"/>
          <w:lang w:val="id-ID"/>
        </w:rPr>
        <w:t>technologi</w:t>
      </w:r>
      <w:r w:rsidRPr="00EA5BEA">
        <w:rPr>
          <w:rFonts w:cs="Times New Roman"/>
          <w:szCs w:val="24"/>
          <w:lang w:val="id-ID"/>
        </w:rPr>
        <w:t xml:space="preserve"> adalah belum ada peraturan yang dapat mengcover </w:t>
      </w:r>
      <w:r w:rsidRPr="00EA5BEA">
        <w:rPr>
          <w:rFonts w:cs="Times New Roman"/>
          <w:i/>
          <w:szCs w:val="24"/>
          <w:lang w:val="id-ID"/>
        </w:rPr>
        <w:t>fintech</w:t>
      </w:r>
      <w:r w:rsidRPr="00EA5BEA">
        <w:rPr>
          <w:rFonts w:cs="Times New Roman"/>
          <w:szCs w:val="24"/>
          <w:lang w:val="id-ID"/>
        </w:rPr>
        <w:t xml:space="preserve"> konvesional maupun </w:t>
      </w:r>
      <w:r w:rsidRPr="00EA5BEA">
        <w:rPr>
          <w:rFonts w:cs="Times New Roman"/>
          <w:i/>
          <w:szCs w:val="24"/>
          <w:lang w:val="id-ID"/>
        </w:rPr>
        <w:t>Fintech</w:t>
      </w:r>
      <w:r w:rsidRPr="00EA5BEA">
        <w:rPr>
          <w:rFonts w:cs="Times New Roman"/>
          <w:szCs w:val="24"/>
          <w:lang w:val="id-ID"/>
        </w:rPr>
        <w:t xml:space="preserve"> Syariah Indonesia. Ketua umum Asosiasi </w:t>
      </w:r>
      <w:r w:rsidRPr="00EA5BEA">
        <w:rPr>
          <w:rFonts w:cs="Times New Roman"/>
          <w:i/>
          <w:szCs w:val="24"/>
          <w:lang w:val="id-ID"/>
        </w:rPr>
        <w:t>Fintech</w:t>
      </w:r>
      <w:r w:rsidRPr="00EA5BEA">
        <w:rPr>
          <w:rFonts w:cs="Times New Roman"/>
          <w:szCs w:val="24"/>
          <w:lang w:val="id-ID"/>
        </w:rPr>
        <w:t xml:space="preserve"> Syariah Indonesia (AFSI) Ronald Yusuf Wijaya meminta Otoritas Jasa Keungan (OJK) untuk membuat peraturan yang lebih umum terkait pengoperasian </w:t>
      </w:r>
      <w:r w:rsidRPr="00EA5BEA">
        <w:rPr>
          <w:rFonts w:cs="Times New Roman"/>
          <w:i/>
          <w:szCs w:val="24"/>
          <w:lang w:val="id-ID"/>
        </w:rPr>
        <w:t>financial technologi</w:t>
      </w:r>
      <w:r w:rsidRPr="00EA5BEA">
        <w:rPr>
          <w:rFonts w:cs="Times New Roman"/>
          <w:szCs w:val="24"/>
          <w:lang w:val="id-ID"/>
        </w:rPr>
        <w:t xml:space="preserve">. Menurutnya peraturan – peraturan ini belum bisa mengakomodir kebutuhan-kebutuhan dalam penyelenggaraan </w:t>
      </w:r>
      <w:r w:rsidRPr="00EA5BEA">
        <w:rPr>
          <w:rFonts w:cs="Times New Roman"/>
          <w:i/>
          <w:szCs w:val="24"/>
          <w:lang w:val="id-ID"/>
        </w:rPr>
        <w:t>fintech</w:t>
      </w:r>
      <w:r w:rsidRPr="00EA5BEA">
        <w:rPr>
          <w:rFonts w:cs="Times New Roman"/>
          <w:szCs w:val="24"/>
          <w:lang w:val="id-ID"/>
        </w:rPr>
        <w:t>.</w:t>
      </w:r>
      <w:r w:rsidRPr="00EA5BEA">
        <w:rPr>
          <w:rStyle w:val="FootnoteReference"/>
          <w:rFonts w:cs="Times New Roman"/>
          <w:szCs w:val="24"/>
          <w:lang w:val="id-ID"/>
        </w:rPr>
        <w:footnoteReference w:id="17"/>
      </w:r>
    </w:p>
    <w:p w14:paraId="6666FE96" w14:textId="77777777" w:rsidR="003C05E3" w:rsidRPr="00EA5BEA" w:rsidRDefault="003C05E3" w:rsidP="003C05E3">
      <w:pPr>
        <w:spacing w:after="0" w:line="240" w:lineRule="auto"/>
        <w:ind w:firstLine="709"/>
        <w:jc w:val="both"/>
        <w:rPr>
          <w:rFonts w:cs="Times New Roman"/>
          <w:szCs w:val="24"/>
          <w:lang w:val="id-ID"/>
        </w:rPr>
      </w:pPr>
      <w:r w:rsidRPr="00EA5BEA">
        <w:rPr>
          <w:rFonts w:cs="Times New Roman"/>
          <w:szCs w:val="24"/>
          <w:lang w:val="id-ID"/>
        </w:rPr>
        <w:t xml:space="preserve">Hal yang sama yang disampaikan oleh Dewan Perwakilan Rakyat dalam pernyataannya menyatakan bahwa peraturan mengenai transaksi keuangan berbasis digital ini seperti </w:t>
      </w:r>
      <w:r w:rsidRPr="00EA5BEA">
        <w:rPr>
          <w:rFonts w:cs="Times New Roman"/>
          <w:i/>
          <w:szCs w:val="24"/>
          <w:lang w:val="id-ID"/>
        </w:rPr>
        <w:t>fintech</w:t>
      </w:r>
      <w:r w:rsidRPr="00EA5BEA">
        <w:rPr>
          <w:rFonts w:cs="Times New Roman"/>
          <w:szCs w:val="24"/>
          <w:lang w:val="id-ID"/>
        </w:rPr>
        <w:t xml:space="preserve"> belum ada Undang-undangnya, dengan demikian, pengawasan industry </w:t>
      </w:r>
      <w:r w:rsidRPr="00EA5BEA">
        <w:rPr>
          <w:rFonts w:cs="Times New Roman"/>
          <w:i/>
          <w:szCs w:val="24"/>
          <w:lang w:val="id-ID"/>
        </w:rPr>
        <w:t>fintech</w:t>
      </w:r>
      <w:r w:rsidRPr="00EA5BEA">
        <w:rPr>
          <w:rFonts w:cs="Times New Roman"/>
          <w:szCs w:val="24"/>
          <w:lang w:val="id-ID"/>
        </w:rPr>
        <w:t xml:space="preserve"> ini harus diawasi secara massif dan agresif oleh BI dan OJK.</w:t>
      </w:r>
      <w:r w:rsidRPr="00EA5BEA">
        <w:rPr>
          <w:rStyle w:val="FootnoteReference"/>
          <w:rFonts w:cs="Times New Roman"/>
          <w:szCs w:val="24"/>
          <w:lang w:val="id-ID"/>
        </w:rPr>
        <w:footnoteReference w:id="18"/>
      </w:r>
      <w:r w:rsidRPr="00EA5BEA">
        <w:rPr>
          <w:rFonts w:cs="Times New Roman"/>
          <w:szCs w:val="24"/>
          <w:lang w:val="id-ID"/>
        </w:rPr>
        <w:t xml:space="preserve"> Peraturan yang berkaitan dengan transaksi </w:t>
      </w:r>
      <w:r w:rsidRPr="00EA5BEA">
        <w:rPr>
          <w:rFonts w:cs="Times New Roman"/>
          <w:i/>
          <w:szCs w:val="24"/>
          <w:lang w:val="id-ID"/>
        </w:rPr>
        <w:t>financial technologi</w:t>
      </w:r>
      <w:r w:rsidRPr="00EA5BEA">
        <w:rPr>
          <w:rFonts w:cs="Times New Roman"/>
          <w:szCs w:val="24"/>
          <w:lang w:val="id-ID"/>
        </w:rPr>
        <w:t xml:space="preserve"> sampai saat ini memang belum diatur dibeberapa peraturan-peraturan terkait baik dari Otoritas Jasa Keuangan (OJK) maupun Oleh Bank Indonesia (BI), dan/atau pada peraturan-peraturan lainnya.</w:t>
      </w:r>
    </w:p>
    <w:p w14:paraId="1841C139" w14:textId="77777777" w:rsidR="003C05E3" w:rsidRPr="00EA5BEA" w:rsidRDefault="003C05E3" w:rsidP="003C05E3">
      <w:pPr>
        <w:spacing w:after="0" w:line="240" w:lineRule="auto"/>
        <w:jc w:val="both"/>
        <w:rPr>
          <w:rFonts w:cs="Times New Roman"/>
          <w:szCs w:val="24"/>
          <w:lang w:val="id-ID"/>
        </w:rPr>
      </w:pPr>
      <w:r w:rsidRPr="00EA5BEA">
        <w:rPr>
          <w:rFonts w:cs="Times New Roman"/>
          <w:b/>
          <w:szCs w:val="24"/>
          <w:lang w:val="id-ID"/>
        </w:rPr>
        <w:tab/>
      </w:r>
      <w:r w:rsidRPr="00EA5BEA">
        <w:rPr>
          <w:rFonts w:cs="Times New Roman"/>
          <w:szCs w:val="24"/>
          <w:lang w:val="id-ID"/>
        </w:rPr>
        <w:t xml:space="preserve">Dewan Perwakilan Rakyat Indonesia (DPR RI), Kementrian Hukum dan Hak Asasi Manusia, Otoritas Jasa Keuangan (OJK), dan Bank Indonesia (BI) perlu segera memprakarsai dan merancang RUU </w:t>
      </w:r>
      <w:r w:rsidRPr="00EA5BEA">
        <w:rPr>
          <w:rFonts w:cs="Times New Roman"/>
          <w:i/>
          <w:szCs w:val="24"/>
          <w:lang w:val="id-ID"/>
        </w:rPr>
        <w:t>fintech</w:t>
      </w:r>
      <w:r w:rsidRPr="00EA5BEA">
        <w:rPr>
          <w:rFonts w:cs="Times New Roman"/>
          <w:szCs w:val="24"/>
          <w:lang w:val="id-ID"/>
        </w:rPr>
        <w:t xml:space="preserve"> (RUU) untuk badan legislatif nasional 2021. Mendorong dan memberlakukannya agar </w:t>
      </w:r>
      <w:r w:rsidRPr="00EA5BEA">
        <w:rPr>
          <w:rFonts w:cs="Times New Roman"/>
          <w:i/>
          <w:szCs w:val="24"/>
          <w:lang w:val="id-ID"/>
        </w:rPr>
        <w:t>Industry</w:t>
      </w:r>
      <w:r w:rsidRPr="00EA5BEA">
        <w:rPr>
          <w:rFonts w:cs="Times New Roman"/>
          <w:szCs w:val="24"/>
          <w:lang w:val="id-ID"/>
        </w:rPr>
        <w:t xml:space="preserve"> </w:t>
      </w:r>
      <w:r w:rsidRPr="00EA5BEA">
        <w:rPr>
          <w:rFonts w:cs="Times New Roman"/>
          <w:i/>
          <w:szCs w:val="24"/>
          <w:lang w:val="id-ID"/>
        </w:rPr>
        <w:t>fintech</w:t>
      </w:r>
      <w:r w:rsidRPr="00EA5BEA">
        <w:rPr>
          <w:rFonts w:cs="Times New Roman"/>
          <w:szCs w:val="24"/>
          <w:lang w:val="id-ID"/>
        </w:rPr>
        <w:t xml:space="preserve"> Indonesia dapat memiliki legal framework yang kuat. OJK dan BI perlu segera membentuk badan </w:t>
      </w:r>
      <w:r w:rsidRPr="00EA5BEA">
        <w:rPr>
          <w:rFonts w:cs="Times New Roman"/>
          <w:i/>
          <w:szCs w:val="24"/>
          <w:lang w:val="id-ID"/>
        </w:rPr>
        <w:t>alternative</w:t>
      </w:r>
      <w:r w:rsidRPr="00EA5BEA">
        <w:rPr>
          <w:rFonts w:cs="Times New Roman"/>
          <w:szCs w:val="24"/>
          <w:lang w:val="id-ID"/>
        </w:rPr>
        <w:t xml:space="preserve"> </w:t>
      </w:r>
      <w:r w:rsidRPr="00EA5BEA">
        <w:rPr>
          <w:rFonts w:cs="Times New Roman"/>
          <w:szCs w:val="24"/>
          <w:lang w:val="id-ID"/>
        </w:rPr>
        <w:lastRenderedPageBreak/>
        <w:t xml:space="preserve">penyelesaian sengketa khusus sector </w:t>
      </w:r>
      <w:r w:rsidRPr="00EA5BEA">
        <w:rPr>
          <w:rFonts w:cs="Times New Roman"/>
          <w:i/>
          <w:szCs w:val="24"/>
          <w:lang w:val="id-ID"/>
        </w:rPr>
        <w:t>fintech</w:t>
      </w:r>
      <w:r w:rsidRPr="00EA5BEA">
        <w:rPr>
          <w:rFonts w:cs="Times New Roman"/>
          <w:szCs w:val="24"/>
          <w:lang w:val="id-ID"/>
        </w:rPr>
        <w:t xml:space="preserve"> untuk memberikan langkah-langkah non litigasi. Merancang undang-undang </w:t>
      </w:r>
      <w:r w:rsidRPr="00EA5BEA">
        <w:rPr>
          <w:rFonts w:cs="Times New Roman"/>
          <w:i/>
          <w:szCs w:val="24"/>
          <w:lang w:val="id-ID"/>
        </w:rPr>
        <w:t>fintech</w:t>
      </w:r>
      <w:r w:rsidRPr="00EA5BEA">
        <w:rPr>
          <w:rFonts w:cs="Times New Roman"/>
          <w:szCs w:val="24"/>
          <w:lang w:val="id-ID"/>
        </w:rPr>
        <w:t xml:space="preserve"> yang mengakomodir aspirasi dan partisipasi pemangku kepentingan terkait dengan tetap memastiakn implementasi yang realistis, proses legislasi perlu melibatkan antara lain, Kementrian Keuangan, Otoritas Jasa Keunagan (OJK), Bank Indonesia (BI), Asosiasi Fintech Indonesia (AFI), Asosiasi Fintech Pendanaan bersama Indonesia (AFSI), Bisnis Swasta, Public serta pemangku Kepentingan terkait lainnya.</w:t>
      </w:r>
    </w:p>
    <w:p w14:paraId="2D9E5D6F" w14:textId="77777777" w:rsidR="003C05E3" w:rsidRPr="00EA5BEA" w:rsidRDefault="003C05E3" w:rsidP="003C05E3">
      <w:pPr>
        <w:spacing w:after="0" w:line="240" w:lineRule="auto"/>
        <w:ind w:firstLine="709"/>
        <w:jc w:val="both"/>
        <w:rPr>
          <w:rFonts w:cs="Times New Roman"/>
          <w:szCs w:val="24"/>
          <w:lang w:val="id-ID"/>
        </w:rPr>
      </w:pPr>
      <w:r w:rsidRPr="00EA5BEA">
        <w:rPr>
          <w:rFonts w:cs="Times New Roman"/>
          <w:szCs w:val="24"/>
          <w:lang w:val="id-ID"/>
        </w:rPr>
        <w:t xml:space="preserve">Tidak adanya Undang-undang </w:t>
      </w:r>
      <w:r w:rsidRPr="00EA5BEA">
        <w:rPr>
          <w:rFonts w:cs="Times New Roman"/>
          <w:i/>
          <w:szCs w:val="24"/>
          <w:lang w:val="id-ID"/>
        </w:rPr>
        <w:t>fintech</w:t>
      </w:r>
      <w:r w:rsidRPr="00EA5BEA">
        <w:rPr>
          <w:rFonts w:cs="Times New Roman"/>
          <w:szCs w:val="24"/>
          <w:lang w:val="id-ID"/>
        </w:rPr>
        <w:t xml:space="preserve"> tertentu yang masih berlaku jelas tidak menyurutkan niat para pelaku tekfin untuk melakukan pelanggaran hukum. secara berurutan, aktivitas tekfin </w:t>
      </w:r>
      <w:r w:rsidRPr="00EA5BEA">
        <w:rPr>
          <w:rFonts w:cs="Times New Roman"/>
          <w:i/>
          <w:szCs w:val="24"/>
          <w:lang w:val="id-ID"/>
        </w:rPr>
        <w:t>illegal</w:t>
      </w:r>
      <w:r w:rsidRPr="00EA5BEA">
        <w:rPr>
          <w:rFonts w:cs="Times New Roman"/>
          <w:szCs w:val="24"/>
          <w:lang w:val="id-ID"/>
        </w:rPr>
        <w:t xml:space="preserve"> menyebabka perlindungan hukum yang tidak memadai bagi pihak-pihak yang rentan. Tanpa mitigasi yang tepat dan memadai, masalah ini dapat berdampak serius pada stabilitas keuangan.</w:t>
      </w:r>
      <w:r w:rsidRPr="00EA5BEA">
        <w:rPr>
          <w:rStyle w:val="FootnoteReference"/>
          <w:rFonts w:cs="Times New Roman"/>
          <w:szCs w:val="24"/>
          <w:lang w:val="id-ID"/>
        </w:rPr>
        <w:footnoteReference w:id="19"/>
      </w:r>
    </w:p>
    <w:p w14:paraId="2F7327DE" w14:textId="77777777" w:rsidR="003C05E3" w:rsidRPr="00EA5BEA" w:rsidRDefault="003C05E3" w:rsidP="003C05E3">
      <w:pPr>
        <w:spacing w:after="0" w:line="240" w:lineRule="auto"/>
        <w:ind w:firstLine="709"/>
        <w:jc w:val="both"/>
        <w:rPr>
          <w:rFonts w:cs="Times New Roman"/>
          <w:szCs w:val="24"/>
          <w:lang w:val="id-ID"/>
        </w:rPr>
      </w:pPr>
      <w:r w:rsidRPr="00EA5BEA">
        <w:rPr>
          <w:rFonts w:cs="Times New Roman"/>
          <w:szCs w:val="24"/>
          <w:lang w:val="id-ID"/>
        </w:rPr>
        <w:t>Mengingat masalah yang sangat serius seputar tekfin dan kurangnya regulasi yang komprehensif untuk industry saat ini, Indonesia ssangat membutuhkan kerangka hukum yang baik dalam bentuk undang-undang. Kebijakan yang ada, peraturan bank Indonesia (PBI), dan peraturan otoritas jasa keuangan (POJK), hanya mengatur hal-hal teknis di industri sehingga kekuatan hukumnya sangat lemah. Selain sebagai pelindung hukum bagi industry tekfin, UU fintech juga berfungsi sebagai mitigasi hukum bagi pemangku kepentingan terkait yang mencegah berbagai potensi resiko.</w:t>
      </w:r>
      <w:r w:rsidRPr="00EA5BEA">
        <w:rPr>
          <w:rStyle w:val="FootnoteReference"/>
          <w:rFonts w:cs="Times New Roman"/>
          <w:szCs w:val="24"/>
          <w:lang w:val="id-ID"/>
        </w:rPr>
        <w:footnoteReference w:id="20"/>
      </w:r>
      <w:r w:rsidRPr="00EA5BEA">
        <w:rPr>
          <w:rFonts w:cs="Times New Roman"/>
          <w:i/>
          <w:szCs w:val="24"/>
          <w:lang w:val="id-ID"/>
        </w:rPr>
        <w:t xml:space="preserve"> Fintech law</w:t>
      </w:r>
      <w:r w:rsidRPr="00EA5BEA">
        <w:rPr>
          <w:rStyle w:val="FootnoteReference"/>
          <w:rFonts w:cs="Times New Roman"/>
          <w:i/>
          <w:szCs w:val="24"/>
          <w:lang w:val="id-ID"/>
        </w:rPr>
        <w:footnoteReference w:id="21"/>
      </w:r>
      <w:r w:rsidRPr="00EA5BEA">
        <w:rPr>
          <w:rFonts w:cs="Times New Roman"/>
          <w:szCs w:val="24"/>
          <w:lang w:val="id-ID"/>
        </w:rPr>
        <w:t xml:space="preserve"> dapat membantu menjaga stabilitas keuangan, memperkuat perlindungan konsumen.</w:t>
      </w:r>
      <w:r w:rsidRPr="00EA5BEA">
        <w:rPr>
          <w:rStyle w:val="FootnoteReference"/>
          <w:rFonts w:cs="Times New Roman"/>
          <w:szCs w:val="24"/>
          <w:lang w:val="id-ID"/>
        </w:rPr>
        <w:footnoteReference w:id="22"/>
      </w:r>
      <w:r w:rsidRPr="00EA5BEA">
        <w:rPr>
          <w:rFonts w:cs="Times New Roman"/>
          <w:szCs w:val="24"/>
          <w:lang w:val="id-ID"/>
        </w:rPr>
        <w:t>, dan mendorong perkembangan ekonomi digital.</w:t>
      </w:r>
      <w:r w:rsidRPr="00EA5BEA">
        <w:rPr>
          <w:rStyle w:val="FootnoteReference"/>
          <w:rFonts w:cs="Times New Roman"/>
          <w:szCs w:val="24"/>
          <w:lang w:val="id-ID"/>
        </w:rPr>
        <w:footnoteReference w:id="23"/>
      </w:r>
    </w:p>
    <w:p w14:paraId="6FCD407E" w14:textId="77777777" w:rsidR="003C05E3" w:rsidRPr="00EA5BEA" w:rsidRDefault="003C05E3" w:rsidP="003C05E3">
      <w:pPr>
        <w:spacing w:after="0" w:line="240" w:lineRule="auto"/>
        <w:ind w:firstLine="709"/>
        <w:jc w:val="both"/>
        <w:rPr>
          <w:rFonts w:cs="Times New Roman"/>
          <w:szCs w:val="24"/>
          <w:lang w:val="id-ID"/>
        </w:rPr>
      </w:pPr>
      <w:r w:rsidRPr="00EA5BEA">
        <w:rPr>
          <w:rFonts w:cs="Times New Roman"/>
          <w:szCs w:val="24"/>
          <w:lang w:val="id-ID"/>
        </w:rPr>
        <w:t xml:space="preserve">Banyak studi empiris telah menyelidiki masalah </w:t>
      </w:r>
      <w:r w:rsidRPr="00EA5BEA">
        <w:rPr>
          <w:rFonts w:cs="Times New Roman"/>
          <w:i/>
          <w:szCs w:val="24"/>
          <w:lang w:val="id-ID"/>
        </w:rPr>
        <w:t>Financial Technology</w:t>
      </w:r>
      <w:r w:rsidRPr="00EA5BEA">
        <w:rPr>
          <w:rFonts w:cs="Times New Roman"/>
          <w:szCs w:val="24"/>
          <w:lang w:val="id-ID"/>
        </w:rPr>
        <w:t xml:space="preserve"> ini.</w:t>
      </w:r>
      <w:r w:rsidRPr="00EA5BEA">
        <w:rPr>
          <w:rStyle w:val="FootnoteReference"/>
          <w:rFonts w:cs="Times New Roman"/>
          <w:szCs w:val="24"/>
          <w:lang w:val="id-ID"/>
        </w:rPr>
        <w:footnoteReference w:id="24"/>
      </w:r>
      <w:r w:rsidRPr="00EA5BEA">
        <w:rPr>
          <w:rFonts w:cs="Times New Roman"/>
          <w:szCs w:val="24"/>
          <w:lang w:val="id-ID"/>
        </w:rPr>
        <w:t xml:space="preserve"> Dalam penelitian Rosenblum bahwa regulasi Khusus </w:t>
      </w:r>
      <w:r w:rsidRPr="00EA5BEA">
        <w:rPr>
          <w:rFonts w:cs="Times New Roman"/>
          <w:i/>
          <w:szCs w:val="24"/>
          <w:lang w:val="id-ID"/>
        </w:rPr>
        <w:t>Fintech</w:t>
      </w:r>
      <w:r w:rsidRPr="00EA5BEA">
        <w:rPr>
          <w:rFonts w:cs="Times New Roman"/>
          <w:szCs w:val="24"/>
          <w:lang w:val="id-ID"/>
        </w:rPr>
        <w:t xml:space="preserve"> penting untuk di gagas hal ini, guna upaya perlindungan hukum terhadap konsumen pengguna </w:t>
      </w:r>
      <w:r w:rsidRPr="00EA5BEA">
        <w:rPr>
          <w:rFonts w:cs="Times New Roman"/>
          <w:i/>
          <w:szCs w:val="24"/>
          <w:lang w:val="id-ID"/>
        </w:rPr>
        <w:t>fintech</w:t>
      </w:r>
      <w:r w:rsidRPr="00EA5BEA">
        <w:rPr>
          <w:rStyle w:val="FootnoteReference"/>
          <w:rFonts w:cs="Times New Roman"/>
          <w:i/>
          <w:szCs w:val="24"/>
          <w:lang w:val="id-ID"/>
        </w:rPr>
        <w:footnoteReference w:id="25"/>
      </w:r>
      <w:r w:rsidRPr="00EA5BEA">
        <w:rPr>
          <w:rFonts w:cs="Times New Roman"/>
          <w:i/>
          <w:szCs w:val="24"/>
          <w:lang w:val="id-ID"/>
        </w:rPr>
        <w:t xml:space="preserve">. </w:t>
      </w:r>
      <w:r w:rsidRPr="00EA5BEA">
        <w:rPr>
          <w:rFonts w:cs="Times New Roman"/>
          <w:szCs w:val="24"/>
          <w:lang w:val="id-ID"/>
        </w:rPr>
        <w:t xml:space="preserve">Disisi lain juga dalam penelitian Jagtiani berpendapat yang sama bahwa regulasi khusus </w:t>
      </w:r>
      <w:r w:rsidRPr="00EA5BEA">
        <w:rPr>
          <w:rFonts w:cs="Times New Roman"/>
          <w:i/>
          <w:szCs w:val="24"/>
          <w:lang w:val="id-ID"/>
        </w:rPr>
        <w:t>fintech</w:t>
      </w:r>
      <w:r w:rsidRPr="00EA5BEA">
        <w:rPr>
          <w:rFonts w:cs="Times New Roman"/>
          <w:szCs w:val="24"/>
          <w:lang w:val="id-ID"/>
        </w:rPr>
        <w:t xml:space="preserve"> penting, sebagai regulasi hukum yang dapat memberikan perlindungan hukum konsumen dan  menjaga stabilitas keuangan serta dapat menciptakan perlindungan untuk inovasi </w:t>
      </w:r>
      <w:r w:rsidRPr="00EA5BEA">
        <w:rPr>
          <w:rFonts w:cs="Times New Roman"/>
          <w:i/>
          <w:szCs w:val="24"/>
          <w:lang w:val="id-ID"/>
        </w:rPr>
        <w:t>fintech</w:t>
      </w:r>
      <w:r w:rsidRPr="00EA5BEA">
        <w:rPr>
          <w:rFonts w:cs="Times New Roman"/>
          <w:szCs w:val="24"/>
          <w:lang w:val="id-ID"/>
        </w:rPr>
        <w:t xml:space="preserve"> berikutnya.</w:t>
      </w:r>
      <w:r w:rsidRPr="00EA5BEA">
        <w:rPr>
          <w:rStyle w:val="FootnoteReference"/>
          <w:rFonts w:cs="Times New Roman"/>
          <w:szCs w:val="24"/>
          <w:lang w:val="id-ID"/>
        </w:rPr>
        <w:footnoteReference w:id="26"/>
      </w:r>
    </w:p>
    <w:p w14:paraId="3030219A" w14:textId="77777777" w:rsidR="003C05E3" w:rsidRPr="00EA5BEA" w:rsidRDefault="003C05E3" w:rsidP="003C05E3">
      <w:pPr>
        <w:spacing w:after="0" w:line="240" w:lineRule="auto"/>
        <w:ind w:firstLine="709"/>
        <w:jc w:val="both"/>
        <w:rPr>
          <w:rFonts w:cs="Times New Roman"/>
          <w:szCs w:val="24"/>
          <w:lang w:val="id-ID"/>
        </w:rPr>
      </w:pPr>
      <w:r w:rsidRPr="00EA5BEA">
        <w:rPr>
          <w:rFonts w:cs="Times New Roman"/>
          <w:szCs w:val="24"/>
          <w:lang w:val="id-ID"/>
        </w:rPr>
        <w:t xml:space="preserve">Sementara itu Magnuson, mengamati bahwa regulasi saat ini telah gagal memperhitungkan kebangkitan perusahaan teknologi keuangan dan perubahan mendasar yang mereka bawa keberbagai bidang, mulai dari cara kerja perbankan, hingga cara modal dikumpulkan, bahkan hingga dalam bentuk uang. Dari perubahan ini membutuhkan rekonseptualisasi yang kuat dari regulasi keuangan di era keuangan yang </w:t>
      </w:r>
      <w:r w:rsidRPr="00EA5BEA">
        <w:rPr>
          <w:rFonts w:cs="Times New Roman"/>
          <w:szCs w:val="24"/>
          <w:lang w:val="id-ID"/>
        </w:rPr>
        <w:lastRenderedPageBreak/>
        <w:t>didukung teknologi.</w:t>
      </w:r>
      <w:r w:rsidRPr="00EA5BEA">
        <w:rPr>
          <w:rStyle w:val="FootnoteReference"/>
          <w:rFonts w:cs="Times New Roman"/>
          <w:szCs w:val="24"/>
          <w:lang w:val="id-ID"/>
        </w:rPr>
        <w:footnoteReference w:id="27"/>
      </w:r>
      <w:r w:rsidRPr="00EA5BEA">
        <w:rPr>
          <w:rFonts w:cs="Times New Roman"/>
          <w:szCs w:val="24"/>
          <w:lang w:val="id-ID"/>
        </w:rPr>
        <w:t xml:space="preserve"> Lebih jauh, beberapa penelitian semuanya setuju bahwa mengatur </w:t>
      </w:r>
      <w:r w:rsidRPr="00EA5BEA">
        <w:rPr>
          <w:rFonts w:cs="Times New Roman"/>
          <w:i/>
          <w:szCs w:val="24"/>
          <w:lang w:val="id-ID"/>
        </w:rPr>
        <w:t>fintech</w:t>
      </w:r>
      <w:r w:rsidRPr="00EA5BEA">
        <w:rPr>
          <w:rFonts w:cs="Times New Roman"/>
          <w:szCs w:val="24"/>
          <w:lang w:val="id-ID"/>
        </w:rPr>
        <w:t xml:space="preserve"> adalah yang paling penting di zaman sekarang ini, baik penelitian yang dikemukan oleh, Chatterjee tahun 2019, Penelitian yang dilakukan oleh Carmona, Dkk, 2018,</w:t>
      </w:r>
      <w:r w:rsidRPr="00EA5BEA">
        <w:rPr>
          <w:rStyle w:val="FootnoteReference"/>
          <w:rFonts w:cs="Times New Roman"/>
          <w:szCs w:val="24"/>
          <w:lang w:val="id-ID"/>
        </w:rPr>
        <w:footnoteReference w:id="28"/>
      </w:r>
      <w:r w:rsidRPr="00EA5BEA">
        <w:rPr>
          <w:rStyle w:val="FootnoteReference"/>
          <w:rFonts w:cs="Times New Roman"/>
          <w:szCs w:val="24"/>
          <w:lang w:val="id-ID"/>
        </w:rPr>
        <w:t xml:space="preserve"> </w:t>
      </w:r>
      <w:r w:rsidRPr="00EA5BEA">
        <w:rPr>
          <w:rFonts w:cs="Times New Roman"/>
          <w:szCs w:val="24"/>
          <w:lang w:val="id-ID"/>
        </w:rPr>
        <w:t>Penelitian Arneret, at., tahun 2017,</w:t>
      </w:r>
      <w:r w:rsidRPr="00EA5BEA">
        <w:rPr>
          <w:rStyle w:val="FootnoteReference"/>
          <w:rFonts w:cs="Times New Roman"/>
          <w:szCs w:val="24"/>
          <w:lang w:val="id-ID"/>
        </w:rPr>
        <w:footnoteReference w:id="29"/>
      </w:r>
      <w:r w:rsidRPr="00EA5BEA">
        <w:rPr>
          <w:rFonts w:cs="Times New Roman"/>
          <w:szCs w:val="24"/>
          <w:lang w:val="id-ID"/>
        </w:rPr>
        <w:t xml:space="preserve"> Penelitian Saksonova and Kuzmina-Merlino tahun 2017,</w:t>
      </w:r>
      <w:r w:rsidRPr="00EA5BEA">
        <w:rPr>
          <w:rStyle w:val="FootnoteReference"/>
          <w:rFonts w:cs="Times New Roman"/>
          <w:szCs w:val="24"/>
          <w:lang w:val="id-ID"/>
        </w:rPr>
        <w:footnoteReference w:id="30"/>
      </w:r>
      <w:r w:rsidRPr="00EA5BEA">
        <w:rPr>
          <w:rFonts w:cs="Times New Roman"/>
          <w:szCs w:val="24"/>
          <w:lang w:val="id-ID"/>
        </w:rPr>
        <w:t xml:space="preserve"> serta Penelitian Treleven tahun 2015.</w:t>
      </w:r>
      <w:r w:rsidRPr="00EA5BEA">
        <w:rPr>
          <w:rStyle w:val="FootnoteReference"/>
          <w:rFonts w:cs="Times New Roman"/>
          <w:szCs w:val="24"/>
          <w:lang w:val="id-ID"/>
        </w:rPr>
        <w:footnoteReference w:id="31"/>
      </w:r>
      <w:r w:rsidRPr="00EA5BEA">
        <w:rPr>
          <w:rFonts w:cs="Times New Roman"/>
          <w:szCs w:val="24"/>
          <w:lang w:val="id-ID"/>
        </w:rPr>
        <w:t xml:space="preserve"> Dalam beberapa penelitian yang diuaraikan tersebut oleh para peneliti, semuanya bersepakat bahwa pengaturan serta regulasi khusus </w:t>
      </w:r>
      <w:r w:rsidRPr="00EA5BEA">
        <w:rPr>
          <w:rFonts w:cs="Times New Roman"/>
          <w:i/>
          <w:szCs w:val="24"/>
          <w:lang w:val="id-ID"/>
        </w:rPr>
        <w:t xml:space="preserve">Fintech </w:t>
      </w:r>
      <w:r w:rsidRPr="00EA5BEA">
        <w:rPr>
          <w:rFonts w:cs="Times New Roman"/>
          <w:szCs w:val="24"/>
          <w:lang w:val="id-ID"/>
        </w:rPr>
        <w:t xml:space="preserve">perlu di atur secara khusus serta agar dapat memberikan perlindungan hukum terhadap  pengguna </w:t>
      </w:r>
      <w:r w:rsidRPr="00EA5BEA">
        <w:rPr>
          <w:rFonts w:cs="Times New Roman"/>
          <w:i/>
          <w:szCs w:val="24"/>
          <w:lang w:val="id-ID"/>
        </w:rPr>
        <w:t>fintech</w:t>
      </w:r>
      <w:r w:rsidRPr="00EA5BEA">
        <w:rPr>
          <w:rFonts w:cs="Times New Roman"/>
          <w:szCs w:val="24"/>
          <w:lang w:val="id-ID"/>
        </w:rPr>
        <w:t xml:space="preserve">. </w:t>
      </w:r>
    </w:p>
    <w:p w14:paraId="4185E624" w14:textId="77777777" w:rsidR="003C05E3" w:rsidRPr="00EA5BEA" w:rsidRDefault="003C05E3" w:rsidP="003C05E3">
      <w:pPr>
        <w:spacing w:after="0" w:line="240" w:lineRule="auto"/>
        <w:ind w:firstLine="709"/>
        <w:jc w:val="both"/>
        <w:rPr>
          <w:rFonts w:cs="Times New Roman"/>
          <w:szCs w:val="24"/>
          <w:lang w:val="id-ID"/>
        </w:rPr>
      </w:pPr>
      <w:r w:rsidRPr="00EA5BEA">
        <w:rPr>
          <w:szCs w:val="24"/>
          <w:lang w:val="id-ID"/>
        </w:rPr>
        <w:t xml:space="preserve">Berdasarkan uraian diatas maka dalam artikel ini yang hendak dibahas adalah: bagaimana Peraturan Hukum Yang di Keluarkan Bank Indonesia dan Otoritas Jasa Keuangan tentang </w:t>
      </w:r>
      <w:r w:rsidRPr="00EA5BEA">
        <w:rPr>
          <w:i/>
          <w:szCs w:val="24"/>
          <w:lang w:val="id-ID"/>
        </w:rPr>
        <w:t xml:space="preserve">fintech </w:t>
      </w:r>
      <w:r w:rsidRPr="00EA5BEA">
        <w:rPr>
          <w:szCs w:val="24"/>
          <w:lang w:val="id-ID"/>
        </w:rPr>
        <w:t xml:space="preserve">di Indonesia. Serta </w:t>
      </w:r>
      <w:r w:rsidRPr="00EA5BEA">
        <w:rPr>
          <w:rFonts w:cs="Times New Roman"/>
          <w:szCs w:val="24"/>
          <w:lang w:val="id-ID"/>
        </w:rPr>
        <w:t xml:space="preserve">Urgensi Pembentukan UU </w:t>
      </w:r>
      <w:r w:rsidRPr="00EA5BEA">
        <w:rPr>
          <w:rFonts w:cs="Times New Roman"/>
          <w:i/>
          <w:szCs w:val="24"/>
          <w:lang w:val="id-ID"/>
        </w:rPr>
        <w:t xml:space="preserve">fintech </w:t>
      </w:r>
      <w:r w:rsidRPr="00EA5BEA">
        <w:rPr>
          <w:rFonts w:cs="Times New Roman"/>
          <w:szCs w:val="24"/>
          <w:lang w:val="id-ID"/>
        </w:rPr>
        <w:t xml:space="preserve">terhadap Perlindungan Konsumen </w:t>
      </w:r>
      <w:r w:rsidRPr="00EA5BEA">
        <w:rPr>
          <w:rFonts w:cs="Times New Roman"/>
          <w:i/>
          <w:szCs w:val="24"/>
          <w:lang w:val="id-ID"/>
        </w:rPr>
        <w:t>fintech</w:t>
      </w:r>
      <w:r w:rsidRPr="00EA5BEA">
        <w:rPr>
          <w:rFonts w:cs="Times New Roman"/>
          <w:szCs w:val="24"/>
          <w:lang w:val="id-ID"/>
        </w:rPr>
        <w:t>.</w:t>
      </w:r>
    </w:p>
    <w:p w14:paraId="4149E030" w14:textId="77777777" w:rsidR="003C05E3" w:rsidRDefault="003C05E3" w:rsidP="003C05E3">
      <w:pPr>
        <w:spacing w:after="0" w:line="240" w:lineRule="auto"/>
        <w:jc w:val="both"/>
        <w:rPr>
          <w:rFonts w:cs="Times New Roman"/>
          <w:color w:val="000000" w:themeColor="text1"/>
        </w:rPr>
      </w:pPr>
    </w:p>
    <w:p w14:paraId="4A2A620F" w14:textId="77777777" w:rsidR="003C05E3" w:rsidRPr="0031161B" w:rsidRDefault="003C05E3" w:rsidP="00DC7FCE">
      <w:pPr>
        <w:spacing w:after="0"/>
        <w:jc w:val="both"/>
        <w:rPr>
          <w:rFonts w:cs="Times New Roman"/>
          <w:color w:val="000000" w:themeColor="text1"/>
          <w:sz w:val="28"/>
          <w:szCs w:val="24"/>
        </w:rPr>
      </w:pPr>
    </w:p>
    <w:p w14:paraId="7438DEC1" w14:textId="77777777" w:rsidR="00424260" w:rsidRDefault="00DC7FCE" w:rsidP="00424260">
      <w:pPr>
        <w:pStyle w:val="ListParagraph1"/>
        <w:numPr>
          <w:ilvl w:val="0"/>
          <w:numId w:val="1"/>
        </w:numPr>
        <w:tabs>
          <w:tab w:val="left" w:pos="426"/>
        </w:tabs>
        <w:spacing w:after="0" w:line="360" w:lineRule="auto"/>
        <w:ind w:left="426" w:hanging="426"/>
        <w:jc w:val="both"/>
        <w:rPr>
          <w:b/>
          <w:bCs/>
          <w:color w:val="1F4E79" w:themeColor="accent1" w:themeShade="80"/>
        </w:rPr>
      </w:pPr>
      <w:r w:rsidRPr="00E13DB4">
        <w:rPr>
          <w:b/>
          <w:bCs/>
          <w:color w:val="1F4E79" w:themeColor="accent1" w:themeShade="80"/>
        </w:rPr>
        <w:t>METODE PENELITIAN</w:t>
      </w:r>
    </w:p>
    <w:p w14:paraId="1602ABC5" w14:textId="44C68940" w:rsidR="00424260" w:rsidRPr="00424260" w:rsidRDefault="00424260" w:rsidP="00424260">
      <w:pPr>
        <w:pStyle w:val="ListParagraph1"/>
        <w:tabs>
          <w:tab w:val="left" w:pos="426"/>
        </w:tabs>
        <w:spacing w:after="0" w:line="240" w:lineRule="auto"/>
        <w:ind w:left="0" w:firstLine="720"/>
        <w:jc w:val="both"/>
        <w:rPr>
          <w:b/>
          <w:bCs/>
          <w:color w:val="1F4E79" w:themeColor="accent1" w:themeShade="80"/>
        </w:rPr>
      </w:pPr>
      <w:r w:rsidRPr="00424260">
        <w:rPr>
          <w:szCs w:val="24"/>
          <w:lang w:val="id-ID"/>
        </w:rPr>
        <w:t>Dalam penelitian ini adalah penelitian hukum yuridis normatif, adapun yang dimaksud dengan penelitian yuridis normatif adalah penelitian hukum yang mendasarkan analisisnya pada perundang-undangan yang terkait dengan objek/masalah yang menjadi fokus penelitian.</w:t>
      </w:r>
      <w:r w:rsidRPr="00EA5BEA">
        <w:rPr>
          <w:rStyle w:val="FootnoteReference"/>
          <w:rFonts w:cs="Times New Roman"/>
          <w:szCs w:val="24"/>
          <w:lang w:val="id-ID"/>
        </w:rPr>
        <w:footnoteReference w:id="32"/>
      </w:r>
      <w:r w:rsidRPr="00424260">
        <w:rPr>
          <w:szCs w:val="24"/>
          <w:lang w:val="id-ID"/>
        </w:rPr>
        <w:t xml:space="preserve"> Data yang dipergunakan  yaitu data kepustakaan yang diperoleh dari bahan hukum primer seperti undang-undang, POJK, PBI dan Bahan hukum sekunder seperti Buku-Buku hukum dan jurnal hukum. Data penelitian ini diperoleh dengan penelusuran pustaka. Selanjutnya dianalisis dengan menggunakan pendekatan deskriptif analilitis, yaitu cara menganalisis dengan mengambarkan objek yang diteliti.</w:t>
      </w:r>
    </w:p>
    <w:p w14:paraId="67D9F41D" w14:textId="77777777" w:rsidR="00DC7FCE" w:rsidRPr="0031161B" w:rsidRDefault="00DC7FCE" w:rsidP="00DC7FCE">
      <w:pPr>
        <w:spacing w:after="0" w:line="240" w:lineRule="auto"/>
        <w:ind w:firstLine="567"/>
        <w:jc w:val="both"/>
        <w:rPr>
          <w:rFonts w:ascii="Book Antiqua" w:hAnsi="Book Antiqua" w:cs="Calibri"/>
          <w:color w:val="000000" w:themeColor="text1"/>
          <w:sz w:val="22"/>
        </w:rPr>
      </w:pPr>
    </w:p>
    <w:p w14:paraId="3479D337" w14:textId="77777777" w:rsidR="00424260" w:rsidRDefault="003B56F9" w:rsidP="00424260">
      <w:pPr>
        <w:pStyle w:val="ListParagraph1"/>
        <w:numPr>
          <w:ilvl w:val="0"/>
          <w:numId w:val="1"/>
        </w:numPr>
        <w:tabs>
          <w:tab w:val="left" w:pos="426"/>
        </w:tabs>
        <w:spacing w:after="0" w:line="360" w:lineRule="auto"/>
        <w:ind w:left="426" w:hanging="426"/>
        <w:jc w:val="both"/>
        <w:rPr>
          <w:b/>
          <w:bCs/>
          <w:color w:val="1F4E79" w:themeColor="accent1" w:themeShade="80"/>
        </w:rPr>
      </w:pPr>
      <w:r w:rsidRPr="00E13DB4">
        <w:rPr>
          <w:b/>
          <w:bCs/>
          <w:color w:val="1F4E79" w:themeColor="accent1" w:themeShade="80"/>
        </w:rPr>
        <w:t>PEMBAHASAN</w:t>
      </w:r>
    </w:p>
    <w:p w14:paraId="7CD2E3E7" w14:textId="39BA1CF9" w:rsidR="00424260" w:rsidRPr="00424260" w:rsidRDefault="00424260" w:rsidP="00424260">
      <w:pPr>
        <w:pStyle w:val="ListParagraph1"/>
        <w:numPr>
          <w:ilvl w:val="3"/>
          <w:numId w:val="1"/>
        </w:numPr>
        <w:tabs>
          <w:tab w:val="left" w:pos="426"/>
        </w:tabs>
        <w:spacing w:after="0" w:line="240" w:lineRule="auto"/>
        <w:ind w:left="780"/>
        <w:jc w:val="both"/>
        <w:rPr>
          <w:b/>
          <w:bCs/>
          <w:color w:val="1F4E79" w:themeColor="accent1" w:themeShade="80"/>
        </w:rPr>
      </w:pPr>
      <w:r w:rsidRPr="00424260">
        <w:rPr>
          <w:b/>
          <w:szCs w:val="24"/>
          <w:lang w:val="id-ID"/>
        </w:rPr>
        <w:t xml:space="preserve">Peraturan Hukum Yang di Keluarkan Bank Indonesia dan Otoritas Jasa Keuangan tentang </w:t>
      </w:r>
      <w:r w:rsidRPr="00424260">
        <w:rPr>
          <w:b/>
          <w:i/>
          <w:szCs w:val="24"/>
          <w:lang w:val="id-ID"/>
        </w:rPr>
        <w:t xml:space="preserve">fintech </w:t>
      </w:r>
      <w:r w:rsidRPr="00424260">
        <w:rPr>
          <w:b/>
          <w:szCs w:val="24"/>
          <w:lang w:val="id-ID"/>
        </w:rPr>
        <w:t>di Indonesia.</w:t>
      </w:r>
    </w:p>
    <w:p w14:paraId="0189B56E" w14:textId="77777777" w:rsidR="00424260" w:rsidRPr="00424260" w:rsidRDefault="00424260" w:rsidP="00424260">
      <w:pPr>
        <w:pStyle w:val="ListParagraph1"/>
        <w:tabs>
          <w:tab w:val="left" w:pos="426"/>
        </w:tabs>
        <w:spacing w:after="0" w:line="240" w:lineRule="auto"/>
        <w:ind w:left="780"/>
        <w:jc w:val="both"/>
        <w:rPr>
          <w:b/>
          <w:bCs/>
          <w:color w:val="1F4E79" w:themeColor="accent1" w:themeShade="80"/>
        </w:rPr>
      </w:pPr>
    </w:p>
    <w:p w14:paraId="3C77CCF0" w14:textId="77777777" w:rsidR="00424260" w:rsidRDefault="00424260" w:rsidP="00424260">
      <w:pPr>
        <w:pStyle w:val="ListParagraph"/>
        <w:spacing w:after="0"/>
        <w:ind w:left="0" w:firstLine="720"/>
        <w:jc w:val="both"/>
        <w:rPr>
          <w:rFonts w:ascii="Times New Roman" w:hAnsi="Times New Roman"/>
          <w:i/>
          <w:sz w:val="24"/>
          <w:szCs w:val="24"/>
        </w:rPr>
      </w:pPr>
      <w:r w:rsidRPr="00EA5BEA">
        <w:rPr>
          <w:rFonts w:ascii="Times New Roman" w:hAnsi="Times New Roman"/>
          <w:sz w:val="24"/>
          <w:szCs w:val="24"/>
          <w:lang w:val="id-ID"/>
        </w:rPr>
        <w:t xml:space="preserve">Bank Indonesia (BI) dan Otoritas Jasa Keuangan, Masing-masing sudah mengeluarkan peraturan Hukum tentang pengaturan industry di Bidang </w:t>
      </w:r>
      <w:r w:rsidRPr="00EA5BEA">
        <w:rPr>
          <w:rFonts w:ascii="Times New Roman" w:hAnsi="Times New Roman"/>
          <w:i/>
          <w:sz w:val="24"/>
          <w:szCs w:val="24"/>
          <w:lang w:val="id-ID"/>
        </w:rPr>
        <w:t xml:space="preserve">fintech, </w:t>
      </w:r>
      <w:r w:rsidRPr="00EA5BEA">
        <w:rPr>
          <w:rFonts w:ascii="Times New Roman" w:hAnsi="Times New Roman"/>
          <w:sz w:val="24"/>
          <w:szCs w:val="24"/>
          <w:lang w:val="id-ID"/>
        </w:rPr>
        <w:t xml:space="preserve">dimana peraturan-peraturan tersebut dengan harapan memberikan keamanan bagi seluruh </w:t>
      </w:r>
      <w:r w:rsidRPr="00EA5BEA">
        <w:rPr>
          <w:rFonts w:ascii="Times New Roman" w:hAnsi="Times New Roman"/>
          <w:sz w:val="24"/>
          <w:szCs w:val="24"/>
          <w:lang w:val="id-ID"/>
        </w:rPr>
        <w:lastRenderedPageBreak/>
        <w:t xml:space="preserve">stakeholder terkait pengaturan </w:t>
      </w:r>
      <w:r w:rsidRPr="00EA5BEA">
        <w:rPr>
          <w:rFonts w:ascii="Times New Roman" w:hAnsi="Times New Roman"/>
          <w:i/>
          <w:sz w:val="24"/>
          <w:szCs w:val="24"/>
          <w:lang w:val="id-ID"/>
        </w:rPr>
        <w:t xml:space="preserve">fintech. </w:t>
      </w:r>
      <w:r w:rsidRPr="00EA5BEA">
        <w:rPr>
          <w:rFonts w:ascii="Times New Roman" w:hAnsi="Times New Roman"/>
          <w:sz w:val="24"/>
          <w:szCs w:val="24"/>
          <w:lang w:val="id-ID"/>
        </w:rPr>
        <w:t xml:space="preserve">peraturan-peraturan hukum yang di Keluarkan baik secara umum maupun secara khusus masih sangat terbatas, disisi lain ada juga peraturan-peraturan yang erat kaitanya dengan aktifitas transaksi di Industri </w:t>
      </w:r>
      <w:r w:rsidRPr="00EA5BEA">
        <w:rPr>
          <w:rFonts w:ascii="Times New Roman" w:hAnsi="Times New Roman"/>
          <w:i/>
          <w:sz w:val="24"/>
          <w:szCs w:val="24"/>
          <w:lang w:val="id-ID"/>
        </w:rPr>
        <w:t xml:space="preserve">fintech. </w:t>
      </w:r>
    </w:p>
    <w:p w14:paraId="15A8C75F"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Secara umum, perkembangan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tidak hanya mempengaruhi hukum di Indonesia melainkan juga  mempengaruhi system hukum di dunia, hal ini karena indutri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menjangkau batas-batas wilayah dengan berbasis teknologi yang mampu beroperasi melintasi batas yuridikasi.</w:t>
      </w:r>
      <w:r w:rsidRPr="00EA5BEA">
        <w:rPr>
          <w:rStyle w:val="FootnoteReference"/>
          <w:rFonts w:ascii="Times New Roman" w:hAnsi="Times New Roman"/>
          <w:sz w:val="24"/>
          <w:szCs w:val="24"/>
          <w:lang w:val="id-ID"/>
        </w:rPr>
        <w:footnoteReference w:id="33"/>
      </w:r>
      <w:r w:rsidRPr="00424260">
        <w:rPr>
          <w:rFonts w:ascii="Times New Roman" w:hAnsi="Times New Roman"/>
          <w:sz w:val="24"/>
          <w:szCs w:val="24"/>
          <w:lang w:val="id-ID"/>
        </w:rPr>
        <w:t xml:space="preserve"> Berdasarkan fakta yang demikian Otoritas Jasa Keuangan (OJK) dan Bank Indonesia (BI) dalam upaya melindungi transaksi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sudah sedemikian gencarnya dengan mengeluarkan peraturan-peraturan terkait guna melindungi dan Mengatur tentang kegiatan dan transaksi di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sebagaimana peraturan hukum yakni POJK No. 77/POJK.01/2016 tentang Layanan Pinjam Meminjam Uang Berbasis teknologi Informasi. POJK Nomor. 13 tahun 2018  tentang Inovasi Keuangan Digital di Sektor Jasa Keuangan. POJK 37 tahun 2018 tentang Layanan Urun Dana melalui Penawaran Saham Berbasis teknologi Informasi. PBI Nomor 19 tahun 2017 tentang penyelenggaraan Teknologi Financial. PBI Nomor 20 tahun 2018 tentang Uang Elektronik.</w:t>
      </w:r>
    </w:p>
    <w:p w14:paraId="5825580A"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Otoritas Jasa Keuangan sendiri dengan kewenangannya merumuskan kebijakan hukum dengan mengeluarkan POJK Nomor 77 tahun 2016 tentang Layanan Pinjam Meminjam Uang Berbasis teknologi Informasi. Pada Peraturan tersebut merupakan peraturan yang peratama kali di Keluarkan oleh Otoritas jasa Keuangan dalam melindungi permasalahan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secara langsung. Pada ketentuan peraturan Otoritas Jasa Keuangan No. 77/POJK.01/2016 tentang Layanan Pinjam Meminjam Uang berbasis Teknologi Informasi layanan transaksi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merupakan sebuah jasa keuangan yang mengadalkan sarana teknologi dalam melakukan transaksi pinjam meminjam keuangan oleh para pihak terkait. Dengan peraturan Tersebut, maka system yang dibangun bukan lagi menggunakan layanan manual (</w:t>
      </w:r>
      <w:r w:rsidRPr="00424260">
        <w:rPr>
          <w:rFonts w:ascii="Times New Roman" w:hAnsi="Times New Roman"/>
          <w:i/>
          <w:sz w:val="24"/>
          <w:szCs w:val="24"/>
          <w:lang w:val="id-ID"/>
        </w:rPr>
        <w:t xml:space="preserve">konvesional), </w:t>
      </w:r>
      <w:r w:rsidRPr="00424260">
        <w:rPr>
          <w:rFonts w:ascii="Times New Roman" w:hAnsi="Times New Roman"/>
          <w:sz w:val="24"/>
          <w:szCs w:val="24"/>
          <w:lang w:val="id-ID"/>
        </w:rPr>
        <w:t>namun mengandalakan kemudahan teknologi yang memadai atau proses digitalisasi.</w:t>
      </w:r>
    </w:p>
    <w:p w14:paraId="3BB30F7E"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Peraturan hukum yang di ataur dalam ketentuan Peraturan Otoritas Jasa Keungan No. 77/POJK.01/2016 tersebut dalam hal sanksi. Pada ketentuan ini, sanksi atas pelanggaran yang terjadi dalam transaksi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yang dalam pasal 47 ayat (1), menyebutkan bahwa atas pelanggaran kewajiban dan larangan dalam POJK ini, maka kewenangan OJK hanya mengenakan sanksi administrative terhadap Penyelenggara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berupa: (1) pringatan tertulis; (2) Denda, dengan kewajiban untuk membayar sejumlah uang tertentu; (3) pembatasan; dan, (4) pencabutan izin.</w:t>
      </w:r>
      <w:r w:rsidRPr="00EA5BEA">
        <w:rPr>
          <w:rStyle w:val="FootnoteReference"/>
          <w:rFonts w:ascii="Times New Roman" w:hAnsi="Times New Roman"/>
          <w:sz w:val="24"/>
          <w:szCs w:val="24"/>
          <w:lang w:val="id-ID"/>
        </w:rPr>
        <w:footnoteReference w:id="34"/>
      </w:r>
    </w:p>
    <w:p w14:paraId="211C383F"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Sedangkan berdasarkan Pasal 47 ayat (2) peraturan OJK No. 77/POJK.01/2016 Layanan Pinjam Meminjam Uang berbasis Teknologi Informasi, menyebutkan bahwa “Sanksi administratif sebagaimana dimasksud dalam pada ayat (1) diatas terutama dalam huruf b sampai dengan huruf d, dapat dikenakan dengan atau tanpa didahuului </w:t>
      </w:r>
      <w:r w:rsidRPr="00424260">
        <w:rPr>
          <w:rFonts w:ascii="Times New Roman" w:hAnsi="Times New Roman"/>
          <w:sz w:val="24"/>
          <w:szCs w:val="24"/>
          <w:lang w:val="id-ID"/>
        </w:rPr>
        <w:lastRenderedPageBreak/>
        <w:t xml:space="preserve">pengenaan sanksi administrative berupa peringatan tertulis, sebagaimana dimaksud dalam pasal (1) huruf a.  </w:t>
      </w:r>
    </w:p>
    <w:p w14:paraId="489F4A4D"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Pada ketentuan lain sebagaimana terdapat pasal 47 ayat (3) Perturan OJK No. 77/POJK.01/2016 tentang Layanan Pinjam Meminjam Uang berbasis Teknologi Informasi hanya sebatas sanksi administratif saja. Dalam ketentuan pasal 1 ayat (3) ini tidak menyebutkan jumlah dana secara pasti yang harus di kenakan bagi pelaku yang melanggar. Dalam pasal-pasal diatas baik pasal 1 sampai dengan pasal 3 ini, tidak menyebutkan sanksi administratif maupun pidana bagi yang melakukan pelanggaran. Terutama pelanggaran yang dilakukan oleh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yang belum berijin atau yang </w:t>
      </w:r>
      <w:r w:rsidRPr="00424260">
        <w:rPr>
          <w:rFonts w:ascii="Times New Roman" w:hAnsi="Times New Roman"/>
          <w:i/>
          <w:sz w:val="24"/>
          <w:szCs w:val="24"/>
          <w:lang w:val="id-ID"/>
        </w:rPr>
        <w:t xml:space="preserve">illegal. </w:t>
      </w:r>
      <w:r w:rsidRPr="00424260">
        <w:rPr>
          <w:rFonts w:ascii="Times New Roman" w:hAnsi="Times New Roman"/>
          <w:sz w:val="24"/>
          <w:szCs w:val="24"/>
          <w:lang w:val="id-ID"/>
        </w:rPr>
        <w:t xml:space="preserve">Sedangkan sanksi hukum yang dapat diberikan kepada pelaku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yang berijin</w:t>
      </w:r>
      <w:r w:rsidRPr="00424260">
        <w:rPr>
          <w:rFonts w:ascii="Times New Roman" w:hAnsi="Times New Roman"/>
          <w:i/>
          <w:sz w:val="24"/>
          <w:szCs w:val="24"/>
          <w:lang w:val="id-ID"/>
        </w:rPr>
        <w:t xml:space="preserve">, </w:t>
      </w:r>
      <w:r w:rsidRPr="00424260">
        <w:rPr>
          <w:rFonts w:ascii="Times New Roman" w:hAnsi="Times New Roman"/>
          <w:sz w:val="24"/>
          <w:szCs w:val="24"/>
          <w:lang w:val="id-ID"/>
        </w:rPr>
        <w:t xml:space="preserve">pun demikian sanksi yang diberikan bagi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yyang berijin paling tinggi hanya sebatas pencabutan ijin terhadap perusahaan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yang melakukan pelanggaran.</w:t>
      </w:r>
    </w:p>
    <w:p w14:paraId="361C3150"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Berdasarkan keterangan otoritas terkait sebagaimana yang ditangani oleh Satgas Waspeda Investasi selama 3 tahun terakhir mulai tahun 219 sampai dengan tahun 2021 ini. Terdapat kasus-kasus </w:t>
      </w:r>
      <w:r w:rsidRPr="00424260">
        <w:rPr>
          <w:rFonts w:ascii="Times New Roman" w:hAnsi="Times New Roman"/>
          <w:i/>
          <w:sz w:val="24"/>
          <w:szCs w:val="24"/>
          <w:lang w:val="id-ID"/>
        </w:rPr>
        <w:t>fintech-fintech  illegal</w:t>
      </w:r>
      <w:r w:rsidRPr="00424260">
        <w:rPr>
          <w:rFonts w:ascii="Times New Roman" w:hAnsi="Times New Roman"/>
          <w:sz w:val="24"/>
          <w:szCs w:val="24"/>
          <w:lang w:val="id-ID"/>
        </w:rPr>
        <w:t xml:space="preserve"> yang marak terjadi di berbagai media ddengan menawarkan produk-produk pinjaman. Pada tahun 2019 sendiri, kasus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w:t>
      </w:r>
      <w:r w:rsidRPr="00424260">
        <w:rPr>
          <w:rFonts w:ascii="Times New Roman" w:hAnsi="Times New Roman"/>
          <w:i/>
          <w:sz w:val="24"/>
          <w:szCs w:val="24"/>
          <w:lang w:val="id-ID"/>
        </w:rPr>
        <w:t>Ilegal</w:t>
      </w:r>
      <w:r w:rsidRPr="00424260">
        <w:rPr>
          <w:rFonts w:ascii="Times New Roman" w:hAnsi="Times New Roman"/>
          <w:sz w:val="24"/>
          <w:szCs w:val="24"/>
          <w:lang w:val="id-ID"/>
        </w:rPr>
        <w:t xml:space="preserve"> sebanyak 1,369 entitas </w:t>
      </w:r>
      <w:r w:rsidRPr="00424260">
        <w:rPr>
          <w:rFonts w:ascii="Times New Roman" w:hAnsi="Times New Roman"/>
          <w:i/>
          <w:sz w:val="24"/>
          <w:szCs w:val="24"/>
          <w:lang w:val="id-ID"/>
        </w:rPr>
        <w:t>fintech.</w:t>
      </w:r>
      <w:r w:rsidRPr="00EA5BEA">
        <w:rPr>
          <w:rStyle w:val="FootnoteReference"/>
          <w:rFonts w:ascii="Times New Roman" w:hAnsi="Times New Roman"/>
          <w:i/>
          <w:sz w:val="24"/>
          <w:szCs w:val="24"/>
          <w:lang w:val="id-ID"/>
        </w:rPr>
        <w:footnoteReference w:id="35"/>
      </w:r>
      <w:r w:rsidRPr="00424260">
        <w:rPr>
          <w:rFonts w:ascii="Times New Roman" w:hAnsi="Times New Roman"/>
          <w:i/>
          <w:sz w:val="24"/>
          <w:szCs w:val="24"/>
          <w:lang w:val="id-ID"/>
        </w:rPr>
        <w:t xml:space="preserve"> </w:t>
      </w:r>
      <w:r w:rsidRPr="00424260">
        <w:rPr>
          <w:rFonts w:ascii="Times New Roman" w:hAnsi="Times New Roman"/>
          <w:sz w:val="24"/>
          <w:szCs w:val="24"/>
          <w:lang w:val="id-ID"/>
        </w:rPr>
        <w:t xml:space="preserve">dan tahun 2020, sebanyak 1120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illegal, dan tahun tahun 2021 sebanyak 610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illegal.</w:t>
      </w:r>
      <w:r w:rsidRPr="00EA5BEA">
        <w:rPr>
          <w:rStyle w:val="FootnoteReference"/>
          <w:rFonts w:ascii="Times New Roman" w:hAnsi="Times New Roman"/>
          <w:sz w:val="24"/>
          <w:szCs w:val="24"/>
          <w:lang w:val="id-ID"/>
        </w:rPr>
        <w:footnoteReference w:id="36"/>
      </w:r>
      <w:r w:rsidRPr="00424260">
        <w:rPr>
          <w:rFonts w:ascii="Times New Roman" w:hAnsi="Times New Roman"/>
          <w:sz w:val="24"/>
          <w:szCs w:val="24"/>
          <w:lang w:val="id-ID"/>
        </w:rPr>
        <w:t xml:space="preserve"> Berdasarkan kondisi tersebut jika didasarkan pada Peraturan Otoritas Jasa keuangan No. 77/POJK.01/2016 tentang Layanan Pinjam Meminjam Uang berbasis Teknologi Informasi belum dapat menjadi landasan dalam penanganannya secara maksimal.</w:t>
      </w:r>
    </w:p>
    <w:p w14:paraId="28F99F67" w14:textId="77777777" w:rsidR="00424260" w:rsidRDefault="00424260" w:rsidP="00424260">
      <w:pPr>
        <w:pStyle w:val="ListParagraph"/>
        <w:spacing w:after="0"/>
        <w:ind w:left="0" w:firstLine="720"/>
        <w:jc w:val="both"/>
        <w:rPr>
          <w:rFonts w:ascii="Times New Roman" w:hAnsi="Times New Roman"/>
          <w:i/>
          <w:sz w:val="24"/>
          <w:szCs w:val="24"/>
        </w:rPr>
      </w:pPr>
      <w:r w:rsidRPr="00424260">
        <w:rPr>
          <w:rFonts w:ascii="Times New Roman" w:hAnsi="Times New Roman"/>
          <w:sz w:val="24"/>
          <w:szCs w:val="24"/>
          <w:lang w:val="id-ID"/>
        </w:rPr>
        <w:t xml:space="preserve">Dengan kondisi yang demikian, maka Peraturan Otoritas Jasa keuangan No. 77/POJK.01/2016 tentang Layanan Pinjam Meminjam Uang berbasis Teknologi Informasi masih sangat terbatas dalam menangani perkara-perkara yang timbul dalam transaksi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secara lebih luas. Padahal POJK No. 77/POJK.01/2016 tentang Layanan Pinjam Meminjam Uang berbasis Teknologi Informasi seharusnya dapai mengatasi berbagai masalah-masalah hukum yang muncul dari tranksaksi-transaksi pada industri </w:t>
      </w:r>
      <w:r w:rsidRPr="00424260">
        <w:rPr>
          <w:rFonts w:ascii="Times New Roman" w:hAnsi="Times New Roman"/>
          <w:i/>
          <w:sz w:val="24"/>
          <w:szCs w:val="24"/>
          <w:lang w:val="id-ID"/>
        </w:rPr>
        <w:t>fintech.</w:t>
      </w:r>
    </w:p>
    <w:p w14:paraId="5A702E0C" w14:textId="77777777" w:rsidR="00424260" w:rsidRDefault="00424260" w:rsidP="00424260">
      <w:pPr>
        <w:pStyle w:val="ListParagraph"/>
        <w:spacing w:after="0"/>
        <w:ind w:left="0" w:firstLine="720"/>
        <w:jc w:val="both"/>
        <w:rPr>
          <w:rFonts w:ascii="Times New Roman" w:hAnsi="Times New Roman"/>
          <w:i/>
          <w:sz w:val="24"/>
          <w:szCs w:val="24"/>
        </w:rPr>
      </w:pPr>
      <w:r w:rsidRPr="00424260">
        <w:rPr>
          <w:rFonts w:ascii="Times New Roman" w:hAnsi="Times New Roman"/>
          <w:sz w:val="24"/>
          <w:szCs w:val="24"/>
          <w:lang w:val="id-ID"/>
        </w:rPr>
        <w:t xml:space="preserve">Dalam beberapa penelitian sebelumnya, sebagaimana yang dikemukana oleh Haryani, bahwa peran Otoritas Jasa keuangan di media internet seperti Tekfin dan </w:t>
      </w:r>
      <w:r w:rsidRPr="00424260">
        <w:rPr>
          <w:rFonts w:ascii="Times New Roman" w:hAnsi="Times New Roman"/>
          <w:i/>
          <w:sz w:val="24"/>
          <w:szCs w:val="24"/>
          <w:lang w:val="id-ID"/>
        </w:rPr>
        <w:t xml:space="preserve">Crowdfunding </w:t>
      </w:r>
      <w:r w:rsidRPr="00424260">
        <w:rPr>
          <w:rFonts w:ascii="Times New Roman" w:hAnsi="Times New Roman"/>
          <w:sz w:val="24"/>
          <w:szCs w:val="24"/>
          <w:lang w:val="id-ID"/>
        </w:rPr>
        <w:t xml:space="preserve">masih sangat lemah, oleh karenanya dalam pengaturan dan perlindungan hukum di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masih terbatas karena kondisi regulasi yang masih kurang memadai, kondisi yang demikian maka dalam rencana revisi Undang-Undang OJK dimasa yang akan datang, OJK seharusnya diberi kewenangan yang sangat luas untuk mengatur dan mengawasi industri jasa keuangan seperti </w:t>
      </w:r>
      <w:r w:rsidRPr="00424260">
        <w:rPr>
          <w:rFonts w:ascii="Times New Roman" w:hAnsi="Times New Roman"/>
          <w:i/>
          <w:sz w:val="24"/>
          <w:szCs w:val="24"/>
          <w:lang w:val="id-ID"/>
        </w:rPr>
        <w:t>fintech.</w:t>
      </w:r>
      <w:r w:rsidRPr="00EA5BEA">
        <w:rPr>
          <w:rStyle w:val="FootnoteReference"/>
          <w:rFonts w:ascii="Times New Roman" w:hAnsi="Times New Roman"/>
          <w:i/>
          <w:sz w:val="24"/>
          <w:szCs w:val="24"/>
          <w:lang w:val="id-ID"/>
        </w:rPr>
        <w:footnoteReference w:id="37"/>
      </w:r>
    </w:p>
    <w:p w14:paraId="00B8E5C1"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lastRenderedPageBreak/>
        <w:t xml:space="preserve">Otoritas Jasa Keuangan berdasarkan peraturan (POJK) No. 77/POJK.01/2016 tentang Layanan Pinjam Meminjam Uang berbasis Teknologi Informasi, diikuti juga dengan Surat Edaran atau SE OJK No. 18 /SEOJK.02/ 2017 tentang pelaksanaan Tata Kelola dan manajemen Risiko Teknologi Informasi pada Layanan Pinjam Meminjam Uang berbasis teknologi Informasi. Bahwa dalam peraturan atau Surat Edaran tersebut hanya sebagai upaya tata  kelola dan menyikapi terkait manajemen risiko yang timbul dari transaksi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pada beberapa isi pasalnya juga belum membahas terkait penyelesaian sengkketa yang timbul akibat tranksaksi di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baik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yang berijin ataupun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yang belum berijin (</w:t>
      </w:r>
      <w:r w:rsidRPr="00424260">
        <w:rPr>
          <w:rFonts w:ascii="Times New Roman" w:hAnsi="Times New Roman"/>
          <w:i/>
          <w:sz w:val="24"/>
          <w:szCs w:val="24"/>
          <w:lang w:val="id-ID"/>
        </w:rPr>
        <w:t>illegal</w:t>
      </w:r>
      <w:r w:rsidRPr="00424260">
        <w:rPr>
          <w:rFonts w:ascii="Times New Roman" w:hAnsi="Times New Roman"/>
          <w:sz w:val="24"/>
          <w:szCs w:val="24"/>
          <w:lang w:val="id-ID"/>
        </w:rPr>
        <w:t xml:space="preserve">). Dengan demikian peraturan yang dibuat oleh OJK tentang transaksi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selama ini belum dapat menyelesaikan serta memberikan perlindungan hukum secara kuat bagi pelaku pelanggaran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di Indonesia.</w:t>
      </w:r>
    </w:p>
    <w:p w14:paraId="52188B37"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Disampin itu, OJK juga mengeluarkan POJK Nomor 13/POJK.02/2018 tentang Inovasi Keuangan Digital di sector Jasa Keuangan. Pada peraturan ini sendiri OJK mengatur berbagai jenis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yang didalamnya mengatur berbagai jenis-jenis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baik cara pendaftaran, bentuk badan hukum, catatan penyelenggaraan, regulatori sandbox, pendaftaran penyeleggara Inovasi Keuangan Digital, pemantauan, pelaporan, tata kelola, perlindungan dan kerasiahan data, serta edukasi dan perlindungan konsumen. Pada peraturan-perturan ini pada kesimpulanya mengatur tata kelola dan administrasi pelaporan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sehingga pada aspek perlindungan hukum terhadap konsumen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masih belum memadai.</w:t>
      </w:r>
    </w:p>
    <w:p w14:paraId="42835655"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Selanjutnya adalah POJK Nomor 37/POJK.03/2018 tentang Layanan Urun Dana melalui ppenawaran saham berbasis teknologi Informasi. Pada peraturan ini Otoritas Jasa Keuangan hanya mengatur pembiayaan alternatif untuk dunia usaha (bisnis) baik melalui mpendanaan langsng, pendanaan berbasis teknologi, atau pendanaan berbasis ekuitas, serta didalamnya hanya mengatur perijinan penyelenggaraan, kegiatan usaha, bentuuk badan hukum dan pemodalan, kewajiban dan larangan, layanan </w:t>
      </w:r>
      <w:r w:rsidRPr="00424260">
        <w:rPr>
          <w:rFonts w:ascii="Times New Roman" w:hAnsi="Times New Roman"/>
          <w:i/>
          <w:sz w:val="24"/>
          <w:szCs w:val="24"/>
          <w:lang w:val="id-ID"/>
        </w:rPr>
        <w:t xml:space="preserve">crowdfunding, </w:t>
      </w:r>
      <w:r w:rsidRPr="00424260">
        <w:rPr>
          <w:rFonts w:ascii="Times New Roman" w:hAnsi="Times New Roman"/>
          <w:sz w:val="24"/>
          <w:szCs w:val="24"/>
          <w:lang w:val="id-ID"/>
        </w:rPr>
        <w:t xml:space="preserve">penggunaan </w:t>
      </w:r>
      <w:r w:rsidRPr="00424260">
        <w:rPr>
          <w:rFonts w:ascii="Times New Roman" w:hAnsi="Times New Roman"/>
          <w:i/>
          <w:sz w:val="24"/>
          <w:szCs w:val="24"/>
          <w:lang w:val="id-ID"/>
        </w:rPr>
        <w:t xml:space="preserve">crowdfunding, </w:t>
      </w:r>
      <w:r w:rsidRPr="00424260">
        <w:rPr>
          <w:rFonts w:ascii="Times New Roman" w:hAnsi="Times New Roman"/>
          <w:sz w:val="24"/>
          <w:szCs w:val="24"/>
          <w:lang w:val="id-ID"/>
        </w:rPr>
        <w:t xml:space="preserve">perjanjian layanan </w:t>
      </w:r>
      <w:r w:rsidRPr="00424260">
        <w:rPr>
          <w:rFonts w:ascii="Times New Roman" w:hAnsi="Times New Roman"/>
          <w:i/>
          <w:sz w:val="24"/>
          <w:szCs w:val="24"/>
          <w:lang w:val="id-ID"/>
        </w:rPr>
        <w:t xml:space="preserve">crowdfunding, </w:t>
      </w:r>
      <w:r w:rsidRPr="00424260">
        <w:rPr>
          <w:rFonts w:ascii="Times New Roman" w:hAnsi="Times New Roman"/>
          <w:sz w:val="24"/>
          <w:szCs w:val="24"/>
          <w:lang w:val="id-ID"/>
        </w:rPr>
        <w:t xml:space="preserve">mitigasi resiko, tata kelola, system tekonologi informasi untuk menyediakan layanan </w:t>
      </w:r>
      <w:r w:rsidRPr="00424260">
        <w:rPr>
          <w:rFonts w:ascii="Times New Roman" w:hAnsi="Times New Roman"/>
          <w:i/>
          <w:sz w:val="24"/>
          <w:szCs w:val="24"/>
          <w:lang w:val="id-ID"/>
        </w:rPr>
        <w:t xml:space="preserve">crowdfunding, </w:t>
      </w:r>
      <w:r w:rsidRPr="00424260">
        <w:rPr>
          <w:rFonts w:ascii="Times New Roman" w:hAnsi="Times New Roman"/>
          <w:sz w:val="24"/>
          <w:szCs w:val="24"/>
          <w:lang w:val="id-ID"/>
        </w:rPr>
        <w:t>edukasi dan perlindungan tanda tangan elektronik.</w:t>
      </w:r>
    </w:p>
    <w:p w14:paraId="596905D6"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Berdasarkan ketentuan-ketentuan tersebut OJK melalui peraturan yang dikeluarkannya Baik POJK maupun SEOJK hanya mengatur secara administratif, baik berupa syarat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itu harus berbentuk hukum, Jenis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serta tata kelola dalam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sewalaupun dalam beberapa aturan tersebut menyebutkan perlindungan hukum dan sangksi hukum bagi pelaku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tetapi pada aspek yuridisnya upaya perlindungan hukum yang diberikan berupa ganti rugi sebagian tanpa disebutkan jumlah minimal, serta sanksi administratif yang diberikan bagi pelanggar adalah sangsi masksimum pencabutan izin. Dengan demikian bahwa dalam perlindungan konsumen di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peraturan perlindungan  konsumen dalam tarnsaksi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hanya didasarkan pada beberapa peraturan yang dikeluarkan oleh BI dan OJK dan Kemeninfo dan masih kurang memadai.</w:t>
      </w:r>
    </w:p>
    <w:p w14:paraId="32BA2F1E"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Disamping Otoritas Jasa Keuangan yang mempunyai kewajiban dalam mengawasi dan mengontrol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di Indonesia. Bank Indonesia (BI) Juga merupakan lembaga Negara independen yang berwenang mengatur dan menjaga </w:t>
      </w:r>
      <w:r w:rsidRPr="00424260">
        <w:rPr>
          <w:rFonts w:ascii="Times New Roman" w:hAnsi="Times New Roman"/>
          <w:sz w:val="24"/>
          <w:szCs w:val="24"/>
          <w:lang w:val="id-ID"/>
        </w:rPr>
        <w:lastRenderedPageBreak/>
        <w:t xml:space="preserve">kelancaran system pembayaran nasional. Dengan demikian Bank Indonesia mendorong perkembangan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guna merespon teknologi informasi dan komunikasi serta perkembangan bisnis digital. Dengan demikian perkembangan bisnis di industrii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diharapkan dapat memperluas partisipasi masyarakat dalam ndustri jasa keuangan.</w:t>
      </w:r>
      <w:r w:rsidRPr="00EA5BEA">
        <w:rPr>
          <w:rStyle w:val="FootnoteReference"/>
          <w:rFonts w:ascii="Times New Roman" w:hAnsi="Times New Roman"/>
          <w:sz w:val="24"/>
          <w:szCs w:val="24"/>
          <w:lang w:val="id-ID"/>
        </w:rPr>
        <w:footnoteReference w:id="38"/>
      </w:r>
    </w:p>
    <w:p w14:paraId="05AA795F"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Sebagaimana yang disebutkan di atas Bank Indonesia telah menerbitkan Peraturan BI No. 18/ 40/ PBI/2016 tenteng Penyelenggaraan Pemrosesan Transaksi Pembeyaran sebagai payungg hukum bagi pengembangan bisnis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di Indonesia. Perlindungan hukum bagi nasabah dan pelaku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 di Indonesia. Dalam perlindungan hukum bagi nasabah dan pelaku usaha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di ataur dala undang-undang Informasi dan Trnsaksi Elektronik (UU-ITE), Undang –Undang perlindungan Konsumen, Peraturan Pemerintah No. 22 tahun 2012 tentang  penyelenggaraan Sistem dan Transaksi Elektronik, Peraturan BI No. 16/1/PBI/2014 tentang perlindungan Konsumen Penyelenggara Sistem Pembayaran, dan Peraturan BI Nomor. 18/ 40/ PBI / 2016 tentang Penyelenggaraa Pemrosesan Transaksi Pembayaran Pelaku Usaha yang ingin menjadi penyedia Jasa Sistem pembayaran atau (PJSP) untuk pertama kali, harus mendapat ijin dari Bank Indonesia.</w:t>
      </w:r>
      <w:r w:rsidRPr="00EA5BEA">
        <w:rPr>
          <w:rStyle w:val="FootnoteReference"/>
          <w:rFonts w:ascii="Times New Roman" w:hAnsi="Times New Roman"/>
          <w:sz w:val="24"/>
          <w:szCs w:val="24"/>
          <w:lang w:val="id-ID"/>
        </w:rPr>
        <w:footnoteReference w:id="39"/>
      </w:r>
    </w:p>
    <w:p w14:paraId="1DAFCC89"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Disamping perturan tersebut ada juga peraturan Bank Indonesia Nomor. 9 tahun 2017 tentang Penyelenggaraan teknologi Financial. Pada peraturan BI ini, kewenangan Bank Indonesia hanya mengatur pelaksanaan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khususnya dalam hal penyediaan layanan system pembayaran, yang didalamnya mengenal prinsip kehati-hatian, diantaranya kenali pelanggan anda, prinsip regiistrasi, regulatori </w:t>
      </w:r>
      <w:r w:rsidRPr="00424260">
        <w:rPr>
          <w:rFonts w:ascii="Times New Roman" w:hAnsi="Times New Roman"/>
          <w:i/>
          <w:sz w:val="24"/>
          <w:szCs w:val="24"/>
          <w:lang w:val="id-ID"/>
        </w:rPr>
        <w:t xml:space="preserve">sandbox, </w:t>
      </w:r>
      <w:r w:rsidRPr="00424260">
        <w:rPr>
          <w:rFonts w:ascii="Times New Roman" w:hAnsi="Times New Roman"/>
          <w:sz w:val="24"/>
          <w:szCs w:val="24"/>
          <w:lang w:val="id-ID"/>
        </w:rPr>
        <w:t xml:space="preserve">perijinan penyelenggara pemantauan dan pengawasan kerjasama penyelenggara antara penyelenggara jasa system pembayaran dan penyelenggara teknologi keunangan. Serta mengatur koordinasi dan kerjasama Bank Indonesia dengan Otoritas terkait baik dalam negeri maupun di luar negeri. Dengan demikian secara yuridis berdasarkan paparan diatas bahwa kewenangan Bank Indonesia tidak mempunyai kewenangan langsung terhadap upaya perlindungan hukum terhadap kegiatan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di Indonesia. Peraturan hukum yang mengatur kegiatan dalam industri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yang bersifat online dan menggunakan transaksi elektronik masih belum memadai. </w:t>
      </w:r>
    </w:p>
    <w:p w14:paraId="519FE238"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Kalau merujuk undang-undang No. 8 tahun 1999 tentang perlindungn Konsumen secara umum, bahwa konsumen yang membeli produk/barang atu jasa dengan melakukan transaksi pembayaran via internet harus mendapatkan perlindungan hukum agar mereka tidak dirugikan oleh pelaku usaha. Ketentuan-ketentuan ini hanya sebatas mengatur konsumen secara umum tidak secara spesifikasi mengatur konsumen dalam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sedangkan masyarakat dalam melakukan kegiatan di indstri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harus dilindungi dari praktek penipuan dan kejahatan-kejahat lainnya terutama dalam kegiatan bisnis online dan transaksi elektronik. Otoritas terkait sebagaimana OJK harus sangat memperhatikan aspek-aspek hukum dalam perlindungan hukum terhadap konsumen. Sewalaupun dalam beberapa kebijakan hukum yang dikeluarkan oleh Otoritas Jasa Keuangan sebagaimana Peraturan OJK No. 1/POJK.07/ 2013 tentang Perlindungan Konsumen Sektor Jasa Keuangan serta Surat Edaran Otoritas Jasa </w:t>
      </w:r>
      <w:r w:rsidRPr="00424260">
        <w:rPr>
          <w:rFonts w:ascii="Times New Roman" w:hAnsi="Times New Roman"/>
          <w:sz w:val="24"/>
          <w:szCs w:val="24"/>
          <w:lang w:val="id-ID"/>
        </w:rPr>
        <w:lastRenderedPageBreak/>
        <w:t>Keungan No. 2/SEOJK.07/2014 tentang Pelayanan dan Penyelesaian Pengaduan Konsumen pada pelaku Usaha Jasa Keuangan</w:t>
      </w:r>
      <w:r w:rsidRPr="00EA5BEA">
        <w:rPr>
          <w:rStyle w:val="FootnoteReference"/>
          <w:rFonts w:ascii="Times New Roman" w:hAnsi="Times New Roman"/>
          <w:sz w:val="24"/>
          <w:szCs w:val="24"/>
          <w:lang w:val="id-ID"/>
        </w:rPr>
        <w:footnoteReference w:id="40"/>
      </w:r>
      <w:r w:rsidRPr="00424260">
        <w:rPr>
          <w:rFonts w:ascii="Times New Roman" w:hAnsi="Times New Roman"/>
          <w:sz w:val="24"/>
          <w:szCs w:val="24"/>
          <w:lang w:val="id-ID"/>
        </w:rPr>
        <w:t>. Masih belum memadai dan sansksi hukumnya masih bersifat administratif, oleh karena nya upaya penegakan hukum serta perlindungan hukum terhadap konsumen tidak dapat diterapkan secara maksimal.</w:t>
      </w:r>
    </w:p>
    <w:p w14:paraId="79F85451"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Kegiatan dalam industri </w:t>
      </w:r>
      <w:r w:rsidRPr="00424260">
        <w:rPr>
          <w:rFonts w:ascii="Times New Roman" w:hAnsi="Times New Roman"/>
          <w:i/>
          <w:sz w:val="24"/>
          <w:szCs w:val="24"/>
          <w:lang w:val="id-ID"/>
        </w:rPr>
        <w:t xml:space="preserve">fintech </w:t>
      </w:r>
      <w:r>
        <w:rPr>
          <w:rFonts w:ascii="Times New Roman" w:hAnsi="Times New Roman"/>
          <w:sz w:val="24"/>
          <w:szCs w:val="24"/>
          <w:lang w:val="id-ID"/>
        </w:rPr>
        <w:t>baik secara ofli</w:t>
      </w:r>
      <w:r>
        <w:rPr>
          <w:rFonts w:ascii="Times New Roman" w:hAnsi="Times New Roman"/>
          <w:sz w:val="24"/>
          <w:szCs w:val="24"/>
        </w:rPr>
        <w:t>n</w:t>
      </w:r>
      <w:r w:rsidRPr="00424260">
        <w:rPr>
          <w:rFonts w:ascii="Times New Roman" w:hAnsi="Times New Roman"/>
          <w:sz w:val="24"/>
          <w:szCs w:val="24"/>
          <w:lang w:val="id-ID"/>
        </w:rPr>
        <w:t>e maupun secara online harusnya menerapkan prinsip-prisnsip hukum perlindungan konsumen dan menerapkan asas itikad baik kepada konsumen dalam melakukan kegiatan usahanya.</w:t>
      </w:r>
      <w:r w:rsidRPr="00EA5BEA">
        <w:rPr>
          <w:rStyle w:val="FootnoteReference"/>
          <w:rFonts w:ascii="Times New Roman" w:hAnsi="Times New Roman"/>
          <w:sz w:val="24"/>
          <w:szCs w:val="24"/>
          <w:lang w:val="id-ID"/>
        </w:rPr>
        <w:footnoteReference w:id="41"/>
      </w:r>
      <w:r w:rsidRPr="00424260">
        <w:rPr>
          <w:rFonts w:ascii="Times New Roman" w:hAnsi="Times New Roman"/>
          <w:sz w:val="24"/>
          <w:szCs w:val="24"/>
          <w:lang w:val="id-ID"/>
        </w:rPr>
        <w:t xml:space="preserve"> Merujuk Undang-undang No. 8 tahun 1999 pasal 4 tentang Perlindungan Konsumen, didalamnya sangat menjunjung tinggi perlindungan hukum terhadap konsumen baik dalam kegiatan barang/jasa, hal ini sebagaimana disebutkan tentang hak-hak konsumen yang harus dipenuhi antara lain:</w:t>
      </w:r>
      <w:r w:rsidRPr="00EA5BEA">
        <w:rPr>
          <w:rStyle w:val="FootnoteReference"/>
          <w:rFonts w:ascii="Times New Roman" w:hAnsi="Times New Roman"/>
          <w:sz w:val="24"/>
          <w:szCs w:val="24"/>
          <w:lang w:val="id-ID"/>
        </w:rPr>
        <w:footnoteReference w:id="42"/>
      </w:r>
      <w:r w:rsidRPr="00424260">
        <w:rPr>
          <w:rFonts w:ascii="Times New Roman" w:hAnsi="Times New Roman"/>
          <w:sz w:val="24"/>
          <w:szCs w:val="24"/>
          <w:lang w:val="id-ID"/>
        </w:rPr>
        <w:t xml:space="preserve"> (1) Ha katas kenyamanan, keamanan, dan keselamatan dalam mengkonsumsi barang dan/atau jasa; (2) hak untutk memilih barang/jasa serta mendapatkan barang dan/atau jasa tersebut sesuai dengan nilai tukar dan kondisi serta jaminan yang dijanjikann; (3) ha katas informasi yang benar, jelas, dan jujur mengenai kondisi dan jaminan barang dan/atau jasa; (4) hak untuk di dengar pendapat dan keluhan atas barang atau/jasa yang digunakan; (5) hak untuk mendapatkan adfokasi, perlindungan dan upaya penyelesaian sengketa perlidnungan konsumen secara patut; (6) hak untuk diperlakukan atau dilayani secara benar dan jujur serta tidak diskriminatif; (7) hak untuk mendapatkan kompensasi, ganti rugi dan /atau penggantian, apabila barang dan /atau jasa yang diterima tidak sesuai dengan perjanjian atau tidak sebagaimana mestinya. (8) Hak untuk mendapatkan pembinaan dan penddikan konsumen; (9) dan, hak-hak yang diatur dalam ketentuan peraturann perundang-undangann lainnya.</w:t>
      </w:r>
    </w:p>
    <w:p w14:paraId="15C9B426"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Berdasarkan paparan diatas, menurut Bagus handiyo Mantri sebagaimana dikutip oleh Haryani dalam jurnalnya, bahwa Undang-undang perlindungan Konsumen No. 8 tahun 1999 tentang Perlindungan Konsumen, belum dapat melindungi konsumen dalam kegiatan transaksi </w:t>
      </w:r>
      <w:r w:rsidRPr="00424260">
        <w:rPr>
          <w:rFonts w:ascii="Times New Roman" w:hAnsi="Times New Roman"/>
          <w:i/>
          <w:sz w:val="24"/>
          <w:szCs w:val="24"/>
          <w:lang w:val="id-ID"/>
        </w:rPr>
        <w:t xml:space="preserve">e-commerce </w:t>
      </w:r>
      <w:r w:rsidRPr="00424260">
        <w:rPr>
          <w:rFonts w:ascii="Times New Roman" w:hAnsi="Times New Roman"/>
          <w:sz w:val="24"/>
          <w:szCs w:val="24"/>
          <w:lang w:val="id-ID"/>
        </w:rPr>
        <w:t>karena keterbatasan pengertiann pelaku usaha yang hanya khusus berada di wilayah Negara kesatuan Republik Indonesia, dan keterbatasan hak-hak yang diatur dalam UU Perlindungan Konsumen.</w:t>
      </w:r>
      <w:r w:rsidRPr="00EA5BEA">
        <w:rPr>
          <w:rStyle w:val="FootnoteReference"/>
          <w:rFonts w:ascii="Times New Roman" w:hAnsi="Times New Roman"/>
          <w:sz w:val="24"/>
          <w:szCs w:val="24"/>
          <w:lang w:val="id-ID"/>
        </w:rPr>
        <w:footnoteReference w:id="43"/>
      </w:r>
      <w:r w:rsidRPr="00424260">
        <w:rPr>
          <w:rFonts w:ascii="Times New Roman" w:hAnsi="Times New Roman"/>
          <w:sz w:val="24"/>
          <w:szCs w:val="24"/>
          <w:lang w:val="id-ID"/>
        </w:rPr>
        <w:t xml:space="preserve"> </w:t>
      </w:r>
    </w:p>
    <w:p w14:paraId="470EC048" w14:textId="77777777" w:rsidR="00424260" w:rsidRDefault="00424260" w:rsidP="00424260">
      <w:pPr>
        <w:pStyle w:val="ListParagraph"/>
        <w:spacing w:after="0"/>
        <w:ind w:left="0" w:firstLine="720"/>
        <w:jc w:val="both"/>
        <w:rPr>
          <w:rFonts w:ascii="Times New Roman" w:hAnsi="Times New Roman"/>
          <w:i/>
          <w:sz w:val="24"/>
          <w:szCs w:val="24"/>
        </w:rPr>
      </w:pPr>
      <w:r w:rsidRPr="00424260">
        <w:rPr>
          <w:rFonts w:ascii="Times New Roman" w:hAnsi="Times New Roman"/>
          <w:sz w:val="24"/>
          <w:szCs w:val="24"/>
          <w:lang w:val="id-ID"/>
        </w:rPr>
        <w:lastRenderedPageBreak/>
        <w:t>Perlindungan hukum terhadap konsumen yang seharusnya diatur meliputi perlindungan hukum dari sisi pelaku usaha, perlindungan hukum dari sisi konsumen, perlindungan hukum dari sisi produk yang ditawarkan dan perlindungan hukum dari sisi transaksi. Permasalah yang timbul sebagai akibat kekosongan hukum ini adalah mencakup semua dalam aspek yuridis maupun non yuridis  baik meliputi keabsahan menurut Kitab Undang Hukum Perrdata, Penyelesaian sengketa hukum transaksi</w:t>
      </w:r>
      <w:r w:rsidRPr="00424260">
        <w:rPr>
          <w:rFonts w:ascii="Times New Roman" w:hAnsi="Times New Roman"/>
          <w:i/>
          <w:sz w:val="24"/>
          <w:szCs w:val="24"/>
          <w:lang w:val="id-ID"/>
        </w:rPr>
        <w:t xml:space="preserve"> e-commerce, </w:t>
      </w:r>
      <w:r w:rsidRPr="00424260">
        <w:rPr>
          <w:rFonts w:ascii="Times New Roman" w:hAnsi="Times New Roman"/>
          <w:sz w:val="24"/>
          <w:szCs w:val="24"/>
          <w:lang w:val="id-ID"/>
        </w:rPr>
        <w:t xml:space="preserve">Undang-Undang Perlindungan Konsumen yang tidak akomodatif, dan seterusnya. Sedangkan permalasahan lain yang secara non yuridis yang meliputi keamanan tarnsaksi, penyebaran data pribadi, pengacaman, terror, bunga tinggi serta tidak pahamnya masyarakat konsumen dalam melakukan transaksi di e-commerce atau dalam industri </w:t>
      </w:r>
      <w:r w:rsidRPr="00424260">
        <w:rPr>
          <w:rFonts w:ascii="Times New Roman" w:hAnsi="Times New Roman"/>
          <w:i/>
          <w:sz w:val="24"/>
          <w:szCs w:val="24"/>
          <w:lang w:val="id-ID"/>
        </w:rPr>
        <w:t>fintech.</w:t>
      </w:r>
    </w:p>
    <w:p w14:paraId="110E5C2B"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Sedangkan dalam peraturan lainya yang mengatur hal yang serupa sebagaimana terdapat dalam Undang-undang Nomor. 11 tahun 2008 tentang Informasi dan Transaksi Elektronik, bahwa perlindungan konsumen dibidang transaksi elektronik terkait transaksi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juga dapat didasarkan pada pasal 13  ayat 2 Undang-udang ITE yang menyebutkan bahwa “para pihak yang melakukan transaksi elektronik, sebagaimana dimaksud pada ayat 1 wajib beritikad baik dalam melakukan interaksi dan/atau pertukaran informasi eleketronik dan/atau dokumen elektronik selama transaksi berlangsung.</w:t>
      </w:r>
      <w:r w:rsidRPr="00EA5BEA">
        <w:rPr>
          <w:rStyle w:val="FootnoteReference"/>
          <w:rFonts w:ascii="Times New Roman" w:hAnsi="Times New Roman"/>
          <w:sz w:val="24"/>
          <w:szCs w:val="24"/>
          <w:lang w:val="id-ID"/>
        </w:rPr>
        <w:footnoteReference w:id="44"/>
      </w:r>
      <w:r w:rsidRPr="00424260">
        <w:rPr>
          <w:rFonts w:ascii="Times New Roman" w:hAnsi="Times New Roman"/>
          <w:sz w:val="24"/>
          <w:szCs w:val="24"/>
          <w:lang w:val="id-ID"/>
        </w:rPr>
        <w:t xml:space="preserve"> Sedangkan pasal 45 s/d pasal 52 Undang-undang No. 11 Tahun 2008 tentang ITE secara jelas menyatakan tentang ketentuan pidana bagi para pelanggar perjanjian transaksi elektronik. Sedangkan merujuk pasal 53 menyatakan bahwa, pada saat berlakunya undang-undang ini, semua peratuuran perundnag-undangan dan kelembagaan yang berhubungan dengan pemanfaatan teknologi informasi yang tidak bertentangan dengan undang-undang ini dinyatakan tetap berlaku. </w:t>
      </w:r>
    </w:p>
    <w:p w14:paraId="7A273C4D"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Berdasarkan paparan peraturan perundang-undangan dalam transaksi di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diatas masih bersifat umum. Sedangkan secara khusus perundang-perundangan yang mengatur tentang penyelewengan terhadap transaksi di industri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khususnya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yang illegal belum ada. Dengan kondisi yang demikian maka otoritas terkait harus merespon dengan bijak agar merumuskan satu kebiijakan hukum dalam pembentukan UU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baik dalam kondisi pandemic covid-19 maupun sesudah pandemic covid-19, agar peraturan –peraturan tersebut dapat menyokongnya terkait transaksi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di Indonesia guna melindungi para pihak dalam transaksi </w:t>
      </w:r>
      <w:r w:rsidRPr="00424260">
        <w:rPr>
          <w:rFonts w:ascii="Times New Roman" w:hAnsi="Times New Roman"/>
          <w:i/>
          <w:sz w:val="24"/>
          <w:szCs w:val="24"/>
          <w:lang w:val="id-ID"/>
        </w:rPr>
        <w:t>fintech</w:t>
      </w:r>
      <w:r w:rsidRPr="00424260">
        <w:rPr>
          <w:rFonts w:ascii="Times New Roman" w:hAnsi="Times New Roman"/>
          <w:sz w:val="24"/>
          <w:szCs w:val="24"/>
          <w:lang w:val="id-ID"/>
        </w:rPr>
        <w:t>.</w:t>
      </w:r>
    </w:p>
    <w:p w14:paraId="42F7E534"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Disamping secara yuridis sebagaiman terdapat dalam uraian pada peraturan perundang-undangan diatas, dapat juga beberapa alasan secara non yuridis sebagai landasan hukum pentingnya pembentukan undang-Undang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di Indonesia, apalagi dalam kondisi pandemic </w:t>
      </w:r>
      <w:r w:rsidRPr="00424260">
        <w:rPr>
          <w:rFonts w:ascii="Times New Roman" w:hAnsi="Times New Roman"/>
          <w:i/>
          <w:sz w:val="24"/>
          <w:szCs w:val="24"/>
          <w:lang w:val="id-ID"/>
        </w:rPr>
        <w:t>covid-19</w:t>
      </w:r>
      <w:r w:rsidRPr="00424260">
        <w:rPr>
          <w:rFonts w:ascii="Times New Roman" w:hAnsi="Times New Roman"/>
          <w:sz w:val="24"/>
          <w:szCs w:val="24"/>
          <w:lang w:val="id-ID"/>
        </w:rPr>
        <w:t xml:space="preserve"> ini antara lain: </w:t>
      </w:r>
    </w:p>
    <w:p w14:paraId="39BD2AE8"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i/>
          <w:sz w:val="24"/>
          <w:szCs w:val="24"/>
          <w:lang w:val="id-ID"/>
        </w:rPr>
        <w:t>Pertama</w:t>
      </w:r>
      <w:r w:rsidRPr="00424260">
        <w:rPr>
          <w:rFonts w:ascii="Times New Roman" w:hAnsi="Times New Roman"/>
          <w:sz w:val="24"/>
          <w:szCs w:val="24"/>
          <w:lang w:val="id-ID"/>
        </w:rPr>
        <w:t xml:space="preserve">, kondisi pertumbuhan ekonomi Indonesia yang pesat dan potensi dan potensi industry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di Indonesia yang sangat besar perlu didukung oleh kerangka hukum yang kuat dan kemprehensif. Kondisi ini, mengingat Indonesia merupakan penduduk terbesar keempat dunia setelah China, Amerika Serikat dan India, serta pertimbangn bahwa Negara tersebut masuk dalam nominasi ekonomi tersbesar ke 16 dunia, UU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akan memberikan kepastian hukum bagi industry secara keseluruhan </w:t>
      </w:r>
      <w:r w:rsidRPr="00424260">
        <w:rPr>
          <w:rFonts w:ascii="Times New Roman" w:hAnsi="Times New Roman"/>
          <w:sz w:val="24"/>
          <w:szCs w:val="24"/>
          <w:lang w:val="id-ID"/>
        </w:rPr>
        <w:lastRenderedPageBreak/>
        <w:t xml:space="preserve">dan menjadi dasar perlindungan hukum bagi pengguna jasa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investor dan pelaku sekaligus menyelesaikan kekosongan hukum yang ada.</w:t>
      </w:r>
    </w:p>
    <w:p w14:paraId="65CE30F2"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i/>
          <w:sz w:val="24"/>
          <w:szCs w:val="24"/>
          <w:lang w:val="id-ID"/>
        </w:rPr>
        <w:t xml:space="preserve">Kedua, </w:t>
      </w:r>
      <w:r w:rsidRPr="00424260">
        <w:rPr>
          <w:rFonts w:ascii="Times New Roman" w:hAnsi="Times New Roman"/>
          <w:sz w:val="24"/>
          <w:szCs w:val="24"/>
          <w:lang w:val="id-ID"/>
        </w:rPr>
        <w:t xml:space="preserve">pada tahun 2019 yang lalu banyaknya praktek </w:t>
      </w:r>
      <w:r w:rsidRPr="00424260">
        <w:rPr>
          <w:rFonts w:ascii="Times New Roman" w:hAnsi="Times New Roman"/>
          <w:i/>
          <w:sz w:val="24"/>
          <w:szCs w:val="24"/>
          <w:lang w:val="id-ID"/>
        </w:rPr>
        <w:t xml:space="preserve">Fintech illegal </w:t>
      </w:r>
      <w:r w:rsidRPr="00424260">
        <w:rPr>
          <w:rFonts w:ascii="Times New Roman" w:hAnsi="Times New Roman"/>
          <w:sz w:val="24"/>
          <w:szCs w:val="24"/>
          <w:lang w:val="id-ID"/>
        </w:rPr>
        <w:t xml:space="preserve">kondisi ini atas dasar tidak memadainya regulasi yang ada sehingga mengakibatkan kondisi perlindungan hukum yang tidak maksimal. Satgas waspada investasi melaporkan terdapat 2.018 </w:t>
      </w:r>
      <w:r w:rsidRPr="00424260">
        <w:rPr>
          <w:rFonts w:ascii="Times New Roman" w:hAnsi="Times New Roman"/>
          <w:i/>
          <w:sz w:val="24"/>
          <w:szCs w:val="24"/>
          <w:lang w:val="id-ID"/>
        </w:rPr>
        <w:t xml:space="preserve">Peer To Peer Lending illegal, </w:t>
      </w:r>
      <w:r w:rsidRPr="00424260">
        <w:rPr>
          <w:rFonts w:ascii="Times New Roman" w:hAnsi="Times New Roman"/>
          <w:sz w:val="24"/>
          <w:szCs w:val="24"/>
          <w:lang w:val="id-ID"/>
        </w:rPr>
        <w:t xml:space="preserve">472 perusahaan investasi illegal dan 69  pegadaian </w:t>
      </w:r>
      <w:r w:rsidRPr="00424260">
        <w:rPr>
          <w:rFonts w:ascii="Times New Roman" w:hAnsi="Times New Roman"/>
          <w:i/>
          <w:sz w:val="24"/>
          <w:szCs w:val="24"/>
          <w:lang w:val="id-ID"/>
        </w:rPr>
        <w:t>illegal</w:t>
      </w:r>
      <w:r w:rsidRPr="00424260">
        <w:rPr>
          <w:rFonts w:ascii="Times New Roman" w:hAnsi="Times New Roman"/>
          <w:sz w:val="24"/>
          <w:szCs w:val="24"/>
          <w:lang w:val="id-ID"/>
        </w:rPr>
        <w:t>.</w:t>
      </w:r>
      <w:r w:rsidRPr="00EA5BEA">
        <w:rPr>
          <w:rStyle w:val="FootnoteReference"/>
          <w:rFonts w:ascii="Times New Roman" w:hAnsi="Times New Roman"/>
          <w:sz w:val="24"/>
          <w:szCs w:val="24"/>
          <w:lang w:val="id-ID"/>
        </w:rPr>
        <w:footnoteReference w:id="45"/>
      </w:r>
      <w:r w:rsidRPr="00424260">
        <w:rPr>
          <w:rFonts w:ascii="Times New Roman" w:hAnsi="Times New Roman"/>
          <w:sz w:val="24"/>
          <w:szCs w:val="24"/>
          <w:lang w:val="id-ID"/>
        </w:rPr>
        <w:t xml:space="preserve"> Hal ini menunjukan bahwa tidak adanya Undang-Undang </w:t>
      </w:r>
      <w:r w:rsidRPr="00424260">
        <w:rPr>
          <w:rFonts w:ascii="Times New Roman" w:hAnsi="Times New Roman"/>
          <w:i/>
          <w:sz w:val="24"/>
          <w:szCs w:val="24"/>
          <w:lang w:val="id-ID"/>
        </w:rPr>
        <w:t>Fintech</w:t>
      </w:r>
      <w:r w:rsidRPr="00424260">
        <w:rPr>
          <w:rFonts w:ascii="Times New Roman" w:hAnsi="Times New Roman"/>
          <w:sz w:val="24"/>
          <w:szCs w:val="24"/>
          <w:lang w:val="id-ID"/>
        </w:rPr>
        <w:t xml:space="preserve">, dan membuka peluang terhadap pelanggaran hukum dalam industry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sedangkan peraturan yang berlaku sekarang baik Peraturan OJK  maupun Peraturan BI memiliki legal standing yang rendah dan tidak memuat ketentuan pidana.</w:t>
      </w:r>
    </w:p>
    <w:p w14:paraId="49896051" w14:textId="77777777" w:rsidR="00424260" w:rsidRDefault="00424260" w:rsidP="00424260">
      <w:pPr>
        <w:pStyle w:val="ListParagraph"/>
        <w:spacing w:after="0"/>
        <w:ind w:left="0" w:firstLine="720"/>
        <w:jc w:val="both"/>
        <w:rPr>
          <w:rFonts w:ascii="Times New Roman" w:hAnsi="Times New Roman"/>
          <w:i/>
          <w:sz w:val="24"/>
          <w:szCs w:val="24"/>
        </w:rPr>
      </w:pPr>
      <w:r w:rsidRPr="00424260">
        <w:rPr>
          <w:rFonts w:ascii="Times New Roman" w:hAnsi="Times New Roman"/>
          <w:i/>
          <w:sz w:val="24"/>
          <w:szCs w:val="24"/>
          <w:lang w:val="id-ID"/>
        </w:rPr>
        <w:t xml:space="preserve">Ketiga, </w:t>
      </w:r>
      <w:r w:rsidRPr="00424260">
        <w:rPr>
          <w:rFonts w:ascii="Times New Roman" w:hAnsi="Times New Roman"/>
          <w:sz w:val="24"/>
          <w:szCs w:val="24"/>
          <w:lang w:val="id-ID"/>
        </w:rPr>
        <w:t xml:space="preserve">undang-undang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akan berfungsi sebagai sarana mitigasi risiko dalam ekosistem ekonomi digital.</w:t>
      </w:r>
      <w:r w:rsidRPr="00EA5BEA">
        <w:rPr>
          <w:rStyle w:val="FootnoteReference"/>
          <w:rFonts w:ascii="Times New Roman" w:hAnsi="Times New Roman"/>
          <w:sz w:val="24"/>
          <w:szCs w:val="24"/>
          <w:lang w:val="id-ID"/>
        </w:rPr>
        <w:footnoteReference w:id="46"/>
      </w:r>
      <w:r w:rsidRPr="00424260">
        <w:rPr>
          <w:rFonts w:ascii="Times New Roman" w:hAnsi="Times New Roman"/>
          <w:sz w:val="24"/>
          <w:szCs w:val="24"/>
          <w:lang w:val="id-ID"/>
        </w:rPr>
        <w:t xml:space="preserve"> Hal ini dilakukan sebagai sarana literasi keuangan, Pengawasan, perlindungan konsumen serta pemberian izin pada aktifitas </w:t>
      </w:r>
      <w:r w:rsidRPr="00424260">
        <w:rPr>
          <w:rFonts w:ascii="Times New Roman" w:hAnsi="Times New Roman"/>
          <w:i/>
          <w:sz w:val="24"/>
          <w:szCs w:val="24"/>
          <w:lang w:val="id-ID"/>
        </w:rPr>
        <w:t>Fintech</w:t>
      </w:r>
      <w:r w:rsidRPr="00424260">
        <w:rPr>
          <w:rFonts w:ascii="Times New Roman" w:hAnsi="Times New Roman"/>
          <w:sz w:val="24"/>
          <w:szCs w:val="24"/>
          <w:lang w:val="id-ID"/>
        </w:rPr>
        <w:t>. sebagai akibatnya adalah akan menciptakan system keuangan yang stabil dan mempercepat ekonomi digital.</w:t>
      </w:r>
      <w:r w:rsidRPr="00EA5BEA">
        <w:rPr>
          <w:rStyle w:val="FootnoteReference"/>
          <w:rFonts w:ascii="Times New Roman" w:hAnsi="Times New Roman"/>
          <w:sz w:val="24"/>
          <w:szCs w:val="24"/>
          <w:lang w:val="id-ID"/>
        </w:rPr>
        <w:footnoteReference w:id="47"/>
      </w:r>
      <w:r w:rsidRPr="00424260">
        <w:rPr>
          <w:rFonts w:ascii="Times New Roman" w:hAnsi="Times New Roman"/>
          <w:sz w:val="24"/>
          <w:szCs w:val="24"/>
          <w:lang w:val="id-ID"/>
        </w:rPr>
        <w:t xml:space="preserve"> Disamping itu upaya penguatan Otoritas terkait sangat penting dilakukan dan harus diatur dalam UU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terutama mengenai pencegahan resiko sistemik dan pengelolaan krisis keuangan untuk mewujudkan perekonomian nasional yang berkelanjutan. Untuk mencapai tujuan ekonomi digital yang stabil dan berkelanjutan, instansi dan otoritas terkait perlu memiliki peran yang jelas dalam melakukan pengawasan kegiatan </w:t>
      </w:r>
      <w:r w:rsidRPr="00424260">
        <w:rPr>
          <w:rFonts w:ascii="Times New Roman" w:hAnsi="Times New Roman"/>
          <w:i/>
          <w:sz w:val="24"/>
          <w:szCs w:val="24"/>
          <w:lang w:val="id-ID"/>
        </w:rPr>
        <w:t xml:space="preserve">fintech. </w:t>
      </w:r>
    </w:p>
    <w:p w14:paraId="62CADF8C" w14:textId="77777777" w:rsidR="00424260" w:rsidRDefault="00424260" w:rsidP="00424260">
      <w:pPr>
        <w:pStyle w:val="ListParagraph"/>
        <w:spacing w:after="0"/>
        <w:ind w:left="0" w:firstLine="720"/>
        <w:jc w:val="both"/>
        <w:rPr>
          <w:rFonts w:ascii="Times New Roman" w:hAnsi="Times New Roman"/>
          <w:sz w:val="24"/>
          <w:szCs w:val="24"/>
        </w:rPr>
      </w:pPr>
      <w:r w:rsidRPr="00424260">
        <w:rPr>
          <w:rFonts w:ascii="Times New Roman" w:hAnsi="Times New Roman"/>
          <w:sz w:val="24"/>
          <w:szCs w:val="24"/>
          <w:lang w:val="id-ID"/>
        </w:rPr>
        <w:t xml:space="preserve">Berdasarkan kondisi yang dipaparkan diatas baik secara yuridis maupun non yuridis, Indonesia membutuhkan landasan hukum yang memadai, dengan alternatif nya adalah Pembentukan Undang-Undang Khusus </w:t>
      </w:r>
      <w:r w:rsidRPr="00424260">
        <w:rPr>
          <w:rFonts w:ascii="Times New Roman" w:hAnsi="Times New Roman"/>
          <w:i/>
          <w:sz w:val="24"/>
          <w:szCs w:val="24"/>
          <w:lang w:val="id-ID"/>
        </w:rPr>
        <w:t xml:space="preserve">fintech </w:t>
      </w:r>
      <w:r w:rsidRPr="00424260">
        <w:rPr>
          <w:rFonts w:ascii="Times New Roman" w:hAnsi="Times New Roman"/>
          <w:sz w:val="24"/>
          <w:szCs w:val="24"/>
          <w:lang w:val="id-ID"/>
        </w:rPr>
        <w:t xml:space="preserve">sebagai langkah yang tepat  dalam merespon perkembangan ekonomi digital yang menuntut kerangka hukum  yang komperehensif dan berfungi sebagai strategis dalam perlindungan konsumen, pencegahan dalam praktek </w:t>
      </w:r>
      <w:r w:rsidRPr="00424260">
        <w:rPr>
          <w:rFonts w:ascii="Times New Roman" w:hAnsi="Times New Roman"/>
          <w:i/>
          <w:sz w:val="24"/>
          <w:szCs w:val="24"/>
          <w:lang w:val="id-ID"/>
        </w:rPr>
        <w:t xml:space="preserve">illegal, </w:t>
      </w:r>
      <w:r w:rsidRPr="00424260">
        <w:rPr>
          <w:rFonts w:ascii="Times New Roman" w:hAnsi="Times New Roman"/>
          <w:sz w:val="24"/>
          <w:szCs w:val="24"/>
          <w:lang w:val="id-ID"/>
        </w:rPr>
        <w:t>dan upaya mitigasi risiko sistemik di industry jasa keungan digital di Indonesia.</w:t>
      </w:r>
    </w:p>
    <w:p w14:paraId="6755843C" w14:textId="77777777" w:rsidR="00424260" w:rsidRPr="00424260" w:rsidRDefault="00424260" w:rsidP="00424260">
      <w:pPr>
        <w:pStyle w:val="ListParagraph"/>
        <w:spacing w:after="0"/>
        <w:ind w:left="0" w:firstLine="720"/>
        <w:jc w:val="both"/>
        <w:rPr>
          <w:rFonts w:ascii="Times New Roman" w:hAnsi="Times New Roman"/>
          <w:sz w:val="24"/>
          <w:szCs w:val="24"/>
        </w:rPr>
      </w:pPr>
    </w:p>
    <w:p w14:paraId="6A637CEE" w14:textId="77777777" w:rsidR="00424260" w:rsidRPr="00424260" w:rsidRDefault="00424260" w:rsidP="00424260">
      <w:pPr>
        <w:pStyle w:val="ListParagraph"/>
        <w:numPr>
          <w:ilvl w:val="3"/>
          <w:numId w:val="1"/>
        </w:numPr>
        <w:spacing w:after="0"/>
        <w:ind w:left="360"/>
        <w:jc w:val="both"/>
        <w:rPr>
          <w:rFonts w:ascii="Times New Roman" w:hAnsi="Times New Roman"/>
          <w:i/>
          <w:sz w:val="24"/>
          <w:szCs w:val="24"/>
          <w:lang w:val="id-ID"/>
        </w:rPr>
      </w:pPr>
      <w:r w:rsidRPr="00424260">
        <w:rPr>
          <w:rFonts w:ascii="Times New Roman" w:hAnsi="Times New Roman"/>
          <w:b/>
          <w:sz w:val="24"/>
          <w:szCs w:val="24"/>
          <w:lang w:val="id-ID"/>
        </w:rPr>
        <w:t xml:space="preserve">Urgensi Pembentukan UU </w:t>
      </w:r>
      <w:r w:rsidRPr="00424260">
        <w:rPr>
          <w:rFonts w:ascii="Times New Roman" w:hAnsi="Times New Roman"/>
          <w:b/>
          <w:i/>
          <w:sz w:val="24"/>
          <w:szCs w:val="24"/>
          <w:lang w:val="id-ID"/>
        </w:rPr>
        <w:t xml:space="preserve">fintech </w:t>
      </w:r>
      <w:r w:rsidRPr="00424260">
        <w:rPr>
          <w:rFonts w:ascii="Times New Roman" w:hAnsi="Times New Roman"/>
          <w:b/>
          <w:sz w:val="24"/>
          <w:szCs w:val="24"/>
          <w:lang w:val="id-ID"/>
        </w:rPr>
        <w:t xml:space="preserve">terhadap Perlindungan Konsumen </w:t>
      </w:r>
      <w:r w:rsidRPr="00424260">
        <w:rPr>
          <w:rFonts w:ascii="Times New Roman" w:hAnsi="Times New Roman"/>
          <w:b/>
          <w:i/>
          <w:sz w:val="24"/>
          <w:szCs w:val="24"/>
          <w:lang w:val="id-ID"/>
        </w:rPr>
        <w:t>fintech</w:t>
      </w:r>
      <w:r w:rsidRPr="00424260">
        <w:rPr>
          <w:rFonts w:ascii="Times New Roman" w:hAnsi="Times New Roman"/>
          <w:b/>
          <w:sz w:val="24"/>
          <w:szCs w:val="24"/>
          <w:lang w:val="id-ID"/>
        </w:rPr>
        <w:t>.</w:t>
      </w:r>
    </w:p>
    <w:p w14:paraId="56BEEFAD" w14:textId="77777777" w:rsidR="00424260" w:rsidRPr="00424260" w:rsidRDefault="00424260" w:rsidP="00424260">
      <w:pPr>
        <w:pStyle w:val="ListParagraph"/>
        <w:spacing w:after="0"/>
        <w:ind w:left="360"/>
        <w:jc w:val="both"/>
        <w:rPr>
          <w:rFonts w:ascii="Times New Roman" w:hAnsi="Times New Roman"/>
          <w:i/>
          <w:sz w:val="24"/>
          <w:szCs w:val="24"/>
          <w:lang w:val="id-ID"/>
        </w:rPr>
      </w:pPr>
    </w:p>
    <w:p w14:paraId="4D6216CA" w14:textId="77777777" w:rsidR="00424260" w:rsidRDefault="00424260" w:rsidP="00424260">
      <w:pPr>
        <w:spacing w:after="0"/>
        <w:ind w:firstLine="720"/>
        <w:jc w:val="both"/>
        <w:rPr>
          <w:i/>
          <w:szCs w:val="24"/>
        </w:rPr>
      </w:pPr>
      <w:r w:rsidRPr="00424260">
        <w:rPr>
          <w:szCs w:val="24"/>
          <w:lang w:val="id-ID"/>
        </w:rPr>
        <w:t>Konstitusi Indonesia bertujuan mewujudkan perlindungan hukum terhadap hak setiap anggota masyarakat diseluruh Negara kesatuan. Konstitusi bagi bangsa Indonesia adalah kesepakatan, yang harus ditaati, dan dilaksanakan.</w:t>
      </w:r>
      <w:r w:rsidRPr="00EA5BEA">
        <w:rPr>
          <w:rStyle w:val="FootnoteReference"/>
          <w:rFonts w:cs="Times New Roman"/>
          <w:szCs w:val="24"/>
          <w:lang w:val="id-ID"/>
        </w:rPr>
        <w:footnoteReference w:id="48"/>
      </w:r>
      <w:r w:rsidRPr="00424260">
        <w:rPr>
          <w:szCs w:val="24"/>
          <w:lang w:val="id-ID"/>
        </w:rPr>
        <w:t xml:space="preserve"> Hal ini telah menjadi ciri bangsa Indonesia yang mengedepankan demokrasi dalam setiap pengambilan keputusan yang berkaitan dengan kepentigan nasional bangsa. Perjalanan demokrasi di Indonesia tidak berjalan mulus, banyak fase yang sudah dilewati, fase terakhir yaitu reformasi. Cita-cita reformasi yang berkaitan langsung dengan tujuan bangsa Indonesia adalah menjamin kelancaran produktivitas warga masyarakat dan  kehidupan ekonomi yang </w:t>
      </w:r>
      <w:r w:rsidRPr="00424260">
        <w:rPr>
          <w:szCs w:val="24"/>
          <w:lang w:val="id-ID"/>
        </w:rPr>
        <w:lastRenderedPageBreak/>
        <w:t>mensejahterahkan rakyat Indonesia.</w:t>
      </w:r>
      <w:r w:rsidRPr="00EA5BEA">
        <w:rPr>
          <w:rStyle w:val="FootnoteReference"/>
          <w:rFonts w:cs="Times New Roman"/>
          <w:szCs w:val="24"/>
          <w:lang w:val="id-ID"/>
        </w:rPr>
        <w:footnoteReference w:id="49"/>
      </w:r>
      <w:r w:rsidRPr="00424260">
        <w:rPr>
          <w:szCs w:val="24"/>
          <w:lang w:val="id-ID"/>
        </w:rPr>
        <w:t>. Dengan demikian kesejahteraan masyarakat adalah kunci dalam penyelenggaraan Negara Kesatuan Indonesia.</w:t>
      </w:r>
    </w:p>
    <w:p w14:paraId="1659E1F8" w14:textId="77777777" w:rsidR="00424260" w:rsidRDefault="00424260" w:rsidP="00424260">
      <w:pPr>
        <w:spacing w:after="0"/>
        <w:ind w:firstLine="720"/>
        <w:jc w:val="both"/>
        <w:rPr>
          <w:i/>
          <w:szCs w:val="24"/>
        </w:rPr>
      </w:pPr>
      <w:r w:rsidRPr="00424260">
        <w:rPr>
          <w:szCs w:val="24"/>
          <w:lang w:val="id-ID"/>
        </w:rPr>
        <w:t xml:space="preserve">Banyaknya ancaman dan pembobolan atau pencurian data konsumen diluar dari kelengahan perusahaan, yang bisa mengakibatkan kurang baiknya system perlidungan data privasi yang diterapkan oleh pelaku usaha dalam industry </w:t>
      </w:r>
      <w:r w:rsidRPr="00424260">
        <w:rPr>
          <w:i/>
          <w:szCs w:val="24"/>
          <w:lang w:val="id-ID"/>
        </w:rPr>
        <w:t xml:space="preserve">fintech </w:t>
      </w:r>
      <w:r w:rsidRPr="00424260">
        <w:rPr>
          <w:szCs w:val="24"/>
          <w:lang w:val="id-ID"/>
        </w:rPr>
        <w:t xml:space="preserve">ataupun bahaya dari adanya tindakan dari pelaku bisnis yang secara sengaja mengambil data konsumen dapat menyebabkan instabilitas dalam perkembangan industry </w:t>
      </w:r>
      <w:r w:rsidRPr="00424260">
        <w:rPr>
          <w:i/>
          <w:szCs w:val="24"/>
          <w:lang w:val="id-ID"/>
        </w:rPr>
        <w:t xml:space="preserve">fintech </w:t>
      </w:r>
      <w:r w:rsidRPr="00424260">
        <w:rPr>
          <w:szCs w:val="24"/>
          <w:lang w:val="id-ID"/>
        </w:rPr>
        <w:t xml:space="preserve">di Indonesia. Ancaman terhadap data data pribadi konsumen juga dapat dilakukan oleh pelaku-pelaku atau pekerja pada perusahaan </w:t>
      </w:r>
      <w:r w:rsidRPr="00424260">
        <w:rPr>
          <w:i/>
          <w:szCs w:val="24"/>
          <w:lang w:val="id-ID"/>
        </w:rPr>
        <w:t xml:space="preserve">fintech </w:t>
      </w:r>
      <w:r w:rsidRPr="00424260">
        <w:rPr>
          <w:szCs w:val="24"/>
          <w:lang w:val="id-ID"/>
        </w:rPr>
        <w:t xml:space="preserve">yang memiliki niat untuk mengambil data digital pengguna untuk memenuhi kebutuhan dan kepentingannya. Kondisi ini dapat membuat industry </w:t>
      </w:r>
      <w:r w:rsidRPr="00424260">
        <w:rPr>
          <w:i/>
          <w:szCs w:val="24"/>
          <w:lang w:val="id-ID"/>
        </w:rPr>
        <w:t xml:space="preserve">fintech </w:t>
      </w:r>
      <w:r w:rsidRPr="00424260">
        <w:rPr>
          <w:szCs w:val="24"/>
          <w:lang w:val="id-ID"/>
        </w:rPr>
        <w:t xml:space="preserve">yang telah berkembang pesat di Indonesia memperoleh label yang rendah dari Negara lain yang sudah lebih dulu membuat peraturan perlindungan hukum terhadap data-data serta ancaman terhadap industry </w:t>
      </w:r>
      <w:r w:rsidRPr="00424260">
        <w:rPr>
          <w:i/>
          <w:szCs w:val="24"/>
          <w:lang w:val="id-ID"/>
        </w:rPr>
        <w:t>fintech.</w:t>
      </w:r>
    </w:p>
    <w:p w14:paraId="323DA534" w14:textId="77777777" w:rsidR="00424260" w:rsidRDefault="00424260" w:rsidP="00424260">
      <w:pPr>
        <w:spacing w:after="0"/>
        <w:ind w:firstLine="720"/>
        <w:jc w:val="both"/>
        <w:rPr>
          <w:i/>
          <w:szCs w:val="24"/>
        </w:rPr>
      </w:pPr>
      <w:r w:rsidRPr="00424260">
        <w:rPr>
          <w:szCs w:val="24"/>
          <w:lang w:val="id-ID"/>
        </w:rPr>
        <w:t xml:space="preserve">Hadirnya hukum adalah merupakan respon terhadap kebutuhan masyarakat sebagaimana yang disebutkan diatas, gagasan serta kebijakan yang tepat dapat meberikan perlindungan hukum yang tepat pula bagi para pelaku industry </w:t>
      </w:r>
      <w:r w:rsidRPr="00424260">
        <w:rPr>
          <w:i/>
          <w:szCs w:val="24"/>
          <w:lang w:val="id-ID"/>
        </w:rPr>
        <w:t>fintech.</w:t>
      </w:r>
      <w:r w:rsidRPr="00424260">
        <w:rPr>
          <w:szCs w:val="24"/>
          <w:lang w:val="id-ID"/>
        </w:rPr>
        <w:t xml:space="preserve"> hukum hadir sebagai respon terhadap gejala atau venomena-venomena sosial terhadap kebutuhan masyarakat yang dinamis dan permasalahan masyarakat. Permasalahan yang dihadapi masyarakat juga semakin hari semakin berkembang.</w:t>
      </w:r>
      <w:r w:rsidRPr="00EA5BEA">
        <w:rPr>
          <w:rStyle w:val="FootnoteReference"/>
          <w:rFonts w:cs="Times New Roman"/>
          <w:szCs w:val="24"/>
          <w:lang w:val="id-ID"/>
        </w:rPr>
        <w:footnoteReference w:id="50"/>
      </w:r>
      <w:r w:rsidRPr="00424260">
        <w:rPr>
          <w:szCs w:val="24"/>
          <w:lang w:val="id-ID"/>
        </w:rPr>
        <w:t xml:space="preserve"> Dengan demikian maka tujuan hukum adalah memberikan perlindungan (Pengayoman) kepada masyarakat.</w:t>
      </w:r>
      <w:r w:rsidRPr="00EA5BEA">
        <w:rPr>
          <w:rStyle w:val="FootnoteReference"/>
          <w:rFonts w:cs="Times New Roman"/>
          <w:szCs w:val="24"/>
          <w:lang w:val="id-ID"/>
        </w:rPr>
        <w:footnoteReference w:id="51"/>
      </w:r>
      <w:r w:rsidRPr="00424260">
        <w:rPr>
          <w:szCs w:val="24"/>
          <w:lang w:val="id-ID"/>
        </w:rPr>
        <w:t xml:space="preserve"> Perlindungan hukum adalah perlindungan terhadap harkat dan martabat serta pengakuan terhadap Hak Asasi Manusia yang dimiliki oleh subjek hukum yang didasarkan pada hukum positif, jadi bisa disimpulkan perlindungan hukum berfungsi melindungi kepentingan manusia.</w:t>
      </w:r>
      <w:r w:rsidRPr="00EA5BEA">
        <w:rPr>
          <w:rStyle w:val="FootnoteReference"/>
          <w:rFonts w:cs="Times New Roman"/>
          <w:szCs w:val="24"/>
          <w:lang w:val="id-ID"/>
        </w:rPr>
        <w:footnoteReference w:id="52"/>
      </w:r>
      <w:r w:rsidRPr="00424260">
        <w:rPr>
          <w:szCs w:val="24"/>
          <w:lang w:val="id-ID"/>
        </w:rPr>
        <w:t xml:space="preserve"> Kepentingan masyarakat Indonesia sangat beragam, hal ini dikarenakan masyarakat Indonesia yang heterogen dan memiliki kebudayaan serta kebiasaan yang berbeda-beda.</w:t>
      </w:r>
      <w:r w:rsidRPr="00EA5BEA">
        <w:rPr>
          <w:rStyle w:val="FootnoteReference"/>
          <w:rFonts w:cs="Times New Roman"/>
          <w:szCs w:val="24"/>
          <w:lang w:val="id-ID"/>
        </w:rPr>
        <w:footnoteReference w:id="53"/>
      </w:r>
      <w:r w:rsidRPr="00424260">
        <w:rPr>
          <w:szCs w:val="24"/>
          <w:lang w:val="id-ID"/>
        </w:rPr>
        <w:t xml:space="preserve"> Namun dengan adanya penyebaran </w:t>
      </w:r>
      <w:r w:rsidRPr="00424260">
        <w:rPr>
          <w:i/>
          <w:szCs w:val="24"/>
          <w:lang w:val="id-ID"/>
        </w:rPr>
        <w:t>Covid</w:t>
      </w:r>
      <w:r w:rsidRPr="00424260">
        <w:rPr>
          <w:szCs w:val="24"/>
          <w:lang w:val="id-ID"/>
        </w:rPr>
        <w:t>- 19 di Indonesia, kepentingan masyarakat menjadi satu yaitu kepentingan akan perlindungan hukum bagi keselamatan seluruh masyarakat Indonesia.</w:t>
      </w:r>
      <w:r w:rsidRPr="00424260">
        <w:rPr>
          <w:b/>
          <w:szCs w:val="24"/>
          <w:lang w:val="id-ID"/>
        </w:rPr>
        <w:t xml:space="preserve"> </w:t>
      </w:r>
      <w:r w:rsidRPr="00424260">
        <w:rPr>
          <w:szCs w:val="24"/>
          <w:lang w:val="id-ID"/>
        </w:rPr>
        <w:t>Perlindungan hukum merupakan pemberian Keadilan, Kepastian dan Kemanfaatan bagi seluruh anggota masyarakat, yang diwujudkan dalam kebijakan nasional.</w:t>
      </w:r>
      <w:r w:rsidRPr="00EA5BEA">
        <w:rPr>
          <w:rStyle w:val="FootnoteReference"/>
          <w:rFonts w:cs="Times New Roman"/>
          <w:szCs w:val="24"/>
          <w:lang w:val="id-ID"/>
        </w:rPr>
        <w:footnoteReference w:id="54"/>
      </w:r>
      <w:r w:rsidRPr="00424260">
        <w:rPr>
          <w:szCs w:val="24"/>
          <w:lang w:val="id-ID"/>
        </w:rPr>
        <w:t xml:space="preserve">  Kebijakan nasional diwujudkan dalam suatu peraturan perundang-undangan yang bisa mengakomodir seluruh kepentingan masyarakat Indonesia.</w:t>
      </w:r>
      <w:r w:rsidRPr="00EA5BEA">
        <w:rPr>
          <w:rStyle w:val="FootnoteReference"/>
          <w:rFonts w:cs="Times New Roman"/>
          <w:szCs w:val="24"/>
          <w:lang w:val="id-ID"/>
        </w:rPr>
        <w:footnoteReference w:id="55"/>
      </w:r>
      <w:r w:rsidRPr="00424260">
        <w:rPr>
          <w:szCs w:val="24"/>
          <w:lang w:val="id-ID"/>
        </w:rPr>
        <w:t xml:space="preserve"> Perlindungan Kepada masyarakat </w:t>
      </w:r>
      <w:r w:rsidRPr="00424260">
        <w:rPr>
          <w:szCs w:val="24"/>
          <w:lang w:val="id-ID"/>
        </w:rPr>
        <w:lastRenderedPageBreak/>
        <w:t>prinsipnya sama dengan perlindungan konsumen. Karena seluruh masyarakat Indonesia adalah konsumen, sehingga kepentingan atas suatu pelrindungan hukum bagi konsumen merupakan kepentingan dari seluruh penduduk Indonesia.</w:t>
      </w:r>
      <w:r w:rsidRPr="00EA5BEA">
        <w:rPr>
          <w:rStyle w:val="FootnoteReference"/>
          <w:rFonts w:cs="Times New Roman"/>
          <w:szCs w:val="24"/>
          <w:lang w:val="id-ID"/>
        </w:rPr>
        <w:footnoteReference w:id="56"/>
      </w:r>
      <w:r w:rsidRPr="00424260">
        <w:rPr>
          <w:b/>
          <w:szCs w:val="24"/>
          <w:lang w:val="id-ID"/>
        </w:rPr>
        <w:t xml:space="preserve"> </w:t>
      </w:r>
      <w:r w:rsidRPr="00424260">
        <w:rPr>
          <w:szCs w:val="24"/>
          <w:lang w:val="id-ID"/>
        </w:rPr>
        <w:t>Perlindungan konsumen bertujuan untuk memberikan jaminan kepastian hukum untuk kensumen yang mengalami kerugian.</w:t>
      </w:r>
      <w:r w:rsidRPr="00EA5BEA">
        <w:rPr>
          <w:rStyle w:val="FootnoteReference"/>
          <w:rFonts w:cs="Times New Roman"/>
          <w:szCs w:val="24"/>
          <w:lang w:val="id-ID"/>
        </w:rPr>
        <w:footnoteReference w:id="57"/>
      </w:r>
      <w:r w:rsidRPr="00424260">
        <w:rPr>
          <w:szCs w:val="24"/>
          <w:lang w:val="id-ID"/>
        </w:rPr>
        <w:t xml:space="preserve"> Kondisi penyebaran covid-19 saat ini hanya sebagai pemicu awal terhadap perkembangan industry </w:t>
      </w:r>
      <w:r w:rsidRPr="00424260">
        <w:rPr>
          <w:i/>
          <w:szCs w:val="24"/>
          <w:lang w:val="id-ID"/>
        </w:rPr>
        <w:t xml:space="preserve">fintech, </w:t>
      </w:r>
      <w:r w:rsidRPr="00424260">
        <w:rPr>
          <w:szCs w:val="24"/>
          <w:lang w:val="id-ID"/>
        </w:rPr>
        <w:t>yang pada sesungguhnyaregulasi khusus</w:t>
      </w:r>
      <w:r w:rsidRPr="00424260">
        <w:rPr>
          <w:i/>
          <w:szCs w:val="24"/>
          <w:lang w:val="id-ID"/>
        </w:rPr>
        <w:t xml:space="preserve"> fintech</w:t>
      </w:r>
      <w:r w:rsidRPr="00424260">
        <w:rPr>
          <w:szCs w:val="24"/>
          <w:lang w:val="id-ID"/>
        </w:rPr>
        <w:t xml:space="preserve"> sangat dibutuhkan, kondisi ini bukan saja dibutuhkan pada pandemic covid-19, melainkan juga pada  kebutuhan yang akan datang, dengan adanya suatu regulasi dan/atau kebijakan hukum terhadap industri </w:t>
      </w:r>
      <w:r w:rsidRPr="00424260">
        <w:rPr>
          <w:i/>
          <w:szCs w:val="24"/>
          <w:lang w:val="id-ID"/>
        </w:rPr>
        <w:t xml:space="preserve">fintech </w:t>
      </w:r>
      <w:r w:rsidRPr="00424260">
        <w:rPr>
          <w:szCs w:val="24"/>
          <w:lang w:val="id-ID"/>
        </w:rPr>
        <w:t xml:space="preserve">maka seluruh masyarakat dapat terlindungan aktifitasnya dalam kegiatan </w:t>
      </w:r>
      <w:r w:rsidRPr="00424260">
        <w:rPr>
          <w:i/>
          <w:szCs w:val="24"/>
          <w:lang w:val="id-ID"/>
        </w:rPr>
        <w:t>fintech.</w:t>
      </w:r>
    </w:p>
    <w:p w14:paraId="73C86DDF" w14:textId="77777777" w:rsidR="00424260" w:rsidRDefault="00424260" w:rsidP="00424260">
      <w:pPr>
        <w:spacing w:after="0"/>
        <w:ind w:firstLine="720"/>
        <w:jc w:val="both"/>
        <w:rPr>
          <w:i/>
          <w:szCs w:val="24"/>
        </w:rPr>
      </w:pPr>
      <w:r w:rsidRPr="00424260">
        <w:rPr>
          <w:szCs w:val="24"/>
          <w:lang w:val="id-ID"/>
        </w:rPr>
        <w:t xml:space="preserve">Sesungguhnya, Perlindungan hukum terhadap masyarakat yang terdampak pandemic </w:t>
      </w:r>
      <w:r w:rsidRPr="00424260">
        <w:rPr>
          <w:i/>
          <w:szCs w:val="24"/>
          <w:lang w:val="id-ID"/>
        </w:rPr>
        <w:t xml:space="preserve">covid -19 </w:t>
      </w:r>
      <w:r w:rsidRPr="00424260">
        <w:rPr>
          <w:szCs w:val="24"/>
          <w:lang w:val="id-ID"/>
        </w:rPr>
        <w:t xml:space="preserve">sebagai bentuk dasar pembangunan bangsa dengan mewujudkan keadilan sosial bagi seluruh rakyat Indonesia, sebab keadilan sosial hanya akan terwujud bilamana seluruh masyarakat Indonesia berdampak </w:t>
      </w:r>
      <w:r w:rsidRPr="00424260">
        <w:rPr>
          <w:i/>
          <w:szCs w:val="24"/>
          <w:lang w:val="id-ID"/>
        </w:rPr>
        <w:t>Covid</w:t>
      </w:r>
      <w:r w:rsidRPr="00424260">
        <w:rPr>
          <w:szCs w:val="24"/>
          <w:lang w:val="id-ID"/>
        </w:rPr>
        <w:t>-19 merasakan perlindungan hukum yang sama.</w:t>
      </w:r>
      <w:r w:rsidRPr="00EA5BEA">
        <w:rPr>
          <w:rStyle w:val="FootnoteReference"/>
          <w:rFonts w:cs="Times New Roman"/>
          <w:szCs w:val="24"/>
          <w:lang w:val="id-ID"/>
        </w:rPr>
        <w:footnoteReference w:id="58"/>
      </w:r>
      <w:r w:rsidRPr="00424260">
        <w:rPr>
          <w:szCs w:val="24"/>
          <w:lang w:val="id-ID"/>
        </w:rPr>
        <w:t xml:space="preserve"> Keadaan masyarakat Indonesia ditengah penyebaran pandemic </w:t>
      </w:r>
      <w:r w:rsidRPr="00424260">
        <w:rPr>
          <w:i/>
          <w:szCs w:val="24"/>
          <w:lang w:val="id-ID"/>
        </w:rPr>
        <w:t xml:space="preserve">covid-19 </w:t>
      </w:r>
      <w:r w:rsidRPr="00424260">
        <w:rPr>
          <w:szCs w:val="24"/>
          <w:lang w:val="id-ID"/>
        </w:rPr>
        <w:t xml:space="preserve">membuat masyarakat kesulitan untuk bekerja, sehingga masyarakat tidak mendapatkan penghasilan di tengah kondisi pandemic </w:t>
      </w:r>
      <w:r w:rsidRPr="00424260">
        <w:rPr>
          <w:i/>
          <w:szCs w:val="24"/>
          <w:lang w:val="id-ID"/>
        </w:rPr>
        <w:t>covid</w:t>
      </w:r>
      <w:r w:rsidRPr="00424260">
        <w:rPr>
          <w:szCs w:val="24"/>
          <w:lang w:val="id-ID"/>
        </w:rPr>
        <w:t>-19.</w:t>
      </w:r>
    </w:p>
    <w:p w14:paraId="0BFAFAA2" w14:textId="77777777" w:rsidR="00424260" w:rsidRDefault="00424260" w:rsidP="00424260">
      <w:pPr>
        <w:spacing w:after="0"/>
        <w:ind w:firstLine="720"/>
        <w:jc w:val="both"/>
        <w:rPr>
          <w:i/>
          <w:szCs w:val="24"/>
        </w:rPr>
      </w:pPr>
      <w:r w:rsidRPr="00424260">
        <w:rPr>
          <w:szCs w:val="24"/>
          <w:lang w:val="id-ID"/>
        </w:rPr>
        <w:t xml:space="preserve">Gagasan serta kebijakan hukum terhadap pembentukan Undang-undang </w:t>
      </w:r>
      <w:r w:rsidRPr="00424260">
        <w:rPr>
          <w:i/>
          <w:szCs w:val="24"/>
          <w:lang w:val="id-ID"/>
        </w:rPr>
        <w:t>Fintech</w:t>
      </w:r>
      <w:r w:rsidRPr="00424260">
        <w:rPr>
          <w:szCs w:val="24"/>
          <w:lang w:val="id-ID"/>
        </w:rPr>
        <w:t>, bertujuan untuk merancang kerangka kebijakan dan mendorong serta mendukung inovasi untuk meningkatkan inklusi keuangan dan pertumbuhan ekonomi sekaligus memberikan perlindungan hukum terhadap keamanan dan kesehatan system perbankan dan stabilitas keuangan secara keseluruhan.</w:t>
      </w:r>
      <w:r w:rsidRPr="00EA5BEA">
        <w:rPr>
          <w:rStyle w:val="FootnoteReference"/>
          <w:szCs w:val="24"/>
          <w:lang w:val="id-ID"/>
        </w:rPr>
        <w:footnoteReference w:id="59"/>
      </w:r>
      <w:r w:rsidRPr="00424260">
        <w:rPr>
          <w:szCs w:val="24"/>
          <w:lang w:val="id-ID"/>
        </w:rPr>
        <w:t xml:space="preserve"> Dalam merancang regulasi </w:t>
      </w:r>
      <w:r w:rsidRPr="00424260">
        <w:rPr>
          <w:i/>
          <w:szCs w:val="24"/>
          <w:lang w:val="id-ID"/>
        </w:rPr>
        <w:t>fintech</w:t>
      </w:r>
      <w:r w:rsidRPr="00424260">
        <w:rPr>
          <w:szCs w:val="24"/>
          <w:lang w:val="id-ID"/>
        </w:rPr>
        <w:t xml:space="preserve">, para regulator berusaha memberikan aturan yang jelas, serta menjaga integritas pasar, dan mendorong inovasi </w:t>
      </w:r>
      <w:r w:rsidRPr="00424260">
        <w:rPr>
          <w:i/>
          <w:szCs w:val="24"/>
          <w:lang w:val="id-ID"/>
        </w:rPr>
        <w:t>fintech.</w:t>
      </w:r>
      <w:r w:rsidRPr="00EA5BEA">
        <w:rPr>
          <w:rStyle w:val="FootnoteReference"/>
          <w:i/>
          <w:szCs w:val="24"/>
          <w:lang w:val="id-ID"/>
        </w:rPr>
        <w:footnoteReference w:id="60"/>
      </w:r>
      <w:r w:rsidRPr="00424260">
        <w:rPr>
          <w:i/>
          <w:szCs w:val="24"/>
          <w:lang w:val="id-ID"/>
        </w:rPr>
        <w:t xml:space="preserve"> </w:t>
      </w:r>
      <w:r w:rsidRPr="00424260">
        <w:rPr>
          <w:szCs w:val="24"/>
          <w:lang w:val="id-ID"/>
        </w:rPr>
        <w:t xml:space="preserve">Bahaya yang timbul sebagai akibat tidak adanya aturan hukum dalam perlindungan industry fintechdapat berdampak buruk terhadap konsumen, dan dapat merugikan konsumen baik secara moril maupun materil, hal ini akibat banyaknya ancaman atau pencurian data para konsumen yang dilakuka oleh para pelaku industri </w:t>
      </w:r>
      <w:r w:rsidRPr="00424260">
        <w:rPr>
          <w:i/>
          <w:szCs w:val="24"/>
          <w:lang w:val="id-ID"/>
        </w:rPr>
        <w:t xml:space="preserve">fintech </w:t>
      </w:r>
      <w:r w:rsidRPr="00424260">
        <w:rPr>
          <w:szCs w:val="24"/>
          <w:lang w:val="id-ID"/>
        </w:rPr>
        <w:t>illegal.</w:t>
      </w:r>
    </w:p>
    <w:p w14:paraId="0936F233" w14:textId="77777777" w:rsidR="00424260" w:rsidRDefault="00424260" w:rsidP="00424260">
      <w:pPr>
        <w:spacing w:after="0"/>
        <w:ind w:firstLine="720"/>
        <w:jc w:val="both"/>
        <w:rPr>
          <w:i/>
          <w:szCs w:val="24"/>
        </w:rPr>
      </w:pPr>
      <w:r w:rsidRPr="00424260">
        <w:rPr>
          <w:szCs w:val="24"/>
          <w:lang w:val="id-ID"/>
        </w:rPr>
        <w:t xml:space="preserve">berdasarkan kondisi yang demikian maka dalam kebijakan pembentukan Undang-Undang </w:t>
      </w:r>
      <w:r w:rsidRPr="00424260">
        <w:rPr>
          <w:i/>
          <w:szCs w:val="24"/>
          <w:lang w:val="id-ID"/>
        </w:rPr>
        <w:t xml:space="preserve">Fintech </w:t>
      </w:r>
      <w:r w:rsidRPr="00424260">
        <w:rPr>
          <w:szCs w:val="24"/>
          <w:lang w:val="id-ID"/>
        </w:rPr>
        <w:t xml:space="preserve">paling tidak memuat sanksi hukum yang cukup memadai dalam memberikan sangsi terhadap para pelaku yang nakal. Harapan nya dalam peraturan perundang-undangan  </w:t>
      </w:r>
      <w:r w:rsidRPr="00424260">
        <w:rPr>
          <w:i/>
          <w:szCs w:val="24"/>
          <w:lang w:val="id-ID"/>
        </w:rPr>
        <w:t>Fintech</w:t>
      </w:r>
      <w:r w:rsidRPr="00424260">
        <w:rPr>
          <w:szCs w:val="24"/>
          <w:lang w:val="id-ID"/>
        </w:rPr>
        <w:t xml:space="preserve"> dimuat Kerangka hukum </w:t>
      </w:r>
      <w:r w:rsidRPr="00424260">
        <w:rPr>
          <w:i/>
          <w:szCs w:val="24"/>
          <w:lang w:val="id-ID"/>
        </w:rPr>
        <w:t xml:space="preserve">fintech </w:t>
      </w:r>
      <w:r w:rsidRPr="00424260">
        <w:rPr>
          <w:szCs w:val="24"/>
          <w:lang w:val="id-ID"/>
        </w:rPr>
        <w:t xml:space="preserve"> sebagai upaya strategis untuk memperkuat langkah hukum perlindungan konsumen digital di Indonesia diantarnya yaitu: </w:t>
      </w:r>
      <w:r w:rsidRPr="00424260">
        <w:rPr>
          <w:i/>
          <w:szCs w:val="24"/>
          <w:lang w:val="id-ID"/>
        </w:rPr>
        <w:t>Pertama</w:t>
      </w:r>
      <w:r w:rsidRPr="00424260">
        <w:rPr>
          <w:szCs w:val="24"/>
          <w:lang w:val="id-ID"/>
        </w:rPr>
        <w:t xml:space="preserve">, pada aspek Pengaturannya, Jenis layanan, Legalitas </w:t>
      </w:r>
      <w:r w:rsidRPr="00424260">
        <w:rPr>
          <w:i/>
          <w:szCs w:val="24"/>
          <w:lang w:val="id-ID"/>
        </w:rPr>
        <w:t xml:space="preserve">fintech </w:t>
      </w:r>
      <w:r w:rsidRPr="00424260">
        <w:rPr>
          <w:szCs w:val="24"/>
          <w:lang w:val="id-ID"/>
        </w:rPr>
        <w:t xml:space="preserve">serta kegiatan bisnis bisnis </w:t>
      </w:r>
      <w:r w:rsidRPr="00424260">
        <w:rPr>
          <w:i/>
          <w:szCs w:val="24"/>
          <w:lang w:val="id-ID"/>
        </w:rPr>
        <w:t>fintech</w:t>
      </w:r>
      <w:r w:rsidRPr="00424260">
        <w:rPr>
          <w:szCs w:val="24"/>
          <w:lang w:val="id-ID"/>
        </w:rPr>
        <w:t xml:space="preserve">, nantinya harus secara eksplisit memaparkan jenis layanan </w:t>
      </w:r>
      <w:r w:rsidRPr="00424260">
        <w:rPr>
          <w:i/>
          <w:szCs w:val="24"/>
          <w:lang w:val="id-ID"/>
        </w:rPr>
        <w:t>fintech</w:t>
      </w:r>
      <w:r w:rsidRPr="00424260">
        <w:rPr>
          <w:szCs w:val="24"/>
          <w:lang w:val="id-ID"/>
        </w:rPr>
        <w:t xml:space="preserve"> dan kegiatan bisnis yang legal di Indonesia. </w:t>
      </w:r>
    </w:p>
    <w:p w14:paraId="0AF5CB0A" w14:textId="77777777" w:rsidR="00424260" w:rsidRDefault="00424260" w:rsidP="00424260">
      <w:pPr>
        <w:spacing w:after="0"/>
        <w:ind w:firstLine="720"/>
        <w:jc w:val="both"/>
        <w:rPr>
          <w:i/>
          <w:szCs w:val="24"/>
        </w:rPr>
      </w:pPr>
      <w:r w:rsidRPr="00424260">
        <w:rPr>
          <w:i/>
          <w:szCs w:val="24"/>
          <w:lang w:val="id-ID"/>
        </w:rPr>
        <w:t>Kedua</w:t>
      </w:r>
      <w:r w:rsidRPr="00424260">
        <w:rPr>
          <w:szCs w:val="24"/>
          <w:lang w:val="id-ID"/>
        </w:rPr>
        <w:t xml:space="preserve">, Otoritas Pengawasan dan Regulator di Industri </w:t>
      </w:r>
      <w:r w:rsidRPr="00424260">
        <w:rPr>
          <w:i/>
          <w:szCs w:val="24"/>
          <w:lang w:val="id-ID"/>
        </w:rPr>
        <w:t>financial</w:t>
      </w:r>
      <w:r w:rsidRPr="00424260">
        <w:rPr>
          <w:szCs w:val="24"/>
          <w:lang w:val="id-ID"/>
        </w:rPr>
        <w:t xml:space="preserve"> . Pada ketentuan </w:t>
      </w:r>
      <w:r w:rsidRPr="00424260">
        <w:rPr>
          <w:szCs w:val="24"/>
          <w:lang w:val="id-ID"/>
        </w:rPr>
        <w:lastRenderedPageBreak/>
        <w:t xml:space="preserve">ini penting dilakukan karena mengingat jenis –jenis </w:t>
      </w:r>
      <w:r w:rsidRPr="00424260">
        <w:rPr>
          <w:i/>
          <w:szCs w:val="24"/>
          <w:lang w:val="id-ID"/>
        </w:rPr>
        <w:t>fintech</w:t>
      </w:r>
      <w:r w:rsidRPr="00424260">
        <w:rPr>
          <w:szCs w:val="24"/>
          <w:lang w:val="id-ID"/>
        </w:rPr>
        <w:t xml:space="preserve"> yang ada di Indonesia tidak hanya diawasi oleh OJK tetapi juga diawasi oleh Bank Indonesia.</w:t>
      </w:r>
      <w:r w:rsidRPr="00EA5BEA">
        <w:rPr>
          <w:rStyle w:val="FootnoteReference"/>
          <w:szCs w:val="24"/>
          <w:lang w:val="id-ID"/>
        </w:rPr>
        <w:footnoteReference w:id="61"/>
      </w:r>
      <w:r w:rsidRPr="00424260">
        <w:rPr>
          <w:szCs w:val="24"/>
          <w:lang w:val="id-ID"/>
        </w:rPr>
        <w:t xml:space="preserve"> serta Pembagian peran dan kewenangan kedua institusi yang jelas diperlukan dan dipetakan untuk menghindari tumpah tindih dan untuk memastikan bahwa mereka dapat berkoordinasi secara konperehensif dalam upaya menjaga stabilitas keuagan.</w:t>
      </w:r>
      <w:r w:rsidRPr="00EA5BEA">
        <w:rPr>
          <w:rStyle w:val="FootnoteReference"/>
          <w:szCs w:val="24"/>
          <w:lang w:val="id-ID"/>
        </w:rPr>
        <w:footnoteReference w:id="62"/>
      </w:r>
      <w:r w:rsidRPr="00424260">
        <w:rPr>
          <w:szCs w:val="24"/>
          <w:lang w:val="id-ID"/>
        </w:rPr>
        <w:t xml:space="preserve"> Selain itu, peran kementrian Keuangan juga harus diatur disini, karena kementrian keuangan memiliki kewenangan </w:t>
      </w:r>
      <w:r w:rsidRPr="00424260">
        <w:rPr>
          <w:i/>
          <w:szCs w:val="24"/>
          <w:lang w:val="id-ID"/>
        </w:rPr>
        <w:t xml:space="preserve">fiscal </w:t>
      </w:r>
      <w:r w:rsidRPr="00424260">
        <w:rPr>
          <w:szCs w:val="24"/>
          <w:lang w:val="id-ID"/>
        </w:rPr>
        <w:t>dan mewakili pemerintah. Hal penting lainnya adalah koordinasi dan kolaborasi otoritas sector jasa keuangan dengan regulator merupakan parameter dibidang lain seperti perlindungan data dan risiko siber.</w:t>
      </w:r>
      <w:r w:rsidRPr="00EA5BEA">
        <w:rPr>
          <w:rStyle w:val="FootnoteReference"/>
          <w:szCs w:val="24"/>
          <w:lang w:val="id-ID"/>
        </w:rPr>
        <w:footnoteReference w:id="63"/>
      </w:r>
      <w:r w:rsidRPr="00424260">
        <w:rPr>
          <w:szCs w:val="24"/>
          <w:lang w:val="id-ID"/>
        </w:rPr>
        <w:t xml:space="preserve"> </w:t>
      </w:r>
    </w:p>
    <w:p w14:paraId="57E18479" w14:textId="77777777" w:rsidR="00424260" w:rsidRDefault="00424260" w:rsidP="00424260">
      <w:pPr>
        <w:spacing w:after="0"/>
        <w:ind w:firstLine="720"/>
        <w:jc w:val="both"/>
        <w:rPr>
          <w:i/>
          <w:szCs w:val="24"/>
        </w:rPr>
      </w:pPr>
      <w:r w:rsidRPr="00424260">
        <w:rPr>
          <w:i/>
          <w:szCs w:val="24"/>
          <w:lang w:val="id-ID"/>
        </w:rPr>
        <w:t>Ketiga</w:t>
      </w:r>
      <w:r w:rsidRPr="00424260">
        <w:rPr>
          <w:szCs w:val="24"/>
          <w:lang w:val="id-ID"/>
        </w:rPr>
        <w:t xml:space="preserve">, Kewajiban dan Larangan bagi penyelenggara layanan financial technology. Pada dasar Muatannya, Bagian Ini Harus Mengatur Tentang Penyedia Layanan </w:t>
      </w:r>
      <w:r w:rsidRPr="00424260">
        <w:rPr>
          <w:i/>
          <w:szCs w:val="24"/>
          <w:lang w:val="id-ID"/>
        </w:rPr>
        <w:t>Fintech</w:t>
      </w:r>
      <w:r w:rsidRPr="00424260">
        <w:rPr>
          <w:szCs w:val="24"/>
          <w:lang w:val="id-ID"/>
        </w:rPr>
        <w:t>, Tentang Pengaturan Mana Yang Wajib dilakukan dan tidak boleh dilakukan. Paling Tidak memuat subjek Pelaporan, Pengawasa Independen dan hal lainnya.</w:t>
      </w:r>
      <w:r w:rsidRPr="00EA5BEA">
        <w:rPr>
          <w:rStyle w:val="FootnoteReference"/>
          <w:szCs w:val="24"/>
          <w:lang w:val="id-ID"/>
        </w:rPr>
        <w:footnoteReference w:id="64"/>
      </w:r>
    </w:p>
    <w:p w14:paraId="65D3A550" w14:textId="77777777" w:rsidR="00424260" w:rsidRDefault="00424260" w:rsidP="00424260">
      <w:pPr>
        <w:spacing w:after="0"/>
        <w:ind w:firstLine="720"/>
        <w:jc w:val="both"/>
        <w:rPr>
          <w:i/>
          <w:szCs w:val="24"/>
        </w:rPr>
      </w:pPr>
      <w:r w:rsidRPr="00424260">
        <w:rPr>
          <w:i/>
          <w:szCs w:val="24"/>
          <w:lang w:val="id-ID"/>
        </w:rPr>
        <w:t>Keempat,</w:t>
      </w:r>
      <w:r w:rsidRPr="00424260">
        <w:rPr>
          <w:szCs w:val="24"/>
          <w:lang w:val="id-ID"/>
        </w:rPr>
        <w:t xml:space="preserve"> Perlindungan Konsumen, Muatanya, Bagian ini harus memuat ketentuan tentang tanggungjawab penyelenggara </w:t>
      </w:r>
      <w:r w:rsidRPr="00424260">
        <w:rPr>
          <w:i/>
          <w:szCs w:val="24"/>
          <w:lang w:val="id-ID"/>
        </w:rPr>
        <w:t xml:space="preserve">fintech </w:t>
      </w:r>
      <w:r w:rsidRPr="00424260">
        <w:rPr>
          <w:szCs w:val="24"/>
          <w:lang w:val="id-ID"/>
        </w:rPr>
        <w:t xml:space="preserve">dalam melindungi data para pengguna jasa </w:t>
      </w:r>
      <w:r w:rsidRPr="00424260">
        <w:rPr>
          <w:i/>
          <w:szCs w:val="24"/>
          <w:lang w:val="id-ID"/>
        </w:rPr>
        <w:t>fintech</w:t>
      </w:r>
      <w:r w:rsidRPr="00424260">
        <w:rPr>
          <w:szCs w:val="24"/>
          <w:lang w:val="id-ID"/>
        </w:rPr>
        <w:t>, dengan menyediakan system cyber yang dapat menjamin kerahasian data konsumen.</w:t>
      </w:r>
    </w:p>
    <w:p w14:paraId="5240C6B2" w14:textId="77777777" w:rsidR="00424260" w:rsidRDefault="00424260" w:rsidP="00424260">
      <w:pPr>
        <w:spacing w:after="0"/>
        <w:ind w:firstLine="720"/>
        <w:jc w:val="both"/>
        <w:rPr>
          <w:i/>
          <w:szCs w:val="24"/>
        </w:rPr>
      </w:pPr>
      <w:r w:rsidRPr="00424260">
        <w:rPr>
          <w:i/>
          <w:szCs w:val="24"/>
          <w:lang w:val="id-ID"/>
        </w:rPr>
        <w:t xml:space="preserve">Kelima, Education </w:t>
      </w:r>
      <w:r w:rsidRPr="00424260">
        <w:rPr>
          <w:szCs w:val="24"/>
          <w:lang w:val="id-ID"/>
        </w:rPr>
        <w:t xml:space="preserve">konsumen, Muatanya, Bagian ini adalah upaya pendidikan konsumen yang dilakukan oleh Otoritas dan penyelenggara </w:t>
      </w:r>
      <w:r w:rsidRPr="00424260">
        <w:rPr>
          <w:i/>
          <w:szCs w:val="24"/>
          <w:lang w:val="id-ID"/>
        </w:rPr>
        <w:t xml:space="preserve">fintech </w:t>
      </w:r>
      <w:r w:rsidRPr="00424260">
        <w:rPr>
          <w:szCs w:val="24"/>
          <w:lang w:val="id-ID"/>
        </w:rPr>
        <w:t>untuk</w:t>
      </w:r>
      <w:r w:rsidRPr="00424260">
        <w:rPr>
          <w:i/>
          <w:szCs w:val="24"/>
          <w:lang w:val="id-ID"/>
        </w:rPr>
        <w:t xml:space="preserve"> memberikan edukasi</w:t>
      </w:r>
      <w:r w:rsidRPr="00424260">
        <w:rPr>
          <w:szCs w:val="24"/>
          <w:lang w:val="id-ID"/>
        </w:rPr>
        <w:t xml:space="preserve"> bagi para masyarakat pengguna jasa </w:t>
      </w:r>
      <w:r w:rsidRPr="00424260">
        <w:rPr>
          <w:i/>
          <w:szCs w:val="24"/>
          <w:lang w:val="id-ID"/>
        </w:rPr>
        <w:t xml:space="preserve">fintech, </w:t>
      </w:r>
      <w:r w:rsidRPr="00424260">
        <w:rPr>
          <w:szCs w:val="24"/>
          <w:lang w:val="id-ID"/>
        </w:rPr>
        <w:t xml:space="preserve">dengan cara  memberdayakan Konsumen, menginformasikan model layanan </w:t>
      </w:r>
      <w:r w:rsidRPr="00424260">
        <w:rPr>
          <w:i/>
          <w:szCs w:val="24"/>
          <w:lang w:val="id-ID"/>
        </w:rPr>
        <w:t xml:space="preserve">fintech, </w:t>
      </w:r>
      <w:r w:rsidRPr="00424260">
        <w:rPr>
          <w:szCs w:val="24"/>
          <w:lang w:val="id-ID"/>
        </w:rPr>
        <w:t xml:space="preserve">resiko, peringatan saat menggunakan produk </w:t>
      </w:r>
      <w:r w:rsidRPr="00424260">
        <w:rPr>
          <w:i/>
          <w:szCs w:val="24"/>
          <w:lang w:val="id-ID"/>
        </w:rPr>
        <w:t>fintech</w:t>
      </w:r>
      <w:r w:rsidRPr="00424260">
        <w:rPr>
          <w:szCs w:val="24"/>
          <w:lang w:val="id-ID"/>
        </w:rPr>
        <w:t>. dst. Serta mendorong partisipasi aktif semua yang berkepentingan guna meningkatkan literasi dan inklusi keuangan.</w:t>
      </w:r>
    </w:p>
    <w:p w14:paraId="651099BE" w14:textId="77777777" w:rsidR="00424260" w:rsidRDefault="00424260" w:rsidP="00424260">
      <w:pPr>
        <w:spacing w:after="0"/>
        <w:ind w:firstLine="720"/>
        <w:jc w:val="both"/>
        <w:rPr>
          <w:i/>
          <w:szCs w:val="24"/>
        </w:rPr>
      </w:pPr>
      <w:r w:rsidRPr="00424260">
        <w:rPr>
          <w:i/>
          <w:szCs w:val="24"/>
          <w:lang w:val="id-ID"/>
        </w:rPr>
        <w:t xml:space="preserve">Keenam, </w:t>
      </w:r>
      <w:r w:rsidRPr="00424260">
        <w:rPr>
          <w:szCs w:val="24"/>
          <w:lang w:val="id-ID"/>
        </w:rPr>
        <w:t xml:space="preserve">Sanksi Pidana, Bagian ini mengatur tentang sanksi yang diberikan kepada penyelenggara </w:t>
      </w:r>
      <w:r w:rsidRPr="00424260">
        <w:rPr>
          <w:i/>
          <w:szCs w:val="24"/>
          <w:lang w:val="id-ID"/>
        </w:rPr>
        <w:t>fintech</w:t>
      </w:r>
      <w:r w:rsidRPr="00424260">
        <w:rPr>
          <w:szCs w:val="24"/>
          <w:lang w:val="id-ID"/>
        </w:rPr>
        <w:t xml:space="preserve"> yang melakukan pelanggaran dalam hal gagal melaksanakan kewajibannya. Serta pada bagian ini juga harus mengatur sangsi yang diberikan kepada pemilik kegiatan yang melakukan praktik </w:t>
      </w:r>
      <w:r w:rsidRPr="00424260">
        <w:rPr>
          <w:i/>
          <w:szCs w:val="24"/>
          <w:lang w:val="id-ID"/>
        </w:rPr>
        <w:t>illegal.</w:t>
      </w:r>
    </w:p>
    <w:p w14:paraId="6014DE7F" w14:textId="48E7048F" w:rsidR="00424260" w:rsidRPr="00424260" w:rsidRDefault="00424260" w:rsidP="00424260">
      <w:pPr>
        <w:spacing w:after="0"/>
        <w:ind w:firstLine="720"/>
        <w:jc w:val="both"/>
        <w:rPr>
          <w:i/>
          <w:szCs w:val="24"/>
          <w:lang w:val="id-ID"/>
        </w:rPr>
      </w:pPr>
      <w:r w:rsidRPr="00424260">
        <w:rPr>
          <w:szCs w:val="24"/>
          <w:lang w:val="id-ID"/>
        </w:rPr>
        <w:t xml:space="preserve">Adanya kebijakan pembentukan undang-undang khusus </w:t>
      </w:r>
      <w:r w:rsidRPr="00424260">
        <w:rPr>
          <w:i/>
          <w:szCs w:val="24"/>
          <w:lang w:val="id-ID"/>
        </w:rPr>
        <w:t xml:space="preserve">fintech </w:t>
      </w:r>
      <w:r w:rsidRPr="00424260">
        <w:rPr>
          <w:szCs w:val="24"/>
          <w:lang w:val="id-ID"/>
        </w:rPr>
        <w:t xml:space="preserve"> adalah untuk mengatur secara lengkap terhadap perkembangan industri </w:t>
      </w:r>
      <w:r w:rsidRPr="00424260">
        <w:rPr>
          <w:i/>
          <w:szCs w:val="24"/>
          <w:lang w:val="id-ID"/>
        </w:rPr>
        <w:t xml:space="preserve">fintech </w:t>
      </w:r>
      <w:r w:rsidRPr="00424260">
        <w:rPr>
          <w:szCs w:val="24"/>
          <w:lang w:val="id-ID"/>
        </w:rPr>
        <w:t>dan</w:t>
      </w:r>
      <w:r w:rsidRPr="00424260">
        <w:rPr>
          <w:i/>
          <w:szCs w:val="24"/>
          <w:lang w:val="id-ID"/>
        </w:rPr>
        <w:t xml:space="preserve"> </w:t>
      </w:r>
      <w:r w:rsidRPr="00424260">
        <w:rPr>
          <w:szCs w:val="24"/>
          <w:lang w:val="id-ID"/>
        </w:rPr>
        <w:t xml:space="preserve">diharapkan dapat memanimalisir dan mengatasi penyelewengan yang terjadi dilapangan. Dengan demikian industri </w:t>
      </w:r>
      <w:r w:rsidRPr="00424260">
        <w:rPr>
          <w:i/>
          <w:szCs w:val="24"/>
          <w:lang w:val="id-ID"/>
        </w:rPr>
        <w:t xml:space="preserve">fintech </w:t>
      </w:r>
      <w:r w:rsidRPr="00424260">
        <w:rPr>
          <w:szCs w:val="24"/>
          <w:lang w:val="id-ID"/>
        </w:rPr>
        <w:t>di Indonesia dapat secara maksimal bagi kemudahan layanan keuangan pada industry 4.0 ini. dengan undang-undang yang lengkap dapat mejadi kekuatan hukum dan juga merupakan tanggungjawab bagi penegak hukum yaitu kepolisian bukan saja dinitiberatkan pada Otoritas Jasa Keuangan, dengan demikian maka dalam menjalankan rambu-rambu yang berlaku dimasyarakat dapat teruwujud ekosistem dan tata kehidupan masyarakat menjadi tertib.</w:t>
      </w:r>
    </w:p>
    <w:p w14:paraId="1BA88847" w14:textId="77777777" w:rsidR="00424260" w:rsidRPr="00EA5BEA" w:rsidRDefault="00424260" w:rsidP="00424260">
      <w:pPr>
        <w:spacing w:after="0"/>
        <w:rPr>
          <w:rFonts w:cs="Times New Roman"/>
          <w:szCs w:val="24"/>
          <w:lang w:val="id-ID"/>
        </w:rPr>
      </w:pPr>
    </w:p>
    <w:p w14:paraId="25DF0302" w14:textId="77777777" w:rsidR="00424260" w:rsidRDefault="00424260" w:rsidP="00575E3D">
      <w:pPr>
        <w:pStyle w:val="ListParagraph1"/>
        <w:spacing w:after="0" w:line="240" w:lineRule="auto"/>
        <w:ind w:left="0" w:firstLine="426"/>
        <w:jc w:val="both"/>
        <w:rPr>
          <w:color w:val="000000" w:themeColor="text1"/>
        </w:rPr>
      </w:pPr>
    </w:p>
    <w:p w14:paraId="77832297" w14:textId="77777777" w:rsidR="00424260" w:rsidRPr="0031161B" w:rsidRDefault="00424260" w:rsidP="00575E3D">
      <w:pPr>
        <w:pStyle w:val="ListParagraph1"/>
        <w:spacing w:after="0" w:line="240" w:lineRule="auto"/>
        <w:ind w:left="0" w:firstLine="426"/>
        <w:jc w:val="both"/>
        <w:rPr>
          <w:color w:val="000000" w:themeColor="text1"/>
        </w:rPr>
      </w:pPr>
    </w:p>
    <w:p w14:paraId="6BCF3785" w14:textId="77777777" w:rsidR="00424260" w:rsidRDefault="003B56F9" w:rsidP="00424260">
      <w:pPr>
        <w:pStyle w:val="ListParagraph1"/>
        <w:numPr>
          <w:ilvl w:val="0"/>
          <w:numId w:val="1"/>
        </w:numPr>
        <w:tabs>
          <w:tab w:val="left" w:pos="426"/>
        </w:tabs>
        <w:spacing w:after="0" w:line="360" w:lineRule="auto"/>
        <w:ind w:left="426" w:hanging="426"/>
        <w:rPr>
          <w:b/>
          <w:color w:val="1F4E79" w:themeColor="accent1" w:themeShade="80"/>
        </w:rPr>
      </w:pPr>
      <w:r w:rsidRPr="00E13DB4">
        <w:rPr>
          <w:b/>
          <w:color w:val="1F4E79" w:themeColor="accent1" w:themeShade="80"/>
        </w:rPr>
        <w:t>P E N U T U P</w:t>
      </w:r>
    </w:p>
    <w:p w14:paraId="568A2E84" w14:textId="0791D418" w:rsidR="00424260" w:rsidRPr="00424260" w:rsidRDefault="00424260" w:rsidP="00424260">
      <w:pPr>
        <w:pStyle w:val="ListParagraph1"/>
        <w:tabs>
          <w:tab w:val="left" w:pos="426"/>
        </w:tabs>
        <w:spacing w:after="0" w:line="240" w:lineRule="auto"/>
        <w:ind w:left="0" w:firstLine="720"/>
        <w:jc w:val="both"/>
        <w:rPr>
          <w:b/>
          <w:color w:val="1F4E79" w:themeColor="accent1" w:themeShade="80"/>
        </w:rPr>
      </w:pPr>
      <w:r w:rsidRPr="00424260">
        <w:rPr>
          <w:rFonts w:cs="Times New Roman"/>
          <w:szCs w:val="24"/>
          <w:lang w:val="id-ID"/>
        </w:rPr>
        <w:t xml:space="preserve">Berdasarkan hasil dan pembahasan sebagaimana dipaparkan diatas </w:t>
      </w:r>
      <w:r w:rsidRPr="00424260">
        <w:rPr>
          <w:szCs w:val="24"/>
          <w:lang w:val="id-ID"/>
        </w:rPr>
        <w:t xml:space="preserve">ditemukan bahwa selama ini </w:t>
      </w:r>
      <w:r w:rsidRPr="00424260">
        <w:rPr>
          <w:i/>
          <w:szCs w:val="24"/>
          <w:lang w:val="id-ID"/>
        </w:rPr>
        <w:t>fintech</w:t>
      </w:r>
      <w:r w:rsidRPr="00424260">
        <w:rPr>
          <w:szCs w:val="24"/>
          <w:lang w:val="id-ID"/>
        </w:rPr>
        <w:t xml:space="preserve"> di Indonesia menggunakan regulasi yang berada didalam POJK dan PBI sebagai dasar pemberlakuan </w:t>
      </w:r>
      <w:r w:rsidRPr="00424260">
        <w:rPr>
          <w:i/>
          <w:szCs w:val="24"/>
          <w:lang w:val="id-ID"/>
        </w:rPr>
        <w:t xml:space="preserve">fintech, </w:t>
      </w:r>
      <w:r w:rsidRPr="00424260">
        <w:rPr>
          <w:szCs w:val="24"/>
          <w:lang w:val="id-ID"/>
        </w:rPr>
        <w:t xml:space="preserve">meskipun dirasa regulasi  yang di keluarkan Oleh POJK dan PBI ini belum dapat memberikan perlindungan hukum yang maksimal terhadap pelaksanaan industri </w:t>
      </w:r>
      <w:r w:rsidRPr="00424260">
        <w:rPr>
          <w:i/>
          <w:szCs w:val="24"/>
          <w:lang w:val="id-ID"/>
        </w:rPr>
        <w:t xml:space="preserve">fintech. </w:t>
      </w:r>
      <w:r w:rsidRPr="00424260">
        <w:rPr>
          <w:szCs w:val="24"/>
          <w:lang w:val="id-ID"/>
        </w:rPr>
        <w:t xml:space="preserve">sehingga perlu kiranya pembentukan Undang-undang khusus dan atau formulasi hukum yang tepat dalam mengatur industri </w:t>
      </w:r>
      <w:r w:rsidRPr="00424260">
        <w:rPr>
          <w:i/>
          <w:szCs w:val="24"/>
          <w:lang w:val="id-ID"/>
        </w:rPr>
        <w:t xml:space="preserve">fintech </w:t>
      </w:r>
      <w:r w:rsidRPr="00424260">
        <w:rPr>
          <w:szCs w:val="24"/>
          <w:lang w:val="id-ID"/>
        </w:rPr>
        <w:t xml:space="preserve">di Indonesia. Peran OJK sebagai lembaga yang berwenang dan bertanggungjawab terhadap industri </w:t>
      </w:r>
      <w:r w:rsidRPr="00424260">
        <w:rPr>
          <w:i/>
          <w:szCs w:val="24"/>
          <w:lang w:val="id-ID"/>
        </w:rPr>
        <w:t xml:space="preserve">fintech, </w:t>
      </w:r>
      <w:r w:rsidRPr="00424260">
        <w:rPr>
          <w:szCs w:val="24"/>
          <w:lang w:val="id-ID"/>
        </w:rPr>
        <w:t xml:space="preserve">masih sangat terbatas dalam mengatasi permasalah hukum yang timbul. Kondisi ini disebabkan karena peraturan –peraturan yang berlaku sekarang masih sangat terbatas dan perlu adanya peraturan yang lebih tinggi (seperi UU), sebagaimana UU yang berlaku disektor jasa keuangan lainnya. Dengan demikian  kehadiran peraturan perundang-undangan </w:t>
      </w:r>
      <w:r w:rsidRPr="00424260">
        <w:rPr>
          <w:i/>
          <w:szCs w:val="24"/>
          <w:lang w:val="id-ID"/>
        </w:rPr>
        <w:t xml:space="preserve">fintech </w:t>
      </w:r>
      <w:r w:rsidRPr="00424260">
        <w:rPr>
          <w:szCs w:val="24"/>
          <w:lang w:val="id-ID"/>
        </w:rPr>
        <w:t xml:space="preserve">yang secara khusus, menyeluruh dan lebih tinggi sangat urgen untuk dibentuk sebagai upaya perlindungan hukum disektor industri </w:t>
      </w:r>
      <w:r w:rsidRPr="00424260">
        <w:rPr>
          <w:i/>
          <w:szCs w:val="24"/>
          <w:lang w:val="id-ID"/>
        </w:rPr>
        <w:t xml:space="preserve">fintech </w:t>
      </w:r>
      <w:r w:rsidRPr="00424260">
        <w:rPr>
          <w:szCs w:val="24"/>
          <w:lang w:val="id-ID"/>
        </w:rPr>
        <w:t xml:space="preserve">Indonesia. Tujuan dari pembentukan undang-undang khusus </w:t>
      </w:r>
      <w:r w:rsidRPr="00424260">
        <w:rPr>
          <w:i/>
          <w:szCs w:val="24"/>
          <w:lang w:val="id-ID"/>
        </w:rPr>
        <w:t xml:space="preserve">fintech </w:t>
      </w:r>
      <w:r w:rsidRPr="00424260">
        <w:rPr>
          <w:szCs w:val="24"/>
          <w:lang w:val="id-ID"/>
        </w:rPr>
        <w:t xml:space="preserve">agar memberikan implikasi positif, agar pemerintah dengan segera membentuk Undang-undang khusus </w:t>
      </w:r>
      <w:r w:rsidRPr="00424260">
        <w:rPr>
          <w:i/>
          <w:szCs w:val="24"/>
          <w:lang w:val="id-ID"/>
        </w:rPr>
        <w:t xml:space="preserve">fintech. </w:t>
      </w:r>
      <w:r w:rsidRPr="00424260">
        <w:rPr>
          <w:szCs w:val="24"/>
          <w:lang w:val="id-ID"/>
        </w:rPr>
        <w:t xml:space="preserve">sehingga peraturan hukum yang dibentuk tersebut dapat memberikan keamanan dalam kegiatan transaksi </w:t>
      </w:r>
      <w:r w:rsidRPr="00424260">
        <w:rPr>
          <w:i/>
          <w:szCs w:val="24"/>
          <w:lang w:val="id-ID"/>
        </w:rPr>
        <w:t>fintech</w:t>
      </w:r>
      <w:r w:rsidRPr="00424260">
        <w:rPr>
          <w:szCs w:val="24"/>
          <w:lang w:val="id-ID"/>
        </w:rPr>
        <w:t xml:space="preserve"> di Indonesia.</w:t>
      </w:r>
    </w:p>
    <w:p w14:paraId="0D46F10D" w14:textId="77777777" w:rsidR="007608DA" w:rsidRPr="0031161B" w:rsidRDefault="007608DA" w:rsidP="007608DA">
      <w:pPr>
        <w:pStyle w:val="ListParagraph1"/>
        <w:tabs>
          <w:tab w:val="left" w:pos="993"/>
        </w:tabs>
        <w:spacing w:after="0" w:line="360" w:lineRule="auto"/>
        <w:ind w:left="0"/>
        <w:jc w:val="center"/>
        <w:rPr>
          <w:b/>
          <w:color w:val="000000" w:themeColor="text1"/>
        </w:rPr>
      </w:pPr>
    </w:p>
    <w:p w14:paraId="759A3E36" w14:textId="77777777" w:rsidR="007608DA" w:rsidRPr="00E13DB4" w:rsidRDefault="007608DA" w:rsidP="00E13DB4">
      <w:pPr>
        <w:pStyle w:val="ListParagraph1"/>
        <w:tabs>
          <w:tab w:val="left" w:pos="993"/>
        </w:tabs>
        <w:spacing w:after="0" w:line="360" w:lineRule="auto"/>
        <w:ind w:left="0"/>
        <w:jc w:val="both"/>
        <w:rPr>
          <w:rFonts w:cs="Times New Roman"/>
          <w:b/>
          <w:color w:val="1F4E79" w:themeColor="accent1" w:themeShade="80"/>
          <w:szCs w:val="24"/>
        </w:rPr>
      </w:pPr>
      <w:r w:rsidRPr="00E13DB4">
        <w:rPr>
          <w:b/>
          <w:color w:val="1F4E79" w:themeColor="accent1" w:themeShade="80"/>
        </w:rPr>
        <w:t>DAFTAR PUSTAKA</w:t>
      </w:r>
    </w:p>
    <w:p w14:paraId="3196161C" w14:textId="77777777" w:rsidR="005C5B8D" w:rsidRPr="0031161B" w:rsidRDefault="005C5B8D" w:rsidP="005C5B8D">
      <w:pPr>
        <w:pStyle w:val="ListParagraph"/>
        <w:spacing w:after="0" w:line="240" w:lineRule="auto"/>
        <w:ind w:left="420"/>
        <w:jc w:val="both"/>
        <w:rPr>
          <w:rFonts w:ascii="Times New Roman" w:hAnsi="Times New Roman"/>
          <w:color w:val="000000" w:themeColor="text1"/>
          <w:sz w:val="24"/>
          <w:szCs w:val="24"/>
        </w:rPr>
      </w:pPr>
    </w:p>
    <w:p w14:paraId="65DB0B95" w14:textId="6E1A8319" w:rsidR="005C5B8D" w:rsidRPr="00FC47CE" w:rsidRDefault="00424260" w:rsidP="005C5B8D">
      <w:pPr>
        <w:spacing w:after="0" w:line="240" w:lineRule="auto"/>
        <w:jc w:val="both"/>
        <w:rPr>
          <w:rFonts w:cs="Times New Roman"/>
          <w:b/>
          <w:bCs/>
          <w:color w:val="000000" w:themeColor="text1"/>
          <w:szCs w:val="24"/>
        </w:rPr>
      </w:pPr>
      <w:proofErr w:type="spellStart"/>
      <w:r>
        <w:rPr>
          <w:rFonts w:cs="Times New Roman"/>
          <w:b/>
          <w:bCs/>
          <w:color w:val="000000" w:themeColor="text1"/>
          <w:szCs w:val="24"/>
        </w:rPr>
        <w:t>Buku</w:t>
      </w:r>
      <w:proofErr w:type="spellEnd"/>
      <w:r>
        <w:rPr>
          <w:rFonts w:cs="Times New Roman"/>
          <w:b/>
          <w:bCs/>
          <w:color w:val="000000" w:themeColor="text1"/>
          <w:szCs w:val="24"/>
        </w:rPr>
        <w:t xml:space="preserve"> &amp; </w:t>
      </w:r>
      <w:proofErr w:type="spellStart"/>
      <w:r w:rsidR="005C5B8D" w:rsidRPr="00D54B9B">
        <w:rPr>
          <w:rFonts w:cs="Times New Roman"/>
          <w:b/>
          <w:bCs/>
          <w:color w:val="000000" w:themeColor="text1"/>
          <w:szCs w:val="24"/>
        </w:rPr>
        <w:t>Jurnal</w:t>
      </w:r>
      <w:proofErr w:type="spellEnd"/>
    </w:p>
    <w:p w14:paraId="1F58440C" w14:textId="77777777" w:rsidR="00FB4EB9" w:rsidRPr="00FC47CE" w:rsidRDefault="00FB4EB9" w:rsidP="005C5B8D">
      <w:pPr>
        <w:spacing w:after="0" w:line="240" w:lineRule="auto"/>
        <w:ind w:left="270" w:hanging="270"/>
        <w:jc w:val="both"/>
        <w:rPr>
          <w:rFonts w:cs="Times New Roman"/>
          <w:color w:val="000000" w:themeColor="text1"/>
          <w:szCs w:val="24"/>
          <w:shd w:val="clear" w:color="auto" w:fill="FFFFFF"/>
        </w:rPr>
      </w:pPr>
    </w:p>
    <w:p w14:paraId="05D47348" w14:textId="77777777" w:rsidR="00424260"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proofErr w:type="spellStart"/>
      <w:r w:rsidRPr="00FC47CE">
        <w:rPr>
          <w:rFonts w:ascii="Times New Roman" w:hAnsi="Times New Roman"/>
          <w:sz w:val="24"/>
          <w:szCs w:val="24"/>
        </w:rPr>
        <w:t>Aisyah</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Ayu</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Musyafa</w:t>
      </w:r>
      <w:proofErr w:type="spellEnd"/>
      <w:r w:rsidRPr="00FC47CE">
        <w:rPr>
          <w:rFonts w:ascii="Times New Roman" w:hAnsi="Times New Roman"/>
          <w:sz w:val="24"/>
          <w:szCs w:val="24"/>
        </w:rPr>
        <w:t xml:space="preserve">, (2009). </w:t>
      </w:r>
      <w:proofErr w:type="gramStart"/>
      <w:r w:rsidRPr="00FC47CE">
        <w:rPr>
          <w:rFonts w:ascii="Times New Roman" w:hAnsi="Times New Roman"/>
          <w:sz w:val="24"/>
          <w:szCs w:val="24"/>
        </w:rPr>
        <w:t xml:space="preserve">“ </w:t>
      </w:r>
      <w:proofErr w:type="spellStart"/>
      <w:r w:rsidRPr="00FC47CE">
        <w:rPr>
          <w:rFonts w:ascii="Times New Roman" w:hAnsi="Times New Roman"/>
          <w:sz w:val="24"/>
          <w:szCs w:val="24"/>
        </w:rPr>
        <w:t>Peran</w:t>
      </w:r>
      <w:proofErr w:type="spellEnd"/>
      <w:proofErr w:type="gramEnd"/>
      <w:r w:rsidRPr="00FC47CE">
        <w:rPr>
          <w:rFonts w:ascii="Times New Roman" w:hAnsi="Times New Roman"/>
          <w:sz w:val="24"/>
          <w:szCs w:val="24"/>
        </w:rPr>
        <w:t xml:space="preserve"> </w:t>
      </w:r>
      <w:proofErr w:type="spellStart"/>
      <w:r w:rsidRPr="00FC47CE">
        <w:rPr>
          <w:rFonts w:ascii="Times New Roman" w:hAnsi="Times New Roman"/>
          <w:sz w:val="24"/>
          <w:szCs w:val="24"/>
        </w:rPr>
        <w:t>Otoritas</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Jasa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Keuangan</w:t>
      </w:r>
      <w:proofErr w:type="spellEnd"/>
      <w:r w:rsidRPr="00FC47CE">
        <w:rPr>
          <w:rFonts w:ascii="Times New Roman" w:hAnsi="Times New Roman"/>
          <w:sz w:val="24"/>
          <w:szCs w:val="24"/>
        </w:rPr>
        <w:t xml:space="preserve"> (OJK) </w:t>
      </w:r>
      <w:proofErr w:type="spellStart"/>
      <w:r w:rsidRPr="00FC47CE">
        <w:rPr>
          <w:rFonts w:ascii="Times New Roman" w:hAnsi="Times New Roman"/>
          <w:sz w:val="24"/>
          <w:szCs w:val="24"/>
        </w:rPr>
        <w:t>dalam</w:t>
      </w:r>
      <w:proofErr w:type="spellEnd"/>
      <w:r w:rsidRPr="00FC47CE">
        <w:rPr>
          <w:rFonts w:ascii="Times New Roman" w:hAnsi="Times New Roman"/>
          <w:sz w:val="24"/>
          <w:szCs w:val="24"/>
        </w:rPr>
        <w:t xml:space="preserve"> Hal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Nasabah</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pada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Pada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Lembaga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Keunagan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Mikro</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Syariah</w:t>
      </w:r>
      <w:proofErr w:type="spellEnd"/>
      <w:r w:rsidRPr="00FC47CE">
        <w:rPr>
          <w:rFonts w:ascii="Times New Roman" w:hAnsi="Times New Roman"/>
          <w:sz w:val="24"/>
          <w:szCs w:val="24"/>
        </w:rPr>
        <w:t xml:space="preserve">”, Law Development </w:t>
      </w:r>
      <w:proofErr w:type="spellStart"/>
      <w:r w:rsidRPr="00FC47CE">
        <w:rPr>
          <w:rFonts w:ascii="Times New Roman" w:hAnsi="Times New Roman"/>
          <w:sz w:val="24"/>
          <w:szCs w:val="24"/>
        </w:rPr>
        <w:t>dan</w:t>
      </w:r>
      <w:proofErr w:type="spellEnd"/>
      <w:r w:rsidRPr="00FC47CE">
        <w:rPr>
          <w:rFonts w:ascii="Times New Roman" w:hAnsi="Times New Roman"/>
          <w:sz w:val="24"/>
          <w:szCs w:val="24"/>
        </w:rPr>
        <w:t xml:space="preserve"> Justice Review, </w:t>
      </w:r>
      <w:proofErr w:type="spellStart"/>
      <w:r w:rsidRPr="00FC47CE">
        <w:rPr>
          <w:rFonts w:ascii="Times New Roman" w:hAnsi="Times New Roman"/>
          <w:sz w:val="24"/>
          <w:szCs w:val="24"/>
        </w:rPr>
        <w:t>Vol</w:t>
      </w:r>
      <w:proofErr w:type="spellEnd"/>
      <w:r w:rsidRPr="00FC47CE">
        <w:rPr>
          <w:rFonts w:ascii="Times New Roman" w:hAnsi="Times New Roman"/>
          <w:sz w:val="24"/>
          <w:szCs w:val="24"/>
        </w:rPr>
        <w:t>, 2, No. 2.</w:t>
      </w:r>
    </w:p>
    <w:p w14:paraId="6B286FDC" w14:textId="77777777" w:rsidR="00424260"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proofErr w:type="spellStart"/>
      <w:r w:rsidRPr="00FC47CE">
        <w:rPr>
          <w:rFonts w:ascii="Times New Roman" w:hAnsi="Times New Roman"/>
          <w:sz w:val="24"/>
          <w:szCs w:val="24"/>
        </w:rPr>
        <w:t>Az</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Nasution</w:t>
      </w:r>
      <w:proofErr w:type="spellEnd"/>
      <w:r w:rsidRPr="00FC47CE">
        <w:rPr>
          <w:rFonts w:ascii="Times New Roman" w:hAnsi="Times New Roman"/>
          <w:sz w:val="24"/>
          <w:szCs w:val="24"/>
        </w:rPr>
        <w:t>, (2017) “</w:t>
      </w:r>
      <w:proofErr w:type="spellStart"/>
      <w:r w:rsidRPr="00FC47CE">
        <w:rPr>
          <w:rFonts w:ascii="Times New Roman" w:hAnsi="Times New Roman"/>
          <w:sz w:val="24"/>
          <w:szCs w:val="24"/>
        </w:rPr>
        <w:t>Sekilas</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Konsumen</w:t>
      </w:r>
      <w:proofErr w:type="spellEnd"/>
      <w:r w:rsidRPr="00FC47CE">
        <w:rPr>
          <w:rFonts w:ascii="Times New Roman" w:hAnsi="Times New Roman"/>
          <w:sz w:val="24"/>
          <w:szCs w:val="24"/>
        </w:rPr>
        <w:t xml:space="preserve">”, </w:t>
      </w:r>
      <w:proofErr w:type="spellStart"/>
      <w:r w:rsidRPr="00FC47CE">
        <w:rPr>
          <w:rFonts w:ascii="Times New Roman" w:hAnsi="Times New Roman"/>
          <w:i/>
          <w:sz w:val="24"/>
          <w:szCs w:val="24"/>
        </w:rPr>
        <w:t>Jurnal</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Hukum</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dan</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pembangunan</w:t>
      </w:r>
      <w:proofErr w:type="spellEnd"/>
      <w:r w:rsidRPr="00FC47CE">
        <w:rPr>
          <w:rFonts w:ascii="Times New Roman" w:hAnsi="Times New Roman"/>
          <w:i/>
          <w:sz w:val="24"/>
          <w:szCs w:val="24"/>
        </w:rPr>
        <w:t xml:space="preserve">, </w:t>
      </w:r>
      <w:r w:rsidRPr="00FC47CE">
        <w:rPr>
          <w:rFonts w:ascii="Times New Roman" w:hAnsi="Times New Roman"/>
          <w:sz w:val="24"/>
          <w:szCs w:val="24"/>
        </w:rPr>
        <w:t>Vol. 16, No. 6.</w:t>
      </w:r>
    </w:p>
    <w:p w14:paraId="53335F31" w14:textId="77777777" w:rsidR="00424260"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r w:rsidRPr="00FC47CE">
        <w:rPr>
          <w:rFonts w:ascii="Times New Roman" w:hAnsi="Times New Roman"/>
          <w:noProof/>
          <w:sz w:val="24"/>
          <w:szCs w:val="24"/>
          <w:lang w:val="id-ID"/>
        </w:rPr>
        <w:t>Allen, Franklin, Xian Gu, and Julapa Jagtiani.</w:t>
      </w:r>
      <w:r w:rsidRPr="00FC47CE">
        <w:rPr>
          <w:rFonts w:ascii="Times New Roman" w:hAnsi="Times New Roman"/>
          <w:noProof/>
          <w:sz w:val="24"/>
          <w:szCs w:val="24"/>
        </w:rPr>
        <w:t xml:space="preserve"> (2020),</w:t>
      </w:r>
      <w:r w:rsidRPr="00FC47CE">
        <w:rPr>
          <w:rFonts w:ascii="Times New Roman" w:hAnsi="Times New Roman"/>
          <w:noProof/>
          <w:sz w:val="24"/>
          <w:szCs w:val="24"/>
          <w:lang w:val="id-ID"/>
        </w:rPr>
        <w:t xml:space="preserve"> “A Survey of Fintech Research and Policy Discussion A Survey of Fintech Research and Policy Discussion*.” </w:t>
      </w:r>
      <w:r w:rsidRPr="00FC47CE">
        <w:rPr>
          <w:rFonts w:ascii="Times New Roman" w:hAnsi="Times New Roman"/>
          <w:i/>
          <w:iCs/>
          <w:noProof/>
          <w:sz w:val="24"/>
          <w:szCs w:val="24"/>
          <w:lang w:val="id-ID"/>
        </w:rPr>
        <w:t>Federal Reserve Bank of Phildadelphia</w:t>
      </w:r>
      <w:r w:rsidRPr="00FC47CE">
        <w:rPr>
          <w:rFonts w:ascii="Times New Roman" w:hAnsi="Times New Roman"/>
          <w:noProof/>
          <w:sz w:val="24"/>
          <w:szCs w:val="24"/>
          <w:lang w:val="id-ID"/>
        </w:rPr>
        <w:t xml:space="preserve"> WP 20-21, no. Jun</w:t>
      </w:r>
      <w:r w:rsidRPr="00FC47CE">
        <w:rPr>
          <w:rFonts w:ascii="Times New Roman" w:hAnsi="Times New Roman"/>
          <w:noProof/>
          <w:sz w:val="24"/>
          <w:szCs w:val="24"/>
        </w:rPr>
        <w:t>e.</w:t>
      </w:r>
    </w:p>
    <w:p w14:paraId="5DDE2CD8" w14:textId="77777777" w:rsidR="00424260"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r w:rsidRPr="00FC47CE">
        <w:rPr>
          <w:rFonts w:ascii="Times New Roman" w:hAnsi="Times New Roman"/>
          <w:noProof/>
          <w:sz w:val="24"/>
          <w:szCs w:val="24"/>
          <w:lang w:val="id-ID"/>
        </w:rPr>
        <w:t xml:space="preserve">Arner, DW; Barberis, JN; Buckley, RP. </w:t>
      </w:r>
      <w:r w:rsidRPr="00FC47CE">
        <w:rPr>
          <w:rFonts w:ascii="Times New Roman" w:hAnsi="Times New Roman"/>
          <w:noProof/>
          <w:sz w:val="24"/>
          <w:szCs w:val="24"/>
        </w:rPr>
        <w:t xml:space="preserve">(2015), </w:t>
      </w:r>
      <w:r w:rsidRPr="00FC47CE">
        <w:rPr>
          <w:rFonts w:ascii="Times New Roman" w:hAnsi="Times New Roman"/>
          <w:noProof/>
          <w:sz w:val="24"/>
          <w:szCs w:val="24"/>
          <w:lang w:val="id-ID"/>
        </w:rPr>
        <w:t>“No Title</w:t>
      </w:r>
      <w:r w:rsidRPr="00FC47CE">
        <w:rPr>
          <w:rFonts w:ascii="Times New Roman" w:eastAsia="MS Gothic" w:hAnsi="Times New Roman"/>
          <w:noProof/>
          <w:sz w:val="24"/>
          <w:szCs w:val="24"/>
          <w:lang w:val="id-ID"/>
        </w:rPr>
        <w:t>空間像再生型立体映像の</w:t>
      </w:r>
      <w:r w:rsidRPr="00FC47CE">
        <w:rPr>
          <w:rFonts w:ascii="Times New Roman" w:hAnsi="Times New Roman"/>
          <w:noProof/>
          <w:sz w:val="24"/>
          <w:szCs w:val="24"/>
          <w:lang w:val="id-ID"/>
        </w:rPr>
        <w:t xml:space="preserve"> </w:t>
      </w:r>
      <w:r w:rsidRPr="00FC47CE">
        <w:rPr>
          <w:rFonts w:ascii="Times New Roman" w:eastAsia="MS Gothic" w:hAnsi="Times New Roman"/>
          <w:noProof/>
          <w:sz w:val="24"/>
          <w:szCs w:val="24"/>
          <w:lang w:val="id-ID"/>
        </w:rPr>
        <w:t>研究動向</w:t>
      </w:r>
      <w:r w:rsidRPr="00FC47CE">
        <w:rPr>
          <w:rFonts w:ascii="Times New Roman" w:hAnsi="Times New Roman"/>
          <w:noProof/>
          <w:sz w:val="24"/>
          <w:szCs w:val="24"/>
          <w:lang w:val="id-ID"/>
        </w:rPr>
        <w:t xml:space="preserve">.” </w:t>
      </w:r>
      <w:r w:rsidRPr="00FC47CE">
        <w:rPr>
          <w:rFonts w:ascii="Times New Roman" w:hAnsi="Times New Roman"/>
          <w:i/>
          <w:iCs/>
          <w:noProof/>
          <w:sz w:val="24"/>
          <w:szCs w:val="24"/>
          <w:lang w:val="id-ID"/>
        </w:rPr>
        <w:t>Nhk</w:t>
      </w:r>
      <w:r w:rsidRPr="00FC47CE">
        <w:rPr>
          <w:rFonts w:ascii="Times New Roman" w:eastAsia="MS Gothic" w:hAnsi="Times New Roman"/>
          <w:i/>
          <w:iCs/>
          <w:noProof/>
          <w:sz w:val="24"/>
          <w:szCs w:val="24"/>
          <w:lang w:val="id-ID"/>
        </w:rPr>
        <w:t>技研</w:t>
      </w:r>
      <w:r w:rsidRPr="00FC47CE">
        <w:rPr>
          <w:rFonts w:ascii="Times New Roman" w:hAnsi="Times New Roman"/>
          <w:noProof/>
          <w:sz w:val="24"/>
          <w:szCs w:val="24"/>
          <w:lang w:val="id-ID"/>
        </w:rPr>
        <w:t xml:space="preserve"> 151, no. 1: 10–17.</w:t>
      </w:r>
    </w:p>
    <w:p w14:paraId="1C63F0A8" w14:textId="3F8DD7EC" w:rsidR="00424260"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r w:rsidRPr="00FC47CE">
        <w:rPr>
          <w:rFonts w:ascii="Times New Roman" w:eastAsia="Times New Roman" w:hAnsi="Times New Roman"/>
          <w:sz w:val="24"/>
          <w:szCs w:val="24"/>
        </w:rPr>
        <w:t xml:space="preserve">Akbar, C. (2019). </w:t>
      </w:r>
      <w:proofErr w:type="spellStart"/>
      <w:r w:rsidRPr="00FC47CE">
        <w:rPr>
          <w:rFonts w:ascii="Times New Roman" w:eastAsia="Times New Roman" w:hAnsi="Times New Roman"/>
          <w:sz w:val="24"/>
          <w:szCs w:val="24"/>
        </w:rPr>
        <w:t>Lagi</w:t>
      </w:r>
      <w:proofErr w:type="spellEnd"/>
      <w:r w:rsidRPr="00FC47CE">
        <w:rPr>
          <w:rFonts w:ascii="Times New Roman" w:eastAsia="Times New Roman" w:hAnsi="Times New Roman"/>
          <w:sz w:val="24"/>
          <w:szCs w:val="24"/>
        </w:rPr>
        <w:t xml:space="preserve">, OJK </w:t>
      </w:r>
      <w:proofErr w:type="spellStart"/>
      <w:r w:rsidRPr="00FC47CE">
        <w:rPr>
          <w:rFonts w:ascii="Times New Roman" w:eastAsia="Times New Roman" w:hAnsi="Times New Roman"/>
          <w:sz w:val="24"/>
          <w:szCs w:val="24"/>
        </w:rPr>
        <w:t>Temukan</w:t>
      </w:r>
      <w:proofErr w:type="spellEnd"/>
      <w:r w:rsidRPr="00FC47CE">
        <w:rPr>
          <w:rFonts w:ascii="Times New Roman" w:eastAsia="Times New Roman" w:hAnsi="Times New Roman"/>
          <w:sz w:val="24"/>
          <w:szCs w:val="24"/>
        </w:rPr>
        <w:t xml:space="preserve"> 297 </w:t>
      </w:r>
      <w:proofErr w:type="spellStart"/>
      <w:r w:rsidRPr="00FC47CE">
        <w:rPr>
          <w:rFonts w:ascii="Times New Roman" w:eastAsia="Times New Roman" w:hAnsi="Times New Roman"/>
          <w:sz w:val="24"/>
          <w:szCs w:val="24"/>
        </w:rPr>
        <w:t>Layanan</w:t>
      </w:r>
      <w:proofErr w:type="spellEnd"/>
      <w:r w:rsidRPr="00FC47CE">
        <w:rPr>
          <w:rFonts w:ascii="Times New Roman" w:eastAsia="Times New Roman" w:hAnsi="Times New Roman"/>
          <w:sz w:val="24"/>
          <w:szCs w:val="24"/>
        </w:rPr>
        <w:t xml:space="preserve"> </w:t>
      </w:r>
      <w:proofErr w:type="spellStart"/>
      <w:r w:rsidRPr="00FC47CE">
        <w:rPr>
          <w:rFonts w:ascii="Times New Roman" w:eastAsia="Times New Roman" w:hAnsi="Times New Roman"/>
          <w:sz w:val="24"/>
          <w:szCs w:val="24"/>
        </w:rPr>
        <w:t>Pinjaman</w:t>
      </w:r>
      <w:proofErr w:type="spellEnd"/>
      <w:r w:rsidRPr="00FC47CE">
        <w:rPr>
          <w:rFonts w:ascii="Times New Roman" w:eastAsia="Times New Roman" w:hAnsi="Times New Roman"/>
          <w:sz w:val="24"/>
          <w:szCs w:val="24"/>
        </w:rPr>
        <w:t xml:space="preserve"> Online </w:t>
      </w:r>
      <w:proofErr w:type="spellStart"/>
      <w:r w:rsidRPr="00FC47CE">
        <w:rPr>
          <w:rFonts w:ascii="Times New Roman" w:eastAsia="Times New Roman" w:hAnsi="Times New Roman"/>
          <w:sz w:val="24"/>
          <w:szCs w:val="24"/>
        </w:rPr>
        <w:t>Ilegal</w:t>
      </w:r>
      <w:proofErr w:type="spellEnd"/>
      <w:r w:rsidRPr="00FC47CE">
        <w:rPr>
          <w:rFonts w:ascii="Times New Roman" w:eastAsia="Times New Roman" w:hAnsi="Times New Roman"/>
          <w:sz w:val="24"/>
          <w:szCs w:val="24"/>
        </w:rPr>
        <w:t xml:space="preserve">. Retrieved from </w:t>
      </w:r>
      <w:hyperlink r:id="rId16" w:history="1">
        <w:r w:rsidRPr="00FC47CE">
          <w:rPr>
            <w:rStyle w:val="Hyperlink"/>
            <w:rFonts w:ascii="Times New Roman" w:eastAsia="Times New Roman" w:hAnsi="Times New Roman"/>
            <w:sz w:val="24"/>
            <w:szCs w:val="24"/>
          </w:rPr>
          <w:t>https://bisnis.tempo.co/read/1266896/lagi-ojk-temukan-297-layanan-pinjaman-online-ilegal</w:t>
        </w:r>
      </w:hyperlink>
    </w:p>
    <w:p w14:paraId="3A5D6A41" w14:textId="54D5BD29"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proofErr w:type="spellStart"/>
      <w:r w:rsidRPr="00FC47CE">
        <w:rPr>
          <w:rFonts w:ascii="Times New Roman" w:hAnsi="Times New Roman"/>
          <w:sz w:val="24"/>
          <w:szCs w:val="24"/>
        </w:rPr>
        <w:t>Basrowi</w:t>
      </w:r>
      <w:proofErr w:type="spellEnd"/>
      <w:r w:rsidRPr="00FC47CE">
        <w:rPr>
          <w:rFonts w:ascii="Times New Roman" w:hAnsi="Times New Roman"/>
          <w:sz w:val="24"/>
          <w:szCs w:val="24"/>
        </w:rPr>
        <w:t xml:space="preserve">. (2019). </w:t>
      </w:r>
      <w:proofErr w:type="spellStart"/>
      <w:r w:rsidRPr="00FC47CE">
        <w:rPr>
          <w:rFonts w:ascii="Times New Roman" w:hAnsi="Times New Roman"/>
          <w:sz w:val="24"/>
          <w:szCs w:val="24"/>
        </w:rPr>
        <w:t>Analisis</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Aspek</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dan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Upaya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Konsumen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Fintech</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Syariah</w:t>
      </w:r>
      <w:proofErr w:type="spellEnd"/>
      <w:proofErr w:type="gramStart"/>
      <w:r w:rsidRPr="00FC47CE">
        <w:rPr>
          <w:rFonts w:ascii="Times New Roman" w:hAnsi="Times New Roman"/>
          <w:sz w:val="24"/>
          <w:szCs w:val="24"/>
        </w:rPr>
        <w:t>.</w:t>
      </w:r>
      <w:r w:rsidR="00CC67DB" w:rsidRPr="00FC47CE">
        <w:rPr>
          <w:rFonts w:ascii="Times New Roman" w:hAnsi="Times New Roman"/>
          <w:sz w:val="24"/>
          <w:szCs w:val="24"/>
        </w:rPr>
        <w:t>(</w:t>
      </w:r>
      <w:proofErr w:type="gramEnd"/>
      <w:r w:rsidR="00CC67DB" w:rsidRPr="00FC47CE">
        <w:rPr>
          <w:rFonts w:ascii="Times New Roman" w:hAnsi="Times New Roman"/>
          <w:sz w:val="24"/>
          <w:szCs w:val="24"/>
        </w:rPr>
        <w:t xml:space="preserve">2019), </w:t>
      </w:r>
      <w:r w:rsidR="00CC67DB" w:rsidRPr="00FC47CE">
        <w:rPr>
          <w:rFonts w:ascii="Times New Roman" w:hAnsi="Times New Roman"/>
          <w:noProof/>
          <w:sz w:val="24"/>
          <w:szCs w:val="24"/>
          <w:lang w:val="id-ID"/>
        </w:rPr>
        <w:t>Fintech Development and Regulatory Frameworks in Indonesia.</w:t>
      </w:r>
      <w:r w:rsidR="00CC67DB" w:rsidRPr="00FC47CE">
        <w:rPr>
          <w:rFonts w:ascii="Times New Roman" w:hAnsi="Times New Roman"/>
          <w:noProof/>
          <w:sz w:val="24"/>
          <w:szCs w:val="24"/>
        </w:rPr>
        <w:t xml:space="preserve"> </w:t>
      </w:r>
      <w:proofErr w:type="spellStart"/>
      <w:r w:rsidRPr="00FC47CE">
        <w:rPr>
          <w:rFonts w:ascii="Times New Roman" w:hAnsi="Times New Roman"/>
          <w:sz w:val="24"/>
          <w:szCs w:val="24"/>
        </w:rPr>
        <w:t>Jurnal</w:t>
      </w:r>
      <w:proofErr w:type="spellEnd"/>
      <w:r w:rsidRPr="00FC47CE">
        <w:rPr>
          <w:rFonts w:ascii="Times New Roman" w:hAnsi="Times New Roman"/>
          <w:sz w:val="24"/>
          <w:szCs w:val="24"/>
        </w:rPr>
        <w:t xml:space="preserve"> </w:t>
      </w:r>
      <w:proofErr w:type="spellStart"/>
      <w:r w:rsidRPr="00FC47CE">
        <w:rPr>
          <w:rFonts w:ascii="Times New Roman" w:hAnsi="Times New Roman"/>
          <w:i/>
          <w:sz w:val="24"/>
          <w:szCs w:val="24"/>
        </w:rPr>
        <w:t>lex</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Librum</w:t>
      </w:r>
      <w:proofErr w:type="spellEnd"/>
      <w:r w:rsidRPr="00FC47CE">
        <w:rPr>
          <w:rFonts w:ascii="Times New Roman" w:hAnsi="Times New Roman"/>
          <w:i/>
          <w:sz w:val="24"/>
          <w:szCs w:val="24"/>
        </w:rPr>
        <w:t xml:space="preserve">: </w:t>
      </w:r>
      <w:proofErr w:type="spellStart"/>
      <w:r w:rsidRPr="00FC47CE">
        <w:rPr>
          <w:rFonts w:ascii="Times New Roman" w:hAnsi="Times New Roman"/>
          <w:sz w:val="24"/>
          <w:szCs w:val="24"/>
        </w:rPr>
        <w:t>jurnal</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Ilmu</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Vol. </w:t>
      </w:r>
      <w:proofErr w:type="gramStart"/>
      <w:r w:rsidRPr="00FC47CE">
        <w:rPr>
          <w:rFonts w:ascii="Times New Roman" w:hAnsi="Times New Roman"/>
          <w:sz w:val="24"/>
          <w:szCs w:val="24"/>
        </w:rPr>
        <w:t>5.,</w:t>
      </w:r>
      <w:proofErr w:type="gramEnd"/>
      <w:r w:rsidRPr="00FC47CE">
        <w:rPr>
          <w:rFonts w:ascii="Times New Roman" w:hAnsi="Times New Roman"/>
          <w:sz w:val="24"/>
          <w:szCs w:val="24"/>
        </w:rPr>
        <w:t xml:space="preserve"> No. 2. </w:t>
      </w:r>
    </w:p>
    <w:p w14:paraId="60B8E11C" w14:textId="0FD55B4C"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r w:rsidRPr="00FC47CE">
        <w:rPr>
          <w:rFonts w:ascii="Times New Roman" w:hAnsi="Times New Roman"/>
          <w:noProof/>
          <w:sz w:val="24"/>
          <w:szCs w:val="24"/>
          <w:lang w:val="id-ID"/>
        </w:rPr>
        <w:t>Batunanggar, Sukarela.</w:t>
      </w:r>
      <w:r w:rsidR="00CC67DB" w:rsidRPr="00FC47CE">
        <w:rPr>
          <w:rFonts w:ascii="Times New Roman" w:hAnsi="Times New Roman"/>
          <w:noProof/>
          <w:sz w:val="24"/>
          <w:szCs w:val="24"/>
        </w:rPr>
        <w:t xml:space="preserve"> (2019) </w:t>
      </w:r>
      <w:r w:rsidRPr="00FC47CE">
        <w:rPr>
          <w:rFonts w:ascii="Times New Roman" w:hAnsi="Times New Roman"/>
          <w:noProof/>
          <w:sz w:val="24"/>
          <w:szCs w:val="24"/>
          <w:lang w:val="id-ID"/>
        </w:rPr>
        <w:t xml:space="preserve">” </w:t>
      </w:r>
      <w:r w:rsidRPr="00FC47CE">
        <w:rPr>
          <w:rFonts w:ascii="Times New Roman" w:hAnsi="Times New Roman"/>
          <w:i/>
          <w:iCs/>
          <w:noProof/>
          <w:sz w:val="24"/>
          <w:szCs w:val="24"/>
          <w:lang w:val="id-ID"/>
        </w:rPr>
        <w:t>Asian Development Bank Institute</w:t>
      </w:r>
      <w:r w:rsidR="00CC67DB" w:rsidRPr="00FC47CE">
        <w:rPr>
          <w:rFonts w:ascii="Times New Roman" w:hAnsi="Times New Roman"/>
          <w:noProof/>
          <w:sz w:val="24"/>
          <w:szCs w:val="24"/>
          <w:lang w:val="id-ID"/>
        </w:rPr>
        <w:t xml:space="preserve"> 1014, no. 1014</w:t>
      </w:r>
      <w:r w:rsidR="00CC67DB" w:rsidRPr="00FC47CE">
        <w:rPr>
          <w:rFonts w:ascii="Times New Roman" w:hAnsi="Times New Roman"/>
          <w:noProof/>
          <w:sz w:val="24"/>
          <w:szCs w:val="24"/>
        </w:rPr>
        <w:t>.</w:t>
      </w:r>
    </w:p>
    <w:p w14:paraId="57A432FA" w14:textId="483EC8DC" w:rsidR="00CC67DB"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r w:rsidRPr="00FC47CE">
        <w:rPr>
          <w:rFonts w:ascii="Times New Roman" w:hAnsi="Times New Roman"/>
          <w:noProof/>
          <w:sz w:val="24"/>
          <w:szCs w:val="24"/>
          <w:lang w:val="id-ID"/>
        </w:rPr>
        <w:t xml:space="preserve">Benuf, Kornelius, Siti Mahmudah, and Ery Agus Priyono. </w:t>
      </w:r>
      <w:r w:rsidR="00CC67DB" w:rsidRPr="00FC47CE">
        <w:rPr>
          <w:rFonts w:ascii="Times New Roman" w:hAnsi="Times New Roman"/>
          <w:noProof/>
          <w:sz w:val="24"/>
          <w:szCs w:val="24"/>
        </w:rPr>
        <w:t xml:space="preserve">(2019), </w:t>
      </w:r>
      <w:r w:rsidRPr="00FC47CE">
        <w:rPr>
          <w:rFonts w:ascii="Times New Roman" w:hAnsi="Times New Roman"/>
          <w:noProof/>
          <w:sz w:val="24"/>
          <w:szCs w:val="24"/>
          <w:lang w:val="id-ID"/>
        </w:rPr>
        <w:t xml:space="preserve">“Perlindungan Hukum Terhadap Keamanan Data Konsumen Financial Technology Di Indonesia.” </w:t>
      </w:r>
      <w:r w:rsidRPr="00FC47CE">
        <w:rPr>
          <w:rFonts w:ascii="Times New Roman" w:hAnsi="Times New Roman"/>
          <w:i/>
          <w:iCs/>
          <w:noProof/>
          <w:sz w:val="24"/>
          <w:szCs w:val="24"/>
          <w:lang w:val="id-ID"/>
        </w:rPr>
        <w:t>Refleksi Hukum: Jurnal Ilmu Hukum</w:t>
      </w:r>
      <w:r w:rsidRPr="00FC47CE">
        <w:rPr>
          <w:rFonts w:ascii="Times New Roman" w:hAnsi="Times New Roman"/>
          <w:noProof/>
          <w:sz w:val="24"/>
          <w:szCs w:val="24"/>
          <w:lang w:val="id-ID"/>
        </w:rPr>
        <w:t xml:space="preserve"> 3, no. 2. </w:t>
      </w:r>
      <w:hyperlink r:id="rId17" w:history="1">
        <w:r w:rsidR="00CC67DB" w:rsidRPr="00FC47CE">
          <w:rPr>
            <w:rStyle w:val="Hyperlink"/>
            <w:rFonts w:ascii="Times New Roman" w:hAnsi="Times New Roman"/>
            <w:noProof/>
            <w:sz w:val="24"/>
            <w:szCs w:val="24"/>
            <w:lang w:val="id-ID"/>
          </w:rPr>
          <w:t>https://doi.org/10.24246/jrh.2019.v3.i2.p145-160</w:t>
        </w:r>
      </w:hyperlink>
      <w:r w:rsidRPr="00FC47CE">
        <w:rPr>
          <w:rFonts w:ascii="Times New Roman" w:hAnsi="Times New Roman"/>
          <w:noProof/>
          <w:sz w:val="24"/>
          <w:szCs w:val="24"/>
          <w:lang w:val="id-ID"/>
        </w:rPr>
        <w:t>.</w:t>
      </w:r>
    </w:p>
    <w:p w14:paraId="11142D8E" w14:textId="07883EE0"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proofErr w:type="spellStart"/>
      <w:r w:rsidRPr="00FC47CE">
        <w:rPr>
          <w:rFonts w:ascii="Times New Roman" w:hAnsi="Times New Roman"/>
          <w:sz w:val="24"/>
          <w:szCs w:val="24"/>
        </w:rPr>
        <w:lastRenderedPageBreak/>
        <w:t>Benuf</w:t>
      </w:r>
      <w:proofErr w:type="spellEnd"/>
      <w:r w:rsidRPr="00FC47CE">
        <w:rPr>
          <w:rFonts w:ascii="Times New Roman" w:hAnsi="Times New Roman"/>
          <w:sz w:val="24"/>
          <w:szCs w:val="24"/>
        </w:rPr>
        <w:t xml:space="preserve">, K., S. &amp; </w:t>
      </w:r>
      <w:proofErr w:type="spellStart"/>
      <w:r w:rsidRPr="00FC47CE">
        <w:rPr>
          <w:rFonts w:ascii="Times New Roman" w:hAnsi="Times New Roman"/>
          <w:sz w:val="24"/>
          <w:szCs w:val="24"/>
        </w:rPr>
        <w:t>Priyo</w:t>
      </w:r>
      <w:proofErr w:type="spellEnd"/>
      <w:r w:rsidRPr="00FC47CE">
        <w:rPr>
          <w:rFonts w:ascii="Times New Roman" w:hAnsi="Times New Roman"/>
          <w:sz w:val="24"/>
          <w:szCs w:val="24"/>
        </w:rPr>
        <w:t xml:space="preserve">, E.A. (2019)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Terhadap</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keamanan</w:t>
      </w:r>
      <w:proofErr w:type="spellEnd"/>
      <w:r w:rsidRPr="00FC47CE">
        <w:rPr>
          <w:rFonts w:ascii="Times New Roman" w:hAnsi="Times New Roman"/>
          <w:sz w:val="24"/>
          <w:szCs w:val="24"/>
        </w:rPr>
        <w:t xml:space="preserve"> Data </w:t>
      </w:r>
      <w:proofErr w:type="spellStart"/>
      <w:r w:rsidRPr="00FC47CE">
        <w:rPr>
          <w:rFonts w:ascii="Times New Roman" w:hAnsi="Times New Roman"/>
          <w:sz w:val="24"/>
          <w:szCs w:val="24"/>
        </w:rPr>
        <w:t>Konsumen</w:t>
      </w:r>
      <w:proofErr w:type="spellEnd"/>
      <w:r w:rsidRPr="00FC47CE">
        <w:rPr>
          <w:rFonts w:ascii="Times New Roman" w:hAnsi="Times New Roman"/>
          <w:sz w:val="24"/>
          <w:szCs w:val="24"/>
        </w:rPr>
        <w:t xml:space="preserve"> Financial </w:t>
      </w:r>
      <w:proofErr w:type="spellStart"/>
      <w:r w:rsidRPr="00FC47CE">
        <w:rPr>
          <w:rFonts w:ascii="Times New Roman" w:hAnsi="Times New Roman"/>
          <w:sz w:val="24"/>
          <w:szCs w:val="24"/>
        </w:rPr>
        <w:t>Technologi</w:t>
      </w:r>
      <w:proofErr w:type="spellEnd"/>
      <w:r w:rsidRPr="00FC47CE">
        <w:rPr>
          <w:rFonts w:ascii="Times New Roman" w:hAnsi="Times New Roman"/>
          <w:sz w:val="24"/>
          <w:szCs w:val="24"/>
        </w:rPr>
        <w:t xml:space="preserve"> di Indonesia. </w:t>
      </w:r>
      <w:proofErr w:type="spellStart"/>
      <w:r w:rsidRPr="00FC47CE">
        <w:rPr>
          <w:rFonts w:ascii="Times New Roman" w:hAnsi="Times New Roman"/>
          <w:i/>
          <w:sz w:val="24"/>
          <w:szCs w:val="24"/>
        </w:rPr>
        <w:t>Refleksi</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Hukum</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Jurnal</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Imu</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Hukum</w:t>
      </w:r>
      <w:proofErr w:type="spellEnd"/>
      <w:r w:rsidRPr="00FC47CE">
        <w:rPr>
          <w:rFonts w:ascii="Times New Roman" w:hAnsi="Times New Roman"/>
          <w:i/>
          <w:sz w:val="24"/>
          <w:szCs w:val="24"/>
        </w:rPr>
        <w:t xml:space="preserve">, </w:t>
      </w:r>
      <w:r w:rsidRPr="00FC47CE">
        <w:rPr>
          <w:rFonts w:ascii="Times New Roman" w:hAnsi="Times New Roman"/>
          <w:sz w:val="24"/>
          <w:szCs w:val="24"/>
        </w:rPr>
        <w:t xml:space="preserve">Vol. 3 No. 2, Hal. 145-160. </w:t>
      </w:r>
      <w:hyperlink r:id="rId18" w:history="1">
        <w:r w:rsidR="00CC67DB" w:rsidRPr="00FC47CE">
          <w:rPr>
            <w:rStyle w:val="Hyperlink"/>
            <w:rFonts w:ascii="Times New Roman" w:eastAsia="Times New Roman" w:hAnsi="Times New Roman"/>
            <w:sz w:val="24"/>
            <w:szCs w:val="24"/>
          </w:rPr>
          <w:t>https://doi.org/10.24246/jrh.2019.v3.i2.p145-160</w:t>
        </w:r>
      </w:hyperlink>
    </w:p>
    <w:p w14:paraId="695D15D3" w14:textId="19E285C4"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r w:rsidRPr="00FC47CE">
        <w:rPr>
          <w:rFonts w:ascii="Times New Roman" w:hAnsi="Times New Roman"/>
          <w:noProof/>
          <w:sz w:val="24"/>
          <w:szCs w:val="24"/>
          <w:lang w:val="id-ID"/>
        </w:rPr>
        <w:t>Brummer, Chris, and Yesha Yadav.</w:t>
      </w:r>
      <w:r w:rsidR="00CC67DB" w:rsidRPr="00FC47CE">
        <w:rPr>
          <w:rFonts w:ascii="Times New Roman" w:hAnsi="Times New Roman"/>
          <w:noProof/>
          <w:sz w:val="24"/>
          <w:szCs w:val="24"/>
        </w:rPr>
        <w:t>(2019), “</w:t>
      </w:r>
      <w:r w:rsidRPr="00FC47CE">
        <w:rPr>
          <w:rFonts w:ascii="Times New Roman" w:hAnsi="Times New Roman"/>
          <w:i/>
          <w:iCs/>
          <w:noProof/>
          <w:sz w:val="24"/>
          <w:szCs w:val="24"/>
          <w:lang w:val="id-ID"/>
        </w:rPr>
        <w:t>Fintech and the Innovation Trilemma</w:t>
      </w:r>
      <w:r w:rsidRPr="00FC47CE">
        <w:rPr>
          <w:rFonts w:ascii="Times New Roman" w:hAnsi="Times New Roman"/>
          <w:noProof/>
          <w:sz w:val="24"/>
          <w:szCs w:val="24"/>
          <w:lang w:val="id-ID"/>
        </w:rPr>
        <w:t xml:space="preserve">. </w:t>
      </w:r>
      <w:r w:rsidRPr="00FC47CE">
        <w:rPr>
          <w:rFonts w:ascii="Times New Roman" w:hAnsi="Times New Roman"/>
          <w:i/>
          <w:iCs/>
          <w:noProof/>
          <w:sz w:val="24"/>
          <w:szCs w:val="24"/>
          <w:lang w:val="id-ID"/>
        </w:rPr>
        <w:t>Georgetown Law Journal</w:t>
      </w:r>
      <w:r w:rsidR="00CC67DB" w:rsidRPr="00FC47CE">
        <w:rPr>
          <w:rFonts w:ascii="Times New Roman" w:hAnsi="Times New Roman"/>
          <w:noProof/>
          <w:sz w:val="24"/>
          <w:szCs w:val="24"/>
          <w:lang w:val="id-ID"/>
        </w:rPr>
        <w:t>. Vol. 107,</w:t>
      </w:r>
      <w:r w:rsidRPr="00FC47CE">
        <w:rPr>
          <w:rFonts w:ascii="Times New Roman" w:hAnsi="Times New Roman"/>
          <w:noProof/>
          <w:sz w:val="24"/>
          <w:szCs w:val="24"/>
          <w:lang w:val="id-ID"/>
        </w:rPr>
        <w:t xml:space="preserve">. </w:t>
      </w:r>
      <w:hyperlink r:id="rId19" w:history="1">
        <w:r w:rsidR="00CC67DB" w:rsidRPr="00FC47CE">
          <w:rPr>
            <w:rStyle w:val="Hyperlink"/>
            <w:rFonts w:ascii="Times New Roman" w:hAnsi="Times New Roman"/>
            <w:noProof/>
            <w:sz w:val="24"/>
            <w:szCs w:val="24"/>
            <w:lang w:val="id-ID"/>
          </w:rPr>
          <w:t>https://doi.org/10.2139/ssrn.3054770</w:t>
        </w:r>
      </w:hyperlink>
      <w:r w:rsidRPr="00FC47CE">
        <w:rPr>
          <w:rFonts w:ascii="Times New Roman" w:hAnsi="Times New Roman"/>
          <w:noProof/>
          <w:sz w:val="24"/>
          <w:szCs w:val="24"/>
          <w:lang w:val="id-ID"/>
        </w:rPr>
        <w:t>.</w:t>
      </w:r>
    </w:p>
    <w:p w14:paraId="585D3B74" w14:textId="5DA15533" w:rsidR="00CC67DB"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rPr>
      </w:pPr>
      <w:r w:rsidRPr="00FC47CE">
        <w:rPr>
          <w:rFonts w:ascii="Times New Roman" w:hAnsi="Times New Roman"/>
          <w:noProof/>
          <w:sz w:val="24"/>
          <w:szCs w:val="24"/>
          <w:lang w:val="id-ID"/>
        </w:rPr>
        <w:t xml:space="preserve">Chatterjee, Sheshadri. “Is Data Privacy a Fundamental Right in India?: An Analysis and Recommendations from Policy and Legal Perspective.” </w:t>
      </w:r>
      <w:r w:rsidRPr="00FC47CE">
        <w:rPr>
          <w:rFonts w:ascii="Times New Roman" w:hAnsi="Times New Roman"/>
          <w:i/>
          <w:iCs/>
          <w:noProof/>
          <w:sz w:val="24"/>
          <w:szCs w:val="24"/>
          <w:lang w:val="id-ID"/>
        </w:rPr>
        <w:t>International Journal of Law and Management</w:t>
      </w:r>
      <w:r w:rsidRPr="00FC47CE">
        <w:rPr>
          <w:rFonts w:ascii="Times New Roman" w:hAnsi="Times New Roman"/>
          <w:noProof/>
          <w:sz w:val="24"/>
          <w:szCs w:val="24"/>
          <w:lang w:val="id-ID"/>
        </w:rPr>
        <w:t xml:space="preserve"> 61, no. 1 (2019): 170–90. </w:t>
      </w:r>
      <w:hyperlink r:id="rId20" w:history="1">
        <w:r w:rsidR="00CC67DB" w:rsidRPr="00FC47CE">
          <w:rPr>
            <w:rStyle w:val="Hyperlink"/>
            <w:rFonts w:ascii="Times New Roman" w:hAnsi="Times New Roman"/>
            <w:noProof/>
            <w:sz w:val="24"/>
            <w:szCs w:val="24"/>
            <w:lang w:val="id-ID"/>
          </w:rPr>
          <w:t>https://doi.org/10.1108/IJLMA-01-2018-0013</w:t>
        </w:r>
      </w:hyperlink>
      <w:r w:rsidRPr="00FC47CE">
        <w:rPr>
          <w:rFonts w:ascii="Times New Roman" w:hAnsi="Times New Roman"/>
          <w:noProof/>
          <w:sz w:val="24"/>
          <w:szCs w:val="24"/>
          <w:lang w:val="id-ID"/>
        </w:rPr>
        <w:t>.</w:t>
      </w:r>
    </w:p>
    <w:p w14:paraId="587F412E" w14:textId="77777777" w:rsidR="00CC67DB"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lang w:val="id-ID"/>
        </w:rPr>
      </w:pPr>
      <w:proofErr w:type="spellStart"/>
      <w:r w:rsidRPr="00FC47CE">
        <w:rPr>
          <w:rFonts w:ascii="Times New Roman" w:hAnsi="Times New Roman"/>
          <w:sz w:val="24"/>
          <w:szCs w:val="24"/>
        </w:rPr>
        <w:t>Dedy</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Nursamsi</w:t>
      </w:r>
      <w:proofErr w:type="spellEnd"/>
      <w:r w:rsidRPr="00FC47CE">
        <w:rPr>
          <w:rFonts w:ascii="Times New Roman" w:hAnsi="Times New Roman"/>
          <w:sz w:val="24"/>
          <w:szCs w:val="24"/>
        </w:rPr>
        <w:t xml:space="preserve">, </w:t>
      </w:r>
      <w:r w:rsidR="00CC67DB" w:rsidRPr="00FC47CE">
        <w:rPr>
          <w:rFonts w:ascii="Times New Roman" w:hAnsi="Times New Roman"/>
          <w:sz w:val="24"/>
          <w:szCs w:val="24"/>
        </w:rPr>
        <w:t xml:space="preserve">(2014), </w:t>
      </w:r>
      <w:r w:rsidRPr="00FC47CE">
        <w:rPr>
          <w:rFonts w:ascii="Times New Roman" w:hAnsi="Times New Roman"/>
          <w:sz w:val="24"/>
          <w:szCs w:val="24"/>
        </w:rPr>
        <w:t>“</w:t>
      </w:r>
      <w:proofErr w:type="spellStart"/>
      <w:r w:rsidRPr="00FC47CE">
        <w:rPr>
          <w:rFonts w:ascii="Times New Roman" w:hAnsi="Times New Roman"/>
          <w:sz w:val="24"/>
          <w:szCs w:val="24"/>
        </w:rPr>
        <w:t>Kerangka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Cita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Rechtldee</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Bangsa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sebagai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Dasar</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kewenangan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Mahkamah</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Konstitusi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Menguju</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Peraturan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Pemerintah</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Pengganti</w:t>
      </w:r>
      <w:proofErr w:type="spellEnd"/>
      <w:r w:rsidRPr="00FC47CE">
        <w:rPr>
          <w:rFonts w:ascii="Times New Roman" w:hAnsi="Times New Roman"/>
          <w:sz w:val="24"/>
          <w:szCs w:val="24"/>
        </w:rPr>
        <w:t xml:space="preserve"> UU’ </w:t>
      </w:r>
      <w:proofErr w:type="spellStart"/>
      <w:r w:rsidRPr="00FC47CE">
        <w:rPr>
          <w:rFonts w:ascii="Times New Roman" w:hAnsi="Times New Roman"/>
          <w:sz w:val="24"/>
          <w:szCs w:val="24"/>
        </w:rPr>
        <w:t>Jurnal</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C</w:t>
      </w:r>
      <w:r w:rsidR="00CC67DB" w:rsidRPr="00FC47CE">
        <w:rPr>
          <w:rFonts w:ascii="Times New Roman" w:hAnsi="Times New Roman"/>
          <w:sz w:val="24"/>
          <w:szCs w:val="24"/>
        </w:rPr>
        <w:t>ita</w:t>
      </w:r>
      <w:proofErr w:type="spellEnd"/>
      <w:r w:rsidR="00CC67DB" w:rsidRPr="00FC47CE">
        <w:rPr>
          <w:rFonts w:ascii="Times New Roman" w:hAnsi="Times New Roman"/>
          <w:sz w:val="24"/>
          <w:szCs w:val="24"/>
        </w:rPr>
        <w:t xml:space="preserve"> </w:t>
      </w:r>
      <w:proofErr w:type="spellStart"/>
      <w:r w:rsidR="00CC67DB" w:rsidRPr="00FC47CE">
        <w:rPr>
          <w:rFonts w:ascii="Times New Roman" w:hAnsi="Times New Roman"/>
          <w:sz w:val="24"/>
          <w:szCs w:val="24"/>
        </w:rPr>
        <w:t>Hukum</w:t>
      </w:r>
      <w:proofErr w:type="spellEnd"/>
      <w:r w:rsidR="00CC67DB" w:rsidRPr="00FC47CE">
        <w:rPr>
          <w:rFonts w:ascii="Times New Roman" w:hAnsi="Times New Roman"/>
          <w:sz w:val="24"/>
          <w:szCs w:val="24"/>
        </w:rPr>
        <w:t>, Vol. 2 No. 1.</w:t>
      </w:r>
    </w:p>
    <w:p w14:paraId="77748D47" w14:textId="33DADAA8"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lang w:val="id-ID"/>
        </w:rPr>
      </w:pPr>
      <w:r w:rsidRPr="00FC47CE">
        <w:rPr>
          <w:rFonts w:ascii="Times New Roman" w:hAnsi="Times New Roman"/>
          <w:noProof/>
          <w:sz w:val="24"/>
          <w:szCs w:val="24"/>
          <w:lang w:val="id-ID"/>
        </w:rPr>
        <w:t xml:space="preserve">Douglas W. Arner, Jànos Barberis &amp; Ross P. Buckley. </w:t>
      </w:r>
      <w:r w:rsidR="00CC67DB" w:rsidRPr="00FC47CE">
        <w:rPr>
          <w:rFonts w:ascii="Times New Roman" w:hAnsi="Times New Roman"/>
          <w:noProof/>
          <w:sz w:val="24"/>
          <w:szCs w:val="24"/>
        </w:rPr>
        <w:t xml:space="preserve">(2017), </w:t>
      </w:r>
      <w:r w:rsidRPr="00FC47CE">
        <w:rPr>
          <w:rFonts w:ascii="Times New Roman" w:hAnsi="Times New Roman"/>
          <w:noProof/>
          <w:sz w:val="24"/>
          <w:szCs w:val="24"/>
          <w:lang w:val="id-ID"/>
        </w:rPr>
        <w:t xml:space="preserve">“FinTech, RegTech, and the Reconceptualization of Financial Regulation.” </w:t>
      </w:r>
      <w:r w:rsidRPr="00FC47CE">
        <w:rPr>
          <w:rFonts w:ascii="Times New Roman" w:hAnsi="Times New Roman"/>
          <w:i/>
          <w:iCs/>
          <w:noProof/>
          <w:sz w:val="24"/>
          <w:szCs w:val="24"/>
          <w:lang w:val="id-ID"/>
        </w:rPr>
        <w:t>National Institute Economic Review</w:t>
      </w:r>
      <w:r w:rsidR="00CC67DB" w:rsidRPr="00FC47CE">
        <w:rPr>
          <w:rFonts w:ascii="Times New Roman" w:hAnsi="Times New Roman"/>
          <w:noProof/>
          <w:sz w:val="24"/>
          <w:szCs w:val="24"/>
          <w:lang w:val="id-ID"/>
        </w:rPr>
        <w:t xml:space="preserve"> 37, no. 3</w:t>
      </w:r>
      <w:r w:rsidRPr="00FC47CE">
        <w:rPr>
          <w:rFonts w:ascii="Times New Roman" w:hAnsi="Times New Roman"/>
          <w:noProof/>
          <w:sz w:val="24"/>
          <w:szCs w:val="24"/>
          <w:lang w:val="id-ID"/>
        </w:rPr>
        <w:t xml:space="preserve"> </w:t>
      </w:r>
      <w:hyperlink r:id="rId21" w:history="1">
        <w:r w:rsidR="00CC67DB" w:rsidRPr="00FC47CE">
          <w:rPr>
            <w:rStyle w:val="Hyperlink"/>
            <w:rFonts w:ascii="Times New Roman" w:hAnsi="Times New Roman"/>
            <w:noProof/>
            <w:sz w:val="24"/>
            <w:szCs w:val="24"/>
            <w:lang w:val="id-ID"/>
          </w:rPr>
          <w:t>https://doi.org/10.1177/0027950111411368</w:t>
        </w:r>
      </w:hyperlink>
      <w:r w:rsidRPr="00FC47CE">
        <w:rPr>
          <w:rFonts w:ascii="Times New Roman" w:hAnsi="Times New Roman"/>
          <w:noProof/>
          <w:sz w:val="24"/>
          <w:szCs w:val="24"/>
          <w:lang w:val="id-ID"/>
        </w:rPr>
        <w:t>.</w:t>
      </w:r>
    </w:p>
    <w:p w14:paraId="12692C93"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lang w:val="id-ID"/>
        </w:rPr>
      </w:pPr>
      <w:r w:rsidRPr="00FC47CE">
        <w:rPr>
          <w:rFonts w:ascii="Times New Roman" w:hAnsi="Times New Roman"/>
          <w:noProof/>
          <w:sz w:val="24"/>
          <w:szCs w:val="24"/>
          <w:lang w:val="id-ID"/>
        </w:rPr>
        <w:t xml:space="preserve">Ehrentraud, Johannes, Lorena Garzoni, Mateo Piccolo, and Denise Garcia Ocampo. </w:t>
      </w:r>
      <w:r w:rsidR="00CC67DB" w:rsidRPr="00FC47CE">
        <w:rPr>
          <w:rFonts w:ascii="Times New Roman" w:hAnsi="Times New Roman"/>
          <w:noProof/>
          <w:sz w:val="24"/>
          <w:szCs w:val="24"/>
        </w:rPr>
        <w:t>(2020), “</w:t>
      </w:r>
      <w:r w:rsidRPr="00FC47CE">
        <w:rPr>
          <w:rFonts w:ascii="Times New Roman" w:hAnsi="Times New Roman"/>
          <w:i/>
          <w:iCs/>
          <w:noProof/>
          <w:sz w:val="24"/>
          <w:szCs w:val="24"/>
          <w:lang w:val="id-ID"/>
        </w:rPr>
        <w:t>Policy Responses to Fintech: A Cross-Country Overview</w:t>
      </w:r>
      <w:r w:rsidRPr="00FC47CE">
        <w:rPr>
          <w:rFonts w:ascii="Times New Roman" w:hAnsi="Times New Roman"/>
          <w:noProof/>
          <w:sz w:val="24"/>
          <w:szCs w:val="24"/>
          <w:lang w:val="id-ID"/>
        </w:rPr>
        <w:t xml:space="preserve">. </w:t>
      </w:r>
      <w:r w:rsidRPr="00FC47CE">
        <w:rPr>
          <w:rFonts w:ascii="Times New Roman" w:hAnsi="Times New Roman"/>
          <w:i/>
          <w:iCs/>
          <w:noProof/>
          <w:sz w:val="24"/>
          <w:szCs w:val="24"/>
          <w:lang w:val="id-ID"/>
        </w:rPr>
        <w:t>FSI Insights on Policy Implementation</w:t>
      </w:r>
      <w:r w:rsidR="00CC67DB" w:rsidRPr="00FC47CE">
        <w:rPr>
          <w:rFonts w:ascii="Times New Roman" w:hAnsi="Times New Roman"/>
          <w:noProof/>
          <w:sz w:val="24"/>
          <w:szCs w:val="24"/>
        </w:rPr>
        <w:t>.</w:t>
      </w:r>
    </w:p>
    <w:p w14:paraId="7A4E117E"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lang w:val="id-ID"/>
        </w:rPr>
      </w:pPr>
      <w:r w:rsidRPr="00FC47CE">
        <w:rPr>
          <w:rFonts w:ascii="Times New Roman" w:hAnsi="Times New Roman"/>
          <w:noProof/>
          <w:sz w:val="24"/>
          <w:szCs w:val="24"/>
          <w:lang w:val="id-ID"/>
        </w:rPr>
        <w:t xml:space="preserve">Fraile Carmona, A, A González-quel Lombardo, R Rivera Pastor, C Tarín Quirós, J P Villar García, D Ramos Muñoz, and L Castejón Martín. </w:t>
      </w:r>
      <w:r w:rsidR="00CC67DB" w:rsidRPr="00FC47CE">
        <w:rPr>
          <w:rFonts w:ascii="Times New Roman" w:hAnsi="Times New Roman"/>
          <w:noProof/>
          <w:sz w:val="24"/>
          <w:szCs w:val="24"/>
        </w:rPr>
        <w:t xml:space="preserve">(2018), </w:t>
      </w:r>
      <w:r w:rsidRPr="00FC47CE">
        <w:rPr>
          <w:rFonts w:ascii="Times New Roman" w:hAnsi="Times New Roman"/>
          <w:noProof/>
          <w:sz w:val="24"/>
          <w:szCs w:val="24"/>
          <w:lang w:val="id-ID"/>
        </w:rPr>
        <w:t xml:space="preserve">“Competition Issues in the Area of Financial Technology (FinTech) Policy Department for Economic, Scientific and Quality of Life Policies.” </w:t>
      </w:r>
      <w:r w:rsidRPr="00FC47CE">
        <w:rPr>
          <w:rFonts w:ascii="Times New Roman" w:hAnsi="Times New Roman"/>
          <w:i/>
          <w:iCs/>
          <w:noProof/>
          <w:sz w:val="24"/>
          <w:szCs w:val="24"/>
          <w:lang w:val="id-ID"/>
        </w:rPr>
        <w:t>European Parliament Study</w:t>
      </w:r>
      <w:r w:rsidR="00CC67DB" w:rsidRPr="00FC47CE">
        <w:rPr>
          <w:rFonts w:ascii="Times New Roman" w:hAnsi="Times New Roman"/>
          <w:noProof/>
          <w:sz w:val="24"/>
          <w:szCs w:val="24"/>
          <w:lang w:val="id-ID"/>
        </w:rPr>
        <w:t xml:space="preserve">, no. July </w:t>
      </w:r>
    </w:p>
    <w:p w14:paraId="242ED3A1"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noProof/>
          <w:sz w:val="24"/>
          <w:szCs w:val="24"/>
          <w:lang w:val="id-ID"/>
        </w:rPr>
      </w:pPr>
      <w:r w:rsidRPr="00FC47CE">
        <w:rPr>
          <w:rFonts w:ascii="Times New Roman" w:hAnsi="Times New Roman"/>
          <w:noProof/>
          <w:sz w:val="24"/>
          <w:szCs w:val="24"/>
          <w:lang w:val="id-ID"/>
        </w:rPr>
        <w:t>Hairi, Prianter Jaya.</w:t>
      </w:r>
      <w:r w:rsidR="00CC67DB" w:rsidRPr="00FC47CE">
        <w:rPr>
          <w:rFonts w:ascii="Times New Roman" w:hAnsi="Times New Roman"/>
          <w:noProof/>
          <w:sz w:val="24"/>
          <w:szCs w:val="24"/>
        </w:rPr>
        <w:t xml:space="preserve"> (2020),</w:t>
      </w:r>
      <w:r w:rsidRPr="00FC47CE">
        <w:rPr>
          <w:rFonts w:ascii="Times New Roman" w:hAnsi="Times New Roman"/>
          <w:noProof/>
          <w:sz w:val="24"/>
          <w:szCs w:val="24"/>
          <w:lang w:val="id-ID"/>
        </w:rPr>
        <w:t xml:space="preserve"> “Implikasi Hukum Pembatasan Sosial Berskala Besar Terkait Pencegahan COVID-19.” </w:t>
      </w:r>
      <w:r w:rsidRPr="00FC47CE">
        <w:rPr>
          <w:rFonts w:ascii="Times New Roman" w:hAnsi="Times New Roman"/>
          <w:i/>
          <w:iCs/>
          <w:noProof/>
          <w:sz w:val="24"/>
          <w:szCs w:val="24"/>
          <w:lang w:val="id-ID"/>
        </w:rPr>
        <w:t>Info Singkat Bidang Hukum</w:t>
      </w:r>
      <w:r w:rsidRPr="00FC47CE">
        <w:rPr>
          <w:rFonts w:ascii="Times New Roman" w:hAnsi="Times New Roman"/>
          <w:noProof/>
          <w:sz w:val="24"/>
          <w:szCs w:val="24"/>
          <w:lang w:val="id-ID"/>
        </w:rPr>
        <w:t xml:space="preserve"> 12, no. April</w:t>
      </w:r>
      <w:r w:rsidR="00CC67DB" w:rsidRPr="00FC47CE">
        <w:rPr>
          <w:rFonts w:ascii="Times New Roman" w:hAnsi="Times New Roman"/>
          <w:noProof/>
          <w:sz w:val="24"/>
          <w:szCs w:val="24"/>
        </w:rPr>
        <w:t>.</w:t>
      </w:r>
    </w:p>
    <w:p w14:paraId="2D4ED17C"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Hario</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Mahar</w:t>
      </w:r>
      <w:proofErr w:type="spellEnd"/>
      <w:r w:rsidRPr="00FC47CE">
        <w:rPr>
          <w:rFonts w:ascii="Times New Roman" w:hAnsi="Times New Roman"/>
          <w:sz w:val="24"/>
          <w:szCs w:val="24"/>
        </w:rPr>
        <w:t xml:space="preserve">, </w:t>
      </w:r>
      <w:r w:rsidR="00CC67DB" w:rsidRPr="00FC47CE">
        <w:rPr>
          <w:rFonts w:ascii="Times New Roman" w:hAnsi="Times New Roman"/>
          <w:sz w:val="24"/>
          <w:szCs w:val="24"/>
        </w:rPr>
        <w:t xml:space="preserve">(2018), </w:t>
      </w:r>
      <w:proofErr w:type="gramStart"/>
      <w:r w:rsidRPr="00FC47CE">
        <w:rPr>
          <w:rFonts w:ascii="Times New Roman" w:hAnsi="Times New Roman"/>
          <w:sz w:val="24"/>
          <w:szCs w:val="24"/>
        </w:rPr>
        <w:t xml:space="preserve">“ </w:t>
      </w:r>
      <w:proofErr w:type="spellStart"/>
      <w:r w:rsidRPr="00FC47CE">
        <w:rPr>
          <w:rFonts w:ascii="Times New Roman" w:hAnsi="Times New Roman"/>
          <w:sz w:val="24"/>
          <w:szCs w:val="24"/>
        </w:rPr>
        <w:t>Fenomena</w:t>
      </w:r>
      <w:proofErr w:type="spellEnd"/>
      <w:proofErr w:type="gramEnd"/>
      <w:r w:rsidRPr="00FC47CE">
        <w:rPr>
          <w:rFonts w:ascii="Times New Roman" w:hAnsi="Times New Roman"/>
          <w:sz w:val="24"/>
          <w:szCs w:val="24"/>
        </w:rPr>
        <w:t xml:space="preserve"> </w:t>
      </w:r>
      <w:proofErr w:type="spellStart"/>
      <w:r w:rsidRPr="00FC47CE">
        <w:rPr>
          <w:rFonts w:ascii="Times New Roman" w:hAnsi="Times New Roman"/>
          <w:sz w:val="24"/>
          <w:szCs w:val="24"/>
        </w:rPr>
        <w:t>dalam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kekosongan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00CC67DB" w:rsidRPr="00FC47CE">
        <w:rPr>
          <w:rFonts w:ascii="Times New Roman" w:hAnsi="Times New Roman"/>
          <w:i/>
          <w:sz w:val="24"/>
          <w:szCs w:val="24"/>
        </w:rPr>
        <w:t>Rechtsvinding</w:t>
      </w:r>
      <w:proofErr w:type="spellEnd"/>
      <w:r w:rsidR="00CC67DB" w:rsidRPr="00FC47CE">
        <w:rPr>
          <w:rFonts w:ascii="Times New Roman" w:hAnsi="Times New Roman"/>
          <w:i/>
          <w:sz w:val="24"/>
          <w:szCs w:val="24"/>
        </w:rPr>
        <w:t xml:space="preserve"> Online.</w:t>
      </w:r>
    </w:p>
    <w:p w14:paraId="7CB77AC3"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Haryani</w:t>
      </w:r>
      <w:proofErr w:type="spellEnd"/>
      <w:r w:rsidRPr="00FC47CE">
        <w:rPr>
          <w:rFonts w:ascii="Times New Roman" w:hAnsi="Times New Roman"/>
          <w:sz w:val="24"/>
          <w:szCs w:val="24"/>
        </w:rPr>
        <w:t xml:space="preserve">, I, (2017).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dan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penyelesaian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Sengketa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Bisnis</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Jasa</w:t>
      </w:r>
      <w:proofErr w:type="spellEnd"/>
      <w:r w:rsidRPr="00FC47CE">
        <w:rPr>
          <w:rFonts w:ascii="Times New Roman" w:hAnsi="Times New Roman"/>
          <w:sz w:val="24"/>
          <w:szCs w:val="24"/>
        </w:rPr>
        <w:t xml:space="preserve"> PM-</w:t>
      </w:r>
      <w:proofErr w:type="spellStart"/>
      <w:r w:rsidRPr="00FC47CE">
        <w:rPr>
          <w:rFonts w:ascii="Times New Roman" w:hAnsi="Times New Roman"/>
          <w:sz w:val="24"/>
          <w:szCs w:val="24"/>
        </w:rPr>
        <w:t>Tekfin</w:t>
      </w:r>
      <w:proofErr w:type="spellEnd"/>
      <w:r w:rsidRPr="00FC47CE">
        <w:rPr>
          <w:rFonts w:ascii="Times New Roman" w:hAnsi="Times New Roman"/>
          <w:sz w:val="24"/>
          <w:szCs w:val="24"/>
        </w:rPr>
        <w:t xml:space="preserve"> </w:t>
      </w:r>
      <w:proofErr w:type="spellStart"/>
      <w:r w:rsidRPr="00FC47CE">
        <w:rPr>
          <w:rFonts w:ascii="Times New Roman" w:hAnsi="Times New Roman"/>
          <w:i/>
          <w:sz w:val="24"/>
          <w:szCs w:val="24"/>
        </w:rPr>
        <w:t>jurnal</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Legislasi</w:t>
      </w:r>
      <w:proofErr w:type="spellEnd"/>
      <w:r w:rsidRPr="00FC47CE">
        <w:rPr>
          <w:rFonts w:ascii="Times New Roman" w:hAnsi="Times New Roman"/>
          <w:i/>
          <w:sz w:val="24"/>
          <w:szCs w:val="24"/>
        </w:rPr>
        <w:t xml:space="preserve"> Indonesia, </w:t>
      </w:r>
      <w:r w:rsidRPr="00FC47CE">
        <w:rPr>
          <w:rFonts w:ascii="Times New Roman" w:hAnsi="Times New Roman"/>
          <w:sz w:val="24"/>
          <w:szCs w:val="24"/>
        </w:rPr>
        <w:t xml:space="preserve">Vol. 14 No. 3. </w:t>
      </w:r>
    </w:p>
    <w:p w14:paraId="5C7A350A" w14:textId="5FB98909"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Jagtiani, Julapa, and Kose John. </w:t>
      </w:r>
      <w:r w:rsidR="00CC67DB" w:rsidRPr="00FC47CE">
        <w:rPr>
          <w:rFonts w:ascii="Times New Roman" w:hAnsi="Times New Roman"/>
          <w:noProof/>
          <w:sz w:val="24"/>
          <w:szCs w:val="24"/>
        </w:rPr>
        <w:t xml:space="preserve">(2018), </w:t>
      </w:r>
      <w:r w:rsidRPr="00FC47CE">
        <w:rPr>
          <w:rFonts w:ascii="Times New Roman" w:hAnsi="Times New Roman"/>
          <w:noProof/>
          <w:sz w:val="24"/>
          <w:szCs w:val="24"/>
          <w:lang w:val="id-ID"/>
        </w:rPr>
        <w:t xml:space="preserve">“Fintech: The Impact on Consumers and Regulatory Responses.” </w:t>
      </w:r>
      <w:r w:rsidRPr="00FC47CE">
        <w:rPr>
          <w:rFonts w:ascii="Times New Roman" w:hAnsi="Times New Roman"/>
          <w:i/>
          <w:iCs/>
          <w:noProof/>
          <w:sz w:val="24"/>
          <w:szCs w:val="24"/>
          <w:lang w:val="id-ID"/>
        </w:rPr>
        <w:t>Journal of Economics and Business</w:t>
      </w:r>
      <w:r w:rsidR="00CC67DB" w:rsidRPr="00FC47CE">
        <w:rPr>
          <w:rFonts w:ascii="Times New Roman" w:hAnsi="Times New Roman"/>
          <w:noProof/>
          <w:sz w:val="24"/>
          <w:szCs w:val="24"/>
          <w:lang w:val="id-ID"/>
        </w:rPr>
        <w:t xml:space="preserve"> 100 </w:t>
      </w:r>
      <w:r w:rsidRPr="00FC47CE">
        <w:rPr>
          <w:rFonts w:ascii="Times New Roman" w:hAnsi="Times New Roman"/>
          <w:noProof/>
          <w:sz w:val="24"/>
          <w:szCs w:val="24"/>
          <w:lang w:val="id-ID"/>
        </w:rPr>
        <w:t xml:space="preserve">: 1–6. </w:t>
      </w:r>
      <w:hyperlink r:id="rId22" w:history="1">
        <w:r w:rsidR="00CC67DB" w:rsidRPr="00FC47CE">
          <w:rPr>
            <w:rStyle w:val="Hyperlink"/>
            <w:rFonts w:ascii="Times New Roman" w:hAnsi="Times New Roman"/>
            <w:noProof/>
            <w:sz w:val="24"/>
            <w:szCs w:val="24"/>
            <w:lang w:val="id-ID"/>
          </w:rPr>
          <w:t>https://doi.org/10.1016/j.jeconbus.2018.11.002</w:t>
        </w:r>
      </w:hyperlink>
      <w:r w:rsidRPr="00FC47CE">
        <w:rPr>
          <w:rFonts w:ascii="Times New Roman" w:hAnsi="Times New Roman"/>
          <w:noProof/>
          <w:sz w:val="24"/>
          <w:szCs w:val="24"/>
          <w:lang w:val="id-ID"/>
        </w:rPr>
        <w:t>.</w:t>
      </w:r>
    </w:p>
    <w:p w14:paraId="07070791"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Johnson, Posma Sariguna, and Alvani Amaerita Harefa. </w:t>
      </w:r>
      <w:r w:rsidR="00CC67DB" w:rsidRPr="00FC47CE">
        <w:rPr>
          <w:rFonts w:ascii="Times New Roman" w:hAnsi="Times New Roman"/>
          <w:noProof/>
          <w:sz w:val="24"/>
          <w:szCs w:val="24"/>
        </w:rPr>
        <w:t xml:space="preserve">(2018), </w:t>
      </w:r>
      <w:r w:rsidRPr="00FC47CE">
        <w:rPr>
          <w:rFonts w:ascii="Times New Roman" w:hAnsi="Times New Roman"/>
          <w:noProof/>
          <w:sz w:val="24"/>
          <w:szCs w:val="24"/>
          <w:lang w:val="id-ID"/>
        </w:rPr>
        <w:t xml:space="preserve">“Financial Technology, Regulation and Banking Adaptation in Indonesia.” </w:t>
      </w:r>
      <w:r w:rsidRPr="00FC47CE">
        <w:rPr>
          <w:rFonts w:ascii="Times New Roman" w:hAnsi="Times New Roman"/>
          <w:i/>
          <w:iCs/>
          <w:noProof/>
          <w:sz w:val="24"/>
          <w:szCs w:val="24"/>
          <w:lang w:val="id-ID"/>
        </w:rPr>
        <w:t>Fundamental Management Journal</w:t>
      </w:r>
      <w:r w:rsidR="00CC67DB" w:rsidRPr="00FC47CE">
        <w:rPr>
          <w:rFonts w:ascii="Times New Roman" w:hAnsi="Times New Roman"/>
          <w:noProof/>
          <w:sz w:val="24"/>
          <w:szCs w:val="24"/>
          <w:lang w:val="id-ID"/>
        </w:rPr>
        <w:t xml:space="preserve"> 3, no. 1</w:t>
      </w:r>
      <w:r w:rsidRPr="00FC47CE">
        <w:rPr>
          <w:rFonts w:ascii="Times New Roman" w:hAnsi="Times New Roman"/>
          <w:noProof/>
          <w:sz w:val="24"/>
          <w:szCs w:val="24"/>
          <w:lang w:val="id-ID"/>
        </w:rPr>
        <w:t>: 1–11.</w:t>
      </w:r>
    </w:p>
    <w:p w14:paraId="7CCCA90B"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Kornelius</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Benuf</w:t>
      </w:r>
      <w:proofErr w:type="spellEnd"/>
      <w:r w:rsidRPr="00FC47CE">
        <w:rPr>
          <w:rFonts w:ascii="Times New Roman" w:hAnsi="Times New Roman"/>
          <w:sz w:val="24"/>
          <w:szCs w:val="24"/>
        </w:rPr>
        <w:t xml:space="preserve">, (2020), </w:t>
      </w:r>
      <w:proofErr w:type="gramStart"/>
      <w:r w:rsidRPr="00FC47CE">
        <w:rPr>
          <w:rFonts w:ascii="Times New Roman" w:hAnsi="Times New Roman"/>
          <w:sz w:val="24"/>
          <w:szCs w:val="24"/>
        </w:rPr>
        <w:t xml:space="preserve">“ </w:t>
      </w:r>
      <w:proofErr w:type="spellStart"/>
      <w:r w:rsidRPr="00FC47CE">
        <w:rPr>
          <w:rFonts w:ascii="Times New Roman" w:hAnsi="Times New Roman"/>
          <w:sz w:val="24"/>
          <w:szCs w:val="24"/>
        </w:rPr>
        <w:t>Urgensi</w:t>
      </w:r>
      <w:proofErr w:type="spellEnd"/>
      <w:proofErr w:type="gramEnd"/>
      <w:r w:rsidRPr="00FC47CE">
        <w:rPr>
          <w:rFonts w:ascii="Times New Roman" w:hAnsi="Times New Roman"/>
          <w:sz w:val="24"/>
          <w:szCs w:val="24"/>
        </w:rPr>
        <w:t xml:space="preserve"> </w:t>
      </w:r>
      <w:proofErr w:type="spellStart"/>
      <w:r w:rsidRPr="00FC47CE">
        <w:rPr>
          <w:rFonts w:ascii="Times New Roman" w:hAnsi="Times New Roman"/>
          <w:sz w:val="24"/>
          <w:szCs w:val="24"/>
        </w:rPr>
        <w:t>Kebijakan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terhadap</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Konsumen</w:t>
      </w:r>
      <w:proofErr w:type="spellEnd"/>
      <w:r w:rsidRPr="00FC47CE">
        <w:rPr>
          <w:rFonts w:ascii="Times New Roman" w:hAnsi="Times New Roman"/>
          <w:sz w:val="24"/>
          <w:szCs w:val="24"/>
        </w:rPr>
        <w:t xml:space="preserve"> </w:t>
      </w:r>
      <w:proofErr w:type="spellStart"/>
      <w:r w:rsidRPr="00FC47CE">
        <w:rPr>
          <w:rFonts w:ascii="Times New Roman" w:hAnsi="Times New Roman"/>
          <w:i/>
          <w:sz w:val="24"/>
          <w:szCs w:val="24"/>
        </w:rPr>
        <w:t>fintech</w:t>
      </w:r>
      <w:proofErr w:type="spellEnd"/>
      <w:r w:rsidRPr="00FC47CE">
        <w:rPr>
          <w:rFonts w:ascii="Times New Roman" w:hAnsi="Times New Roman"/>
          <w:i/>
          <w:sz w:val="24"/>
          <w:szCs w:val="24"/>
        </w:rPr>
        <w:t xml:space="preserve"> Peer To Peer Lending </w:t>
      </w:r>
      <w:proofErr w:type="spellStart"/>
      <w:r w:rsidRPr="00FC47CE">
        <w:rPr>
          <w:rFonts w:ascii="Times New Roman" w:hAnsi="Times New Roman"/>
          <w:sz w:val="24"/>
          <w:szCs w:val="24"/>
        </w:rPr>
        <w:t>Akibat</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Penyebaran</w:t>
      </w:r>
      <w:proofErr w:type="spellEnd"/>
      <w:r w:rsidRPr="00FC47CE">
        <w:rPr>
          <w:rFonts w:ascii="Times New Roman" w:hAnsi="Times New Roman"/>
          <w:sz w:val="24"/>
          <w:szCs w:val="24"/>
        </w:rPr>
        <w:t xml:space="preserve"> Covid-19”. </w:t>
      </w:r>
      <w:proofErr w:type="spellStart"/>
      <w:r w:rsidRPr="00FC47CE">
        <w:rPr>
          <w:rFonts w:ascii="Times New Roman" w:hAnsi="Times New Roman"/>
          <w:sz w:val="24"/>
          <w:szCs w:val="24"/>
        </w:rPr>
        <w:t>Jurnal</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Rechts</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Vinding</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MediaPembinaan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Nasional</w:t>
      </w:r>
      <w:proofErr w:type="spellEnd"/>
      <w:r w:rsidRPr="00FC47CE">
        <w:rPr>
          <w:rFonts w:ascii="Times New Roman" w:hAnsi="Times New Roman"/>
          <w:sz w:val="24"/>
          <w:szCs w:val="24"/>
        </w:rPr>
        <w:t>, Vol. 9 No. 2. Hal. 203-217</w:t>
      </w:r>
    </w:p>
    <w:p w14:paraId="1AB1566C"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Kornellius</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Benuf</w:t>
      </w:r>
      <w:proofErr w:type="spellEnd"/>
      <w:r w:rsidRPr="00FC47CE">
        <w:rPr>
          <w:rFonts w:ascii="Times New Roman" w:hAnsi="Times New Roman"/>
          <w:sz w:val="24"/>
          <w:szCs w:val="24"/>
        </w:rPr>
        <w:t>,</w:t>
      </w:r>
      <w:r w:rsidR="00CC67DB" w:rsidRPr="00FC47CE">
        <w:rPr>
          <w:rFonts w:ascii="Times New Roman" w:hAnsi="Times New Roman"/>
          <w:sz w:val="24"/>
          <w:szCs w:val="24"/>
        </w:rPr>
        <w:t xml:space="preserve"> (2018),</w:t>
      </w:r>
      <w:r w:rsidRPr="00FC47CE">
        <w:rPr>
          <w:rFonts w:ascii="Times New Roman" w:hAnsi="Times New Roman"/>
          <w:sz w:val="24"/>
          <w:szCs w:val="24"/>
        </w:rPr>
        <w:t xml:space="preserve"> “</w:t>
      </w:r>
      <w:proofErr w:type="spellStart"/>
      <w:r w:rsidRPr="00FC47CE">
        <w:rPr>
          <w:rFonts w:ascii="Times New Roman" w:hAnsi="Times New Roman"/>
          <w:sz w:val="24"/>
          <w:szCs w:val="24"/>
        </w:rPr>
        <w:t>Politik</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Legislator </w:t>
      </w:r>
      <w:proofErr w:type="spellStart"/>
      <w:r w:rsidRPr="00FC47CE">
        <w:rPr>
          <w:rFonts w:ascii="Times New Roman" w:hAnsi="Times New Roman"/>
          <w:sz w:val="24"/>
          <w:szCs w:val="24"/>
        </w:rPr>
        <w:t>dan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Ideologi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Pancasila</w:t>
      </w:r>
      <w:proofErr w:type="spellEnd"/>
      <w:r w:rsidRPr="00FC47CE">
        <w:rPr>
          <w:rFonts w:ascii="Times New Roman" w:hAnsi="Times New Roman"/>
          <w:sz w:val="24"/>
          <w:szCs w:val="24"/>
        </w:rPr>
        <w:t xml:space="preserve">, </w:t>
      </w:r>
      <w:proofErr w:type="gramStart"/>
      <w:r w:rsidRPr="00FC47CE">
        <w:rPr>
          <w:rFonts w:ascii="Times New Roman" w:hAnsi="Times New Roman"/>
          <w:sz w:val="24"/>
          <w:szCs w:val="24"/>
        </w:rPr>
        <w:t xml:space="preserve">“ </w:t>
      </w:r>
      <w:proofErr w:type="spellStart"/>
      <w:r w:rsidRPr="00FC47CE">
        <w:rPr>
          <w:rFonts w:ascii="Times New Roman" w:hAnsi="Times New Roman"/>
          <w:sz w:val="24"/>
          <w:szCs w:val="24"/>
        </w:rPr>
        <w:t>Gema</w:t>
      </w:r>
      <w:proofErr w:type="spellEnd"/>
      <w:proofErr w:type="gramEnd"/>
      <w:r w:rsidR="00CC67DB" w:rsidRPr="00FC47CE">
        <w:rPr>
          <w:rFonts w:ascii="Times New Roman" w:hAnsi="Times New Roman"/>
          <w:sz w:val="24"/>
          <w:szCs w:val="24"/>
        </w:rPr>
        <w:t xml:space="preserve"> </w:t>
      </w:r>
      <w:proofErr w:type="spellStart"/>
      <w:r w:rsidR="00CC67DB" w:rsidRPr="00FC47CE">
        <w:rPr>
          <w:rFonts w:ascii="Times New Roman" w:hAnsi="Times New Roman"/>
          <w:sz w:val="24"/>
          <w:szCs w:val="24"/>
        </w:rPr>
        <w:t>Keadilan</w:t>
      </w:r>
      <w:proofErr w:type="spellEnd"/>
      <w:r w:rsidR="00CC67DB" w:rsidRPr="00FC47CE">
        <w:rPr>
          <w:rFonts w:ascii="Times New Roman" w:hAnsi="Times New Roman"/>
          <w:sz w:val="24"/>
          <w:szCs w:val="24"/>
        </w:rPr>
        <w:t>, Vol. 5, No. 1.</w:t>
      </w:r>
      <w:r w:rsidRPr="00FC47CE">
        <w:rPr>
          <w:rFonts w:ascii="Times New Roman" w:hAnsi="Times New Roman"/>
          <w:sz w:val="24"/>
          <w:szCs w:val="24"/>
        </w:rPr>
        <w:t xml:space="preserve"> </w:t>
      </w:r>
    </w:p>
    <w:p w14:paraId="29DF3658"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Magnuson, William. “Regulating Fintech.” </w:t>
      </w:r>
      <w:r w:rsidRPr="00FC47CE">
        <w:rPr>
          <w:rFonts w:ascii="Times New Roman" w:hAnsi="Times New Roman"/>
          <w:i/>
          <w:iCs/>
          <w:noProof/>
          <w:sz w:val="24"/>
          <w:szCs w:val="24"/>
          <w:lang w:val="id-ID"/>
        </w:rPr>
        <w:t>Vanderbilt Law Review</w:t>
      </w:r>
      <w:r w:rsidRPr="00FC47CE">
        <w:rPr>
          <w:rFonts w:ascii="Times New Roman" w:hAnsi="Times New Roman"/>
          <w:noProof/>
          <w:sz w:val="24"/>
          <w:szCs w:val="24"/>
          <w:lang w:val="id-ID"/>
        </w:rPr>
        <w:t xml:space="preserve"> 71, no. 4 (2018): 1167–1226.</w:t>
      </w:r>
    </w:p>
    <w:p w14:paraId="270D2BCE" w14:textId="5DE9EE3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Miseviciute, Jurgita. </w:t>
      </w:r>
      <w:r w:rsidR="00CC67DB" w:rsidRPr="00FC47CE">
        <w:rPr>
          <w:rFonts w:ascii="Times New Roman" w:hAnsi="Times New Roman"/>
          <w:noProof/>
          <w:sz w:val="24"/>
          <w:szCs w:val="24"/>
        </w:rPr>
        <w:t xml:space="preserve">(2018), </w:t>
      </w:r>
      <w:r w:rsidRPr="00FC47CE">
        <w:rPr>
          <w:rFonts w:ascii="Times New Roman" w:hAnsi="Times New Roman"/>
          <w:noProof/>
          <w:sz w:val="24"/>
          <w:szCs w:val="24"/>
          <w:lang w:val="id-ID"/>
        </w:rPr>
        <w:t xml:space="preserve">“Blockchain and Virtual Currency Regulation in the EU.” </w:t>
      </w:r>
      <w:r w:rsidRPr="00FC47CE">
        <w:rPr>
          <w:rFonts w:ascii="Times New Roman" w:hAnsi="Times New Roman"/>
          <w:i/>
          <w:iCs/>
          <w:noProof/>
          <w:sz w:val="24"/>
          <w:szCs w:val="24"/>
          <w:lang w:val="id-ID"/>
        </w:rPr>
        <w:t>Journal of Investment Compliance</w:t>
      </w:r>
      <w:r w:rsidRPr="00FC47CE">
        <w:rPr>
          <w:rFonts w:ascii="Times New Roman" w:hAnsi="Times New Roman"/>
          <w:noProof/>
          <w:sz w:val="24"/>
          <w:szCs w:val="24"/>
          <w:lang w:val="id-ID"/>
        </w:rPr>
        <w:t xml:space="preserve"> 19, no. 3 (2018): 33–38. </w:t>
      </w:r>
      <w:hyperlink r:id="rId23" w:history="1">
        <w:r w:rsidR="00CC67DB" w:rsidRPr="00FC47CE">
          <w:rPr>
            <w:rStyle w:val="Hyperlink"/>
            <w:rFonts w:ascii="Times New Roman" w:hAnsi="Times New Roman"/>
            <w:noProof/>
            <w:sz w:val="24"/>
            <w:szCs w:val="24"/>
            <w:lang w:val="id-ID"/>
          </w:rPr>
          <w:t>https://doi.org/10.1108/joic-04-2018-0026</w:t>
        </w:r>
      </w:hyperlink>
      <w:r w:rsidRPr="00FC47CE">
        <w:rPr>
          <w:rFonts w:ascii="Times New Roman" w:hAnsi="Times New Roman"/>
          <w:noProof/>
          <w:sz w:val="24"/>
          <w:szCs w:val="24"/>
          <w:lang w:val="id-ID"/>
        </w:rPr>
        <w:t>.</w:t>
      </w:r>
    </w:p>
    <w:p w14:paraId="219A8539" w14:textId="28F111D9"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Nasruddin, Rindam, and Islamul Haq. </w:t>
      </w:r>
      <w:r w:rsidR="00CC67DB" w:rsidRPr="00FC47CE">
        <w:rPr>
          <w:rFonts w:ascii="Times New Roman" w:hAnsi="Times New Roman"/>
          <w:noProof/>
          <w:sz w:val="24"/>
          <w:szCs w:val="24"/>
        </w:rPr>
        <w:t xml:space="preserve">(2020), </w:t>
      </w:r>
      <w:r w:rsidRPr="00FC47CE">
        <w:rPr>
          <w:rFonts w:ascii="Times New Roman" w:hAnsi="Times New Roman"/>
          <w:noProof/>
          <w:sz w:val="24"/>
          <w:szCs w:val="24"/>
          <w:lang w:val="id-ID"/>
        </w:rPr>
        <w:t xml:space="preserve">“Pembatasan Sosial Berskala Besar (PSBB) Dan Masyarakat Berpenghasilan Rendah.” </w:t>
      </w:r>
      <w:r w:rsidRPr="00FC47CE">
        <w:rPr>
          <w:rFonts w:ascii="Times New Roman" w:hAnsi="Times New Roman"/>
          <w:i/>
          <w:iCs/>
          <w:noProof/>
          <w:sz w:val="24"/>
          <w:szCs w:val="24"/>
          <w:lang w:val="id-ID"/>
        </w:rPr>
        <w:t>SALAM: Jurnal Sosial Dan Budaya Syar-I</w:t>
      </w:r>
      <w:r w:rsidRPr="00FC47CE">
        <w:rPr>
          <w:rFonts w:ascii="Times New Roman" w:hAnsi="Times New Roman"/>
          <w:noProof/>
          <w:sz w:val="24"/>
          <w:szCs w:val="24"/>
          <w:lang w:val="id-ID"/>
        </w:rPr>
        <w:t xml:space="preserve"> 7, no. 7 (2020). </w:t>
      </w:r>
      <w:hyperlink r:id="rId24" w:history="1">
        <w:r w:rsidR="00CC67DB" w:rsidRPr="00FC47CE">
          <w:rPr>
            <w:rStyle w:val="Hyperlink"/>
            <w:rFonts w:ascii="Times New Roman" w:hAnsi="Times New Roman"/>
            <w:noProof/>
            <w:sz w:val="24"/>
            <w:szCs w:val="24"/>
            <w:lang w:val="id-ID"/>
          </w:rPr>
          <w:t>https://doi.org/10.15408/sjsbs.v7i7.15569</w:t>
        </w:r>
      </w:hyperlink>
      <w:r w:rsidRPr="00FC47CE">
        <w:rPr>
          <w:rFonts w:ascii="Times New Roman" w:hAnsi="Times New Roman"/>
          <w:noProof/>
          <w:sz w:val="24"/>
          <w:szCs w:val="24"/>
          <w:lang w:val="id-ID"/>
        </w:rPr>
        <w:t>.</w:t>
      </w:r>
    </w:p>
    <w:p w14:paraId="604795AA"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lastRenderedPageBreak/>
        <w:t xml:space="preserve">Ringe, Wolf Georg, and Christopher Ruof. </w:t>
      </w:r>
      <w:r w:rsidR="00CC67DB" w:rsidRPr="00FC47CE">
        <w:rPr>
          <w:rFonts w:ascii="Times New Roman" w:hAnsi="Times New Roman"/>
          <w:noProof/>
          <w:sz w:val="24"/>
          <w:szCs w:val="24"/>
        </w:rPr>
        <w:t xml:space="preserve">(2020), </w:t>
      </w:r>
      <w:r w:rsidRPr="00FC47CE">
        <w:rPr>
          <w:rFonts w:ascii="Times New Roman" w:hAnsi="Times New Roman"/>
          <w:noProof/>
          <w:sz w:val="24"/>
          <w:szCs w:val="24"/>
          <w:lang w:val="id-ID"/>
        </w:rPr>
        <w:t xml:space="preserve">“Regulating Fintech in the EU: The Case for a Guided Sandbox.” </w:t>
      </w:r>
      <w:r w:rsidRPr="00FC47CE">
        <w:rPr>
          <w:rFonts w:ascii="Times New Roman" w:hAnsi="Times New Roman"/>
          <w:i/>
          <w:iCs/>
          <w:noProof/>
          <w:sz w:val="24"/>
          <w:szCs w:val="24"/>
          <w:lang w:val="id-ID"/>
        </w:rPr>
        <w:t>European Journal of Risk Regulation</w:t>
      </w:r>
      <w:r w:rsidR="00CC67DB" w:rsidRPr="00FC47CE">
        <w:rPr>
          <w:rFonts w:ascii="Times New Roman" w:hAnsi="Times New Roman"/>
          <w:noProof/>
          <w:sz w:val="24"/>
          <w:szCs w:val="24"/>
          <w:lang w:val="id-ID"/>
        </w:rPr>
        <w:t xml:space="preserve"> 11, no. 3</w:t>
      </w:r>
      <w:r w:rsidRPr="00FC47CE">
        <w:rPr>
          <w:rFonts w:ascii="Times New Roman" w:hAnsi="Times New Roman"/>
          <w:noProof/>
          <w:sz w:val="24"/>
          <w:szCs w:val="24"/>
          <w:lang w:val="id-ID"/>
        </w:rPr>
        <w:t xml:space="preserve">: 604–29. </w:t>
      </w:r>
      <w:hyperlink r:id="rId25" w:history="1">
        <w:r w:rsidR="00CC67DB" w:rsidRPr="00FC47CE">
          <w:rPr>
            <w:rStyle w:val="Hyperlink"/>
            <w:rFonts w:ascii="Times New Roman" w:hAnsi="Times New Roman"/>
            <w:noProof/>
            <w:sz w:val="24"/>
            <w:szCs w:val="24"/>
            <w:lang w:val="id-ID"/>
          </w:rPr>
          <w:t>https://doi.org/10.1017/err.2020.8</w:t>
        </w:r>
      </w:hyperlink>
      <w:r w:rsidRPr="00FC47CE">
        <w:rPr>
          <w:rFonts w:ascii="Times New Roman" w:hAnsi="Times New Roman"/>
          <w:noProof/>
          <w:sz w:val="24"/>
          <w:szCs w:val="24"/>
          <w:lang w:val="id-ID"/>
        </w:rPr>
        <w:t>.</w:t>
      </w:r>
    </w:p>
    <w:p w14:paraId="05894014" w14:textId="4F0568EC" w:rsidR="00424260"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Rosenblum, Robert H., Susan A. Gault-Brown, and Amy B. Caiazza. </w:t>
      </w:r>
      <w:r w:rsidR="00CC67DB" w:rsidRPr="00FC47CE">
        <w:rPr>
          <w:rFonts w:ascii="Times New Roman" w:hAnsi="Times New Roman"/>
          <w:noProof/>
          <w:sz w:val="24"/>
          <w:szCs w:val="24"/>
        </w:rPr>
        <w:t xml:space="preserve">(2015), </w:t>
      </w:r>
      <w:r w:rsidRPr="00FC47CE">
        <w:rPr>
          <w:rFonts w:ascii="Times New Roman" w:hAnsi="Times New Roman"/>
          <w:noProof/>
          <w:sz w:val="24"/>
          <w:szCs w:val="24"/>
          <w:lang w:val="id-ID"/>
        </w:rPr>
        <w:t xml:space="preserve">“Peer-to-Peer Lending Platforms: Securities Law Considerations.” </w:t>
      </w:r>
      <w:r w:rsidRPr="00FC47CE">
        <w:rPr>
          <w:rFonts w:ascii="Times New Roman" w:hAnsi="Times New Roman"/>
          <w:i/>
          <w:iCs/>
          <w:noProof/>
          <w:sz w:val="24"/>
          <w:szCs w:val="24"/>
          <w:lang w:val="id-ID"/>
        </w:rPr>
        <w:t>Journal of Investment Compliance</w:t>
      </w:r>
      <w:r w:rsidRPr="00FC47CE">
        <w:rPr>
          <w:rFonts w:ascii="Times New Roman" w:hAnsi="Times New Roman"/>
          <w:noProof/>
          <w:sz w:val="24"/>
          <w:szCs w:val="24"/>
          <w:lang w:val="id-ID"/>
        </w:rPr>
        <w:t xml:space="preserve"> 16, no. 3 (2015): 15–18. </w:t>
      </w:r>
      <w:hyperlink r:id="rId26" w:history="1">
        <w:r w:rsidR="00CC67DB" w:rsidRPr="00FC47CE">
          <w:rPr>
            <w:rStyle w:val="Hyperlink"/>
            <w:rFonts w:ascii="Times New Roman" w:hAnsi="Times New Roman"/>
            <w:noProof/>
            <w:sz w:val="24"/>
            <w:szCs w:val="24"/>
            <w:lang w:val="id-ID"/>
          </w:rPr>
          <w:t>https://doi.org/10.1108/joic-06-2015-0038</w:t>
        </w:r>
      </w:hyperlink>
      <w:r w:rsidRPr="00FC47CE">
        <w:rPr>
          <w:rFonts w:ascii="Times New Roman" w:hAnsi="Times New Roman"/>
          <w:noProof/>
          <w:sz w:val="24"/>
          <w:szCs w:val="24"/>
          <w:lang w:val="id-ID"/>
        </w:rPr>
        <w:t>.</w:t>
      </w:r>
    </w:p>
    <w:p w14:paraId="048F8425" w14:textId="77777777" w:rsidR="00CC67DB"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Rizka</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Syafriana</w:t>
      </w:r>
      <w:proofErr w:type="spellEnd"/>
      <w:r w:rsidRPr="00FC47CE">
        <w:rPr>
          <w:rFonts w:ascii="Times New Roman" w:hAnsi="Times New Roman"/>
          <w:sz w:val="24"/>
          <w:szCs w:val="24"/>
        </w:rPr>
        <w:t xml:space="preserve">, </w:t>
      </w:r>
      <w:r w:rsidR="00CC67DB" w:rsidRPr="00FC47CE">
        <w:rPr>
          <w:rFonts w:ascii="Times New Roman" w:hAnsi="Times New Roman"/>
          <w:sz w:val="24"/>
          <w:szCs w:val="24"/>
        </w:rPr>
        <w:t xml:space="preserve">(2016), </w:t>
      </w:r>
      <w:r w:rsidRPr="00FC47CE">
        <w:rPr>
          <w:rFonts w:ascii="Times New Roman" w:hAnsi="Times New Roman"/>
          <w:sz w:val="24"/>
          <w:szCs w:val="24"/>
        </w:rPr>
        <w:t>“</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Konsumen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dalam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Transaksi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Elektronik</w:t>
      </w:r>
      <w:proofErr w:type="spellEnd"/>
      <w:r w:rsidRPr="00FC47CE">
        <w:rPr>
          <w:rFonts w:ascii="Times New Roman" w:hAnsi="Times New Roman"/>
          <w:sz w:val="24"/>
          <w:szCs w:val="24"/>
        </w:rPr>
        <w:t>, “</w:t>
      </w:r>
      <w:r w:rsidRPr="00FC47CE">
        <w:rPr>
          <w:rFonts w:ascii="Times New Roman" w:hAnsi="Times New Roman"/>
          <w:i/>
          <w:sz w:val="24"/>
          <w:szCs w:val="24"/>
        </w:rPr>
        <w:t xml:space="preserve">De </w:t>
      </w:r>
      <w:proofErr w:type="spellStart"/>
      <w:r w:rsidRPr="00FC47CE">
        <w:rPr>
          <w:rFonts w:ascii="Times New Roman" w:hAnsi="Times New Roman"/>
          <w:i/>
          <w:sz w:val="24"/>
          <w:szCs w:val="24"/>
        </w:rPr>
        <w:t>lega</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Lata</w:t>
      </w:r>
      <w:proofErr w:type="spellEnd"/>
      <w:r w:rsidRPr="00FC47CE">
        <w:rPr>
          <w:rFonts w:ascii="Times New Roman" w:hAnsi="Times New Roman"/>
          <w:i/>
          <w:sz w:val="24"/>
          <w:szCs w:val="24"/>
        </w:rPr>
        <w:t xml:space="preserve">, </w:t>
      </w:r>
      <w:r w:rsidR="00CC67DB" w:rsidRPr="00FC47CE">
        <w:rPr>
          <w:rFonts w:ascii="Times New Roman" w:hAnsi="Times New Roman"/>
          <w:sz w:val="24"/>
          <w:szCs w:val="24"/>
        </w:rPr>
        <w:t>Vol. 1, No. 2.</w:t>
      </w:r>
    </w:p>
    <w:p w14:paraId="5A110988" w14:textId="77777777" w:rsidR="00CC67DB"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Rahmayani</w:t>
      </w:r>
      <w:proofErr w:type="spellEnd"/>
      <w:r w:rsidRPr="00FC47CE">
        <w:rPr>
          <w:rFonts w:ascii="Times New Roman" w:hAnsi="Times New Roman"/>
          <w:sz w:val="24"/>
          <w:szCs w:val="24"/>
        </w:rPr>
        <w:t xml:space="preserve">, N. (2018) </w:t>
      </w:r>
      <w:proofErr w:type="spellStart"/>
      <w:r w:rsidRPr="00FC47CE">
        <w:rPr>
          <w:rFonts w:ascii="Times New Roman" w:hAnsi="Times New Roman"/>
          <w:sz w:val="24"/>
          <w:szCs w:val="24"/>
        </w:rPr>
        <w:t>Tinjauan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Konsumen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Terkait</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Pengawasan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Peruusahaan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berbasis</w:t>
      </w:r>
      <w:proofErr w:type="spellEnd"/>
      <w:r w:rsidRPr="00FC47CE">
        <w:rPr>
          <w:rFonts w:ascii="Times New Roman" w:hAnsi="Times New Roman"/>
          <w:sz w:val="24"/>
          <w:szCs w:val="24"/>
        </w:rPr>
        <w:t xml:space="preserve"> Financial technology di Indonesia. </w:t>
      </w:r>
      <w:proofErr w:type="spellStart"/>
      <w:r w:rsidRPr="00FC47CE">
        <w:rPr>
          <w:rFonts w:ascii="Times New Roman" w:hAnsi="Times New Roman"/>
          <w:sz w:val="24"/>
          <w:szCs w:val="24"/>
        </w:rPr>
        <w:t>Pagaruyuan</w:t>
      </w:r>
      <w:proofErr w:type="spellEnd"/>
      <w:r w:rsidRPr="00FC47CE">
        <w:rPr>
          <w:rFonts w:ascii="Times New Roman" w:hAnsi="Times New Roman"/>
          <w:sz w:val="24"/>
          <w:szCs w:val="24"/>
        </w:rPr>
        <w:t xml:space="preserve"> Law Journal. Vol. 2 No. 1 Hal. 24-41.</w:t>
      </w:r>
    </w:p>
    <w:p w14:paraId="013EEFE4" w14:textId="4F429A27" w:rsidR="00CC67DB"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Satjipto</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Raharjo</w:t>
      </w:r>
      <w:proofErr w:type="spellEnd"/>
      <w:r w:rsidRPr="00FC47CE">
        <w:rPr>
          <w:rFonts w:ascii="Times New Roman" w:hAnsi="Times New Roman"/>
          <w:sz w:val="24"/>
          <w:szCs w:val="24"/>
        </w:rPr>
        <w:t xml:space="preserve">, </w:t>
      </w:r>
      <w:r w:rsidR="00CC67DB" w:rsidRPr="00FC47CE">
        <w:rPr>
          <w:rFonts w:ascii="Times New Roman" w:hAnsi="Times New Roman"/>
          <w:sz w:val="24"/>
          <w:szCs w:val="24"/>
        </w:rPr>
        <w:t>(2017), “</w:t>
      </w:r>
      <w:proofErr w:type="spellStart"/>
      <w:r w:rsidRPr="00FC47CE">
        <w:rPr>
          <w:rFonts w:ascii="Times New Roman" w:hAnsi="Times New Roman"/>
          <w:i/>
          <w:sz w:val="24"/>
          <w:szCs w:val="24"/>
        </w:rPr>
        <w:t>Membedah</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Hukum</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Progresif</w:t>
      </w:r>
      <w:proofErr w:type="spellEnd"/>
      <w:r w:rsidRPr="00FC47CE">
        <w:rPr>
          <w:rFonts w:ascii="Times New Roman" w:hAnsi="Times New Roman"/>
          <w:i/>
          <w:sz w:val="24"/>
          <w:szCs w:val="24"/>
        </w:rPr>
        <w:t xml:space="preserve">, </w:t>
      </w:r>
      <w:r w:rsidRPr="00FC47CE">
        <w:rPr>
          <w:rFonts w:ascii="Times New Roman" w:hAnsi="Times New Roman"/>
          <w:sz w:val="24"/>
          <w:szCs w:val="24"/>
        </w:rPr>
        <w:t>(Jakarta</w:t>
      </w:r>
      <w:r w:rsidR="00CC67DB" w:rsidRPr="00FC47CE">
        <w:rPr>
          <w:rFonts w:ascii="Times New Roman" w:hAnsi="Times New Roman"/>
          <w:sz w:val="24"/>
          <w:szCs w:val="24"/>
        </w:rPr>
        <w:t xml:space="preserve">: </w:t>
      </w:r>
      <w:proofErr w:type="spellStart"/>
      <w:r w:rsidR="00CC67DB" w:rsidRPr="00FC47CE">
        <w:rPr>
          <w:rFonts w:ascii="Times New Roman" w:hAnsi="Times New Roman"/>
          <w:sz w:val="24"/>
          <w:szCs w:val="24"/>
        </w:rPr>
        <w:t>Penerbit</w:t>
      </w:r>
      <w:proofErr w:type="spellEnd"/>
      <w:r w:rsidR="00CC67DB" w:rsidRPr="00FC47CE">
        <w:rPr>
          <w:rFonts w:ascii="Times New Roman" w:hAnsi="Times New Roman"/>
          <w:sz w:val="24"/>
          <w:szCs w:val="24"/>
        </w:rPr>
        <w:t xml:space="preserve"> </w:t>
      </w:r>
      <w:proofErr w:type="spellStart"/>
      <w:r w:rsidR="00CC67DB" w:rsidRPr="00FC47CE">
        <w:rPr>
          <w:rFonts w:ascii="Times New Roman" w:hAnsi="Times New Roman"/>
          <w:sz w:val="24"/>
          <w:szCs w:val="24"/>
        </w:rPr>
        <w:t>Kompas</w:t>
      </w:r>
      <w:proofErr w:type="spellEnd"/>
      <w:r w:rsidR="00CC67DB" w:rsidRPr="00FC47CE">
        <w:rPr>
          <w:rFonts w:ascii="Times New Roman" w:hAnsi="Times New Roman"/>
          <w:sz w:val="24"/>
          <w:szCs w:val="24"/>
        </w:rPr>
        <w:t xml:space="preserve">, </w:t>
      </w:r>
      <w:proofErr w:type="spellStart"/>
      <w:r w:rsidR="00CC67DB" w:rsidRPr="00FC47CE">
        <w:rPr>
          <w:rFonts w:ascii="Times New Roman" w:hAnsi="Times New Roman"/>
          <w:sz w:val="24"/>
          <w:szCs w:val="24"/>
        </w:rPr>
        <w:t>Cetakan</w:t>
      </w:r>
      <w:proofErr w:type="spellEnd"/>
      <w:r w:rsidR="00CC67DB" w:rsidRPr="00FC47CE">
        <w:rPr>
          <w:rFonts w:ascii="Times New Roman" w:hAnsi="Times New Roman"/>
          <w:sz w:val="24"/>
          <w:szCs w:val="24"/>
        </w:rPr>
        <w:t xml:space="preserve"> </w:t>
      </w:r>
      <w:proofErr w:type="spellStart"/>
      <w:r w:rsidR="00CC67DB" w:rsidRPr="00FC47CE">
        <w:rPr>
          <w:rFonts w:ascii="Times New Roman" w:hAnsi="Times New Roman"/>
          <w:sz w:val="24"/>
          <w:szCs w:val="24"/>
        </w:rPr>
        <w:t>ke</w:t>
      </w:r>
      <w:proofErr w:type="spellEnd"/>
      <w:r w:rsidR="00CC67DB" w:rsidRPr="00FC47CE">
        <w:rPr>
          <w:rFonts w:ascii="Times New Roman" w:hAnsi="Times New Roman"/>
          <w:sz w:val="24"/>
          <w:szCs w:val="24"/>
        </w:rPr>
        <w:t xml:space="preserve"> 2.</w:t>
      </w:r>
    </w:p>
    <w:p w14:paraId="2D025D71" w14:textId="77777777" w:rsidR="00CC67DB"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Siti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Malikhatiun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Badriyah</w:t>
      </w:r>
      <w:proofErr w:type="spellEnd"/>
      <w:r w:rsidRPr="00FC47CE">
        <w:rPr>
          <w:rFonts w:ascii="Times New Roman" w:hAnsi="Times New Roman"/>
          <w:sz w:val="24"/>
          <w:szCs w:val="24"/>
        </w:rPr>
        <w:t xml:space="preserve">, </w:t>
      </w:r>
      <w:r w:rsidR="00CC67DB" w:rsidRPr="00FC47CE">
        <w:rPr>
          <w:rFonts w:ascii="Times New Roman" w:hAnsi="Times New Roman"/>
          <w:sz w:val="24"/>
          <w:szCs w:val="24"/>
        </w:rPr>
        <w:t xml:space="preserve">(2012), </w:t>
      </w:r>
      <w:r w:rsidRPr="00FC47CE">
        <w:rPr>
          <w:rFonts w:ascii="Times New Roman" w:hAnsi="Times New Roman"/>
          <w:sz w:val="24"/>
          <w:szCs w:val="24"/>
        </w:rPr>
        <w:t xml:space="preserve">“ </w:t>
      </w:r>
      <w:proofErr w:type="spellStart"/>
      <w:r w:rsidRPr="00FC47CE">
        <w:rPr>
          <w:rFonts w:ascii="Times New Roman" w:hAnsi="Times New Roman"/>
          <w:sz w:val="24"/>
          <w:szCs w:val="24"/>
        </w:rPr>
        <w:t>Penemuan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Rechtsvinding</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dan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Penciptaan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Rechtsschepping</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oleh</w:t>
      </w:r>
      <w:proofErr w:type="spellEnd"/>
      <w:r w:rsidRPr="00FC47CE">
        <w:rPr>
          <w:rFonts w:ascii="Times New Roman" w:hAnsi="Times New Roman"/>
          <w:sz w:val="24"/>
          <w:szCs w:val="24"/>
        </w:rPr>
        <w:t xml:space="preserve"> Hakim </w:t>
      </w:r>
      <w:proofErr w:type="spellStart"/>
      <w:r w:rsidRPr="00FC47CE">
        <w:rPr>
          <w:rFonts w:ascii="Times New Roman" w:hAnsi="Times New Roman"/>
          <w:sz w:val="24"/>
          <w:szCs w:val="24"/>
        </w:rPr>
        <w:t>untuk</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mewujudkan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keadilan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MAsalah-</w:t>
      </w:r>
      <w:r w:rsidR="00CC67DB" w:rsidRPr="00FC47CE">
        <w:rPr>
          <w:rFonts w:ascii="Times New Roman" w:hAnsi="Times New Roman"/>
          <w:sz w:val="24"/>
          <w:szCs w:val="24"/>
        </w:rPr>
        <w:t>Masalah</w:t>
      </w:r>
      <w:proofErr w:type="spellEnd"/>
      <w:r w:rsidR="00CC67DB" w:rsidRPr="00FC47CE">
        <w:rPr>
          <w:rFonts w:ascii="Times New Roman" w:hAnsi="Times New Roman"/>
          <w:sz w:val="24"/>
          <w:szCs w:val="24"/>
        </w:rPr>
        <w:t xml:space="preserve"> </w:t>
      </w:r>
      <w:proofErr w:type="spellStart"/>
      <w:r w:rsidR="00CC67DB" w:rsidRPr="00FC47CE">
        <w:rPr>
          <w:rFonts w:ascii="Times New Roman" w:hAnsi="Times New Roman"/>
          <w:sz w:val="24"/>
          <w:szCs w:val="24"/>
        </w:rPr>
        <w:t>Hukum</w:t>
      </w:r>
      <w:proofErr w:type="spellEnd"/>
      <w:r w:rsidR="00CC67DB" w:rsidRPr="00FC47CE">
        <w:rPr>
          <w:rFonts w:ascii="Times New Roman" w:hAnsi="Times New Roman"/>
          <w:sz w:val="24"/>
          <w:szCs w:val="24"/>
        </w:rPr>
        <w:t>, Vol. 12, No. 3.</w:t>
      </w:r>
      <w:r w:rsidRPr="00FC47CE">
        <w:rPr>
          <w:rFonts w:ascii="Times New Roman" w:hAnsi="Times New Roman"/>
          <w:sz w:val="24"/>
          <w:szCs w:val="24"/>
        </w:rPr>
        <w:t xml:space="preserve"> </w:t>
      </w:r>
    </w:p>
    <w:p w14:paraId="09F00C61"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Soerjono</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Soekanto</w:t>
      </w:r>
      <w:proofErr w:type="spellEnd"/>
      <w:r w:rsidRPr="00FC47CE">
        <w:rPr>
          <w:rFonts w:ascii="Times New Roman" w:hAnsi="Times New Roman"/>
          <w:sz w:val="24"/>
          <w:szCs w:val="24"/>
        </w:rPr>
        <w:t xml:space="preserve">, (2012), </w:t>
      </w:r>
      <w:proofErr w:type="spellStart"/>
      <w:r w:rsidRPr="00FC47CE">
        <w:rPr>
          <w:rFonts w:ascii="Times New Roman" w:hAnsi="Times New Roman"/>
          <w:sz w:val="24"/>
          <w:szCs w:val="24"/>
        </w:rPr>
        <w:t>Pengantar</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Penelitian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Jakarta:</w:t>
      </w:r>
      <w:r w:rsidR="00CC67DB" w:rsidRPr="00FC47CE">
        <w:rPr>
          <w:rFonts w:ascii="Times New Roman" w:hAnsi="Times New Roman"/>
          <w:sz w:val="24"/>
          <w:szCs w:val="24"/>
        </w:rPr>
        <w:t xml:space="preserve"> </w:t>
      </w:r>
      <w:proofErr w:type="spellStart"/>
      <w:r w:rsidR="00CC67DB" w:rsidRPr="00FC47CE">
        <w:rPr>
          <w:rFonts w:ascii="Times New Roman" w:hAnsi="Times New Roman"/>
          <w:sz w:val="24"/>
          <w:szCs w:val="24"/>
        </w:rPr>
        <w:t>Universitas</w:t>
      </w:r>
      <w:proofErr w:type="spellEnd"/>
      <w:r w:rsidR="00CC67DB" w:rsidRPr="00FC47CE">
        <w:rPr>
          <w:rFonts w:ascii="Times New Roman" w:hAnsi="Times New Roman"/>
          <w:sz w:val="24"/>
          <w:szCs w:val="24"/>
        </w:rPr>
        <w:t xml:space="preserve"> Indonesia Press.</w:t>
      </w:r>
    </w:p>
    <w:p w14:paraId="2D5BF59A" w14:textId="1DCFCE88"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Saksonova, Svetlana, and Irina Kuzmina-Merlino. </w:t>
      </w:r>
      <w:r w:rsidR="00CC67DB" w:rsidRPr="00FC47CE">
        <w:rPr>
          <w:rFonts w:ascii="Times New Roman" w:hAnsi="Times New Roman"/>
          <w:noProof/>
          <w:sz w:val="24"/>
          <w:szCs w:val="24"/>
        </w:rPr>
        <w:t xml:space="preserve">(2017), </w:t>
      </w:r>
      <w:r w:rsidRPr="00FC47CE">
        <w:rPr>
          <w:rFonts w:ascii="Times New Roman" w:hAnsi="Times New Roman"/>
          <w:noProof/>
          <w:sz w:val="24"/>
          <w:szCs w:val="24"/>
          <w:lang w:val="id-ID"/>
        </w:rPr>
        <w:t xml:space="preserve">“Fintech as Financial Innovation - The Possibilities and Problems of Implementation.” </w:t>
      </w:r>
      <w:r w:rsidRPr="00FC47CE">
        <w:rPr>
          <w:rFonts w:ascii="Times New Roman" w:hAnsi="Times New Roman"/>
          <w:i/>
          <w:iCs/>
          <w:noProof/>
          <w:sz w:val="24"/>
          <w:szCs w:val="24"/>
          <w:lang w:val="id-ID"/>
        </w:rPr>
        <w:t>European Research Studies Journal</w:t>
      </w:r>
      <w:r w:rsidRPr="00FC47CE">
        <w:rPr>
          <w:rFonts w:ascii="Times New Roman" w:hAnsi="Times New Roman"/>
          <w:noProof/>
          <w:sz w:val="24"/>
          <w:szCs w:val="24"/>
          <w:lang w:val="id-ID"/>
        </w:rPr>
        <w:t xml:space="preserve"> 20, no. 3 (2017): 961–73. </w:t>
      </w:r>
      <w:hyperlink r:id="rId27" w:history="1">
        <w:r w:rsidR="00CC67DB" w:rsidRPr="00FC47CE">
          <w:rPr>
            <w:rStyle w:val="Hyperlink"/>
            <w:rFonts w:ascii="Times New Roman" w:hAnsi="Times New Roman"/>
            <w:noProof/>
            <w:sz w:val="24"/>
            <w:szCs w:val="24"/>
            <w:lang w:val="id-ID"/>
          </w:rPr>
          <w:t>https://doi.org/10.35808/ersj/757</w:t>
        </w:r>
      </w:hyperlink>
      <w:r w:rsidRPr="00FC47CE">
        <w:rPr>
          <w:rFonts w:ascii="Times New Roman" w:hAnsi="Times New Roman"/>
          <w:noProof/>
          <w:sz w:val="24"/>
          <w:szCs w:val="24"/>
          <w:lang w:val="id-ID"/>
        </w:rPr>
        <w:t>.</w:t>
      </w:r>
    </w:p>
    <w:p w14:paraId="403DD545"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Santoso, W. </w:t>
      </w:r>
      <w:r w:rsidR="00CC67DB" w:rsidRPr="00FC47CE">
        <w:rPr>
          <w:rFonts w:ascii="Times New Roman" w:hAnsi="Times New Roman"/>
          <w:noProof/>
          <w:sz w:val="24"/>
          <w:szCs w:val="24"/>
        </w:rPr>
        <w:t xml:space="preserve">(2020), </w:t>
      </w:r>
      <w:r w:rsidRPr="00FC47CE">
        <w:rPr>
          <w:rFonts w:ascii="Times New Roman" w:hAnsi="Times New Roman"/>
          <w:noProof/>
          <w:sz w:val="24"/>
          <w:szCs w:val="24"/>
          <w:lang w:val="id-ID"/>
        </w:rPr>
        <w:t>“Fintech and the Future Offinance”, Paper Presented at the International Seminar OnFintech and The Future of Finance, 12 March 2020, Universitas Sebelas Maret</w:t>
      </w:r>
      <w:r w:rsidR="00CC67DB" w:rsidRPr="00FC47CE">
        <w:rPr>
          <w:rFonts w:ascii="Times New Roman" w:hAnsi="Times New Roman"/>
          <w:noProof/>
          <w:sz w:val="24"/>
          <w:szCs w:val="24"/>
        </w:rPr>
        <w:t>.</w:t>
      </w:r>
    </w:p>
    <w:p w14:paraId="7C65C86D" w14:textId="56526B47" w:rsidR="00424260"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Spoorthy, Mamidipalli Sai. </w:t>
      </w:r>
      <w:r w:rsidR="00CC67DB" w:rsidRPr="00FC47CE">
        <w:rPr>
          <w:rFonts w:ascii="Times New Roman" w:hAnsi="Times New Roman"/>
          <w:noProof/>
          <w:sz w:val="24"/>
          <w:szCs w:val="24"/>
        </w:rPr>
        <w:t xml:space="preserve">(2018), </w:t>
      </w:r>
      <w:r w:rsidRPr="00FC47CE">
        <w:rPr>
          <w:rFonts w:ascii="Times New Roman" w:hAnsi="Times New Roman"/>
          <w:noProof/>
          <w:sz w:val="24"/>
          <w:szCs w:val="24"/>
          <w:lang w:val="id-ID"/>
        </w:rPr>
        <w:t xml:space="preserve">“Mental Health Problems Faced by Healthcare Workers Due to the COVID-19 Pandemic–A Review.” </w:t>
      </w:r>
      <w:r w:rsidRPr="00FC47CE">
        <w:rPr>
          <w:rFonts w:ascii="Times New Roman" w:hAnsi="Times New Roman"/>
          <w:i/>
          <w:iCs/>
          <w:noProof/>
          <w:sz w:val="24"/>
          <w:szCs w:val="24"/>
          <w:lang w:val="id-ID"/>
        </w:rPr>
        <w:t>Asian Journal of Psychiatry</w:t>
      </w:r>
      <w:r w:rsidRPr="00FC47CE">
        <w:rPr>
          <w:rFonts w:ascii="Times New Roman" w:hAnsi="Times New Roman"/>
          <w:noProof/>
          <w:sz w:val="24"/>
          <w:szCs w:val="24"/>
          <w:lang w:val="id-ID"/>
        </w:rPr>
        <w:t xml:space="preserve"> 51, no. April (2020): 2018–21. </w:t>
      </w:r>
      <w:hyperlink r:id="rId28" w:history="1">
        <w:r w:rsidR="00CC67DB" w:rsidRPr="00FC47CE">
          <w:rPr>
            <w:rStyle w:val="Hyperlink"/>
            <w:rFonts w:ascii="Times New Roman" w:hAnsi="Times New Roman"/>
            <w:noProof/>
            <w:sz w:val="24"/>
            <w:szCs w:val="24"/>
            <w:lang w:val="id-ID"/>
          </w:rPr>
          <w:t>https://doi.org/10.1016/j.ajp.2020.102119</w:t>
        </w:r>
      </w:hyperlink>
      <w:r w:rsidRPr="00FC47CE">
        <w:rPr>
          <w:rFonts w:ascii="Times New Roman" w:hAnsi="Times New Roman"/>
          <w:noProof/>
          <w:sz w:val="24"/>
          <w:szCs w:val="24"/>
          <w:lang w:val="id-ID"/>
        </w:rPr>
        <w:t>.</w:t>
      </w:r>
    </w:p>
    <w:p w14:paraId="4348C7D6"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sz w:val="24"/>
          <w:szCs w:val="24"/>
        </w:rPr>
        <w:t xml:space="preserve">Sri </w:t>
      </w:r>
      <w:proofErr w:type="spellStart"/>
      <w:r w:rsidRPr="00FC47CE">
        <w:rPr>
          <w:rFonts w:ascii="Times New Roman" w:hAnsi="Times New Roman"/>
          <w:sz w:val="24"/>
          <w:szCs w:val="24"/>
        </w:rPr>
        <w:t>Hartini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tedi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Sudrahat</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rahadi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Asi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Bintoro</w:t>
      </w:r>
      <w:proofErr w:type="spellEnd"/>
      <w:r w:rsidRPr="00FC47CE">
        <w:rPr>
          <w:rFonts w:ascii="Times New Roman" w:hAnsi="Times New Roman"/>
          <w:sz w:val="24"/>
          <w:szCs w:val="24"/>
        </w:rPr>
        <w:t xml:space="preserve">, </w:t>
      </w:r>
      <w:r w:rsidR="00CC67DB" w:rsidRPr="00FC47CE">
        <w:rPr>
          <w:rFonts w:ascii="Times New Roman" w:hAnsi="Times New Roman"/>
          <w:sz w:val="24"/>
          <w:szCs w:val="24"/>
        </w:rPr>
        <w:t xml:space="preserve">(2012), </w:t>
      </w:r>
      <w:r w:rsidRPr="00FC47CE">
        <w:rPr>
          <w:rFonts w:ascii="Times New Roman" w:hAnsi="Times New Roman"/>
          <w:sz w:val="24"/>
          <w:szCs w:val="24"/>
        </w:rPr>
        <w:t xml:space="preserve">“Model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terhadap</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Kebijakan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Perlakuan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Kesehatan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Masyarakat</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Miskin</w:t>
      </w:r>
      <w:proofErr w:type="spellEnd"/>
      <w:r w:rsidRPr="00FC47CE">
        <w:rPr>
          <w:rFonts w:ascii="Times New Roman" w:hAnsi="Times New Roman"/>
          <w:sz w:val="24"/>
          <w:szCs w:val="24"/>
        </w:rPr>
        <w:t xml:space="preserve"> di </w:t>
      </w:r>
      <w:proofErr w:type="spellStart"/>
      <w:r w:rsidRPr="00FC47CE">
        <w:rPr>
          <w:rFonts w:ascii="Times New Roman" w:hAnsi="Times New Roman"/>
          <w:sz w:val="24"/>
          <w:szCs w:val="24"/>
        </w:rPr>
        <w:t>Kabupaten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Bayuma</w:t>
      </w:r>
      <w:proofErr w:type="spellEnd"/>
      <w:r w:rsidRPr="00FC47CE">
        <w:rPr>
          <w:rFonts w:ascii="Times New Roman" w:hAnsi="Times New Roman"/>
          <w:sz w:val="24"/>
          <w:szCs w:val="24"/>
        </w:rPr>
        <w:t xml:space="preserve">”, </w:t>
      </w:r>
      <w:proofErr w:type="spellStart"/>
      <w:r w:rsidRPr="00FC47CE">
        <w:rPr>
          <w:rFonts w:ascii="Times New Roman" w:hAnsi="Times New Roman"/>
          <w:i/>
          <w:sz w:val="24"/>
          <w:szCs w:val="24"/>
        </w:rPr>
        <w:t>Jurnal</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Dinamika</w:t>
      </w:r>
      <w:proofErr w:type="spellEnd"/>
      <w:r w:rsidRPr="00FC47CE">
        <w:rPr>
          <w:rFonts w:ascii="Times New Roman" w:hAnsi="Times New Roman"/>
          <w:i/>
          <w:sz w:val="24"/>
          <w:szCs w:val="24"/>
        </w:rPr>
        <w:t xml:space="preserve"> </w:t>
      </w:r>
      <w:proofErr w:type="spellStart"/>
      <w:r w:rsidRPr="00FC47CE">
        <w:rPr>
          <w:rFonts w:ascii="Times New Roman" w:hAnsi="Times New Roman"/>
          <w:i/>
          <w:sz w:val="24"/>
          <w:szCs w:val="24"/>
        </w:rPr>
        <w:t>Hukum</w:t>
      </w:r>
      <w:proofErr w:type="spellEnd"/>
      <w:r w:rsidRPr="00FC47CE">
        <w:rPr>
          <w:rFonts w:ascii="Times New Roman" w:hAnsi="Times New Roman"/>
          <w:i/>
          <w:sz w:val="24"/>
          <w:szCs w:val="24"/>
        </w:rPr>
        <w:t xml:space="preserve">, </w:t>
      </w:r>
      <w:r w:rsidRPr="00FC47CE">
        <w:rPr>
          <w:rFonts w:ascii="Times New Roman" w:hAnsi="Times New Roman"/>
          <w:sz w:val="24"/>
          <w:szCs w:val="24"/>
        </w:rPr>
        <w:t>Vol. 12, No. 3</w:t>
      </w:r>
      <w:r w:rsidR="00CC67DB" w:rsidRPr="00FC47CE">
        <w:rPr>
          <w:rFonts w:ascii="Times New Roman" w:hAnsi="Times New Roman"/>
          <w:sz w:val="24"/>
          <w:szCs w:val="24"/>
        </w:rPr>
        <w:t>.</w:t>
      </w:r>
    </w:p>
    <w:p w14:paraId="77F305B1"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Stijn Claessens, Frost Jon, and Turner Grant and Feng Zhu. </w:t>
      </w:r>
      <w:r w:rsidR="00CC67DB" w:rsidRPr="00FC47CE">
        <w:rPr>
          <w:rFonts w:ascii="Times New Roman" w:hAnsi="Times New Roman"/>
          <w:noProof/>
          <w:sz w:val="24"/>
          <w:szCs w:val="24"/>
        </w:rPr>
        <w:t xml:space="preserve">(2018), </w:t>
      </w:r>
      <w:r w:rsidRPr="00FC47CE">
        <w:rPr>
          <w:rFonts w:ascii="Times New Roman" w:hAnsi="Times New Roman"/>
          <w:noProof/>
          <w:sz w:val="24"/>
          <w:szCs w:val="24"/>
          <w:lang w:val="id-ID"/>
        </w:rPr>
        <w:t xml:space="preserve">“Fintech Credit Markets around the World: Size, Drivers and Policy Issues.” </w:t>
      </w:r>
      <w:r w:rsidRPr="00FC47CE">
        <w:rPr>
          <w:rFonts w:ascii="Times New Roman" w:hAnsi="Times New Roman"/>
          <w:i/>
          <w:iCs/>
          <w:noProof/>
          <w:sz w:val="24"/>
          <w:szCs w:val="24"/>
          <w:lang w:val="id-ID"/>
        </w:rPr>
        <w:t>BIS Quarterly Review</w:t>
      </w:r>
      <w:r w:rsidRPr="00FC47CE">
        <w:rPr>
          <w:rFonts w:ascii="Times New Roman" w:hAnsi="Times New Roman"/>
          <w:noProof/>
          <w:sz w:val="24"/>
          <w:szCs w:val="24"/>
          <w:lang w:val="id-ID"/>
        </w:rPr>
        <w:t xml:space="preserve">, no. September </w:t>
      </w:r>
      <w:r w:rsidR="00CC67DB" w:rsidRPr="00FC47CE">
        <w:rPr>
          <w:rFonts w:ascii="Times New Roman" w:hAnsi="Times New Roman"/>
          <w:noProof/>
          <w:sz w:val="24"/>
          <w:szCs w:val="24"/>
        </w:rPr>
        <w:t>.</w:t>
      </w:r>
    </w:p>
    <w:p w14:paraId="47EAE60D" w14:textId="77777777" w:rsidR="00CC67DB" w:rsidRPr="00FC47CE" w:rsidRDefault="00424260" w:rsidP="00CC67DB">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Treleaven, Philip. </w:t>
      </w:r>
      <w:r w:rsidR="00CC67DB" w:rsidRPr="00FC47CE">
        <w:rPr>
          <w:rFonts w:ascii="Times New Roman" w:hAnsi="Times New Roman"/>
          <w:noProof/>
          <w:sz w:val="24"/>
          <w:szCs w:val="24"/>
        </w:rPr>
        <w:t xml:space="preserve">(2015), </w:t>
      </w:r>
      <w:r w:rsidRPr="00FC47CE">
        <w:rPr>
          <w:rFonts w:ascii="Times New Roman" w:hAnsi="Times New Roman"/>
          <w:noProof/>
          <w:sz w:val="24"/>
          <w:szCs w:val="24"/>
          <w:lang w:val="id-ID"/>
        </w:rPr>
        <w:t xml:space="preserve">“Financial Regulation of FinTech.” </w:t>
      </w:r>
      <w:r w:rsidRPr="00FC47CE">
        <w:rPr>
          <w:rFonts w:ascii="Times New Roman" w:hAnsi="Times New Roman"/>
          <w:i/>
          <w:iCs/>
          <w:noProof/>
          <w:sz w:val="24"/>
          <w:szCs w:val="24"/>
          <w:lang w:val="id-ID"/>
        </w:rPr>
        <w:t>Journal of Financial Perspectives</w:t>
      </w:r>
      <w:r w:rsidR="00CC67DB" w:rsidRPr="00FC47CE">
        <w:rPr>
          <w:rFonts w:ascii="Times New Roman" w:hAnsi="Times New Roman"/>
          <w:noProof/>
          <w:sz w:val="24"/>
          <w:szCs w:val="24"/>
          <w:lang w:val="id-ID"/>
        </w:rPr>
        <w:t xml:space="preserve"> 3, no. </w:t>
      </w:r>
      <w:r w:rsidR="00CC67DB" w:rsidRPr="00FC47CE">
        <w:rPr>
          <w:rFonts w:ascii="Times New Roman" w:hAnsi="Times New Roman"/>
          <w:noProof/>
          <w:sz w:val="24"/>
          <w:szCs w:val="24"/>
        </w:rPr>
        <w:t>3.</w:t>
      </w:r>
    </w:p>
    <w:p w14:paraId="342B5E35" w14:textId="77777777" w:rsidR="00CC67DB"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r w:rsidRPr="00FC47CE">
        <w:rPr>
          <w:rFonts w:ascii="Times New Roman" w:hAnsi="Times New Roman"/>
          <w:noProof/>
          <w:sz w:val="24"/>
          <w:szCs w:val="24"/>
          <w:lang w:val="id-ID"/>
        </w:rPr>
        <w:t xml:space="preserve">Widijantoro, Johanes. </w:t>
      </w:r>
      <w:r w:rsidR="00CC67DB" w:rsidRPr="00FC47CE">
        <w:rPr>
          <w:rFonts w:ascii="Times New Roman" w:hAnsi="Times New Roman"/>
          <w:noProof/>
          <w:sz w:val="24"/>
          <w:szCs w:val="24"/>
        </w:rPr>
        <w:t xml:space="preserve">(2019), </w:t>
      </w:r>
      <w:r w:rsidRPr="00FC47CE">
        <w:rPr>
          <w:rFonts w:ascii="Times New Roman" w:hAnsi="Times New Roman"/>
          <w:noProof/>
          <w:sz w:val="24"/>
          <w:szCs w:val="24"/>
          <w:lang w:val="id-ID"/>
        </w:rPr>
        <w:t xml:space="preserve">“The Role of Financial Services Authority in the Consumer Protection Amid the Growth of Fintech Industry in Indonesia.” </w:t>
      </w:r>
      <w:r w:rsidRPr="00FC47CE">
        <w:rPr>
          <w:rFonts w:ascii="Times New Roman" w:hAnsi="Times New Roman"/>
          <w:i/>
          <w:iCs/>
          <w:noProof/>
          <w:sz w:val="24"/>
          <w:szCs w:val="24"/>
          <w:lang w:val="id-ID"/>
        </w:rPr>
        <w:t>Mimbar Hukum - Fakultas Hukum Universitas Gadjah Mada</w:t>
      </w:r>
      <w:r w:rsidR="00CC67DB" w:rsidRPr="00FC47CE">
        <w:rPr>
          <w:rFonts w:ascii="Times New Roman" w:hAnsi="Times New Roman"/>
          <w:noProof/>
          <w:sz w:val="24"/>
          <w:szCs w:val="24"/>
          <w:lang w:val="id-ID"/>
        </w:rPr>
        <w:t xml:space="preserve"> 31, no. 2</w:t>
      </w:r>
      <w:r w:rsidR="00CC67DB" w:rsidRPr="00FC47CE">
        <w:rPr>
          <w:rFonts w:ascii="Times New Roman" w:hAnsi="Times New Roman"/>
          <w:noProof/>
          <w:sz w:val="24"/>
          <w:szCs w:val="24"/>
        </w:rPr>
        <w:t xml:space="preserve">. </w:t>
      </w:r>
      <w:r w:rsidRPr="00FC47CE">
        <w:rPr>
          <w:rFonts w:ascii="Times New Roman" w:hAnsi="Times New Roman"/>
          <w:noProof/>
          <w:sz w:val="24"/>
          <w:szCs w:val="24"/>
          <w:lang w:val="id-ID"/>
        </w:rPr>
        <w:t xml:space="preserve">297. </w:t>
      </w:r>
      <w:hyperlink r:id="rId29" w:history="1">
        <w:r w:rsidR="00CC67DB" w:rsidRPr="00FC47CE">
          <w:rPr>
            <w:rStyle w:val="Hyperlink"/>
            <w:rFonts w:ascii="Times New Roman" w:hAnsi="Times New Roman"/>
            <w:noProof/>
            <w:sz w:val="24"/>
            <w:szCs w:val="24"/>
            <w:lang w:val="id-ID"/>
          </w:rPr>
          <w:t>https://doi.org/10.22146/jmh.43129</w:t>
        </w:r>
      </w:hyperlink>
      <w:r w:rsidRPr="00FC47CE">
        <w:rPr>
          <w:rFonts w:ascii="Times New Roman" w:hAnsi="Times New Roman"/>
          <w:noProof/>
          <w:sz w:val="24"/>
          <w:szCs w:val="24"/>
        </w:rPr>
        <w:t>.</w:t>
      </w:r>
    </w:p>
    <w:p w14:paraId="683BF586" w14:textId="0D365C35" w:rsidR="00424260" w:rsidRPr="00FC47CE" w:rsidRDefault="00424260" w:rsidP="00424260">
      <w:pPr>
        <w:pStyle w:val="ListParagraph"/>
        <w:numPr>
          <w:ilvl w:val="0"/>
          <w:numId w:val="27"/>
        </w:numPr>
        <w:autoSpaceDE w:val="0"/>
        <w:autoSpaceDN w:val="0"/>
        <w:adjustRightInd w:val="0"/>
        <w:spacing w:after="0" w:line="240" w:lineRule="auto"/>
        <w:ind w:left="480" w:hanging="480"/>
        <w:jc w:val="both"/>
        <w:rPr>
          <w:rFonts w:ascii="Times New Roman" w:hAnsi="Times New Roman"/>
          <w:sz w:val="24"/>
          <w:szCs w:val="24"/>
        </w:rPr>
      </w:pPr>
      <w:proofErr w:type="spellStart"/>
      <w:r w:rsidRPr="00FC47CE">
        <w:rPr>
          <w:rFonts w:ascii="Times New Roman" w:hAnsi="Times New Roman"/>
          <w:sz w:val="24"/>
          <w:szCs w:val="24"/>
        </w:rPr>
        <w:t>Yuking</w:t>
      </w:r>
      <w:proofErr w:type="spellEnd"/>
      <w:r w:rsidRPr="00FC47CE">
        <w:rPr>
          <w:rFonts w:ascii="Times New Roman" w:hAnsi="Times New Roman"/>
          <w:sz w:val="24"/>
          <w:szCs w:val="24"/>
        </w:rPr>
        <w:t xml:space="preserve">, A. S. (2018). </w:t>
      </w:r>
      <w:proofErr w:type="spellStart"/>
      <w:r w:rsidRPr="00FC47CE">
        <w:rPr>
          <w:rFonts w:ascii="Times New Roman" w:hAnsi="Times New Roman"/>
          <w:sz w:val="24"/>
          <w:szCs w:val="24"/>
        </w:rPr>
        <w:t>Urgensi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Peraturan</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Perlindungan</w:t>
      </w:r>
      <w:proofErr w:type="spellEnd"/>
      <w:r w:rsidRPr="00FC47CE">
        <w:rPr>
          <w:rFonts w:ascii="Times New Roman" w:hAnsi="Times New Roman"/>
          <w:sz w:val="24"/>
          <w:szCs w:val="24"/>
        </w:rPr>
        <w:t xml:space="preserve"> Data </w:t>
      </w:r>
      <w:proofErr w:type="spellStart"/>
      <w:r w:rsidRPr="00FC47CE">
        <w:rPr>
          <w:rFonts w:ascii="Times New Roman" w:hAnsi="Times New Roman"/>
          <w:sz w:val="24"/>
          <w:szCs w:val="24"/>
        </w:rPr>
        <w:t>Pribadi</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Dalam</w:t>
      </w:r>
      <w:proofErr w:type="spellEnd"/>
      <w:r w:rsidRPr="00FC47CE">
        <w:rPr>
          <w:rFonts w:ascii="Times New Roman" w:hAnsi="Times New Roman"/>
          <w:sz w:val="24"/>
          <w:szCs w:val="24"/>
        </w:rPr>
        <w:t xml:space="preserve"> Era </w:t>
      </w:r>
      <w:proofErr w:type="spellStart"/>
      <w:r w:rsidRPr="00FC47CE">
        <w:rPr>
          <w:rFonts w:ascii="Times New Roman" w:hAnsi="Times New Roman"/>
          <w:sz w:val="24"/>
          <w:szCs w:val="24"/>
        </w:rPr>
        <w:t>Bisnis</w:t>
      </w:r>
      <w:proofErr w:type="spellEnd"/>
      <w:r w:rsidRPr="00FC47CE">
        <w:rPr>
          <w:rFonts w:ascii="Times New Roman" w:hAnsi="Times New Roman"/>
          <w:sz w:val="24"/>
          <w:szCs w:val="24"/>
        </w:rPr>
        <w:t xml:space="preserve"> </w:t>
      </w:r>
      <w:proofErr w:type="spellStart"/>
      <w:r w:rsidRPr="00FC47CE">
        <w:rPr>
          <w:rFonts w:ascii="Times New Roman" w:hAnsi="Times New Roman"/>
          <w:i/>
          <w:sz w:val="24"/>
          <w:szCs w:val="24"/>
        </w:rPr>
        <w:t>Fintech</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Jurnal</w:t>
      </w:r>
      <w:proofErr w:type="spellEnd"/>
      <w:r w:rsidRPr="00FC47CE">
        <w:rPr>
          <w:rFonts w:ascii="Times New Roman" w:hAnsi="Times New Roman"/>
          <w:sz w:val="24"/>
          <w:szCs w:val="24"/>
        </w:rPr>
        <w:t xml:space="preserve"> </w:t>
      </w:r>
      <w:proofErr w:type="spellStart"/>
      <w:r w:rsidRPr="00FC47CE">
        <w:rPr>
          <w:rFonts w:ascii="Times New Roman" w:hAnsi="Times New Roman"/>
          <w:sz w:val="24"/>
          <w:szCs w:val="24"/>
        </w:rPr>
        <w:t>Hukum</w:t>
      </w:r>
      <w:proofErr w:type="spellEnd"/>
      <w:r w:rsidRPr="00FC47CE">
        <w:rPr>
          <w:rFonts w:ascii="Times New Roman" w:hAnsi="Times New Roman"/>
          <w:sz w:val="24"/>
          <w:szCs w:val="24"/>
        </w:rPr>
        <w:t xml:space="preserve"> &amp; </w:t>
      </w:r>
      <w:proofErr w:type="spellStart"/>
      <w:r w:rsidRPr="00FC47CE">
        <w:rPr>
          <w:rFonts w:ascii="Times New Roman" w:hAnsi="Times New Roman"/>
          <w:sz w:val="24"/>
          <w:szCs w:val="24"/>
        </w:rPr>
        <w:t>Pasar</w:t>
      </w:r>
      <w:proofErr w:type="spellEnd"/>
      <w:r w:rsidRPr="00FC47CE">
        <w:rPr>
          <w:rFonts w:ascii="Times New Roman" w:hAnsi="Times New Roman"/>
          <w:sz w:val="24"/>
          <w:szCs w:val="24"/>
        </w:rPr>
        <w:t xml:space="preserve"> Modal, Vol. Viii. No. 1</w:t>
      </w:r>
      <w:r w:rsidR="00CC67DB" w:rsidRPr="00FC47CE">
        <w:rPr>
          <w:rFonts w:ascii="Times New Roman" w:hAnsi="Times New Roman"/>
          <w:sz w:val="24"/>
          <w:szCs w:val="24"/>
        </w:rPr>
        <w:t>6.</w:t>
      </w:r>
    </w:p>
    <w:p w14:paraId="5F46FBCE" w14:textId="77777777" w:rsidR="00424260" w:rsidRPr="00A94F79" w:rsidRDefault="00424260" w:rsidP="00424260">
      <w:pPr>
        <w:autoSpaceDE w:val="0"/>
        <w:autoSpaceDN w:val="0"/>
        <w:adjustRightInd w:val="0"/>
        <w:spacing w:after="0" w:line="240" w:lineRule="auto"/>
        <w:ind w:left="480" w:hanging="480"/>
        <w:jc w:val="both"/>
        <w:rPr>
          <w:rFonts w:cs="Times New Roman"/>
          <w:noProof/>
          <w:szCs w:val="24"/>
        </w:rPr>
      </w:pPr>
    </w:p>
    <w:p w14:paraId="0A159837" w14:textId="37AA2BC7" w:rsidR="00424260" w:rsidRPr="00424260" w:rsidRDefault="008D316C" w:rsidP="008D316C">
      <w:pPr>
        <w:tabs>
          <w:tab w:val="left" w:pos="6405"/>
        </w:tabs>
        <w:spacing w:after="0" w:line="240" w:lineRule="auto"/>
        <w:jc w:val="both"/>
        <w:rPr>
          <w:b/>
          <w:color w:val="000000" w:themeColor="text1"/>
          <w:szCs w:val="24"/>
        </w:rPr>
      </w:pPr>
      <w:r>
        <w:rPr>
          <w:b/>
          <w:color w:val="000000" w:themeColor="text1"/>
          <w:szCs w:val="24"/>
        </w:rPr>
        <w:tab/>
      </w:r>
    </w:p>
    <w:sectPr w:rsidR="00424260" w:rsidRPr="00424260" w:rsidSect="005134CC">
      <w:headerReference w:type="even" r:id="rId30"/>
      <w:footerReference w:type="default" r:id="rId31"/>
      <w:type w:val="continuous"/>
      <w:pgSz w:w="11907" w:h="16839" w:code="9"/>
      <w:pgMar w:top="1134" w:right="1701" w:bottom="1701" w:left="1701" w:header="567" w:footer="567" w:gutter="0"/>
      <w:cols w:space="42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F0B52" w14:textId="77777777" w:rsidR="008C5DBA" w:rsidRDefault="008C5DBA">
      <w:pPr>
        <w:spacing w:after="0" w:line="240" w:lineRule="auto"/>
      </w:pPr>
      <w:r>
        <w:separator/>
      </w:r>
    </w:p>
  </w:endnote>
  <w:endnote w:type="continuationSeparator" w:id="0">
    <w:p w14:paraId="42D579DA" w14:textId="77777777" w:rsidR="008C5DBA" w:rsidRDefault="008C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435882"/>
      <w:docPartObj>
        <w:docPartGallery w:val="Page Numbers (Bottom of Page)"/>
        <w:docPartUnique/>
      </w:docPartObj>
    </w:sdtPr>
    <w:sdtEndPr>
      <w:rPr>
        <w:color w:val="7F7F7F" w:themeColor="background1" w:themeShade="7F"/>
        <w:spacing w:val="60"/>
        <w:sz w:val="24"/>
      </w:rPr>
    </w:sdtEndPr>
    <w:sdtContent>
      <w:p w14:paraId="6026F9C6" w14:textId="77777777" w:rsidR="00424260" w:rsidRPr="00DF0DCA" w:rsidRDefault="00424260" w:rsidP="00DF0DCA">
        <w:pPr>
          <w:pStyle w:val="Footer"/>
          <w:pBdr>
            <w:top w:val="single" w:sz="4" w:space="1" w:color="D9D9D9" w:themeColor="background1" w:themeShade="D9"/>
          </w:pBdr>
          <w:jc w:val="center"/>
          <w:rPr>
            <w:b/>
            <w:bCs/>
            <w:sz w:val="24"/>
          </w:rPr>
        </w:pPr>
        <w:r w:rsidRPr="00DF0DCA">
          <w:rPr>
            <w:color w:val="5B9BD5" w:themeColor="accent1"/>
            <w:sz w:val="24"/>
          </w:rPr>
          <w:fldChar w:fldCharType="begin"/>
        </w:r>
        <w:r w:rsidRPr="00DF0DCA">
          <w:rPr>
            <w:color w:val="5B9BD5" w:themeColor="accent1"/>
            <w:sz w:val="24"/>
          </w:rPr>
          <w:instrText xml:space="preserve"> PAGE   \* MERGEFORMAT </w:instrText>
        </w:r>
        <w:r w:rsidRPr="00DF0DCA">
          <w:rPr>
            <w:color w:val="5B9BD5" w:themeColor="accent1"/>
            <w:sz w:val="24"/>
          </w:rPr>
          <w:fldChar w:fldCharType="separate"/>
        </w:r>
        <w:r w:rsidR="008D316C" w:rsidRPr="008D316C">
          <w:rPr>
            <w:b/>
            <w:bCs/>
            <w:noProof/>
            <w:color w:val="5B9BD5" w:themeColor="accent1"/>
            <w:sz w:val="24"/>
          </w:rPr>
          <w:t>1</w:t>
        </w:r>
        <w:r w:rsidRPr="00DF0DCA">
          <w:rPr>
            <w:b/>
            <w:bCs/>
            <w:noProof/>
            <w:color w:val="5B9BD5" w:themeColor="accent1"/>
            <w:sz w:val="24"/>
          </w:rPr>
          <w:fldChar w:fldCharType="end"/>
        </w:r>
        <w:r w:rsidRPr="00DF0DCA">
          <w:rPr>
            <w:b/>
            <w:bCs/>
            <w:sz w:val="24"/>
          </w:rPr>
          <w:t xml:space="preserve"> | </w:t>
        </w:r>
        <w:r>
          <w:rPr>
            <w:color w:val="7F7F7F" w:themeColor="background1" w:themeShade="7F"/>
            <w:spacing w:val="60"/>
            <w:sz w:val="24"/>
          </w:rPr>
          <w:t xml:space="preserve">SASI Vol. X No. X, </w:t>
        </w:r>
        <w:proofErr w:type="spellStart"/>
        <w:r>
          <w:rPr>
            <w:color w:val="7F7F7F" w:themeColor="background1" w:themeShade="7F"/>
            <w:spacing w:val="60"/>
            <w:sz w:val="24"/>
          </w:rPr>
          <w:t>Bulan</w:t>
        </w:r>
        <w:proofErr w:type="spellEnd"/>
        <w:r>
          <w:rPr>
            <w:color w:val="7F7F7F" w:themeColor="background1" w:themeShade="7F"/>
            <w:spacing w:val="60"/>
            <w:sz w:val="24"/>
          </w:rPr>
          <w:t xml:space="preserve"> - </w:t>
        </w:r>
        <w:proofErr w:type="spellStart"/>
        <w:r>
          <w:rPr>
            <w:color w:val="7F7F7F" w:themeColor="background1" w:themeShade="7F"/>
            <w:spacing w:val="60"/>
            <w:sz w:val="24"/>
          </w:rPr>
          <w:t>Bulan</w:t>
        </w:r>
        <w:proofErr w:type="spellEnd"/>
        <w:r>
          <w:rPr>
            <w:color w:val="7F7F7F" w:themeColor="background1" w:themeShade="7F"/>
            <w:spacing w:val="60"/>
            <w:sz w:val="24"/>
          </w:rPr>
          <w:t xml:space="preserve"> </w:t>
        </w:r>
        <w:proofErr w:type="spellStart"/>
        <w:r>
          <w:rPr>
            <w:color w:val="7F7F7F" w:themeColor="background1" w:themeShade="7F"/>
            <w:spacing w:val="60"/>
            <w:sz w:val="24"/>
          </w:rPr>
          <w:t>Tahun</w:t>
        </w:r>
        <w:proofErr w:type="spellEnd"/>
      </w:p>
    </w:sdtContent>
  </w:sdt>
  <w:p w14:paraId="52491358" w14:textId="77777777" w:rsidR="00424260" w:rsidRDefault="00424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23085" w14:textId="77777777" w:rsidR="008C5DBA" w:rsidRDefault="008C5DBA">
      <w:pPr>
        <w:spacing w:after="0" w:line="240" w:lineRule="auto"/>
      </w:pPr>
      <w:r>
        <w:separator/>
      </w:r>
    </w:p>
  </w:footnote>
  <w:footnote w:type="continuationSeparator" w:id="0">
    <w:p w14:paraId="32677723" w14:textId="77777777" w:rsidR="008C5DBA" w:rsidRDefault="008C5DBA">
      <w:pPr>
        <w:spacing w:after="0" w:line="240" w:lineRule="auto"/>
      </w:pPr>
      <w:r>
        <w:continuationSeparator/>
      </w:r>
    </w:p>
  </w:footnote>
  <w:footnote w:id="1">
    <w:p w14:paraId="48DABAB6"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{"citationItems":[{"id":"ITEM-1","itemData":{"DOI":"10.1016/j.ajp.2020.102119","ISSN":"18762026","PMID":"32339895","author":[{"dropping-particle":"","family":"Spoorthy","given":"Mamidipalli Sai","non-dropping-particle":"","parse-names":false,"suffix":""}],"container-title":"Asian Journal of Psychiatry","id":"ITEM-1","issue":"April","issued":{"date-parts":[["2020"]]},"page":"2018-2021","title":"Mental health problems faced by healthcare workers due to the COVID-19 pandemic–A review","type":"article-journal","volume":"51"},"uris":["http://www.mendeley.com/documents/?uuid=9a3dd82c-0408-4ee5-a3db-b1aabab555f1"]}],"mendeley":{"formattedCitation":"Mamidipalli Sai Spoorthy, “Mental Health Problems Faced by Healthcare Workers Due to the COVID-19 Pandemic–A Review,” &lt;i&gt;Asian Journal of Psychiatry&lt;/i&gt; 51, no. April (2020): 2018–21, https://doi.org/10.1016/j.ajp.2020.102119.","plainTextFormattedCitation":"Mamidipalli Sai Spoorthy, “Mental Health Problems Faced by Healthcare Workers Due to the COVID-19 Pandemic–A Review,” Asian Journal of Psychiatry 51, no. April (2020): 2018–21, https://doi.org/10.1016/j.ajp.2020.102119.","previouslyFormattedCitation":"[1]"},"properties":{"noteIndex":1},"schema":"https://github.com/citation-style-language/schema/raw/master/csl-citation.json"}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 xml:space="preserve">Mamidipalli Sai Spoorthy, “Mental Health Problems Faced by Healthcare Workers Due to the COVID-19 Pandemic–A Review,” </w:t>
      </w:r>
      <w:r w:rsidRPr="004D747E">
        <w:rPr>
          <w:rFonts w:ascii="Times New Roman" w:hAnsi="Times New Roman" w:cs="Times New Roman"/>
          <w:i/>
          <w:noProof/>
        </w:rPr>
        <w:t>Asian Journal of Psychiatry</w:t>
      </w:r>
      <w:r w:rsidRPr="004D747E">
        <w:rPr>
          <w:rFonts w:ascii="Times New Roman" w:hAnsi="Times New Roman" w:cs="Times New Roman"/>
          <w:noProof/>
        </w:rPr>
        <w:t xml:space="preserve"> 51, no. April (2020): 2018–21, https://doi.org/10.1016/j.ajp.2020.102119.</w:t>
      </w:r>
      <w:r w:rsidRPr="004D747E">
        <w:rPr>
          <w:rFonts w:ascii="Times New Roman" w:hAnsi="Times New Roman" w:cs="Times New Roman"/>
        </w:rPr>
        <w:fldChar w:fldCharType="end"/>
      </w:r>
    </w:p>
  </w:footnote>
  <w:footnote w:id="2">
    <w:p w14:paraId="0A39A479"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{"citationItems":[{"id":"ITEM-1","itemData":{"abstract":"Pandemi wabah Covid-19 menjadi problem bagi hampir seluruh negara di dunia. Pemerintah Indonesia pada 31 Maret 2020 menetapkan kondisi Kedaruratan Kesehatan Masyarakat terkait Covid-19 dan kemudian menerbitkan kebijakan Pembatasan Sosial Berskala Besar (PSBB). Artikel ini membahas implikasi hukum dari ditetapkannya kebijakan tersebut. Dalam pembahasan ditemukan adanya kewenangan terpusat dalam pengambilan kebijakan terkait tindakan PSBB sehingga pemerintah daerah membutuhkan persetujuan menteri sebelum melakukan langkah pencegahan Covid-19. Kemudian ditemukan pula bahwa pemerintah akan sangat selektif dalam menetapkan PSBB di wilayah tertentu, terutama untuk PSBB berupa kegiatan di tempat atau fasilitas umum, karena pemerintah diwajibkan memperhatikan pemenuhan kebutuhan dasar penduduk. Semua pihak termasuk pemerintah daerah dan pihak swasta juga harus tunduk pada PSBB yang ditetapkan menteri dan bagi siapa saja yang tidak mematuhi atau menghalang-halangi penyelenggaraan PSBB dapat dijerat dengan sanksi pidana. DPR melalui fungsi pengawasan dapat berperan dalam mengawasi kinerja pemerintah dan penegak hukum agar hak-hak masyarakat tetap terjamin saat penerapan PSBB.","author":[{"dropping-particle":"","family":"Hairi","given":"Prianter Jaya","non-dropping-particle":"","parse-names":false,"suffix":""}],"container-title":"Info Singkat Bidang Hukum","id":"ITEM-1","issue":"April","issued":{"date-parts":[["2020"]]},"page":"1-6","title":"Implikasi Hukum Pembatasan Sosial Berskala Besar Terkait Pencegahan COVID-19","type":"article-journal","volume":"12"},"uris":["http://www.mendeley.com/documents/?uuid=bdf5b34e-22f7-4914-9f92-44e09b71de18"]}],"mendeley":{"formattedCitation":"Prianter Jaya Hairi, “Implikasi Hukum Pembatasan Sosial Berskala Besar Terkait Pencegahan COVID-19,” &lt;i&gt;Info Singkat Bidang Hukum&lt;/i&gt; 12, no. April (2020): 1–6.","plainTextFormattedCitation":"Prianter Jaya Hairi, “Implikasi Hukum Pembatasan Sosial Berskala Besar Terkait Pencegahan COVID-19,” Info Singkat Bidang Hukum 12, no. April (2020): 1–6.","previouslyFormattedCitation":"[2]"},"properties":{"noteIndex":2},"schema":"https://github.com/citation-style-language/schema/raw/master/csl-citation.json"}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 xml:space="preserve">Prianter Jaya Hairi, “Implikasi Hukum Pembatasan Sosial Berskala Besar Terkait Pencegahan COVID-19,” </w:t>
      </w:r>
      <w:r w:rsidRPr="004D747E">
        <w:rPr>
          <w:rFonts w:ascii="Times New Roman" w:hAnsi="Times New Roman" w:cs="Times New Roman"/>
          <w:i/>
          <w:noProof/>
        </w:rPr>
        <w:t>Info Singkat Bidang Hukum</w:t>
      </w:r>
      <w:r w:rsidRPr="004D747E">
        <w:rPr>
          <w:rFonts w:ascii="Times New Roman" w:hAnsi="Times New Roman" w:cs="Times New Roman"/>
          <w:noProof/>
        </w:rPr>
        <w:t xml:space="preserve"> 12, no. April (2020): 1–6.</w:t>
      </w:r>
      <w:r w:rsidRPr="004D747E">
        <w:rPr>
          <w:rFonts w:ascii="Times New Roman" w:hAnsi="Times New Roman" w:cs="Times New Roman"/>
        </w:rPr>
        <w:fldChar w:fldCharType="end"/>
      </w:r>
    </w:p>
  </w:footnote>
  <w:footnote w:id="3">
    <w:p w14:paraId="60676CF4"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{"citationItems":[{"id":"ITEM-1","itemData":{"abstract":"Pandemi wabah Covid-19 menjadi problem bagi hampir seluruh negara di dunia. Pemerintah Indonesia pada 31 Maret 2020 menetapkan kondisi Kedaruratan Kesehatan Masyarakat terkait Covid-19 dan kemudian menerbitkan kebijakan Pembatasan Sosial Berskala Besar (PSBB). Artikel ini membahas implikasi hukum dari ditetapkannya kebijakan tersebut. Dalam pembahasan ditemukan adanya kewenangan terpusat dalam pengambilan kebijakan terkait tindakan PSBB sehingga pemerintah daerah membutuhkan persetujuan menteri sebelum melakukan langkah pencegahan Covid-19. Kemudian ditemukan pula bahwa pemerintah akan sangat selektif dalam menetapkan PSBB di wilayah tertentu, terutama untuk PSBB berupa kegiatan di tempat atau fasilitas umum, karena pemerintah diwajibkan memperhatikan pemenuhan kebutuhan dasar penduduk. Semua pihak termasuk pemerintah daerah dan pihak swasta juga harus tunduk pada PSBB yang ditetapkan menteri dan bagi siapa saja yang tidak mematuhi atau menghalang-halangi penyelenggaraan PSBB dapat dijerat dengan sanksi pidana. DPR melalui fungsi pengawasan dapat berperan dalam mengawasi kinerja pemerintah dan penegak hukum agar hak-hak masyarakat tetap terjamin saat penerapan PSBB.","author":[{"dropping-particle":"","family":"Hairi","given":"Prianter Jaya","non-dropping-particle":"","parse-names":false,"suffix":""}],"container-title":"Info Singkat Bidang Hukum","id":"ITEM-1","issue":"April","issued":{"date-parts":[["2020"]]},"page":"1-6","title":"Implikasi Hukum Pembatasan Sosial Berskala Besar Terkait Pencegahan COVID-19","type":"article-journal","volume":"12"},"uris":["http://www.mendeley.com/documents/?uuid=bdf5b34e-22f7-4914-9f92-44e09b71de18"]}],"mendeley":{"formattedCitation":"Hairi.","manualFormatting":"Hairi, ibid.","plainTextFormattedCitation":"Hairi.","previouslyFormattedCitation":"[2]"},"properties":{"noteIndex":3},"schema":"https://github.com/citation-style-language/schema/raw/master/csl-citation.json"}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Hairi, ibid.</w:t>
      </w:r>
      <w:r w:rsidRPr="004D747E">
        <w:rPr>
          <w:rFonts w:ascii="Times New Roman" w:hAnsi="Times New Roman" w:cs="Times New Roman"/>
        </w:rPr>
        <w:fldChar w:fldCharType="end"/>
      </w:r>
    </w:p>
  </w:footnote>
  <w:footnote w:id="4">
    <w:p w14:paraId="7ACBB2EA"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Perkembangan</w:t>
      </w:r>
      <w:proofErr w:type="spellEnd"/>
      <w:r w:rsidRPr="004D747E">
        <w:rPr>
          <w:rFonts w:ascii="Times New Roman" w:hAnsi="Times New Roman" w:cs="Times New Roman"/>
        </w:rPr>
        <w:t xml:space="preserve"> Covid-19.</w:t>
      </w:r>
      <w:proofErr w:type="gramEnd"/>
      <w:r w:rsidRPr="004D747E">
        <w:rPr>
          <w:rFonts w:ascii="Times New Roman" w:hAnsi="Times New Roman" w:cs="Times New Roman"/>
        </w:rPr>
        <w:t xml:space="preserve"> </w:t>
      </w:r>
      <w:hyperlink r:id="rId1" w:history="1">
        <w:proofErr w:type="gramStart"/>
        <w:r w:rsidRPr="004D747E">
          <w:rPr>
            <w:rStyle w:val="Hyperlink"/>
            <w:rFonts w:ascii="Times New Roman" w:hAnsi="Times New Roman" w:cs="Times New Roman"/>
          </w:rPr>
          <w:t>https://covid19.go.id/di</w:t>
        </w:r>
      </w:hyperlink>
      <w:r w:rsidRPr="004D747E">
        <w:rPr>
          <w:rFonts w:ascii="Times New Roman" w:hAnsi="Times New Roman" w:cs="Times New Roman"/>
        </w:rPr>
        <w:t xml:space="preserve"> </w:t>
      </w:r>
      <w:proofErr w:type="spellStart"/>
      <w:r w:rsidRPr="004D747E">
        <w:rPr>
          <w:rFonts w:ascii="Times New Roman" w:hAnsi="Times New Roman" w:cs="Times New Roman"/>
        </w:rPr>
        <w:t>Akses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Pada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tanggal</w:t>
      </w:r>
      <w:proofErr w:type="spellEnd"/>
      <w:r w:rsidRPr="004D747E">
        <w:rPr>
          <w:rFonts w:ascii="Times New Roman" w:hAnsi="Times New Roman" w:cs="Times New Roman"/>
        </w:rPr>
        <w:t xml:space="preserve">, 25 </w:t>
      </w:r>
      <w:proofErr w:type="spellStart"/>
      <w:r w:rsidRPr="004D747E">
        <w:rPr>
          <w:rFonts w:ascii="Times New Roman" w:hAnsi="Times New Roman" w:cs="Times New Roman"/>
        </w:rPr>
        <w:t>juni</w:t>
      </w:r>
      <w:proofErr w:type="spellEnd"/>
      <w:r w:rsidRPr="004D747E">
        <w:rPr>
          <w:rFonts w:ascii="Times New Roman" w:hAnsi="Times New Roman" w:cs="Times New Roman"/>
        </w:rPr>
        <w:t xml:space="preserve"> 2021.</w:t>
      </w:r>
      <w:proofErr w:type="gramEnd"/>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Pukul</w:t>
      </w:r>
      <w:proofErr w:type="spellEnd"/>
      <w:r w:rsidRPr="004D747E">
        <w:rPr>
          <w:rFonts w:ascii="Times New Roman" w:hAnsi="Times New Roman" w:cs="Times New Roman"/>
        </w:rPr>
        <w:t xml:space="preserve"> 21.40 </w:t>
      </w:r>
      <w:proofErr w:type="spellStart"/>
      <w:r w:rsidRPr="004D747E">
        <w:rPr>
          <w:rFonts w:ascii="Times New Roman" w:hAnsi="Times New Roman" w:cs="Times New Roman"/>
        </w:rPr>
        <w:t>Waktu</w:t>
      </w:r>
      <w:proofErr w:type="spellEnd"/>
      <w:r w:rsidRPr="004D747E">
        <w:rPr>
          <w:rFonts w:ascii="Times New Roman" w:hAnsi="Times New Roman" w:cs="Times New Roman"/>
        </w:rPr>
        <w:t xml:space="preserve"> Indonesia </w:t>
      </w:r>
      <w:proofErr w:type="spellStart"/>
      <w:r w:rsidRPr="004D747E">
        <w:rPr>
          <w:rFonts w:ascii="Times New Roman" w:hAnsi="Times New Roman" w:cs="Times New Roman"/>
        </w:rPr>
        <w:t>Timur</w:t>
      </w:r>
      <w:proofErr w:type="spellEnd"/>
      <w:r w:rsidRPr="004D747E">
        <w:rPr>
          <w:rFonts w:ascii="Times New Roman" w:hAnsi="Times New Roman" w:cs="Times New Roman"/>
        </w:rPr>
        <w:t>.</w:t>
      </w:r>
      <w:proofErr w:type="gramEnd"/>
    </w:p>
  </w:footnote>
  <w:footnote w:id="5">
    <w:p w14:paraId="739BB8E2"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{"citationItems":[{"id":"ITEM-1","itemData":{"DOI":"10.15408/sjsbs.v7i7.15569","ISSN":"2356-1459","abstract":"AbstractThe covid-19 made Indonesian people worried because many people were affected by the transmission of the virus. Because the government adopted the Large-Scale Social Restrictions (PSBB) policy as a step to reduce or break the Covid-19 distribution chain. This research is a qualitative study using empirical literature. This research was conducted by examining data consisting of documents related to research, as well as seeing, listening to, as well as understanding social conversations in the community. The results of the study stated that there are provisions of this PSBB, which can be obeyed by the Indonesian people because as we know about Corona Virus (Covid-19) this is a real threat and cannot be reversed. However, the people whose livelihoods are officially informally are asking for ways to fulfill their daily needs. It would be nice if the government considers the lives of lower class people who are trying to meet basic needs and ensure the availability of goods and people who are able to provide them.Keyword: Epidemic, PSBB, covid -19Abstrak            Wabah covid-19 membuat masyarakat Indonesia khawatir karena banyaknya warga yang terdampak penularan virus tersebut. Oleh karenanya pemerintah mengambil kebijakan Pembatasan Sosial Berskala Besar (PSBB) sebagai langkah untuk mengurangi atau memutuskan rantai penyebaran Covid-19. Secara metodologis, penelitian ini adalah penelitian kualitatif dengan pendekatan literatur empiris. Pendekatan dilakuan dengan cara menelusuri data-data berupa dokumen yang terkait dengan penelitian, serta melihat, mendengar, sekaligus memahami gejala sosial yang ada di masyarakat. Hasil penelitian menyatakan bahwa dengan adanya peraturan PSBB ini, bisa ditaati oleh masyarakat Indonesia karena seperti yang kita ketahui bahwa ancaman Virus Corona (Covid-19) ini merupakan ancaman yang benar-benar nyata dan tidak memandang kalangan bawah hingga kalangan atas sekalipun. Namun, masyarakat yang mata pencahariannya disektor informal merasa kebingungan bagaimana cara untuk memenuhi kebutuhan hidup sehari-hari. Alangkah baiknya jika pemerintah memikirkan kehidupan masyarakat kelas bawah yang kesusahan untuk memenuhui kebutuhan hidupnya serta menjamin bahwa barang tersedia dan masyarakat mampu mengaksesnya.Kata Kunci : wabah, PSBB, covid -19","author":[{"dropping-particle":"","family":"Nasruddin","given":"Rindam","non-dropping-particle":"","parse-names":false,"suffix":""},{"dropping-particle":"","family":"Haq","given":"Islamul","non-dropping-particle":"","parse-names":false,"suffix":""}],"container-title":"SALAM: Jurnal Sosial dan Budaya Syar-i","id":"ITEM-1","issue":"7","issued":{"date-parts":[["2020"]]},"title":"Pembatasan Sosial Berskala Besar (PSBB) dan Masyarakat Berpenghasilan Rendah","type":"article-journal","volume":"7"},"uris":["http://www.mendeley.com/documents/?uuid=7e73c56d-1199-4d5d-815a-dfd11f1b8b2e"]}],"mendeley":{"formattedCitation":"Rindam Nasruddin and Islamul Haq, “Pembatasan Sosial Berskala Besar (PSBB) Dan Masyarakat Berpenghasilan Rendah,” &lt;i&gt;SALAM: Jurnal Sosial Dan Budaya Syar-I&lt;/i&gt; 7, no. 7 (2020), https://doi.org/10.15408/sjsbs.v7i7.15569.","plainTextFormattedCitation":"Rindam Nasruddin and Islamul Haq, “Pembatasan Sosial Berskala Besar (PSBB) Dan Masyarakat Berpenghasilan Rendah,” SALAM: Jurnal Sosial Dan Budaya Syar-I 7, no. 7 (2020), https://doi.org/10.15408/sjsbs.v7i7.15569.","previouslyFormattedCitation":"[3]"},"properties":{"noteIndex":5},"schema":"https://github.com/citation-style-language/schema/raw/master/csl-citation.json"}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 xml:space="preserve">Rindam Nasruddin and Islamul Haq, “Pembatasan Sosial Berskala Besar (PSBB) Dan Masyarakat Berpenghasilan Rendah,” </w:t>
      </w:r>
      <w:r w:rsidRPr="004D747E">
        <w:rPr>
          <w:rFonts w:ascii="Times New Roman" w:hAnsi="Times New Roman" w:cs="Times New Roman"/>
          <w:i/>
          <w:noProof/>
        </w:rPr>
        <w:t>SALAM: Jurnal Sosial Dan Budaya Syar-I</w:t>
      </w:r>
      <w:r w:rsidRPr="004D747E">
        <w:rPr>
          <w:rFonts w:ascii="Times New Roman" w:hAnsi="Times New Roman" w:cs="Times New Roman"/>
          <w:noProof/>
        </w:rPr>
        <w:t xml:space="preserve"> 7, no. 7 (2020), https://doi.org/10.15408/sjsbs.v7i7.15569.</w:t>
      </w:r>
      <w:r w:rsidRPr="004D747E">
        <w:rPr>
          <w:rFonts w:ascii="Times New Roman" w:hAnsi="Times New Roman" w:cs="Times New Roman"/>
        </w:rPr>
        <w:fldChar w:fldCharType="end"/>
      </w:r>
    </w:p>
  </w:footnote>
  <w:footnote w:id="6">
    <w:p w14:paraId="3810BC4D"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{"citationItems":[{"id":"ITEM-1","itemData":{"DOI":"10.15408/sjsbs.v7i7.15569","ISSN":"2356-1459","abstract":"AbstractThe covid-19 made Indonesian people worried because many people were affected by the transmission of the virus. Because the government adopted the Large-Scale Social Restrictions (PSBB) policy as a step to reduce or break the Covid-19 distribution chain. This research is a qualitative study using empirical literature. This research was conducted by examining data consisting of documents related to research, as well as seeing, listening to, as well as understanding social conversations in the community. The results of the study stated that there are provisions of this PSBB, which can be obeyed by the Indonesian people because as we know about Corona Virus (Covid-19) this is a real threat and cannot be reversed. However, the people whose livelihoods are officially informally are asking for ways to fulfill their daily needs. It would be nice if the government considers the lives of lower class people who are trying to meet basic needs and ensure the availability of goods and people who are able to provide them.Keyword: Epidemic, PSBB, covid -19Abstrak            Wabah covid-19 membuat masyarakat Indonesia khawatir karena banyaknya warga yang terdampak penularan virus tersebut. Oleh karenanya pemerintah mengambil kebijakan Pembatasan Sosial Berskala Besar (PSBB) sebagai langkah untuk mengurangi atau memutuskan rantai penyebaran Covid-19. Secara metodologis, penelitian ini adalah penelitian kualitatif dengan pendekatan literatur empiris. Pendekatan dilakuan dengan cara menelusuri data-data berupa dokumen yang terkait dengan penelitian, serta melihat, mendengar, sekaligus memahami gejala sosial yang ada di masyarakat. Hasil penelitian menyatakan bahwa dengan adanya peraturan PSBB ini, bisa ditaati oleh masyarakat Indonesia karena seperti yang kita ketahui bahwa ancaman Virus Corona (Covid-19) ini merupakan ancaman yang benar-benar nyata dan tidak memandang kalangan bawah hingga kalangan atas sekalipun. Namun, masyarakat yang mata pencahariannya disektor informal merasa kebingungan bagaimana cara untuk memenuhi kebutuhan hidup sehari-hari. Alangkah baiknya jika pemerintah memikirkan kehidupan masyarakat kelas bawah yang kesusahan untuk memenuhui kebutuhan hidupnya serta menjamin bahwa barang tersedia dan masyarakat mampu mengaksesnya.Kata Kunci : wabah, PSBB, covid -19","author":[{"dropping-particle":"","family":"Nasruddin","given":"Rindam","non-dropping-particle":"","parse-names":false,"suffix":""},{"dropping-particle":"","family":"Haq","given":"Islamul","non-dropping-particle":"","parse-names":false,"suffix":""}],"container-title":"SALAM: Jurnal Sosial dan Budaya Syar-i","id":"ITEM-1","issue":"7","issued":{"date-parts":[["2020"]]},"title":"Pembatasan Sosial Berskala Besar (PSBB) dan Masyarakat Berpenghasilan Rendah","type":"article-journal","volume":"7"},"uris":["http://www.mendeley.com/documents/?uuid=7e73c56d-1199-4d5d-815a-dfd11f1b8b2e"]}],"mendeley":{"formattedCitation":"Nasruddin and Haq.","plainTextFormattedCitation":"Nasruddin and Haq.","previouslyFormattedCitation":"[3]"},"properties":{"noteIndex":6},"schema":"https://github.com/citation-style-language/schema/raw/master/csl-citation.json"}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 xml:space="preserve">Nasruddin and Haq. </w:t>
      </w:r>
      <w:r w:rsidRPr="004D747E">
        <w:rPr>
          <w:rFonts w:ascii="Times New Roman" w:hAnsi="Times New Roman" w:cs="Times New Roman"/>
          <w:i/>
          <w:noProof/>
        </w:rPr>
        <w:t>Ibid</w:t>
      </w:r>
      <w:r w:rsidRPr="004D747E">
        <w:rPr>
          <w:rFonts w:ascii="Times New Roman" w:hAnsi="Times New Roman" w:cs="Times New Roman"/>
          <w:noProof/>
        </w:rPr>
        <w:t>.</w:t>
      </w:r>
      <w:r w:rsidRPr="004D747E">
        <w:rPr>
          <w:rFonts w:ascii="Times New Roman" w:hAnsi="Times New Roman" w:cs="Times New Roman"/>
        </w:rPr>
        <w:fldChar w:fldCharType="end"/>
      </w:r>
    </w:p>
  </w:footnote>
  <w:footnote w:id="7">
    <w:p w14:paraId="751495BC" w14:textId="77777777" w:rsidR="00424260" w:rsidRPr="004D747E" w:rsidRDefault="00424260" w:rsidP="003C05E3">
      <w:pPr>
        <w:pStyle w:val="FootnoteText"/>
        <w:spacing w:after="0"/>
        <w:ind w:firstLine="720"/>
        <w:jc w:val="both"/>
        <w:rPr>
          <w:rFonts w:ascii="Times New Roman" w:hAnsi="Times New Roman" w:cs="Times New Roman"/>
          <w:i/>
        </w:rPr>
      </w:pPr>
      <w:r w:rsidRPr="004D747E">
        <w:rPr>
          <w:rFonts w:ascii="Times New Roman" w:hAnsi="Times New Roman" w:cs="Times New Roman"/>
        </w:rPr>
        <w:t xml:space="preserve"> </w:t>
      </w:r>
      <w:r w:rsidRPr="004D747E">
        <w:rPr>
          <w:rStyle w:val="FootnoteReference"/>
          <w:rFonts w:ascii="Times New Roman" w:hAnsi="Times New Roman" w:cs="Times New Roman"/>
        </w:rPr>
        <w:footnoteRef/>
      </w:r>
      <w:proofErr w:type="spellStart"/>
      <w:r w:rsidRPr="004D747E">
        <w:rPr>
          <w:rFonts w:ascii="Times New Roman" w:hAnsi="Times New Roman" w:cs="Times New Roman"/>
        </w:rPr>
        <w:t>Amartha</w:t>
      </w:r>
      <w:proofErr w:type="spellEnd"/>
      <w:r w:rsidRPr="004D747E">
        <w:rPr>
          <w:rFonts w:ascii="Times New Roman" w:hAnsi="Times New Roman" w:cs="Times New Roman"/>
        </w:rPr>
        <w:t xml:space="preserve">, </w:t>
      </w:r>
      <w:r w:rsidRPr="004D747E">
        <w:rPr>
          <w:rFonts w:ascii="Times New Roman" w:hAnsi="Times New Roman" w:cs="Times New Roman"/>
          <w:i/>
        </w:rPr>
        <w:t>ibid</w:t>
      </w:r>
    </w:p>
  </w:footnote>
  <w:footnote w:id="8">
    <w:p w14:paraId="31C13D3E"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{"citationItems":[{"id":"ITEM-1","itemData":{"abstract":"Fintech credit has grown rapidly around the world in recent years, but its size still varies greatly across economies. Differences reflect economic development and financial market structure: the higher a country’s income and the less competitive its banking system, the larger is fintech credit activity. Fintech credit volumes are also greater in countries with less stringent banking regulation. Fintech credit offers an alternative funding source for businesses and consumers, and may improve access to credit for underserved segments. It may enhance the efficiency of financial intermediation. However, as shown by some failures and conduct problems, it also gives rise to a number of challenges for regulators. Many of these are centred on ensuring adequate consumer and investor protection. For financial stability, challenges and benefits may arise if the fintech credit sector grows further, or if banks make greater use of similar technological innovations in their","author":[{"dropping-particle":"","family":"Stijn Claessens","given":"Frost Jon","non-dropping-particle":"","parse-names":false,"suffix":""},{"dropping-particle":"","family":"Zhu","given":"Turner Grant and Feng","non-dropping-particle":"","parse-names":false,"suffix":""}],"container-title":"BIS Quarterly Review","id":"ITEM-1","issue":"September","issued":{"date-parts":[["2018"]]},"page":"29-49","title":"Fintech credit markets around the world: size, drivers and policy issues","type":"article-journal"},"uris":["http://www.mendeley.com/documents/?uuid=b18f0580-04eb-480b-8106-8c3da0211603"]}],"mendeley":{"formattedCitation":"Frost Jon Stijn Claessens and Turner Grant and Feng Zhu, “Fintech Credit Markets around the World: Size, Drivers and Policy Issues,” &lt;i&gt;BIS Quarterly Review&lt;/i&gt;, no. September (2018): 29–49.","manualFormatting":"Frost Jon Stijn Claessens and Turner Grant and Feng Zhu, (2018). “Fintech Credit Markets around the World: Size, Drivers and Policy Issues,” BIS Quarterly Review, No. September, Hal. 29–49.","plainTextFormattedCitation":"Frost Jon Stijn Claessens and Turner Grant and Feng Zhu, “Fintech Credit Markets around the World: Size, Drivers and Policy Issues,” BIS Quarterly Review, no. September (2018): 29–49.","previouslyFormattedCitation":"[4]"},"properties":{"noteIndex":8},"schema":"https://github.com/citation-style-language/schema/raw/master/csl-citation.json"}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Frost Jon Stijn Claessens and Turner Grant and Feng Zhu, (2018). “Fintech Credit Markets around the World: Size, Drivers and Policy Issues,” BIS Quarterly Review, No. September, Hal. 29–49.</w:t>
      </w:r>
      <w:r w:rsidRPr="004D747E">
        <w:rPr>
          <w:rFonts w:ascii="Times New Roman" w:hAnsi="Times New Roman" w:cs="Times New Roman"/>
        </w:rPr>
        <w:fldChar w:fldCharType="end"/>
      </w:r>
    </w:p>
  </w:footnote>
  <w:footnote w:id="9">
    <w:p w14:paraId="5D57353C"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{"citationItems":[{"id":"ITEM-1","itemData":{"abstract":"Fintech credit has grown rapidly around the world in recent years, but its size still varies greatly across economies. Differences reflect economic development and financial market structure: the higher a country’s income and the less competitive its banking system, the larger is fintech credit activity. Fintech credit volumes are also greater in countries with less stringent banking regulation. Fintech credit offers an alternative funding source for businesses and consumers, and may improve access to credit for underserved segments. It may enhance the efficiency of financial intermediation. However, as shown by some failures and conduct problems, it also gives rise to a number of challenges for regulators. Many of these are centred on ensuring adequate consumer and investor protection. For financial stability, challenges and benefits may arise if the fintech credit sector grows further, or if banks make greater use of similar technological innovations in their","author":[{"dropping-particle":"","family":"Stijn Claessens","given":"Frost Jon","non-dropping-particle":"","parse-names":false,"suffix":""},{"dropping-particle":"","family":"Zhu","given":"Turner Grant and Feng","non-dropping-particle":"","parse-names":false,"suffix":""}],"container-title":"BIS Quarterly Review","id":"ITEM-1","issue":"September","issued":{"date-parts":[["2018"]]},"page":"29-49","title":"Fintech credit markets around the world: size, drivers and policy issues","type":"article-journal"},"uris":["http://www.mendeley.com/documents/?uuid=b18f0580-04eb-480b-8106-8c3da0211603"]}],"mendeley":{"formattedCitation":"Stijn Claessens and Zhu.","plainTextFormattedCitation":"Stijn Claessens and Zhu.","previouslyFormattedCitation":"[4]"},"properties":{"noteIndex":9},"schema":"https://github.com/citation-style-language/schema/raw/master/csl-citation.json"}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Stijn Claessens and Zhu.</w:t>
      </w:r>
      <w:r w:rsidRPr="004D747E">
        <w:rPr>
          <w:rFonts w:ascii="Times New Roman" w:hAnsi="Times New Roman" w:cs="Times New Roman"/>
        </w:rPr>
        <w:fldChar w:fldCharType="end"/>
      </w:r>
    </w:p>
  </w:footnote>
  <w:footnote w:id="10">
    <w:p w14:paraId="75A22419"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{"citationItems":[{"id":"ITEM-1","itemData":{"abstract":"This study aims to describe the impact of the application of financial technology to conventional banking institutions in Indonesia in terms of regulators and banks that are adaptation. The data used comes from primary data through direct research into Wisma Mulia Building-Office of Financial Services Authority and through interviews, as well as secondary data through internet media. The methodology used by the authors is with qualitative analysis techniques. The results of the research, sorted by the researchers into three points, namely: innovation disruption, fintech regulation and fintech to banking in Indonesia. The conclusion can be drawn from the research that disruption innovation that occurred in the financial sector with the emergence of fintech is not a phenomenon that must be feared and shunned but is a phenomenon that must be embraced to improve economic growth and prosperity. OJK as an institution that oversees the financial sector strongly supports the presence of fintech by issuing POJK regulation No. 77 / POJK.01 / 2016. For Bank Mandiri and BTPN, fintech can not be considered an ordinary phenomenon but the two banks are taking action to collaborate with fintech actors. Keywords: disruptive innovation, financial sector, conventional banking institutions, financial technology.","author":[{"dropping-particle":"","family":"Johnson","given":"Posma Sariguna","non-dropping-particle":"","parse-names":false,"suffix":""},{"dropping-particle":"","family":"Harefa","given":"Alvani Amaerita","non-dropping-particle":"","parse-names":false,"suffix":""}],"container-title":"Fundamental Management Journal","id":"ITEM-1","issue":"1","issued":{"date-parts":[["2018"]]},"page":"1-11","title":"Financial Technology, Regulation and Banking Adaptation in Indonesia","type":"article-journal","volume":"3"},"uris":["http://www.mendeley.com/documents/?uuid=9b2d493c-d06a-4873-a045-d5c60743dbea"]}],"mendeley":{"formattedCitation":"Posma Sariguna Johnson and Alvani Amaerita Harefa, “Financial Technology, Regulation and Banking Adaptation in Indonesia,” &lt;i&gt;Fundamental Management Journal&lt;/i&gt; 3, no. 1 (2018): 1–11.","manualFormatting":"Posma Sariguna Johnson And Alvani Amaerita Harefa, “Financial Technology, Regulation And Banking Adaptation In Indonesia,” Fundamental Management Journal 3, No. 1 (2018): 1–11, Http://Ejournal.Uki.Ac.Id/Index.Php/Jm/Article/View/715.","plainTextFormattedCitation":"Posma Sariguna Johnson and Alvani Amaerita Harefa, “Financial Technology, Regulation and Banking Adaptation in Indonesia,” Fundamental Management Journal 3, no. 1 (2018): 1–11.","previouslyFormattedCitation":"[5]"},"properties":{"noteIndex":10},"schema":"https://github.com/citation-style-language/schema/raw/master/csl-citation.json"}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Posma Sariguna Johnson And Alvani Amaerita Harefa, “Financial Technology, Regulation And Banking Adaptation In Indonesia,” Fundamental Management Journal 3, No. 1 (2018): 1–11, Http://Ejournal.Uki.Ac.Id/Index.Php/Jm/Article/View/715.</w:t>
      </w:r>
      <w:r w:rsidRPr="004D747E">
        <w:rPr>
          <w:rFonts w:ascii="Times New Roman" w:hAnsi="Times New Roman" w:cs="Times New Roman"/>
        </w:rPr>
        <w:fldChar w:fldCharType="end"/>
      </w:r>
    </w:p>
  </w:footnote>
  <w:footnote w:id="11">
    <w:p w14:paraId="684FC319"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{"citationItems":[{"id":"ITEM-1","itemData":{"DOI":"10.24246/jrh.2019.v3.i2.p145-160","ISSN":"2541-4984","abstract":"The aim of this study is to determine the legal protection of consumer data security in Indonesia Fintech business based on the Financial Service Authority (Otoritas Jasa Keuangan-OJK) Regulation and other related ordinance. The approach method used in this study is normative juridical. The study result explains that the parties of Fintech business consist of Fintech organizer (producer) and Fintech user (consumer). The relation among the parties is created due to an electronic contract. Basically, the protection of Fintech consumer personal data is regulated in Communication and Information Minister Regulation, Bank Indonesia Regulation, and Financial Service Authority Regulation. In addition, the protection of data was regulated in the Financial Service Authority Circular Letter.","author":[{"dropping-particle":"","family":"Benuf","given":"Kornelius","non-dropping-particle":"","parse-names":false,"suffix":""},{"dropping-particle":"","family":"Mahmudah","given":"Siti","non-dropping-particle":"","parse-names":false,"suffix":""},{"dropping-particle":"","family":"Priyono","given":"Ery Agus","non-dropping-particle":"","parse-names":false,"suffix":""}],"container-title":"Refleksi Hukum: Jurnal Ilmu Hukum","id":"ITEM-1","issue":"2","issued":{"date-parts":[["2019"]]},"page":"145-160","title":"Perlindungan Hukum Terhadap Keamanan Data Konsumen Financial Technology Di Indonesia","type":"article-journal","volume":"3"},"uris":["http://www.mendeley.com/documents/?uuid=8b904b9c-148f-41ac-9b2c-8666d1dabe47"]}],"mendeley":{"formattedCitation":"Kornelius Benuf, Siti Mahmudah, and Ery Agus Priyono, “Perlindungan Hukum Terhadap Keamanan Data Konsumen Financial Technology Di Indonesia,” &lt;i&gt;Refleksi Hukum: Jurnal Ilmu Hukum&lt;/i&gt; 3, no. 2 (2019): 145–60, https://doi.org/10.24246/jrh.2019.v3.i2.p145-160.","manualFormatting":"Kornelius Benuf, Siti Mahmudah, And Ery Agus Priyono, “Perlindungan Hukum Terhadap Keamanan Data Konsumen Financial Technology Di Indonesia,” Refleksi Hukum: Jurnal Ilmu Hukum 3, No. 2 (2019): 145–60, Https://Doi.Org/10.24246/Jrh.2019.V3.I2.P145-160.","plainTextFormattedCitation":"Kornelius Benuf, Siti Mahmudah, and Ery Agus Priyono, “Perlindungan Hukum Terhadap Keamanan Data Konsumen Financial Technology Di Indonesia,” Refleksi Hukum: Jurnal Ilmu Hukum 3, no. 2 (2019): 145–60, https://doi.org/10.24246/jrh.2019.v3.i2.p145-160.","previouslyFormattedCitation":"[6]"},"properties":{"noteIndex":11},"schema":"https://github.com/citation-style-language/schema/raw/master/csl-citation.json"}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Kornelius Benuf, Siti Mahmudah, And Ery Agus Priyono, “Perlindungan Hukum Terhadap Keamanan Data Konsumen Financial Technology Di Indonesia,” Refleksi Hukum: Jurnal Ilmu Hukum 3, No. 2 (2019): 145–60, Https://Doi.Org/10.24246/Jrh.2019.V3.I2.P145-160.</w:t>
      </w:r>
      <w:r w:rsidRPr="004D747E">
        <w:rPr>
          <w:rFonts w:ascii="Times New Roman" w:hAnsi="Times New Roman" w:cs="Times New Roman"/>
        </w:rPr>
        <w:fldChar w:fldCharType="end"/>
      </w:r>
    </w:p>
  </w:footnote>
  <w:footnote w:id="12">
    <w:p w14:paraId="56FC8533" w14:textId="77777777" w:rsidR="00424260" w:rsidRPr="004D747E" w:rsidRDefault="00424260" w:rsidP="003C05E3">
      <w:pPr>
        <w:pStyle w:val="FootnoteText"/>
        <w:spacing w:after="0"/>
        <w:jc w:val="both"/>
        <w:rPr>
          <w:rFonts w:ascii="Times New Roman" w:hAnsi="Times New Roman" w:cs="Times New Roman"/>
        </w:rPr>
      </w:pPr>
      <w:r>
        <w:rPr>
          <w:rFonts w:ascii="Times New Roman" w:hAnsi="Times New Roman" w:cs="Times New Roman"/>
        </w:rPr>
        <w:tab/>
      </w:r>
      <w:r w:rsidRPr="004D747E">
        <w:rPr>
          <w:rStyle w:val="FootnoteReference"/>
          <w:rFonts w:ascii="Times New Roman" w:hAnsi="Times New Roman" w:cs="Times New Roman"/>
        </w:rPr>
        <w:footnoteRef/>
      </w:r>
      <w:proofErr w:type="spellStart"/>
      <w:r w:rsidRPr="004D747E">
        <w:rPr>
          <w:rFonts w:ascii="Times New Roman" w:hAnsi="Times New Roman" w:cs="Times New Roman"/>
        </w:rPr>
        <w:t>Yuking</w:t>
      </w:r>
      <w:proofErr w:type="spellEnd"/>
      <w:r w:rsidRPr="004D747E">
        <w:rPr>
          <w:rFonts w:ascii="Times New Roman" w:hAnsi="Times New Roman" w:cs="Times New Roman"/>
        </w:rPr>
        <w:t xml:space="preserve">, A. S. (2018). </w:t>
      </w:r>
      <w:proofErr w:type="spellStart"/>
      <w:proofErr w:type="gramStart"/>
      <w:r w:rsidRPr="004D747E">
        <w:rPr>
          <w:rFonts w:ascii="Times New Roman" w:hAnsi="Times New Roman" w:cs="Times New Roman"/>
        </w:rPr>
        <w:t>Urgensi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Peraturan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Data </w:t>
      </w:r>
      <w:proofErr w:type="spellStart"/>
      <w:r w:rsidRPr="004D747E">
        <w:rPr>
          <w:rFonts w:ascii="Times New Roman" w:hAnsi="Times New Roman" w:cs="Times New Roman"/>
        </w:rPr>
        <w:t>Pribadi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Dalam</w:t>
      </w:r>
      <w:proofErr w:type="spellEnd"/>
      <w:r w:rsidRPr="004D747E">
        <w:rPr>
          <w:rFonts w:ascii="Times New Roman" w:hAnsi="Times New Roman" w:cs="Times New Roman"/>
        </w:rPr>
        <w:t xml:space="preserve"> Era </w:t>
      </w:r>
      <w:proofErr w:type="spellStart"/>
      <w:r w:rsidRPr="004D747E">
        <w:rPr>
          <w:rFonts w:ascii="Times New Roman" w:hAnsi="Times New Roman" w:cs="Times New Roman"/>
        </w:rPr>
        <w:t>Bisnis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i/>
        </w:rPr>
        <w:t>Fintech</w:t>
      </w:r>
      <w:proofErr w:type="spellEnd"/>
      <w:r w:rsidRPr="004D747E">
        <w:rPr>
          <w:rFonts w:ascii="Times New Roman" w:hAnsi="Times New Roman" w:cs="Times New Roman"/>
        </w:rPr>
        <w:t>.</w:t>
      </w:r>
      <w:proofErr w:type="gramEnd"/>
      <w:r w:rsidRPr="004D747E">
        <w:rPr>
          <w:rFonts w:ascii="Times New Roman" w:hAnsi="Times New Roman" w:cs="Times New Roman"/>
        </w:rPr>
        <w:t xml:space="preserve"> </w:t>
      </w:r>
      <w:proofErr w:type="spellStart"/>
      <w:r w:rsidRPr="004D747E">
        <w:rPr>
          <w:rFonts w:ascii="Times New Roman" w:hAnsi="Times New Roman" w:cs="Times New Roman"/>
        </w:rPr>
        <w:t>Jurnal</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&amp; </w:t>
      </w:r>
      <w:proofErr w:type="spellStart"/>
      <w:r w:rsidRPr="004D747E">
        <w:rPr>
          <w:rFonts w:ascii="Times New Roman" w:hAnsi="Times New Roman" w:cs="Times New Roman"/>
        </w:rPr>
        <w:t>Pasar</w:t>
      </w:r>
      <w:proofErr w:type="spellEnd"/>
      <w:r w:rsidRPr="004D747E">
        <w:rPr>
          <w:rFonts w:ascii="Times New Roman" w:hAnsi="Times New Roman" w:cs="Times New Roman"/>
        </w:rPr>
        <w:t xml:space="preserve"> Modal, Vol. Viii. </w:t>
      </w:r>
      <w:proofErr w:type="gramStart"/>
      <w:r w:rsidRPr="004D747E">
        <w:rPr>
          <w:rFonts w:ascii="Times New Roman" w:hAnsi="Times New Roman" w:cs="Times New Roman"/>
        </w:rPr>
        <w:t>No. 16.</w:t>
      </w:r>
      <w:proofErr w:type="gramEnd"/>
      <w:r w:rsidRPr="004D747E">
        <w:rPr>
          <w:rFonts w:ascii="Times New Roman" w:hAnsi="Times New Roman" w:cs="Times New Roman"/>
        </w:rPr>
        <w:t xml:space="preserve"> </w:t>
      </w:r>
      <w:proofErr w:type="gramStart"/>
      <w:r w:rsidRPr="004D747E">
        <w:rPr>
          <w:rFonts w:ascii="Times New Roman" w:hAnsi="Times New Roman" w:cs="Times New Roman"/>
        </w:rPr>
        <w:t>Hal.</w:t>
      </w:r>
      <w:proofErr w:type="gramEnd"/>
      <w:r w:rsidRPr="004D747E">
        <w:rPr>
          <w:rFonts w:ascii="Times New Roman" w:hAnsi="Times New Roman" w:cs="Times New Roman"/>
        </w:rPr>
        <w:t xml:space="preserve"> </w:t>
      </w:r>
      <w:proofErr w:type="gramStart"/>
      <w:r w:rsidRPr="004D747E">
        <w:rPr>
          <w:rFonts w:ascii="Times New Roman" w:hAnsi="Times New Roman" w:cs="Times New Roman"/>
        </w:rPr>
        <w:t>1–27.</w:t>
      </w:r>
      <w:proofErr w:type="gramEnd"/>
    </w:p>
  </w:footnote>
  <w:footnote w:id="13">
    <w:p w14:paraId="308EDDAE"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{"citationItems":[{"id":"ITEM-1","itemData":{"ISBN":"8133593557","abstract":"This paper showcases the growth as well as the challenging factors for fintech development in Indonesia. As the eighth-biggest economy in terms of gross domestic product, and with an internet participation ratio of more than 50% and more than 50 million micro, small, and medium-sized enterprises (MSMEs), the country shows huge potential for fintech. As of 2017, $1.62 million had been distributed through 11 local peer-to-peer (P2P) platforms. However, low financial inclusion and the big financing gap among MSMEs pose a huge challenge, which the government is trying to overcome. Ensuring financial literacy will be key. An example is Finansilaku, which is providing online literacy programs for the development of the next generation. Moreover, fintech companies such as Mekar are creating shared value as P2P lending platforms for women, with a similar philosophy as Grameen Bank. Finally, this paper also discusses customers’ reluctance to use fintech products and examines how regulators have adopted strategies related to regulation strategy, frameworks, market supervision, and innovation.","author":[{"dropping-particle":"","family":"Batunanggar","given":"Sukarela","non-dropping-particle":"","parse-names":false,"suffix":""}],"container-title":"Asian Development Bank Institute","id":"ITEM-1","issue":"1014","issued":{"date-parts":[["2019"]]},"page":"1-12","title":"Fintech Development and Regulatory Frameworks in Indonesia","type":"article-journal","volume":"1014"},"uris":["http://www.mendeley.com/documents/?uuid=adfaa043-e4f8-470c-987c-bec0619af8d4"]}],"mendeley":{"formattedCitation":"Sukarela Batunanggar, “Fintech Development and Regulatory Frameworks in Indonesia,” &lt;i&gt;Asian Development Bank Institute&lt;/i&gt; 1014, no. 1014 (2019): 1–12.","manualFormatting":"Sukarela Batunanggar, “Fintech Development And Regulatory Frameworks In Indonesia,” Asian Development Bank Institute 1014, No. 1014 (2019): 1–12, Www.Adbi.Org.","plainTextFormattedCitation":"Sukarela Batunanggar, “Fintech Development and Regulatory Frameworks in Indonesia,” Asian Development Bank Institute 1014, no. 1014 (2019): 1–12.","previouslyFormattedCitation":"[7]"},"properties":{"noteIndex":13},"schema":"https://github.com/citation-style-language/schema/raw/master/csl-citation.json"}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Sukarela Batunanggar, “Fintech Development And Regulatory Frameworks In Indonesia,” Asian Development Bank Institute 1014, No. 1014 (2019): 1–12, Www.Adbi.Org.</w:t>
      </w:r>
      <w:r w:rsidRPr="004D747E">
        <w:rPr>
          <w:rFonts w:ascii="Times New Roman" w:hAnsi="Times New Roman" w:cs="Times New Roman"/>
        </w:rPr>
        <w:fldChar w:fldCharType="end"/>
      </w:r>
    </w:p>
  </w:footnote>
  <w:footnote w:id="14">
    <w:p w14:paraId="73DB221E"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{"citationItems":[{"id":"ITEM-1","itemData":{"ISSN":"1962-5361","abstract":"The intersection of finance and technology, known as fintech, has resulted in the dramatic growth of innovations and has changed the entire financial landscape. While fintech has a critical role to play in democratizing credit access to the unbanked and thin-file consumers around the globe, those consumers who are currently well served also turn to fintech for faster services and greater transparency. Fintech, particularly the blockchain, has the potential to be disruptive to financial systems and intermediation. Our aim in this paper is to provide a comprehensive fintech literature survey with relevant research studies and policy discussion around the various aspects of fintech. The topics include marketplace and peer-to-peer lending, credit scoring, alternative data, distributed ledger technologies, blockchain, smart contracts, cryptocurrencies and initial coin offerings, central bank digital currency, robo-advising, quantitative investment and trading strategies, cybersecurity, identity theft, cloud computing, use of big data and artificial intelligence and machine learning, identity and fraud detection, anti-money laundering, Know Your Customers, natural language processing, regtech, insuretech, sandboxes, and fintech regulations.","author":[{"dropping-particle":"","family":"Allen","given":"Franklin","non-dropping-particle":"","parse-names":false,"suffix":""},{"dropping-particle":"","family":"Gu","given":"Xian","non-dropping-particle":"","parse-names":false,"suffix":""},{"dropping-particle":"","family":"Jagtiani","given":"Julapa","non-dropping-particle":"","parse-names":false,"suffix":""}],"container-title":"Federal Reserve Bank of Phildadelphia","id":"ITEM-1","issue":"June","issued":{"date-parts":[["2020"]]},"title":"A Survey of Fintech Research and Policy Discussion A Survey of Fintech Research and Policy Discussion*","type":"article-journal","volume":"WP 20-21"},"uris":["http://www.mendeley.com/documents/?uuid=8ee893fe-b879-44cb-9e62-a52be9487064"]}],"mendeley":{"formattedCitation":"Franklin Allen, Xian Gu, and Julapa Jagtiani, “A Survey of Fintech Research and Policy Discussion A Survey of Fintech Research and Policy Discussion*,” &lt;i&gt;Federal Reserve Bank of Phildadelphia&lt;/i&gt; WP 20-21, no. June (2020).","manualFormatting":"Franklin Allen, Xian Gu, and Julapa Jagtiani, “A Survey of Fintech Research and Policy Discussion A Survey of Fintech Research and Policy Discussion*,” Federal Reserve Bank of Phildadelphia WP 20-21, No. June (2020), https://doi.org/10.21799/frbp.wp.2020.21.","plainTextFormattedCitation":"Franklin Allen, Xian Gu, and Julapa Jagtiani, “A Survey of Fintech Research and Policy Discussion A Survey of Fintech Research and Policy Discussion*,” Federal Reserve Bank of Phildadelphia WP 20-21, no. June (2020).","previouslyFormattedCitation":"[8]"},"properties":{"noteIndex":14},"schema":"https://github.com/citation-style-language/schema/raw/master/csl-citation.json"}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Franklin Allen, Xian Gu, and Julapa Jagtiani, “A Survey of Fintech Research and Policy Discussion A Survey of Fintech Research and Policy Discussion*,” Federal Reserve Bank of Phildadelphia WP 20-21, No. June (2020), https://doi.org/10.21799/frbp.wp.2020.21.</w:t>
      </w:r>
      <w:r w:rsidRPr="004D747E">
        <w:rPr>
          <w:rFonts w:ascii="Times New Roman" w:hAnsi="Times New Roman" w:cs="Times New Roman"/>
        </w:rPr>
        <w:fldChar w:fldCharType="end"/>
      </w:r>
    </w:p>
  </w:footnote>
  <w:footnote w:id="15">
    <w:p w14:paraId="38B8C4CC" w14:textId="77777777" w:rsidR="00424260" w:rsidRPr="004D747E" w:rsidRDefault="00424260" w:rsidP="003C05E3">
      <w:pPr>
        <w:pStyle w:val="FootnoteText"/>
        <w:spacing w:after="0"/>
        <w:ind w:left="654"/>
        <w:jc w:val="both"/>
        <w:rPr>
          <w:rFonts w:ascii="Times New Roman" w:hAnsi="Times New Roman" w:cs="Times New Roman"/>
        </w:rPr>
      </w:pPr>
      <w:r w:rsidRPr="004D747E">
        <w:rPr>
          <w:rStyle w:val="FootnoteReference"/>
          <w:rFonts w:ascii="Times New Roman" w:hAnsi="Times New Roman" w:cs="Times New Roman"/>
        </w:rPr>
        <w:footnoteRef/>
      </w:r>
      <w:proofErr w:type="spellStart"/>
      <w:proofErr w:type="gramStart"/>
      <w:r w:rsidRPr="004D747E">
        <w:rPr>
          <w:rFonts w:ascii="Times New Roman" w:hAnsi="Times New Roman" w:cs="Times New Roman"/>
        </w:rPr>
        <w:t>Daftar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Fintech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Berijin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Terdaftar</w:t>
      </w:r>
      <w:proofErr w:type="spellEnd"/>
      <w:r w:rsidRPr="004D747E">
        <w:rPr>
          <w:rFonts w:ascii="Times New Roman" w:hAnsi="Times New Roman" w:cs="Times New Roman"/>
        </w:rPr>
        <w:t xml:space="preserve"> di OJK.</w:t>
      </w:r>
      <w:proofErr w:type="gramEnd"/>
      <w:r w:rsidRPr="004D747E">
        <w:rPr>
          <w:rFonts w:ascii="Times New Roman" w:hAnsi="Times New Roman" w:cs="Times New Roman"/>
        </w:rPr>
        <w:t xml:space="preserve"> https://www.ojk.go.id/id/kanal/iknb/financial-technology/</w:t>
      </w:r>
      <w:proofErr w:type="gramStart"/>
      <w:r w:rsidRPr="004D747E">
        <w:rPr>
          <w:rFonts w:ascii="Times New Roman" w:hAnsi="Times New Roman" w:cs="Times New Roman"/>
        </w:rPr>
        <w:t>Default.aspx .</w:t>
      </w:r>
      <w:proofErr w:type="gramEnd"/>
      <w:r w:rsidRPr="004D747E">
        <w:rPr>
          <w:rFonts w:ascii="Times New Roman" w:hAnsi="Times New Roman" w:cs="Times New Roman"/>
        </w:rPr>
        <w:t xml:space="preserve"> </w:t>
      </w:r>
      <w:proofErr w:type="spellStart"/>
      <w:r w:rsidRPr="004D747E">
        <w:rPr>
          <w:rFonts w:ascii="Times New Roman" w:hAnsi="Times New Roman" w:cs="Times New Roman"/>
        </w:rPr>
        <w:t>Akses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Pada</w:t>
      </w:r>
      <w:proofErr w:type="spellEnd"/>
      <w:r w:rsidRPr="004D747E">
        <w:rPr>
          <w:rFonts w:ascii="Times New Roman" w:hAnsi="Times New Roman" w:cs="Times New Roman"/>
        </w:rPr>
        <w:t xml:space="preserve"> </w:t>
      </w:r>
      <w:proofErr w:type="gramStart"/>
      <w:r w:rsidRPr="004D747E">
        <w:rPr>
          <w:rFonts w:ascii="Times New Roman" w:hAnsi="Times New Roman" w:cs="Times New Roman"/>
        </w:rPr>
        <w:t>20  Mei</w:t>
      </w:r>
      <w:proofErr w:type="gramEnd"/>
      <w:r w:rsidRPr="004D747E">
        <w:rPr>
          <w:rFonts w:ascii="Times New Roman" w:hAnsi="Times New Roman" w:cs="Times New Roman"/>
        </w:rPr>
        <w:t xml:space="preserve"> 2021.</w:t>
      </w:r>
    </w:p>
  </w:footnote>
  <w:footnote w:id="16">
    <w:p w14:paraId="23628F2B" w14:textId="77777777" w:rsidR="00424260" w:rsidRPr="004D747E" w:rsidRDefault="00424260" w:rsidP="003C05E3">
      <w:pPr>
        <w:pStyle w:val="FootnoteText"/>
        <w:spacing w:after="0"/>
        <w:jc w:val="both"/>
        <w:rPr>
          <w:rFonts w:ascii="Times New Roman" w:hAnsi="Times New Roman" w:cs="Times New Roman"/>
        </w:rPr>
      </w:pPr>
      <w:r>
        <w:rPr>
          <w:rFonts w:ascii="Times New Roman" w:hAnsi="Times New Roman" w:cs="Times New Roman"/>
        </w:rPr>
        <w:tab/>
      </w:r>
      <w:r w:rsidRPr="004D747E">
        <w:rPr>
          <w:rStyle w:val="FootnoteReference"/>
          <w:rFonts w:ascii="Times New Roman" w:hAnsi="Times New Roman" w:cs="Times New Roman"/>
        </w:rPr>
        <w:footnoteRef/>
      </w:r>
      <w:r w:rsidRPr="004D747E">
        <w:rPr>
          <w:rFonts w:ascii="Times New Roman" w:hAnsi="Times New Roman" w:cs="Times New Roman"/>
        </w:rPr>
        <w:t>Sari, F. (</w:t>
      </w:r>
      <w:proofErr w:type="gramStart"/>
      <w:r w:rsidRPr="004D747E">
        <w:rPr>
          <w:rFonts w:ascii="Times New Roman" w:hAnsi="Times New Roman" w:cs="Times New Roman"/>
        </w:rPr>
        <w:t>2019 )</w:t>
      </w:r>
      <w:proofErr w:type="gramEnd"/>
      <w:r w:rsidRPr="004D747E">
        <w:rPr>
          <w:rFonts w:ascii="Times New Roman" w:hAnsi="Times New Roman" w:cs="Times New Roman"/>
        </w:rPr>
        <w:t xml:space="preserve">. </w:t>
      </w:r>
      <w:proofErr w:type="spellStart"/>
      <w:r w:rsidRPr="004D747E">
        <w:rPr>
          <w:rFonts w:ascii="Times New Roman" w:hAnsi="Times New Roman" w:cs="Times New Roman"/>
        </w:rPr>
        <w:t>Perjelas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Landasan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Ojk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Dorong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Pembentukan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Fintech</w:t>
      </w:r>
      <w:proofErr w:type="spellEnd"/>
      <w:r w:rsidRPr="004D747E">
        <w:rPr>
          <w:rFonts w:ascii="Times New Roman" w:hAnsi="Times New Roman" w:cs="Times New Roman"/>
        </w:rPr>
        <w:t xml:space="preserve">. </w:t>
      </w:r>
      <w:proofErr w:type="gramStart"/>
      <w:r w:rsidRPr="004D747E">
        <w:rPr>
          <w:rFonts w:ascii="Times New Roman" w:hAnsi="Times New Roman" w:cs="Times New Roman"/>
        </w:rPr>
        <w:t xml:space="preserve">Retrieved From </w:t>
      </w:r>
      <w:hyperlink r:id="rId2" w:history="1">
        <w:r w:rsidRPr="004D747E">
          <w:rPr>
            <w:rStyle w:val="Hyperlink"/>
            <w:rFonts w:ascii="Times New Roman" w:hAnsi="Times New Roman" w:cs="Times New Roman"/>
          </w:rPr>
          <w:t>Https://Keuangan.Kontan.Co.Id/News/Perjelas-Landasanhukum-Ojk-Dorong</w:t>
        </w:r>
      </w:hyperlink>
      <w:r w:rsidRPr="004D747E">
        <w:rPr>
          <w:rFonts w:ascii="Times New Roman" w:hAnsi="Times New Roman" w:cs="Times New Roman"/>
        </w:rPr>
        <w:t xml:space="preserve"> </w:t>
      </w:r>
      <w:proofErr w:type="spellStart"/>
      <w:r w:rsidRPr="004D747E">
        <w:rPr>
          <w:rFonts w:ascii="Times New Roman" w:hAnsi="Times New Roman" w:cs="Times New Roman"/>
        </w:rPr>
        <w:t>Pembentukan-Uu-Fintech</w:t>
      </w:r>
      <w:proofErr w:type="spellEnd"/>
      <w:r w:rsidRPr="004D747E">
        <w:rPr>
          <w:rFonts w:ascii="Times New Roman" w:hAnsi="Times New Roman" w:cs="Times New Roman"/>
        </w:rPr>
        <w:t>.</w:t>
      </w:r>
      <w:proofErr w:type="gramEnd"/>
    </w:p>
  </w:footnote>
  <w:footnote w:id="17">
    <w:p w14:paraId="171B1BEC" w14:textId="77777777" w:rsidR="00424260" w:rsidRPr="004D747E" w:rsidRDefault="00424260" w:rsidP="003C05E3">
      <w:pPr>
        <w:pStyle w:val="FootnoteText"/>
        <w:spacing w:after="0"/>
        <w:jc w:val="both"/>
        <w:rPr>
          <w:rFonts w:ascii="Times New Roman" w:hAnsi="Times New Roman" w:cs="Times New Roman"/>
        </w:rPr>
      </w:pPr>
      <w:r>
        <w:rPr>
          <w:rFonts w:ascii="Times New Roman" w:hAnsi="Times New Roman" w:cs="Times New Roman"/>
        </w:rPr>
        <w:tab/>
      </w:r>
      <w:r w:rsidRPr="004D747E">
        <w:rPr>
          <w:rStyle w:val="FootnoteReference"/>
          <w:rFonts w:ascii="Times New Roman" w:hAnsi="Times New Roman" w:cs="Times New Roman"/>
        </w:rPr>
        <w:footnoteRef/>
      </w:r>
      <w:proofErr w:type="spellStart"/>
      <w:r w:rsidRPr="004D747E">
        <w:rPr>
          <w:rFonts w:ascii="Times New Roman" w:hAnsi="Times New Roman" w:cs="Times New Roman"/>
        </w:rPr>
        <w:t>Wulandhari</w:t>
      </w:r>
      <w:proofErr w:type="spellEnd"/>
      <w:r w:rsidRPr="004D747E">
        <w:rPr>
          <w:rFonts w:ascii="Times New Roman" w:hAnsi="Times New Roman" w:cs="Times New Roman"/>
        </w:rPr>
        <w:t xml:space="preserve">, R. (2019). </w:t>
      </w:r>
      <w:proofErr w:type="spellStart"/>
      <w:r w:rsidRPr="004D747E">
        <w:rPr>
          <w:rFonts w:ascii="Times New Roman" w:hAnsi="Times New Roman" w:cs="Times New Roman"/>
        </w:rPr>
        <w:t>Afsi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Peraturan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Ojk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Belum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Mewadahi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Fintech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Syariah</w:t>
      </w:r>
      <w:proofErr w:type="spellEnd"/>
      <w:r w:rsidRPr="004D747E">
        <w:rPr>
          <w:rFonts w:ascii="Times New Roman" w:hAnsi="Times New Roman" w:cs="Times New Roman"/>
        </w:rPr>
        <w:t xml:space="preserve">. Retrieved From </w:t>
      </w:r>
      <w:hyperlink r:id="rId3" w:history="1">
        <w:r w:rsidRPr="004D747E">
          <w:rPr>
            <w:rStyle w:val="Hyperlink"/>
            <w:rFonts w:ascii="Times New Roman" w:hAnsi="Times New Roman" w:cs="Times New Roman"/>
          </w:rPr>
          <w:t>Https://Republika.Co.Id/Berita/Pwmq1n370/Afsi-Peraturan-Ojkbelum-Mewadahi-Emfintechem-Syariah</w:t>
        </w:r>
      </w:hyperlink>
    </w:p>
  </w:footnote>
  <w:footnote w:id="18">
    <w:p w14:paraId="060AE22A" w14:textId="77777777" w:rsidR="00424260" w:rsidRPr="004D747E" w:rsidRDefault="00424260" w:rsidP="003C05E3">
      <w:pPr>
        <w:pStyle w:val="FootnoteText"/>
        <w:spacing w:after="0"/>
        <w:jc w:val="both"/>
        <w:rPr>
          <w:rFonts w:ascii="Times New Roman" w:hAnsi="Times New Roman" w:cs="Times New Roman"/>
        </w:rPr>
      </w:pPr>
      <w:r>
        <w:rPr>
          <w:rFonts w:ascii="Times New Roman" w:hAnsi="Times New Roman" w:cs="Times New Roman"/>
        </w:rPr>
        <w:tab/>
      </w:r>
      <w:r w:rsidRPr="004D747E">
        <w:rPr>
          <w:rStyle w:val="FootnoteReference"/>
          <w:rFonts w:ascii="Times New Roman" w:hAnsi="Times New Roman" w:cs="Times New Roman"/>
        </w:rPr>
        <w:footnoteRef/>
      </w:r>
      <w:proofErr w:type="spellStart"/>
      <w:r w:rsidRPr="004D747E">
        <w:rPr>
          <w:rFonts w:ascii="Times New Roman" w:hAnsi="Times New Roman" w:cs="Times New Roman"/>
        </w:rPr>
        <w:t>Hidayat</w:t>
      </w:r>
      <w:proofErr w:type="spellEnd"/>
      <w:r w:rsidRPr="004D747E">
        <w:rPr>
          <w:rFonts w:ascii="Times New Roman" w:hAnsi="Times New Roman" w:cs="Times New Roman"/>
        </w:rPr>
        <w:t xml:space="preserve">, R. (2019). </w:t>
      </w:r>
      <w:proofErr w:type="spellStart"/>
      <w:r w:rsidRPr="004D747E">
        <w:rPr>
          <w:rFonts w:ascii="Times New Roman" w:hAnsi="Times New Roman" w:cs="Times New Roman"/>
        </w:rPr>
        <w:t>Dpr</w:t>
      </w:r>
      <w:proofErr w:type="spellEnd"/>
      <w:r w:rsidRPr="004D747E">
        <w:rPr>
          <w:rFonts w:ascii="Times New Roman" w:hAnsi="Times New Roman" w:cs="Times New Roman"/>
        </w:rPr>
        <w:t xml:space="preserve"> Terbuka </w:t>
      </w:r>
      <w:proofErr w:type="spellStart"/>
      <w:r w:rsidRPr="004D747E">
        <w:rPr>
          <w:rFonts w:ascii="Times New Roman" w:hAnsi="Times New Roman" w:cs="Times New Roman"/>
        </w:rPr>
        <w:t>Jika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Industri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Fintech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Diatur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Tapi</w:t>
      </w:r>
      <w:proofErr w:type="spellEnd"/>
      <w:r w:rsidRPr="004D747E">
        <w:rPr>
          <w:rFonts w:ascii="Times New Roman" w:hAnsi="Times New Roman" w:cs="Times New Roman"/>
        </w:rPr>
        <w:t xml:space="preserve">…. </w:t>
      </w:r>
      <w:proofErr w:type="gramStart"/>
      <w:r w:rsidRPr="004D747E">
        <w:rPr>
          <w:rFonts w:ascii="Times New Roman" w:hAnsi="Times New Roman" w:cs="Times New Roman"/>
        </w:rPr>
        <w:t xml:space="preserve">Retrieved From </w:t>
      </w:r>
      <w:hyperlink r:id="rId4" w:history="1">
        <w:r w:rsidRPr="004D747E">
          <w:rPr>
            <w:rStyle w:val="Hyperlink"/>
            <w:rFonts w:ascii="Times New Roman" w:hAnsi="Times New Roman" w:cs="Times New Roman"/>
          </w:rPr>
          <w:t>Https://Www.Hukumonline.Com/Berita/Baca/Lt5c9e0b2aec3ed/Dpr-Terbuka-Jikaindustri-Fintechdiatur-Uutap</w:t>
        </w:r>
      </w:hyperlink>
      <w:r w:rsidRPr="004D747E">
        <w:rPr>
          <w:rFonts w:ascii="Times New Roman" w:hAnsi="Times New Roman" w:cs="Times New Roman"/>
        </w:rPr>
        <w:t>.</w:t>
      </w:r>
      <w:proofErr w:type="gramEnd"/>
    </w:p>
  </w:footnote>
  <w:footnote w:id="19">
    <w:p w14:paraId="6A9305ED"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{"citationItems":[{"id":"ITEM-1","itemData":{"DOI":"10.1108/IJLMA-01-2018-0013","ISSN":"17542448","abstract":"Purpose: The purpose of this study is to identify how the privacy policy can be framed for protection of personal data and how the latest judgement of full bench of Supreme Court of India has dealt with right to privacy in India. Design/methodology/approach: The study uses the latest Supreme Court judgement on right to privacy and historical cases on right to privacy in India. This paper uses Indian Constitution as a source of Information for study along with case laws and judgements of different courts in India. Findings: This paper tries to find if personal data privacy is a fundamental right in India. In addition, the paper provides recommendations to different concerned authorities on protecting personal information in online platform. Research limitations/implications: This study deals with privacy issues so far as Indian citizens are concerns and does not focus on other countries. Moreover, the study tries to understand the issue of fundamental rights from Indian Constitution perspective. In addition, the recommendations provided to the policymakers and other authorities of India have wide implications for formulation of new policy and management of personal data, so that it should not go to wrong hands and the personal data and privacy is protected of the citizens. Practical implications: Millions of people put their personal information in online platform. In addition, there are few government initiatives in India such as Aadhaar card where the biometric information is taken from the residents of India, and in many cases, the personal data are compromised under various circumstances. As the personal data of the citizens are in question, thus the study has direct practical implication mainly for all the citizens whose personal data are available in online platform. Social implications: This study has social implication as it dealt with the “personal data” of the citizens of India. As the paper discusses the issue of protection of personal data in the context of right to privacy, thus this study has a direct social impact so far as online citizen of India is concerned. Originality/value: This paper is timely, original and discusses the contemporary issue of online data privacy and fundamental right in India. This paper is a useful resource for the researchers, policymakers and online users who deal with personal data-, right to privacy and data privacy policy-related areas.","author":[{"dropping-particle":"","family":"Chatterjee","given":"Sheshadri","non-dropping-particle":"","parse-names":false,"suffix":""}],"container-title":"International Journal of Law and Management","id":"ITEM-1","issue":"1","issued":{"date-parts":[["2019"]]},"page":"170-190","title":"Is data privacy a fundamental right in India?: An analysis and recommendations from policy and legal perspective","type":"article-journal","volume":"61"},"uris":["http://www.mendeley.com/documents/?uuid=3908338d-5020-4274-b662-c3e683fcd890"]}],"mendeley":{"formattedCitation":"Sheshadri Chatterjee, “Is Data Privacy a Fundamental Right in India?: An Analysis and Recommendations from Policy and Legal Perspective,” &lt;i&gt;International Journal of Law and Management&lt;/i&gt; 61, no. 1 (2019): 170–90, https://doi.org/10.1108/IJLMA-01-2018-0013.","manualFormatting":"Sheshadri Chatterjee, “Is Data Privacy A Fundamental Right In India?: An Analysis And Recommendations From Policy And Legal Perspective,” International Journal Of Law And Management 61, No. 1 (2019): 170–90, Https://Doi.Org/10.1108/Ijlma-01-2018-0013.","plainTextFormattedCitation":"Sheshadri Chatterjee, “Is Data Privacy a Fundamental Right in India?: An Analysis and Recommendations from Policy and Legal Perspective,” International Journal of Law and Management 61, no. 1 (2019): 170–90, https://doi.org/10.1108/IJLMA-01-2018-0013.","previouslyFormattedCitation":"[9]"},"properties":{"noteIndex":19},"schema":"https://github.com/citation-style-language/schema/raw/master/csl-citation.json"}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Sheshadri Chatterjee, “Is Data Privacy A Fundamental Right In India?: An Analysis And Recommendations From Policy And Legal Perspective,” International Journal Of Law And Management 61, No. 1 (2019): 170–90, Https://Doi.Org/10.1108/Ijlma-01-2018-0013.</w:t>
      </w:r>
      <w:r w:rsidRPr="004D747E">
        <w:rPr>
          <w:rFonts w:ascii="Times New Roman" w:hAnsi="Times New Roman" w:cs="Times New Roman"/>
        </w:rPr>
        <w:fldChar w:fldCharType="end"/>
      </w:r>
    </w:p>
  </w:footnote>
  <w:footnote w:id="20">
    <w:p w14:paraId="2557366E"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{"citationItems":[{"id":"ITEM-1","itemData":{"DOI":"10.1108/joic-06-2015-0038","ISSN":"1528-5812","abstract":"Purpose – To provide an overview of the basic model used by many peer-to-peer lending platforms andsomeofthe keypeerlending regulatoryandstructuring considerations underthe federal securities laws. Design/methodology/approach – Explains how the basic peer lending model works, how “borrower dependent notes” or “BDNs” may be offered in private placements or less commonly through public offerings, how companies engaged in peer lending are compensated, how sponsors of peer lending programs generallyavoid registration as broker-dealers underthe Securities Exchange Actof1934, as investmentadvisers underthe InvestmentAdvisers Actof1940andas investmentcompanies underthe Investment Company Act of1940, and how peer lending platforms are structured to take into account the laws that govern online transactions, consumer privacy, and other related issues. Findings – The authors expect that peer-to-peer lending platforms will continue to mature and evolve, andtheyexpectthatthe issues discussed in this article will continue to drive their structuring decisions, business models, and regulatory compliance under the federal securities laws.","author":[{"dropping-particle":"","family":"Rosenblum","given":"Robert H.","non-dropping-particle":"","parse-names":false,"suffix":""},{"dropping-particle":"","family":"Gault-Brown","given":"Susan A.","non-dropping-particle":"","parse-names":false,"suffix":""},{"dropping-particle":"","family":"Caiazza","given":"Amy B.","non-dropping-particle":"","parse-names":false,"suffix":""}],"container-title":"Journal of Investment Compliance","id":"ITEM-1","issue":"3","issued":{"date-parts":[["2015"]]},"page":"15-18","title":"Peer-to-peer lending platforms: securities law considerations","type":"article-journal","volume":"16"},"uris":["http://www.mendeley.com/documents/?uuid=03560ef6-db9b-4a7a-82dc-710b30731658"]}],"mendeley":{"formattedCitation":"Robert H. Rosenblum, Susan A. Gault-Brown, and Amy B. Caiazza, “Peer-to-Peer Lending Platforms: Securities Law Considerations,” &lt;i&gt;Journal of Investment Compliance&lt;/i&gt; 16, no. 3 (2015): 15–18, https://doi.org/10.1108/joic-06-2015-0038.","manualFormatting":"Robert H. Rosenblum, Susan A. Gault-Brown, And Amy B. Caiazza, “Peer-To-Peer Lending Platforms: Securities Law Considerations,” Journal Of Investment Compliance 16, No. 3 (2015): 15–18, Https://Doi.Org/10.1108/Joic-06-2015-0038.","plainTextFormattedCitation":"Robert H. Rosenblum, Susan A. Gault-Brown, and Amy B. Caiazza, “Peer-to-Peer Lending Platforms: Securities Law Considerations,” Journal of Investment Compliance 16, no. 3 (2015): 15–18, https://doi.org/10.1108/joic-06-2015-0038.","previouslyFormattedCitation":"[10]"},"properties":{"noteIndex":20},"schema":"https://github.com/citation-style-language/schema/raw/master/csl-citation.json"}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Robert H. Rosenblum, Susan A. Gault-Brown, And Amy B. Caiazza, “Peer-To-Peer Lending Platforms: Securities Law Considerations,” Journal Of Investment Compliance 16, No. 3 (2015): 15–18, Https://Doi.Org/10.1108/Joic-06-2015-0038.</w:t>
      </w:r>
      <w:r w:rsidRPr="004D747E">
        <w:rPr>
          <w:rFonts w:ascii="Times New Roman" w:hAnsi="Times New Roman" w:cs="Times New Roman"/>
        </w:rPr>
        <w:fldChar w:fldCharType="end"/>
      </w:r>
    </w:p>
  </w:footnote>
  <w:footnote w:id="21">
    <w:p w14:paraId="1DCFF1EE" w14:textId="77777777" w:rsidR="00424260" w:rsidRPr="004D747E" w:rsidRDefault="00424260" w:rsidP="003C05E3">
      <w:pPr>
        <w:pStyle w:val="FootnoteText"/>
        <w:spacing w:after="0"/>
        <w:ind w:left="654"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Afi</w:t>
      </w:r>
      <w:proofErr w:type="spellEnd"/>
      <w:r w:rsidRPr="004D747E">
        <w:rPr>
          <w:rFonts w:ascii="Times New Roman" w:hAnsi="Times New Roman" w:cs="Times New Roman"/>
        </w:rPr>
        <w:t xml:space="preserve"> (2020),“Creating </w:t>
      </w:r>
      <w:proofErr w:type="spellStart"/>
      <w:r w:rsidRPr="004D747E">
        <w:rPr>
          <w:rFonts w:ascii="Times New Roman" w:hAnsi="Times New Roman" w:cs="Times New Roman"/>
        </w:rPr>
        <w:t>Enablingfintech</w:t>
      </w:r>
      <w:proofErr w:type="spellEnd"/>
      <w:r w:rsidRPr="004D747E">
        <w:rPr>
          <w:rFonts w:ascii="Times New Roman" w:hAnsi="Times New Roman" w:cs="Times New Roman"/>
        </w:rPr>
        <w:t xml:space="preserve"> Ecosystems: The Role Of Regulators”, 32</w:t>
      </w:r>
    </w:p>
  </w:footnote>
  <w:footnote w:id="22">
    <w:p w14:paraId="4D80F461"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{"citationItems":[{"id":"ITEM-1","itemData":{"DOI":"10.1016/j.jeconbus.2018.11.002","ISBN":"2155747284","ISSN":"01486195","abstract":"Advanced technology, Big data, and complex AI/ML algorithms have provided benefits to both consumers and lenders. Fintech has a potential to disrupt and to create new types of risk. Regulators around the globe are working diligently and thoughtfully to provide consumer protection and to maintain financial stability while at the same time to create an environment for safe Fintech innovations","author":[{"dropping-particle":"","family":"Jagtiani","given":"Julapa","non-dropping-particle":"","parse-names":false,"suffix":""},{"dropping-particle":"","family":"John","given":"Kose","non-dropping-particle":"","parse-names":false,"suffix":""}],"container-title":"Journal of Economics and Business","id":"ITEM-1","issued":{"date-parts":[["2018"]]},"page":"1-6","title":"Fintech: The Impact on Consumers and Regulatory Responses","type":"article-journal","volume":"100"},"uris":["http://www.mendeley.com/documents/?uuid=bcdc4b11-2059-4053-8725-f2a249241754"]}],"mendeley":{"formattedCitation":"Julapa Jagtiani and Kose John, “Fintech: The Impact on Consumers and Regulatory Responses,” &lt;i&gt;Journal of Economics and Business&lt;/i&gt; 100 (2018): 1–6, https://doi.org/10.1016/j.jeconbus.2018.11.002.","manualFormatting":"Julapa Jagtiani And Kose John, “Fintech: The Impact On Consumers And Regulatory Responses,” Journal Of Economics And Business 100 (2018): 1–6, Https://Doi.Org/10.1016/J.Jeconbus.2018.11.002.","plainTextFormattedCitation":"Julapa Jagtiani and Kose John, “Fintech: The Impact on Consumers and Regulatory Responses,” Journal of Economics and Business 100 (2018): 1–6, https://doi.org/10.1016/j.jeconbus.2018.11.002.","previouslyFormattedCitation":"[11]"},"properties":{"noteIndex":22},"schema":"https://github.com/citation-style-language/schema/raw/master/csl-citation.json"}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Julapa Jagtiani And Kose John, “Fintech: The Impact On Consumers And Regulatory Responses,” Journal Of Economics And Business 100 (2018): 1–6, Https://Doi.Org/10.1016/J.Jeconbus.2018.11.002.</w:t>
      </w:r>
      <w:r w:rsidRPr="004D747E">
        <w:rPr>
          <w:rFonts w:ascii="Times New Roman" w:hAnsi="Times New Roman" w:cs="Times New Roman"/>
        </w:rPr>
        <w:fldChar w:fldCharType="end"/>
      </w:r>
    </w:p>
  </w:footnote>
  <w:footnote w:id="23">
    <w:p w14:paraId="672BFA90"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{"citationItems":[{"id":"ITEM-1","itemData":{"DOI":"10.1108/joic-04-2018-0026","ISSN":"1528-5812","abstract":"Purpose This paper aims to explain the current stage of blockchain and virtual currency regulation in the EU. Design/methodology/approach The paper explains the current state of blockchain and virtual currency regulation in the EU, presenting the EU institutions? main policy and regulatory initiatives on, and approaches to, blockchain and virtual currency. Findings Though the EU is looking seriously at the potential of blockchain and distributed ledger technologies, many European institutions are of the opinion that it is still too early to regulate in this field. As far as virtual currencies are concerned, Member States? central banks do not consider them to be equivalent to money or legal tender. However, with the current high profile of and interest in virtual currencies, one can expect the European Commission to at least consider what regulation might be called for. Originality/value This study provides practical guidance on and introduction to the current regulatory and policy landscape of blockchain and virtual currency in the EU.","author":[{"dropping-particle":"","family":"Miseviciute","given":"Jurgita","non-dropping-particle":"","parse-names":false,"suffix":""}],"container-title":"Journal of Investment Compliance","id":"ITEM-1","issue":"3","issued":{"date-parts":[["2018"]]},"page":"33-38","title":"Blockchain and virtual currency regulation in the EU","type":"article-journal","volume":"19"},"uris":["http://www.mendeley.com/documents/?uuid=c43f2966-7d6b-4d7a-a06d-fbeb9a59d7c3"]}],"mendeley":{"formattedCitation":"Jurgita Miseviciute, “Blockchain and Virtual Currency Regulation in the EU,” &lt;i&gt;Journal of Investment Compliance&lt;/i&gt; 19, no. 3 (2018): 33–38, https://doi.org/10.1108/joic-04-2018-0026.","manualFormatting":"Jurgita Miseviciute, “Blockchain And Virtual Currency Regulation In The Eu,” Journal Of Investment Compliance 19, No. 3 (2018): 33–38, Https://Doi.Org/10.1108/Joic-04-2018-0026.","plainTextFormattedCitation":"Jurgita Miseviciute, “Blockchain and Virtual Currency Regulation in the EU,” Journal of Investment Compliance 19, no. 3 (2018): 33–38, https://doi.org/10.1108/joic-04-2018-0026.","previouslyFormattedCitation":"[12]"},"properties":{"noteIndex":23},"schema":"https://github.com/citation-style-language/schema/raw/master/csl-citation.json"}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Jurgita Miseviciute, “Blockchain And Virtual Currency Regulation In The Eu,” Journal Of Investment Compliance 19, No. 3 (2018): 33–38, Https://Doi.Org/10.1108/Joic-04-2018-0026.</w:t>
      </w:r>
      <w:r w:rsidRPr="004D747E">
        <w:rPr>
          <w:rFonts w:ascii="Times New Roman" w:hAnsi="Times New Roman" w:cs="Times New Roman"/>
        </w:rPr>
        <w:fldChar w:fldCharType="end"/>
      </w:r>
    </w:p>
  </w:footnote>
  <w:footnote w:id="24">
    <w:p w14:paraId="1D38518A"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{"citationItems":[{"id":"ITEM-1","itemData":{"ISSN":"00422533","abstract":"The financial crisis of 2008 has led to dramatic changes in the way that finance is regulated: the Dodd-Frank Act imposed broad and systemic regulation on the industry on a level not seen since the New Deal. But the financial regulatory reforms enacted since the crisis have been premised on an outdated idea of what financial services look like and how they are provided. Regulation has failed to take into account the rise of financial technology (or \"fintech\") firms and the fundamental changes they have ushered in on a variety of fronts, from the way that banking works, to the way that capital is raised, even to the very form of money itself. These changes call for a wide-ranging reconceptualization of financial regulation in an era of technology-enabled finance. In particular, this Article argues that regulators' focus on preventing the risks associated with \"too big to fail\" institutions overlooks the conceptually distinct risks associated with small, decentralized financial markets. In many ways, these risks can be greater than those presented by large institutions because decentralized fintech markets are more vulnerable to adverse economic shocks, less transparent to regulators, and more likely to encourage excessively risky behavior by market participants. The Article concludes by sketching out a variety of regulatory responses that better correspond to fintech's particular risks and rewards.","author":[{"dropping-particle":"","family":"Magnuson","given":"William","non-dropping-particle":"","parse-names":false,"suffix":""}],"container-title":"Vanderbilt Law Review","id":"ITEM-1","issue":"4","issued":{"date-parts":[["2018"]]},"page":"1167-1226","title":"Regulating fintech","type":"article-journal","volume":"71"},"uris":["http://www.mendeley.com/documents/?uuid=396779ef-beff-4746-a413-e7ef35fc92aa"]}],"mendeley":{"formattedCitation":"William Magnuson, “Regulating Fintech,” &lt;i&gt;Vanderbilt Law Review&lt;/i&gt; 71, no. 4 (2018): 1167–1226.","manualFormatting":"William Magnuson, “Regulating Fintech,” Vanderbilt Law Review 71, No. 4 (2018): 1167–1226.","plainTextFormattedCitation":"William Magnuson, “Regulating Fintech,” Vanderbilt Law Review 71, no. 4 (2018): 1167–1226.","previouslyFormattedCitation":"[13]"},"properties":{"noteIndex":24},"schema":"https://github.com/citation-style-language/schema/raw/master/csl-citation.json"}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William Magnuson, “Regulating Fintech,” Vanderbilt Law Review 71, No. 4 (2018): 1167–1226.</w:t>
      </w:r>
      <w:r w:rsidRPr="004D747E">
        <w:rPr>
          <w:rFonts w:ascii="Times New Roman" w:hAnsi="Times New Roman" w:cs="Times New Roman"/>
        </w:rPr>
        <w:fldChar w:fldCharType="end"/>
      </w:r>
    </w:p>
  </w:footnote>
  <w:footnote w:id="25">
    <w:p w14:paraId="149CCBD7"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{"citationItems":[{"id":"ITEM-1","itemData":{"DOI":"10.1108/joic-06-2015-0038","ISSN":"1528-5812","abstract":"Purpose – To provide an overview of the basic model used by many peer-to-peer lending platforms andsomeofthe keypeerlending regulatoryandstructuring considerations underthe federal securities laws. Design/methodology/approach – Explains how the basic peer lending model works, how “borrower dependent notes” or “BDNs” may be offered in private placements or less commonly through public offerings, how companies engaged in peer lending are compensated, how sponsors of peer lending programs generallyavoid registration as broker-dealers underthe Securities Exchange Actof1934, as investmentadvisers underthe InvestmentAdvisers Actof1940andas investmentcompanies underthe Investment Company Act of1940, and how peer lending platforms are structured to take into account the laws that govern online transactions, consumer privacy, and other related issues. Findings – The authors expect that peer-to-peer lending platforms will continue to mature and evolve, andtheyexpectthatthe issues discussed in this article will continue to drive their structuring decisions, business models, and regulatory compliance under the federal securities laws.","author":[{"dropping-particle":"","family":"Rosenblum","given":"Robert H.","non-dropping-particle":"","parse-names":false,"suffix":""},{"dropping-particle":"","family":"Gault-Brown","given":"Susan A.","non-dropping-particle":"","parse-names":false,"suffix":""},{"dropping-particle":"","family":"Caiazza","given":"Amy B.","non-dropping-particle":"","parse-names":false,"suffix":""}],"container-title":"Journal of Investment Compliance","id":"ITEM-1","issue":"3","issued":{"date-parts":[["2015"]]},"page":"15-18","title":"Peer-to-peer lending platforms: securities law considerations","type":"article-journal","volume":"16"},"uris":["http://www.mendeley.com/documents/?uuid=03560ef6-db9b-4a7a-82dc-710b30731658"]}],"mendeley":{"formattedCitation":"Rosenblum, Gault-Brown, and Caiazza, “Peer-to-Peer Lending Platforms: Securities Law Considerations.”","manualFormatting":"Rosenblum, Gault-Brown, And Caiazza, “Peer-To-Peer Lending Platforms: Securities Law Considerations.”","plainTextFormattedCitation":"Rosenblum, Gault-Brown, and Caiazza, “Peer-to-Peer Lending Platforms: Securities Law Considerations.”","previouslyFormattedCitation":"[10]"},"properties":{"noteIndex":25},"schema":"https://github.com/citation-style-language/schema/raw/master/csl-citation.json"}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Rosenblum, Gault-Brown, And Caiazza, “Peer-To-Peer Lending Platforms: Securities Law Considerations.”</w:t>
      </w:r>
      <w:r w:rsidRPr="004D747E">
        <w:rPr>
          <w:rFonts w:ascii="Times New Roman" w:hAnsi="Times New Roman" w:cs="Times New Roman"/>
        </w:rPr>
        <w:fldChar w:fldCharType="end"/>
      </w:r>
    </w:p>
  </w:footnote>
  <w:footnote w:id="26">
    <w:p w14:paraId="5E44AD21"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{"citationItems":[{"id":"ITEM-1","itemData":{"DOI":"10.1016/j.jeconbus.2018.11.002","ISBN":"2155747284","ISSN":"01486195","abstract":"Advanced technology, Big data, and complex AI/ML algorithms have provided benefits to both consumers and lenders. Fintech has a potential to disrupt and to create new types of risk. Regulators around the globe are working diligently and thoughtfully to provide consumer protection and to maintain financial stability while at the same time to create an environment for safe Fintech innovations","author":[{"dropping-particle":"","family":"Jagtiani","given":"Julapa","non-dropping-particle":"","parse-names":false,"suffix":""},{"dropping-particle":"","family":"John","given":"Kose","non-dropping-particle":"","parse-names":false,"suffix":""}],"container-title":"Journal of Economics and Business","id":"ITEM-1","issued":{"date-parts":[["2018"]]},"page":"1-6","title":"Fintech: The Impact on Consumers and Regulatory Responses","type":"article-journal","volume":"100"},"uris":["http://www.mendeley.com/documents/?uuid=bcdc4b11-2059-4053-8725-f2a249241754"]}],"mendeley":{"formattedCitation":"Jagtiani and John, “Fintech: The Impact on Consumers and Regulatory Responses.”","manualFormatting":"Jagtiani And John, “Fintech: The Impact On Consumers And Regulatory Responses.”","plainTextFormattedCitation":"Jagtiani and John, “Fintech: The Impact on Consumers and Regulatory Responses.”","previouslyFormattedCitation":"[11]"},"properties":{"noteIndex":26},"schema":"https://github.com/citation-style-language/schema/raw/master/csl-citation.json"}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Jagtiani And John, “Fintech: The Impact On Consumers And Regulatory Responses.”</w:t>
      </w:r>
      <w:r w:rsidRPr="004D747E">
        <w:rPr>
          <w:rFonts w:ascii="Times New Roman" w:hAnsi="Times New Roman" w:cs="Times New Roman"/>
        </w:rPr>
        <w:fldChar w:fldCharType="end"/>
      </w:r>
    </w:p>
  </w:footnote>
  <w:footnote w:id="27">
    <w:p w14:paraId="0BB2A368"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{"citationItems":[{"id":"ITEM-1","itemData":{"DOI":"10.1108/IJLMA-01-2018-0013","ISSN":"17542448","abstract":"Purpose: The purpose of this study is to identify how the privacy policy can be framed for protection of personal data and how the latest judgement of full bench of Supreme Court of India has dealt with right to privacy in India. Design/methodology/approach: The study uses the latest Supreme Court judgement on right to privacy and historical cases on right to privacy in India. This paper uses Indian Constitution as a source of Information for study along with case laws and judgements of different courts in India. Findings: This paper tries to find if personal data privacy is a fundamental right in India. In addition, the paper provides recommendations to different concerned authorities on protecting personal information in online platform. Research limitations/implications: This study deals with privacy issues so far as Indian citizens are concerns and does not focus on other countries. Moreover, the study tries to understand the issue of fundamental rights from Indian Constitution perspective. In addition, the recommendations provided to the policymakers and other authorities of India have wide implications for formulation of new policy and management of personal data, so that it should not go to wrong hands and the personal data and privacy is protected of the citizens. Practical implications: Millions of people put their personal information in online platform. In addition, there are few government initiatives in India such as Aadhaar card where the biometric information is taken from the residents of India, and in many cases, the personal data are compromised under various circumstances. As the personal data of the citizens are in question, thus the study has direct practical implication mainly for all the citizens whose personal data are available in online platform. Social implications: This study has social implication as it dealt with the “personal data” of the citizens of India. As the paper discusses the issue of protection of personal data in the context of right to privacy, thus this study has a direct social impact so far as online citizen of India is concerned. Originality/value: This paper is timely, original and discusses the contemporary issue of online data privacy and fundamental right in India. This paper is a useful resource for the researchers, policymakers and online users who deal with personal data-, right to privacy and data privacy policy-related areas.","author":[{"dropping-particle":"","family":"Chatterjee","given":"Sheshadri","non-dropping-particle":"","parse-names":false,"suffix":""}],"container-title":"International Journal of Law and Management","id":"ITEM-1","issue":"1","issued":{"date-parts":[["2019"]]},"page":"170-190","title":"Is data privacy a fundamental right in India?: An analysis and recommendations from policy and legal perspective","type":"article-journal","volume":"61"},"uris":["http://www.mendeley.com/documents/?uuid=3908338d-5020-4274-b662-c3e683fcd890"]}],"mendeley":{"formattedCitation":"Chatterjee, “Is Data Privacy a Fundamental Right in India?: An Analysis and Recommendations from Policy and Legal Perspective.”","manualFormatting":"Chatterjee, “Is Data Privacy A Fundamental Right In India?: An Analysis And Recommendations From Policy And Legal Perspective.”","plainTextFormattedCitation":"Chatterjee, “Is Data Privacy a Fundamental Right in India?: An Analysis and Recommendations from Policy and Legal Perspective.”","previouslyFormattedCitation":"[9]"},"properties":{"noteIndex":27},"schema":"https://github.com/citation-style-language/schema/raw/master/csl-citation.json"}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Chatterjee, “Is Data Privacy A Fundamental Right In India?: An Analysis And Recommendations From Policy And Legal Perspective.”</w:t>
      </w:r>
      <w:r w:rsidRPr="004D747E">
        <w:rPr>
          <w:rFonts w:ascii="Times New Roman" w:hAnsi="Times New Roman" w:cs="Times New Roman"/>
        </w:rPr>
        <w:fldChar w:fldCharType="end"/>
      </w:r>
    </w:p>
  </w:footnote>
  <w:footnote w:id="28">
    <w:p w14:paraId="5F338D25"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{"citationItems":[{"id":"ITEM-1","itemData":{"abstract":"The increasing number of FinTech services provided by newcomer start-ups, traditional financial institutions and big tech companies can bring new competition challenges to the playing field. Some factors can result in anticompetitive behaviours, namely the network effects derived from the use of online platforms, the access to customer data, standardisation, interoperability and the use of algorithms. Combined with a service-by-service analysis, the study provides both, descriptive analysis and normative tools to anticipate and manage anticompetitive behaviours as they occur. This document was provided by Policy Department A at the request of the ECON Committee.","author":[{"dropping-particle":"","family":"Fraile Carmona","given":"A","non-dropping-particle":"","parse-names":false,"suffix":""},{"dropping-particle":"","family":"González-quel Lombardo","given":"A","non-dropping-particle":"","parse-names":false,"suffix":""},{"dropping-particle":"","family":"Rivera Pastor","given":"R","non-dropping-particle":"","parse-names":false,"suffix":""},{"dropping-particle":"","family":"Tarín Quirós","given":"C","non-dropping-particle":"","parse-names":false,"suffix":""},{"dropping-particle":"","family":"Villar García","given":"J P","non-dropping-particle":"","parse-names":false,"suffix":""},{"dropping-particle":"","family":"Ramos Muñoz","given":"D","non-dropping-particle":"","parse-names":false,"suffix":""},{"dropping-particle":"","family":"Castejón Martín","given":"L","non-dropping-particle":"","parse-names":false,"suffix":""}],"container-title":"European Parliament Study","id":"ITEM-1","issue":"July","issued":{"date-parts":[["2018"]]},"title":"Competition issues in the Area of Financial Technology (FinTech) Policy Department for Economic, Scientific and Quality of Life Policies","type":"article-journal"},"uris":["http://www.mendeley.com/documents/?uuid=80d3fad8-d5fb-46a9-ba34-1c5b12794160"]}],"mendeley":{"formattedCitation":"A Fraile Carmona et al., “Competition Issues in the Area of Financial Technology (FinTech) Policy Department for Economic, Scientific and Quality of Life Policies,” &lt;i&gt;European Parliament Study&lt;/i&gt;, no. July (2018).","manualFormatting":"Alberto Fraile Carmona, Agustin Gonzalez-Quel Lombardo, Rafael Rivera Pastor, Carlota Tarin Quiros, Juan Pablo Villar Garcia, David Ramos Munoz, Luis Castejón Martin, (2018). Competition Issues In The Area Of ﬁnancial Technology (ﬁntech), Directorate General For Internal Policies Policy Department A: Economic And Scientiﬁc Policy”, Working Paper, Directorate General For Internal Policies Policy Department A: Economic And Scientiﬁc Policy, European Parliament, Juli 2018.","plainTextFormattedCitation":"A Fraile Carmona et al., “Competition Issues in the Area of Financial Technology (FinTech) Policy Department for Economic, Scientific and Quality of Life Policies,” European Parliament Study, no. July (2018).","previouslyFormattedCitation":"[14]"},"properties":{"noteIndex":28},"schema":"https://github.com/citation-style-language/schema/raw/master/csl-citation.json"}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Alberto Fraile Carmona, Agustin Gonzalez-Quel Lombardo, Rafael Rivera Pastor, Carlota Tarin Quiros, Juan Pablo Villar Garcia, David Ramos Munoz, Luis Castejón Martin, (2018). Competition Issues In The Area Of ﬁnancial Technology (ﬁntech), Directorate General For Internal Policies Policy Department A: Economic And Scientiﬁc Policy”, Working Paper, Directorate General For Internal Policies Policy Department A: Economic And Scientiﬁc Policy, European Parliament, Juli 2018.</w:t>
      </w:r>
      <w:r w:rsidRPr="004D747E">
        <w:rPr>
          <w:rFonts w:ascii="Times New Roman" w:hAnsi="Times New Roman" w:cs="Times New Roman"/>
        </w:rPr>
        <w:fldChar w:fldCharType="end"/>
      </w:r>
    </w:p>
  </w:footnote>
  <w:footnote w:id="29">
    <w:p w14:paraId="57BA9F67"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{"citationItems":[{"id":"ITEM-1","itemData":{"DOI":"10.1177/0027950111411368","ISSN":"00279501","abstract":"Abstract: Regulatory change and technological developments following the 2008 Global Financial Crisis are changing the nature of financial markets, services, and institutions. At the juncture of these phenomena lies regulatory technology or “RegTech”—the use of technology, particularly information technology, in the context of regulatory monitoring, reporting, and compliance. Regulating rapidly transforming financial systems requires increasing the use of and reliance on RegTech. Whilst the principal regulatory objectives (e.g., financial stability, prudential safety and soundness, consumer protection and market integrity, and market competition and development) remain, their means of application are increasingly inadequate. RegTech developments are leading towards a paradigm shift necessitating the reconceptualization of financial regulation. RegTech to date has focused on the digitization of manual reporting and compliance processes. This offers tremendous cost savings to the financial services industry and regulators. However, the potential of RegTech is far greater – it has the potential to enable a nearly real-time and proportionate regulatory regime that identifies and addresses risk while facilitating more efficient regulatory compliance. We argue that the transformative nature of technology will only be captured by a new approach at the nexus of data, digital identity, and regulation. This paper seeks to expose the inadequacy of digitizing analogue processes in a digital financial world, sets the foundation for a practical understanding of RegTech, and proposes sequenced reforms that could benefit regulators, industry, and entrepreneurs in the financial sector and other industries","author":[{"dropping-particle":"","family":"Douglas W. Arner","given":"Jànos Barberis &amp; Ross P. Buckley.","non-dropping-particle":"","parse-names":false,"suffix":""}],"container-title":"National Institute Economic Review","id":"ITEM-1","issue":"3","issued":{"date-parts":[["2017"]]},"title":"FinTech, RegTech, and the Reconceptualization of Financial Regulation","type":"article-journal","volume":"37"},"uris":["http://www.mendeley.com/documents/?uuid=8bbab8a8-cc88-42f1-9788-9a6d465b2d95"]}],"mendeley":{"formattedCitation":"Jànos Barberis &amp; Ross P. Buckley. Douglas W. Arner, “FinTech, RegTech, and the Reconceptualization of Financial Regulation,” &lt;i&gt;National Institute Economic Review&lt;/i&gt; 37, no. 3 (2017), https://doi.org/10.1177/0027950111411368.","manualFormatting":"Jànos Barberis &amp; Ross P. Buckley. Douglas W. Arner, “Fintech, Regtech, And The Reconceptualization Of Financial Regulation,” National Institute Economic Review 37, No. 3 (2017), Https://Doi.Org/10.1177/0027950111411368.","plainTextFormattedCitation":"Jànos Barberis &amp; Ross P. Buckley. Douglas W. Arner, “FinTech, RegTech, and the Reconceptualization of Financial Regulation,” National Institute Economic Review 37, no. 3 (2017), https://doi.org/10.1177/0027950111411368.","previouslyFormattedCitation":"[15]"},"properties":{"noteIndex":29},"schema":"https://github.com/citation-style-language/schema/raw/master/csl-citation.json"}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Jànos Barberis &amp; Ross P. Buckley. Douglas W. Arner, “Fintech, Regtech, And The Reconceptualization Of Financial Regulation,” National Institute Economic Review 37, No. 3 (2017), Https://Doi.Org/10.1177/0027950111411368.</w:t>
      </w:r>
      <w:r w:rsidRPr="004D747E">
        <w:rPr>
          <w:rFonts w:ascii="Times New Roman" w:hAnsi="Times New Roman" w:cs="Times New Roman"/>
        </w:rPr>
        <w:fldChar w:fldCharType="end"/>
      </w:r>
    </w:p>
  </w:footnote>
  <w:footnote w:id="30">
    <w:p w14:paraId="2D821FE4"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{"citationItems":[{"id":"ITEM-1","itemData":{"DOI":"10.35808/ersj/757","ISSN":"11082976","abstract":"There is a growing competition between banks and fintech not only in advanced economies, but also in the emerging markets. However, it is yet to be observed in Latvia to the same extent. This paper aims to evaluate fintech's level of development in Latvia compared to Europe. The paper identifies financial services using innovative technologies offered by fintech companies, analyses the advantages and disadvantages of these services in comparison with services offered by the traditional financial sector companies (banks, insurance companies, institutions involved in asset management and investment, etc.), and evaluates how prepared are consumers to use fintech services. This paper documents the results of the survey aiming to clarify how well-informed consumers in Latvia are about fintech services, their convenience, speed and safety, as well as the consumers' current satisfaction with banking services. The hypothesis of this paper is that Latvian society is not ready to use services provided by fintech, but prefers banking services instead. Survey results provide some evidence in favour of this hypothesis: they show that respondents are generally unaware about fintech services in Latvia and their associated innovations and new financial products. This paper makes several recommendations for managers of fintech enterprises, association of start-up enterprises and risk capital funds as well as state institutions.","author":[{"dropping-particle":"","family":"Saksonova","given":"Svetlana","non-dropping-particle":"","parse-names":false,"suffix":""},{"dropping-particle":"","family":"Kuzmina-Merlino","given":"Irina","non-dropping-particle":"","parse-names":false,"suffix":""}],"container-title":"European Research Studies Journal","id":"ITEM-1","issue":"3","issued":{"date-parts":[["2017"]]},"page":"961-973","title":"Fintech as financial innovation - The possibilities and problems of implementation","type":"article-journal","volume":"20"},"uris":["http://www.mendeley.com/documents/?uuid=66b8ca05-e568-49e1-be1e-3e02c3265364"]}],"mendeley":{"formattedCitation":"Svetlana Saksonova and Irina Kuzmina-Merlino, “Fintech as Financial Innovation - The Possibilities and Problems of Implementation,” &lt;i&gt;European Research Studies Journal&lt;/i&gt; 20, no. 3 (2017): 961–73, https://doi.org/10.35808/ersj/757.","manualFormatting":"Svetlana Saksonova And Irina Kuzmina-Merlino, “Fintech As Financial Innovation - The Possibilities And Problems Of Implementation,” European Research Studies Journal 20, No. 3 (2017): 961–73, Https://Doi.Org/10.35808/Ersj/757.","plainTextFormattedCitation":"Svetlana Saksonova and Irina Kuzmina-Merlino, “Fintech as Financial Innovation - The Possibilities and Problems of Implementation,” European Research Studies Journal 20, no. 3 (2017): 961–73, https://doi.org/10.35808/ersj/757.","previouslyFormattedCitation":"[16]"},"properties":{"noteIndex":30},"schema":"https://github.com/citation-style-language/schema/raw/master/csl-citation.json"}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Svetlana Saksonova And Irina Kuzmina-Merlino, “Fintech As Financial Innovation - The Possibilities And Problems Of Implementation,” European Research Studies Journal 20, No. 3 (2017): 961–73, Https://Doi.Org/10.35808/Ersj/757.</w:t>
      </w:r>
      <w:r w:rsidRPr="004D747E">
        <w:rPr>
          <w:rFonts w:ascii="Times New Roman" w:hAnsi="Times New Roman" w:cs="Times New Roman"/>
        </w:rPr>
        <w:fldChar w:fldCharType="end"/>
      </w:r>
    </w:p>
  </w:footnote>
  <w:footnote w:id="31">
    <w:p w14:paraId="740E2FC3" w14:textId="77777777" w:rsidR="00424260" w:rsidRPr="004D747E" w:rsidRDefault="00424260" w:rsidP="003C05E3">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{"citationItems":[{"id":"ITEM-1","itemData":{"abstract":"Effective financial regulation is clearly crucial to innovation and the future success of the financial services industry and, in specific, FinTech.1 There are also unprecedented opportunities for reforming regulation and also creating new businesses in the process. Examples include: using “big data” regulatory online reporting and analytics to streamline reporting; and stimulating a new generation of “RegTech” companies to provide the regulatory/compliance software. This paper reviews the current regulatory pressures faced by the financial services industry, and discusses new “big data” approaches to regulating financial companies. Three actions are highlighted: a) an open-source platform for FinTech regulation, b) a regulatory XML to help standardize reporting and c) an overarching international standards body. Lastly, we examine responses by the U.K. Financial Conduct Authority (FCA), such as Project Innovate.2 1 FinTech: Financial technology is a line of business based on using software to provide financial services, such as peer-to-peer and crowdsourced services. 2 Financial Conduct Authority, Project Innovate, https://innovate.fca.org.uk/","author":[{"dropping-particle":"","family":"Treleaven","given":"Philip","non-dropping-particle":"","parse-names":false,"suffix":""}],"container-title":"Journal of Financial Perspectives","id":"ITEM-1","issue":"3","issued":{"date-parts":[["2015"]]},"page":"114-121","title":"Financial regulation of FinTech","type":"article-journal","volume":"3"},"uris":["http://www.mendeley.com/documents/?uuid=132638b5-9d92-4510-81b0-9e11123e3048"]}],"mendeley":{"formattedCitation":"Philip Treleaven, “Financial Regulation of FinTech,” &lt;i&gt;Journal of Financial Perspectives&lt;/i&gt; 3, no. 3 (2015): 114–21.","manualFormatting":"Philip Treleaven, “Financial Regulation Of Fintech,” Journal Of Financial Perspectives 3, No. 3 (2015): 114–21.","plainTextFormattedCitation":"Philip Treleaven, “Financial Regulation of FinTech,” Journal of Financial Perspectives 3, no. 3 (2015): 114–21.","previouslyFormattedCitation":"[17]"},"properties":{"noteIndex":31},"schema":"https://github.com/citation-style-language/schema/raw/master/csl-citation.json"}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bCs/>
          <w:noProof/>
        </w:rPr>
        <w:t>Philip Treleaven, “Financial Regulation Of Fintech,” Journal Of Financial Perspectives 3, No. 3 (2015): 114–21.</w:t>
      </w:r>
      <w:r w:rsidRPr="004D747E">
        <w:rPr>
          <w:rFonts w:ascii="Times New Roman" w:hAnsi="Times New Roman" w:cs="Times New Roman"/>
        </w:rPr>
        <w:fldChar w:fldCharType="end"/>
      </w:r>
    </w:p>
  </w:footnote>
  <w:footnote w:id="32">
    <w:p w14:paraId="7F84709D"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Soerjono</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Soekanto</w:t>
      </w:r>
      <w:proofErr w:type="spellEnd"/>
      <w:r w:rsidRPr="004D747E">
        <w:rPr>
          <w:rFonts w:ascii="Times New Roman" w:hAnsi="Times New Roman" w:cs="Times New Roman"/>
        </w:rPr>
        <w:t xml:space="preserve">, (2012), </w:t>
      </w:r>
      <w:proofErr w:type="spellStart"/>
      <w:r w:rsidRPr="004D747E">
        <w:rPr>
          <w:rFonts w:ascii="Times New Roman" w:hAnsi="Times New Roman" w:cs="Times New Roman"/>
        </w:rPr>
        <w:t>Pengantar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Penelitian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Jakarta: </w:t>
      </w:r>
      <w:proofErr w:type="spellStart"/>
      <w:r w:rsidRPr="004D747E">
        <w:rPr>
          <w:rFonts w:ascii="Times New Roman" w:hAnsi="Times New Roman" w:cs="Times New Roman"/>
        </w:rPr>
        <w:t>Universitas</w:t>
      </w:r>
      <w:proofErr w:type="spellEnd"/>
      <w:r w:rsidRPr="004D747E">
        <w:rPr>
          <w:rFonts w:ascii="Times New Roman" w:hAnsi="Times New Roman" w:cs="Times New Roman"/>
        </w:rPr>
        <w:t xml:space="preserve"> Indonesia Press, Hal. 5</w:t>
      </w:r>
    </w:p>
  </w:footnote>
  <w:footnote w:id="33">
    <w:p w14:paraId="2B80D2FA"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Rahmayani</w:t>
      </w:r>
      <w:proofErr w:type="spellEnd"/>
      <w:r w:rsidRPr="004D747E">
        <w:rPr>
          <w:rFonts w:ascii="Times New Roman" w:hAnsi="Times New Roman" w:cs="Times New Roman"/>
        </w:rPr>
        <w:t xml:space="preserve">, N. 92018) </w:t>
      </w:r>
      <w:proofErr w:type="spellStart"/>
      <w:r w:rsidRPr="004D747E">
        <w:rPr>
          <w:rFonts w:ascii="Times New Roman" w:hAnsi="Times New Roman" w:cs="Times New Roman"/>
        </w:rPr>
        <w:t>Tinjauan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Terkait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Pengawasan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Peruusahaan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berbasis</w:t>
      </w:r>
      <w:proofErr w:type="spellEnd"/>
      <w:r w:rsidRPr="004D747E">
        <w:rPr>
          <w:rFonts w:ascii="Times New Roman" w:hAnsi="Times New Roman" w:cs="Times New Roman"/>
        </w:rPr>
        <w:t xml:space="preserve"> Financial technology di Indonesia.</w:t>
      </w:r>
      <w:proofErr w:type="gramEnd"/>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Pagaruyuan</w:t>
      </w:r>
      <w:proofErr w:type="spellEnd"/>
      <w:r w:rsidRPr="004D747E">
        <w:rPr>
          <w:rFonts w:ascii="Times New Roman" w:hAnsi="Times New Roman" w:cs="Times New Roman"/>
        </w:rPr>
        <w:t xml:space="preserve"> Law Journal.</w:t>
      </w:r>
      <w:proofErr w:type="gramEnd"/>
      <w:r w:rsidRPr="004D747E">
        <w:rPr>
          <w:rFonts w:ascii="Times New Roman" w:hAnsi="Times New Roman" w:cs="Times New Roman"/>
        </w:rPr>
        <w:t xml:space="preserve"> </w:t>
      </w:r>
      <w:proofErr w:type="gramStart"/>
      <w:r w:rsidRPr="004D747E">
        <w:rPr>
          <w:rFonts w:ascii="Times New Roman" w:hAnsi="Times New Roman" w:cs="Times New Roman"/>
        </w:rPr>
        <w:t>Vol. 2 No. 1 Hal.</w:t>
      </w:r>
      <w:proofErr w:type="gramEnd"/>
      <w:r w:rsidRPr="004D747E">
        <w:rPr>
          <w:rFonts w:ascii="Times New Roman" w:hAnsi="Times New Roman" w:cs="Times New Roman"/>
        </w:rPr>
        <w:t xml:space="preserve"> 24-41.</w:t>
      </w:r>
    </w:p>
  </w:footnote>
  <w:footnote w:id="34">
    <w:p w14:paraId="082A89BB"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Lihat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Pasal</w:t>
      </w:r>
      <w:proofErr w:type="spellEnd"/>
      <w:r w:rsidRPr="004D747E">
        <w:rPr>
          <w:rFonts w:ascii="Times New Roman" w:hAnsi="Times New Roman" w:cs="Times New Roman"/>
        </w:rPr>
        <w:t xml:space="preserve"> 47 </w:t>
      </w:r>
      <w:proofErr w:type="spellStart"/>
      <w:r w:rsidRPr="004D747E">
        <w:rPr>
          <w:rFonts w:ascii="Times New Roman" w:hAnsi="Times New Roman" w:cs="Times New Roman"/>
        </w:rPr>
        <w:t>Ayat</w:t>
      </w:r>
      <w:proofErr w:type="spellEnd"/>
      <w:r w:rsidRPr="004D747E">
        <w:rPr>
          <w:rFonts w:ascii="Times New Roman" w:hAnsi="Times New Roman" w:cs="Times New Roman"/>
        </w:rPr>
        <w:t xml:space="preserve"> 1 </w:t>
      </w:r>
      <w:proofErr w:type="spellStart"/>
      <w:r w:rsidRPr="004D747E">
        <w:rPr>
          <w:rFonts w:ascii="Times New Roman" w:hAnsi="Times New Roman" w:cs="Times New Roman"/>
        </w:rPr>
        <w:t>Peraturan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Otoritas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Keuangan</w:t>
      </w:r>
      <w:proofErr w:type="spellEnd"/>
      <w:r w:rsidRPr="004D747E">
        <w:rPr>
          <w:rFonts w:ascii="Times New Roman" w:hAnsi="Times New Roman" w:cs="Times New Roman"/>
        </w:rPr>
        <w:t xml:space="preserve"> No. 77/POJK.01/2016 </w:t>
      </w:r>
      <w:proofErr w:type="spellStart"/>
      <w:r w:rsidRPr="004D747E">
        <w:rPr>
          <w:rFonts w:ascii="Times New Roman" w:hAnsi="Times New Roman" w:cs="Times New Roman"/>
        </w:rPr>
        <w:t>tentang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Layanan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Pinjma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Meminjam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berbasis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Teknologi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Informasi</w:t>
      </w:r>
      <w:proofErr w:type="spellEnd"/>
      <w:r w:rsidRPr="004D747E">
        <w:rPr>
          <w:rFonts w:ascii="Times New Roman" w:hAnsi="Times New Roman" w:cs="Times New Roman"/>
        </w:rPr>
        <w:t>.</w:t>
      </w:r>
      <w:proofErr w:type="gramEnd"/>
    </w:p>
  </w:footnote>
  <w:footnote w:id="35">
    <w:p w14:paraId="62F2744B" w14:textId="77777777" w:rsidR="00424260" w:rsidRPr="004D747E" w:rsidRDefault="00424260" w:rsidP="00424260">
      <w:pPr>
        <w:spacing w:after="0"/>
        <w:ind w:firstLine="720"/>
        <w:jc w:val="both"/>
        <w:rPr>
          <w:rFonts w:eastAsia="Times New Roman" w:cs="Times New Roman"/>
          <w:sz w:val="20"/>
          <w:szCs w:val="20"/>
        </w:rPr>
      </w:pPr>
      <w:r w:rsidRPr="004D747E">
        <w:rPr>
          <w:rStyle w:val="FootnoteReference"/>
          <w:rFonts w:cs="Times New Roman"/>
          <w:sz w:val="20"/>
          <w:szCs w:val="20"/>
        </w:rPr>
        <w:footnoteRef/>
      </w:r>
      <w:r w:rsidRPr="004D747E">
        <w:rPr>
          <w:rFonts w:cs="Times New Roman"/>
          <w:sz w:val="20"/>
          <w:szCs w:val="20"/>
        </w:rPr>
        <w:t xml:space="preserve"> </w:t>
      </w:r>
      <w:r w:rsidRPr="004D747E">
        <w:rPr>
          <w:rFonts w:eastAsia="Times New Roman" w:cs="Times New Roman"/>
          <w:sz w:val="20"/>
          <w:szCs w:val="20"/>
        </w:rPr>
        <w:t xml:space="preserve">Akbar, C. (2019). </w:t>
      </w:r>
      <w:proofErr w:type="spellStart"/>
      <w:proofErr w:type="gramStart"/>
      <w:r w:rsidRPr="004D747E">
        <w:rPr>
          <w:rFonts w:eastAsia="Times New Roman" w:cs="Times New Roman"/>
          <w:sz w:val="20"/>
          <w:szCs w:val="20"/>
        </w:rPr>
        <w:t>Lagi</w:t>
      </w:r>
      <w:proofErr w:type="spellEnd"/>
      <w:r w:rsidRPr="004D747E">
        <w:rPr>
          <w:rFonts w:eastAsia="Times New Roman" w:cs="Times New Roman"/>
          <w:sz w:val="20"/>
          <w:szCs w:val="20"/>
        </w:rPr>
        <w:t xml:space="preserve">, OJK </w:t>
      </w:r>
      <w:proofErr w:type="spellStart"/>
      <w:r w:rsidRPr="004D747E">
        <w:rPr>
          <w:rFonts w:eastAsia="Times New Roman" w:cs="Times New Roman"/>
          <w:sz w:val="20"/>
          <w:szCs w:val="20"/>
        </w:rPr>
        <w:t>Temukan</w:t>
      </w:r>
      <w:proofErr w:type="spellEnd"/>
      <w:r w:rsidRPr="004D747E">
        <w:rPr>
          <w:rFonts w:eastAsia="Times New Roman" w:cs="Times New Roman"/>
          <w:sz w:val="20"/>
          <w:szCs w:val="20"/>
        </w:rPr>
        <w:t xml:space="preserve"> 297 </w:t>
      </w:r>
      <w:proofErr w:type="spellStart"/>
      <w:r w:rsidRPr="004D747E">
        <w:rPr>
          <w:rFonts w:eastAsia="Times New Roman" w:cs="Times New Roman"/>
          <w:sz w:val="20"/>
          <w:szCs w:val="20"/>
        </w:rPr>
        <w:t>Layanan</w:t>
      </w:r>
      <w:proofErr w:type="spellEnd"/>
      <w:r w:rsidRPr="004D747E">
        <w:rPr>
          <w:rFonts w:eastAsia="Times New Roman" w:cs="Times New Roman"/>
          <w:sz w:val="20"/>
          <w:szCs w:val="20"/>
        </w:rPr>
        <w:t xml:space="preserve"> </w:t>
      </w:r>
      <w:proofErr w:type="spellStart"/>
      <w:r w:rsidRPr="004D747E">
        <w:rPr>
          <w:rFonts w:eastAsia="Times New Roman" w:cs="Times New Roman"/>
          <w:sz w:val="20"/>
          <w:szCs w:val="20"/>
        </w:rPr>
        <w:t>Pinjaman</w:t>
      </w:r>
      <w:proofErr w:type="spellEnd"/>
      <w:r w:rsidRPr="004D747E">
        <w:rPr>
          <w:rFonts w:eastAsia="Times New Roman" w:cs="Times New Roman"/>
          <w:sz w:val="20"/>
          <w:szCs w:val="20"/>
        </w:rPr>
        <w:t xml:space="preserve"> Online </w:t>
      </w:r>
      <w:proofErr w:type="spellStart"/>
      <w:r w:rsidRPr="004D747E">
        <w:rPr>
          <w:rFonts w:eastAsia="Times New Roman" w:cs="Times New Roman"/>
          <w:sz w:val="20"/>
          <w:szCs w:val="20"/>
        </w:rPr>
        <w:t>Ilegal</w:t>
      </w:r>
      <w:proofErr w:type="spellEnd"/>
      <w:r w:rsidRPr="004D747E">
        <w:rPr>
          <w:rFonts w:eastAsia="Times New Roman" w:cs="Times New Roman"/>
          <w:sz w:val="20"/>
          <w:szCs w:val="20"/>
        </w:rPr>
        <w:t>.</w:t>
      </w:r>
      <w:proofErr w:type="gramEnd"/>
      <w:r w:rsidRPr="004D747E">
        <w:rPr>
          <w:rFonts w:eastAsia="Times New Roman" w:cs="Times New Roman"/>
          <w:sz w:val="20"/>
          <w:szCs w:val="20"/>
        </w:rPr>
        <w:t xml:space="preserve"> Retrieved from https://bisnis.tempo.co/read/1266896/lagi-ojk-temukan-297-layanan-pinjaman-online-ilegal</w:t>
      </w:r>
    </w:p>
    <w:p w14:paraId="0A644547" w14:textId="77777777" w:rsidR="00424260" w:rsidRPr="004D747E" w:rsidRDefault="00424260" w:rsidP="00424260">
      <w:pPr>
        <w:pStyle w:val="FootnoteText"/>
        <w:spacing w:after="0"/>
        <w:ind w:firstLine="720"/>
        <w:jc w:val="both"/>
        <w:rPr>
          <w:rFonts w:ascii="Times New Roman" w:hAnsi="Times New Roman" w:cs="Times New Roman"/>
        </w:rPr>
      </w:pPr>
    </w:p>
  </w:footnote>
  <w:footnote w:id="36">
    <w:p w14:paraId="43C27B13"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Data </w:t>
      </w:r>
      <w:proofErr w:type="spellStart"/>
      <w:r w:rsidRPr="004D747E">
        <w:rPr>
          <w:rFonts w:ascii="Times New Roman" w:hAnsi="Times New Roman" w:cs="Times New Roman"/>
        </w:rPr>
        <w:t>Fintech</w:t>
      </w:r>
      <w:proofErr w:type="spellEnd"/>
      <w:r w:rsidRPr="004D747E">
        <w:rPr>
          <w:rFonts w:ascii="Times New Roman" w:hAnsi="Times New Roman" w:cs="Times New Roman"/>
        </w:rPr>
        <w:t xml:space="preserve"> illegal, </w:t>
      </w:r>
      <w:proofErr w:type="spellStart"/>
      <w:r w:rsidRPr="004D747E">
        <w:rPr>
          <w:rFonts w:ascii="Times New Roman" w:hAnsi="Times New Roman" w:cs="Times New Roman"/>
        </w:rPr>
        <w:t>Berdasarkan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Rilisan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Otoritas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Keuangan</w:t>
      </w:r>
      <w:proofErr w:type="spellEnd"/>
      <w:r w:rsidRPr="004D747E">
        <w:rPr>
          <w:rFonts w:ascii="Times New Roman" w:hAnsi="Times New Roman" w:cs="Times New Roman"/>
        </w:rPr>
        <w:t xml:space="preserve"> </w:t>
      </w:r>
      <w:proofErr w:type="gramStart"/>
      <w:r w:rsidRPr="004D747E">
        <w:rPr>
          <w:rFonts w:ascii="Times New Roman" w:hAnsi="Times New Roman" w:cs="Times New Roman"/>
        </w:rPr>
        <w:t>Per</w:t>
      </w:r>
      <w:proofErr w:type="gramEnd"/>
      <w:r w:rsidRPr="004D747E">
        <w:rPr>
          <w:rFonts w:ascii="Times New Roman" w:hAnsi="Times New Roman" w:cs="Times New Roman"/>
        </w:rPr>
        <w:t xml:space="preserve"> 4 Mei 2021. </w:t>
      </w:r>
      <w:proofErr w:type="gramStart"/>
      <w:r w:rsidRPr="004D747E">
        <w:rPr>
          <w:rFonts w:ascii="Times New Roman" w:hAnsi="Times New Roman" w:cs="Times New Roman"/>
        </w:rPr>
        <w:t xml:space="preserve">https://www.ojk.go.id/id/Default.aspx   Di </w:t>
      </w:r>
      <w:proofErr w:type="spellStart"/>
      <w:r w:rsidRPr="004D747E">
        <w:rPr>
          <w:rFonts w:ascii="Times New Roman" w:hAnsi="Times New Roman" w:cs="Times New Roman"/>
        </w:rPr>
        <w:t>Akses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Pada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tanggal</w:t>
      </w:r>
      <w:proofErr w:type="spellEnd"/>
      <w:r w:rsidRPr="004D747E">
        <w:rPr>
          <w:rFonts w:ascii="Times New Roman" w:hAnsi="Times New Roman" w:cs="Times New Roman"/>
        </w:rPr>
        <w:t xml:space="preserve"> 24 </w:t>
      </w:r>
      <w:proofErr w:type="spellStart"/>
      <w:r w:rsidRPr="004D747E">
        <w:rPr>
          <w:rFonts w:ascii="Times New Roman" w:hAnsi="Times New Roman" w:cs="Times New Roman"/>
        </w:rPr>
        <w:t>Juni</w:t>
      </w:r>
      <w:proofErr w:type="spellEnd"/>
      <w:r w:rsidRPr="004D747E">
        <w:rPr>
          <w:rFonts w:ascii="Times New Roman" w:hAnsi="Times New Roman" w:cs="Times New Roman"/>
        </w:rPr>
        <w:t xml:space="preserve"> 2021.</w:t>
      </w:r>
      <w:proofErr w:type="gramEnd"/>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Pukul</w:t>
      </w:r>
      <w:proofErr w:type="spellEnd"/>
      <w:r w:rsidRPr="004D747E">
        <w:rPr>
          <w:rFonts w:ascii="Times New Roman" w:hAnsi="Times New Roman" w:cs="Times New Roman"/>
        </w:rPr>
        <w:t xml:space="preserve"> 11.</w:t>
      </w:r>
      <w:proofErr w:type="gramEnd"/>
      <w:r w:rsidRPr="004D747E">
        <w:rPr>
          <w:rFonts w:ascii="Times New Roman" w:hAnsi="Times New Roman" w:cs="Times New Roman"/>
        </w:rPr>
        <w:t xml:space="preserve"> </w:t>
      </w:r>
      <w:proofErr w:type="gramStart"/>
      <w:r w:rsidRPr="004D747E">
        <w:rPr>
          <w:rFonts w:ascii="Times New Roman" w:hAnsi="Times New Roman" w:cs="Times New Roman"/>
        </w:rPr>
        <w:t xml:space="preserve">00 </w:t>
      </w:r>
      <w:proofErr w:type="spellStart"/>
      <w:r w:rsidRPr="004D747E">
        <w:rPr>
          <w:rFonts w:ascii="Times New Roman" w:hAnsi="Times New Roman" w:cs="Times New Roman"/>
        </w:rPr>
        <w:t>Wita</w:t>
      </w:r>
      <w:proofErr w:type="spellEnd"/>
      <w:r w:rsidRPr="004D747E">
        <w:rPr>
          <w:rFonts w:ascii="Times New Roman" w:hAnsi="Times New Roman" w:cs="Times New Roman"/>
        </w:rPr>
        <w:t>.</w:t>
      </w:r>
      <w:proofErr w:type="gramEnd"/>
    </w:p>
  </w:footnote>
  <w:footnote w:id="37">
    <w:p w14:paraId="16F87048"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Haryani</w:t>
      </w:r>
      <w:proofErr w:type="spellEnd"/>
      <w:r w:rsidRPr="004D747E">
        <w:rPr>
          <w:rFonts w:ascii="Times New Roman" w:hAnsi="Times New Roman" w:cs="Times New Roman"/>
        </w:rPr>
        <w:t>, I, (2017).</w:t>
      </w:r>
      <w:proofErr w:type="gramEnd"/>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penyelesaian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Sengketa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Bisnis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PM-</w:t>
      </w:r>
      <w:proofErr w:type="spellStart"/>
      <w:r w:rsidRPr="004D747E">
        <w:rPr>
          <w:rFonts w:ascii="Times New Roman" w:hAnsi="Times New Roman" w:cs="Times New Roman"/>
        </w:rPr>
        <w:t>Tekfin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i/>
        </w:rPr>
        <w:t>jurnal</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Legislasi</w:t>
      </w:r>
      <w:proofErr w:type="spellEnd"/>
      <w:r w:rsidRPr="004D747E">
        <w:rPr>
          <w:rFonts w:ascii="Times New Roman" w:hAnsi="Times New Roman" w:cs="Times New Roman"/>
          <w:i/>
        </w:rPr>
        <w:t xml:space="preserve"> Indonesia, </w:t>
      </w:r>
      <w:r w:rsidRPr="004D747E">
        <w:rPr>
          <w:rFonts w:ascii="Times New Roman" w:hAnsi="Times New Roman" w:cs="Times New Roman"/>
        </w:rPr>
        <w:t>Vol. 14 No. 3.</w:t>
      </w:r>
      <w:proofErr w:type="gramEnd"/>
      <w:r w:rsidRPr="004D747E">
        <w:rPr>
          <w:rFonts w:ascii="Times New Roman" w:hAnsi="Times New Roman" w:cs="Times New Roman"/>
        </w:rPr>
        <w:t xml:space="preserve"> </w:t>
      </w:r>
      <w:proofErr w:type="gramStart"/>
      <w:r w:rsidRPr="004D747E">
        <w:rPr>
          <w:rFonts w:ascii="Times New Roman" w:hAnsi="Times New Roman" w:cs="Times New Roman"/>
        </w:rPr>
        <w:t>Hal.</w:t>
      </w:r>
      <w:proofErr w:type="gramEnd"/>
      <w:r w:rsidRPr="004D747E">
        <w:rPr>
          <w:rFonts w:ascii="Times New Roman" w:hAnsi="Times New Roman" w:cs="Times New Roman"/>
        </w:rPr>
        <w:t xml:space="preserve"> 345-358</w:t>
      </w:r>
    </w:p>
  </w:footnote>
  <w:footnote w:id="38">
    <w:p w14:paraId="53F82E9B"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Basrowi</w:t>
      </w:r>
      <w:proofErr w:type="spellEnd"/>
      <w:r w:rsidRPr="004D747E">
        <w:rPr>
          <w:rFonts w:ascii="Times New Roman" w:hAnsi="Times New Roman" w:cs="Times New Roman"/>
        </w:rPr>
        <w:t>.</w:t>
      </w:r>
      <w:proofErr w:type="gramEnd"/>
      <w:r w:rsidRPr="004D747E">
        <w:rPr>
          <w:rFonts w:ascii="Times New Roman" w:hAnsi="Times New Roman" w:cs="Times New Roman"/>
        </w:rPr>
        <w:t xml:space="preserve"> </w:t>
      </w:r>
      <w:proofErr w:type="gramStart"/>
      <w:r w:rsidRPr="004D747E">
        <w:rPr>
          <w:rFonts w:ascii="Times New Roman" w:hAnsi="Times New Roman" w:cs="Times New Roman"/>
        </w:rPr>
        <w:t xml:space="preserve">(2019). </w:t>
      </w:r>
      <w:proofErr w:type="spellStart"/>
      <w:r w:rsidRPr="004D747E">
        <w:rPr>
          <w:rFonts w:ascii="Times New Roman" w:hAnsi="Times New Roman" w:cs="Times New Roman"/>
        </w:rPr>
        <w:t>Analisis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Aspek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Upaya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Fintech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Syariah</w:t>
      </w:r>
      <w:proofErr w:type="spellEnd"/>
      <w:r w:rsidRPr="004D747E">
        <w:rPr>
          <w:rFonts w:ascii="Times New Roman" w:hAnsi="Times New Roman" w:cs="Times New Roman"/>
        </w:rPr>
        <w:t>.</w:t>
      </w:r>
      <w:proofErr w:type="gramEnd"/>
      <w:r w:rsidRPr="004D747E">
        <w:rPr>
          <w:rFonts w:ascii="Times New Roman" w:hAnsi="Times New Roman" w:cs="Times New Roman"/>
        </w:rPr>
        <w:t xml:space="preserve"> </w:t>
      </w:r>
      <w:proofErr w:type="spellStart"/>
      <w:r w:rsidRPr="004D747E">
        <w:rPr>
          <w:rFonts w:ascii="Times New Roman" w:hAnsi="Times New Roman" w:cs="Times New Roman"/>
        </w:rPr>
        <w:t>Jurnal</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i/>
        </w:rPr>
        <w:t>lex</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Librum</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rPr>
        <w:t>jurnal</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Ilmu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Vol. </w:t>
      </w:r>
      <w:proofErr w:type="gramStart"/>
      <w:r w:rsidRPr="004D747E">
        <w:rPr>
          <w:rFonts w:ascii="Times New Roman" w:hAnsi="Times New Roman" w:cs="Times New Roman"/>
        </w:rPr>
        <w:t>5.,</w:t>
      </w:r>
      <w:proofErr w:type="gramEnd"/>
      <w:r w:rsidRPr="004D747E">
        <w:rPr>
          <w:rFonts w:ascii="Times New Roman" w:hAnsi="Times New Roman" w:cs="Times New Roman"/>
        </w:rPr>
        <w:t xml:space="preserve"> No. 2. </w:t>
      </w:r>
      <w:proofErr w:type="gramStart"/>
      <w:r w:rsidRPr="004D747E">
        <w:rPr>
          <w:rFonts w:ascii="Times New Roman" w:hAnsi="Times New Roman" w:cs="Times New Roman"/>
        </w:rPr>
        <w:t>Hal.</w:t>
      </w:r>
      <w:proofErr w:type="gramEnd"/>
      <w:r w:rsidRPr="004D747E">
        <w:rPr>
          <w:rFonts w:ascii="Times New Roman" w:hAnsi="Times New Roman" w:cs="Times New Roman"/>
        </w:rPr>
        <w:t xml:space="preserve"> 959-980.</w:t>
      </w:r>
    </w:p>
  </w:footnote>
  <w:footnote w:id="39">
    <w:p w14:paraId="7320CFD7"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Basrowi</w:t>
      </w:r>
      <w:proofErr w:type="spellEnd"/>
      <w:r w:rsidRPr="004D747E">
        <w:rPr>
          <w:rFonts w:ascii="Times New Roman" w:hAnsi="Times New Roman" w:cs="Times New Roman"/>
        </w:rPr>
        <w:t xml:space="preserve">, (2017), </w:t>
      </w:r>
      <w:r w:rsidRPr="004D747E">
        <w:rPr>
          <w:rFonts w:ascii="Times New Roman" w:hAnsi="Times New Roman" w:cs="Times New Roman"/>
          <w:i/>
        </w:rPr>
        <w:t>Ibid</w:t>
      </w:r>
      <w:r w:rsidRPr="004D747E">
        <w:rPr>
          <w:rFonts w:ascii="Times New Roman" w:hAnsi="Times New Roman" w:cs="Times New Roman"/>
        </w:rPr>
        <w:t>.</w:t>
      </w:r>
      <w:proofErr w:type="gramEnd"/>
    </w:p>
  </w:footnote>
  <w:footnote w:id="40">
    <w:p w14:paraId="4CD25BA6"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Haryani</w:t>
      </w:r>
      <w:proofErr w:type="spellEnd"/>
      <w:r w:rsidRPr="004D747E">
        <w:rPr>
          <w:rFonts w:ascii="Times New Roman" w:hAnsi="Times New Roman" w:cs="Times New Roman"/>
        </w:rPr>
        <w:t>, (2017).</w:t>
      </w:r>
      <w:proofErr w:type="gramEnd"/>
      <w:r w:rsidRPr="004D747E">
        <w:rPr>
          <w:rFonts w:ascii="Times New Roman" w:hAnsi="Times New Roman" w:cs="Times New Roman"/>
        </w:rPr>
        <w:t xml:space="preserve"> </w:t>
      </w:r>
      <w:r w:rsidRPr="004D747E">
        <w:rPr>
          <w:rFonts w:ascii="Times New Roman" w:hAnsi="Times New Roman" w:cs="Times New Roman"/>
          <w:i/>
        </w:rPr>
        <w:t>Ibid.</w:t>
      </w:r>
    </w:p>
  </w:footnote>
  <w:footnote w:id="41">
    <w:p w14:paraId="3D12C267" w14:textId="77777777" w:rsidR="00424260" w:rsidRPr="004D747E" w:rsidRDefault="00424260" w:rsidP="00424260">
      <w:pPr>
        <w:spacing w:after="0"/>
        <w:ind w:firstLine="720"/>
        <w:jc w:val="both"/>
        <w:rPr>
          <w:rFonts w:eastAsia="Times New Roman" w:cs="Times New Roman"/>
          <w:sz w:val="20"/>
          <w:szCs w:val="20"/>
        </w:rPr>
      </w:pPr>
      <w:r w:rsidRPr="004D747E">
        <w:rPr>
          <w:rStyle w:val="FootnoteReference"/>
          <w:rFonts w:cs="Times New Roman"/>
          <w:sz w:val="20"/>
          <w:szCs w:val="20"/>
        </w:rPr>
        <w:footnoteRef/>
      </w:r>
      <w:r w:rsidRPr="004D747E">
        <w:rPr>
          <w:rFonts w:cs="Times New Roman"/>
          <w:sz w:val="20"/>
          <w:szCs w:val="20"/>
        </w:rPr>
        <w:t xml:space="preserve"> </w:t>
      </w:r>
      <w:proofErr w:type="spellStart"/>
      <w:proofErr w:type="gramStart"/>
      <w:r w:rsidRPr="004D747E">
        <w:rPr>
          <w:rFonts w:cs="Times New Roman"/>
          <w:sz w:val="20"/>
          <w:szCs w:val="20"/>
        </w:rPr>
        <w:t>Benuf</w:t>
      </w:r>
      <w:proofErr w:type="spellEnd"/>
      <w:r w:rsidRPr="004D747E">
        <w:rPr>
          <w:rFonts w:cs="Times New Roman"/>
          <w:sz w:val="20"/>
          <w:szCs w:val="20"/>
        </w:rPr>
        <w:t xml:space="preserve">, K., S. &amp; </w:t>
      </w:r>
      <w:proofErr w:type="spellStart"/>
      <w:r w:rsidRPr="004D747E">
        <w:rPr>
          <w:rFonts w:cs="Times New Roman"/>
          <w:sz w:val="20"/>
          <w:szCs w:val="20"/>
        </w:rPr>
        <w:t>Priyo</w:t>
      </w:r>
      <w:proofErr w:type="spellEnd"/>
      <w:r w:rsidRPr="004D747E">
        <w:rPr>
          <w:rFonts w:cs="Times New Roman"/>
          <w:sz w:val="20"/>
          <w:szCs w:val="20"/>
        </w:rPr>
        <w:t xml:space="preserve">, E.A. (2019) </w:t>
      </w:r>
      <w:proofErr w:type="spellStart"/>
      <w:r w:rsidRPr="004D747E">
        <w:rPr>
          <w:rFonts w:cs="Times New Roman"/>
          <w:sz w:val="20"/>
          <w:szCs w:val="20"/>
        </w:rPr>
        <w:t>Perlindungan</w:t>
      </w:r>
      <w:proofErr w:type="spellEnd"/>
      <w:r w:rsidRPr="004D747E">
        <w:rPr>
          <w:rFonts w:cs="Times New Roman"/>
          <w:sz w:val="20"/>
          <w:szCs w:val="20"/>
        </w:rPr>
        <w:t xml:space="preserve"> </w:t>
      </w:r>
      <w:proofErr w:type="spellStart"/>
      <w:r w:rsidRPr="004D747E">
        <w:rPr>
          <w:rFonts w:cs="Times New Roman"/>
          <w:sz w:val="20"/>
          <w:szCs w:val="20"/>
        </w:rPr>
        <w:t>Hukum</w:t>
      </w:r>
      <w:proofErr w:type="spellEnd"/>
      <w:r w:rsidRPr="004D747E">
        <w:rPr>
          <w:rFonts w:cs="Times New Roman"/>
          <w:sz w:val="20"/>
          <w:szCs w:val="20"/>
        </w:rPr>
        <w:t xml:space="preserve"> </w:t>
      </w:r>
      <w:proofErr w:type="spellStart"/>
      <w:r w:rsidRPr="004D747E">
        <w:rPr>
          <w:rFonts w:cs="Times New Roman"/>
          <w:sz w:val="20"/>
          <w:szCs w:val="20"/>
        </w:rPr>
        <w:t>Terhadap</w:t>
      </w:r>
      <w:proofErr w:type="spellEnd"/>
      <w:r w:rsidRPr="004D747E">
        <w:rPr>
          <w:rFonts w:cs="Times New Roman"/>
          <w:sz w:val="20"/>
          <w:szCs w:val="20"/>
        </w:rPr>
        <w:t xml:space="preserve"> </w:t>
      </w:r>
      <w:proofErr w:type="spellStart"/>
      <w:r w:rsidRPr="004D747E">
        <w:rPr>
          <w:rFonts w:cs="Times New Roman"/>
          <w:sz w:val="20"/>
          <w:szCs w:val="20"/>
        </w:rPr>
        <w:t>keamanan</w:t>
      </w:r>
      <w:proofErr w:type="spellEnd"/>
      <w:r w:rsidRPr="004D747E">
        <w:rPr>
          <w:rFonts w:cs="Times New Roman"/>
          <w:sz w:val="20"/>
          <w:szCs w:val="20"/>
        </w:rPr>
        <w:t xml:space="preserve"> Data </w:t>
      </w:r>
      <w:proofErr w:type="spellStart"/>
      <w:r w:rsidRPr="004D747E">
        <w:rPr>
          <w:rFonts w:cs="Times New Roman"/>
          <w:sz w:val="20"/>
          <w:szCs w:val="20"/>
        </w:rPr>
        <w:t>Konsumen</w:t>
      </w:r>
      <w:proofErr w:type="spellEnd"/>
      <w:r w:rsidRPr="004D747E">
        <w:rPr>
          <w:rFonts w:cs="Times New Roman"/>
          <w:sz w:val="20"/>
          <w:szCs w:val="20"/>
        </w:rPr>
        <w:t xml:space="preserve"> Financial </w:t>
      </w:r>
      <w:proofErr w:type="spellStart"/>
      <w:r w:rsidRPr="004D747E">
        <w:rPr>
          <w:rFonts w:cs="Times New Roman"/>
          <w:sz w:val="20"/>
          <w:szCs w:val="20"/>
        </w:rPr>
        <w:t>Technologi</w:t>
      </w:r>
      <w:proofErr w:type="spellEnd"/>
      <w:r w:rsidRPr="004D747E">
        <w:rPr>
          <w:rFonts w:cs="Times New Roman"/>
          <w:sz w:val="20"/>
          <w:szCs w:val="20"/>
        </w:rPr>
        <w:t xml:space="preserve"> di Indonesia.</w:t>
      </w:r>
      <w:proofErr w:type="gramEnd"/>
      <w:r w:rsidRPr="004D747E">
        <w:rPr>
          <w:rFonts w:cs="Times New Roman"/>
          <w:sz w:val="20"/>
          <w:szCs w:val="20"/>
        </w:rPr>
        <w:t xml:space="preserve"> </w:t>
      </w:r>
      <w:proofErr w:type="spellStart"/>
      <w:r w:rsidRPr="004D747E">
        <w:rPr>
          <w:rFonts w:cs="Times New Roman"/>
          <w:i/>
          <w:sz w:val="20"/>
          <w:szCs w:val="20"/>
        </w:rPr>
        <w:t>Refleksi</w:t>
      </w:r>
      <w:proofErr w:type="spellEnd"/>
      <w:r w:rsidRPr="004D747E">
        <w:rPr>
          <w:rFonts w:cs="Times New Roman"/>
          <w:i/>
          <w:sz w:val="20"/>
          <w:szCs w:val="20"/>
        </w:rPr>
        <w:t xml:space="preserve"> </w:t>
      </w:r>
      <w:proofErr w:type="spellStart"/>
      <w:r w:rsidRPr="004D747E">
        <w:rPr>
          <w:rFonts w:cs="Times New Roman"/>
          <w:i/>
          <w:sz w:val="20"/>
          <w:szCs w:val="20"/>
        </w:rPr>
        <w:t>Hukum</w:t>
      </w:r>
      <w:proofErr w:type="spellEnd"/>
      <w:r w:rsidRPr="004D747E">
        <w:rPr>
          <w:rFonts w:cs="Times New Roman"/>
          <w:i/>
          <w:sz w:val="20"/>
          <w:szCs w:val="20"/>
        </w:rPr>
        <w:t xml:space="preserve">: </w:t>
      </w:r>
      <w:proofErr w:type="spellStart"/>
      <w:r w:rsidRPr="004D747E">
        <w:rPr>
          <w:rFonts w:cs="Times New Roman"/>
          <w:i/>
          <w:sz w:val="20"/>
          <w:szCs w:val="20"/>
        </w:rPr>
        <w:t>Jurnal</w:t>
      </w:r>
      <w:proofErr w:type="spellEnd"/>
      <w:r w:rsidRPr="004D747E">
        <w:rPr>
          <w:rFonts w:cs="Times New Roman"/>
          <w:i/>
          <w:sz w:val="20"/>
          <w:szCs w:val="20"/>
        </w:rPr>
        <w:t xml:space="preserve"> </w:t>
      </w:r>
      <w:proofErr w:type="spellStart"/>
      <w:r w:rsidRPr="004D747E">
        <w:rPr>
          <w:rFonts w:cs="Times New Roman"/>
          <w:i/>
          <w:sz w:val="20"/>
          <w:szCs w:val="20"/>
        </w:rPr>
        <w:t>Imu</w:t>
      </w:r>
      <w:proofErr w:type="spellEnd"/>
      <w:r w:rsidRPr="004D747E">
        <w:rPr>
          <w:rFonts w:cs="Times New Roman"/>
          <w:i/>
          <w:sz w:val="20"/>
          <w:szCs w:val="20"/>
        </w:rPr>
        <w:t xml:space="preserve"> </w:t>
      </w:r>
      <w:proofErr w:type="spellStart"/>
      <w:r w:rsidRPr="004D747E">
        <w:rPr>
          <w:rFonts w:cs="Times New Roman"/>
          <w:i/>
          <w:sz w:val="20"/>
          <w:szCs w:val="20"/>
        </w:rPr>
        <w:t>Hukum</w:t>
      </w:r>
      <w:proofErr w:type="spellEnd"/>
      <w:r w:rsidRPr="004D747E">
        <w:rPr>
          <w:rFonts w:cs="Times New Roman"/>
          <w:i/>
          <w:sz w:val="20"/>
          <w:szCs w:val="20"/>
        </w:rPr>
        <w:t xml:space="preserve">, </w:t>
      </w:r>
      <w:r w:rsidRPr="004D747E">
        <w:rPr>
          <w:rFonts w:cs="Times New Roman"/>
          <w:sz w:val="20"/>
          <w:szCs w:val="20"/>
        </w:rPr>
        <w:t xml:space="preserve">Vol. 3 No. 2, Hal. 145-160. </w:t>
      </w:r>
      <w:r w:rsidRPr="004D747E">
        <w:rPr>
          <w:rFonts w:eastAsia="Times New Roman" w:cs="Times New Roman"/>
          <w:sz w:val="20"/>
          <w:szCs w:val="20"/>
        </w:rPr>
        <w:t>https://doi.org/10.24246/jrh.2019.v3.i2.p145-160</w:t>
      </w:r>
    </w:p>
  </w:footnote>
  <w:footnote w:id="42">
    <w:p w14:paraId="13B8ADC1"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Lihat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Pasal</w:t>
      </w:r>
      <w:proofErr w:type="spellEnd"/>
      <w:r w:rsidRPr="004D747E">
        <w:rPr>
          <w:rFonts w:ascii="Times New Roman" w:hAnsi="Times New Roman" w:cs="Times New Roman"/>
        </w:rPr>
        <w:t xml:space="preserve"> 4 </w:t>
      </w:r>
      <w:proofErr w:type="spellStart"/>
      <w:r w:rsidRPr="004D747E">
        <w:rPr>
          <w:rFonts w:ascii="Times New Roman" w:hAnsi="Times New Roman" w:cs="Times New Roman"/>
        </w:rPr>
        <w:t>Undang-Undang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Nomor</w:t>
      </w:r>
      <w:proofErr w:type="spellEnd"/>
      <w:r w:rsidRPr="004D747E">
        <w:rPr>
          <w:rFonts w:ascii="Times New Roman" w:hAnsi="Times New Roman" w:cs="Times New Roman"/>
        </w:rPr>
        <w:t xml:space="preserve"> 8 </w:t>
      </w:r>
      <w:proofErr w:type="spellStart"/>
      <w:r w:rsidRPr="004D747E">
        <w:rPr>
          <w:rFonts w:ascii="Times New Roman" w:hAnsi="Times New Roman" w:cs="Times New Roman"/>
        </w:rPr>
        <w:t>tahun</w:t>
      </w:r>
      <w:proofErr w:type="spellEnd"/>
      <w:r w:rsidRPr="004D747E">
        <w:rPr>
          <w:rFonts w:ascii="Times New Roman" w:hAnsi="Times New Roman" w:cs="Times New Roman"/>
        </w:rPr>
        <w:t xml:space="preserve"> 1999 </w:t>
      </w:r>
      <w:proofErr w:type="spellStart"/>
      <w:r w:rsidRPr="004D747E">
        <w:rPr>
          <w:rFonts w:ascii="Times New Roman" w:hAnsi="Times New Roman" w:cs="Times New Roman"/>
        </w:rPr>
        <w:t>Tentang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w:t>
      </w:r>
      <w:proofErr w:type="gramEnd"/>
      <w:r w:rsidRPr="004D747E">
        <w:rPr>
          <w:rFonts w:ascii="Times New Roman" w:hAnsi="Times New Roman" w:cs="Times New Roman"/>
        </w:rPr>
        <w:t xml:space="preserve"> </w:t>
      </w:r>
      <w:proofErr w:type="spellStart"/>
      <w:r w:rsidRPr="004D747E">
        <w:rPr>
          <w:rFonts w:ascii="Times New Roman" w:hAnsi="Times New Roman" w:cs="Times New Roman"/>
        </w:rPr>
        <w:t>didalamnya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sangat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menjunjung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tinggi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terhadap</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baik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dalam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kegiatan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barang</w:t>
      </w:r>
      <w:proofErr w:type="spellEnd"/>
      <w:r w:rsidRPr="004D747E">
        <w:rPr>
          <w:rFonts w:ascii="Times New Roman" w:hAnsi="Times New Roman" w:cs="Times New Roman"/>
        </w:rPr>
        <w:t>/</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hal</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ini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sebagaimana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disebutkan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tentang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hak-hak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yang </w:t>
      </w:r>
      <w:proofErr w:type="spellStart"/>
      <w:r w:rsidRPr="004D747E">
        <w:rPr>
          <w:rFonts w:ascii="Times New Roman" w:hAnsi="Times New Roman" w:cs="Times New Roman"/>
        </w:rPr>
        <w:t>harus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dipenuhi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antara</w:t>
      </w:r>
      <w:proofErr w:type="spellEnd"/>
      <w:r w:rsidRPr="004D747E">
        <w:rPr>
          <w:rFonts w:ascii="Times New Roman" w:hAnsi="Times New Roman" w:cs="Times New Roman"/>
        </w:rPr>
        <w:t xml:space="preserve"> lain:</w:t>
      </w:r>
      <w:r w:rsidRPr="004D747E">
        <w:rPr>
          <w:rStyle w:val="FootnoteReference"/>
          <w:rFonts w:ascii="Times New Roman" w:hAnsi="Times New Roman" w:cs="Times New Roman"/>
        </w:rPr>
        <w:footnoteRef/>
      </w:r>
      <w:r w:rsidRPr="004D747E">
        <w:rPr>
          <w:rFonts w:ascii="Times New Roman" w:hAnsi="Times New Roman" w:cs="Times New Roman"/>
        </w:rPr>
        <w:t xml:space="preserve"> (1) Ha katas </w:t>
      </w:r>
      <w:proofErr w:type="spellStart"/>
      <w:r w:rsidRPr="004D747E">
        <w:rPr>
          <w:rFonts w:ascii="Times New Roman" w:hAnsi="Times New Roman" w:cs="Times New Roman"/>
        </w:rPr>
        <w:t>kenyamanan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keamanan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keselamatan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dalam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mengkonsumsi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barang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w:t>
      </w:r>
      <w:proofErr w:type="spellStart"/>
      <w:r w:rsidRPr="004D747E">
        <w:rPr>
          <w:rFonts w:ascii="Times New Roman" w:hAnsi="Times New Roman" w:cs="Times New Roman"/>
        </w:rPr>
        <w:t>atau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(2) </w:t>
      </w:r>
      <w:proofErr w:type="spellStart"/>
      <w:r w:rsidRPr="004D747E">
        <w:rPr>
          <w:rFonts w:ascii="Times New Roman" w:hAnsi="Times New Roman" w:cs="Times New Roman"/>
        </w:rPr>
        <w:t>hak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untutk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memilih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barang</w:t>
      </w:r>
      <w:proofErr w:type="spellEnd"/>
      <w:r w:rsidRPr="004D747E">
        <w:rPr>
          <w:rFonts w:ascii="Times New Roman" w:hAnsi="Times New Roman" w:cs="Times New Roman"/>
        </w:rPr>
        <w:t>/</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serta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mendapatkan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barang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w:t>
      </w:r>
      <w:proofErr w:type="spellStart"/>
      <w:r w:rsidRPr="004D747E">
        <w:rPr>
          <w:rFonts w:ascii="Times New Roman" w:hAnsi="Times New Roman" w:cs="Times New Roman"/>
        </w:rPr>
        <w:t>atau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tersebut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sesuai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dengan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nilai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tukar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kondisi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serta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jaminan</w:t>
      </w:r>
      <w:proofErr w:type="spellEnd"/>
      <w:r w:rsidRPr="004D747E">
        <w:rPr>
          <w:rFonts w:ascii="Times New Roman" w:hAnsi="Times New Roman" w:cs="Times New Roman"/>
        </w:rPr>
        <w:t xml:space="preserve"> yang </w:t>
      </w:r>
      <w:proofErr w:type="spellStart"/>
      <w:r w:rsidRPr="004D747E">
        <w:rPr>
          <w:rFonts w:ascii="Times New Roman" w:hAnsi="Times New Roman" w:cs="Times New Roman"/>
        </w:rPr>
        <w:t>dijanjikann</w:t>
      </w:r>
      <w:proofErr w:type="spellEnd"/>
      <w:r w:rsidRPr="004D747E">
        <w:rPr>
          <w:rFonts w:ascii="Times New Roman" w:hAnsi="Times New Roman" w:cs="Times New Roman"/>
        </w:rPr>
        <w:t xml:space="preserve">; (3) ha katas </w:t>
      </w:r>
      <w:proofErr w:type="spellStart"/>
      <w:r w:rsidRPr="004D747E">
        <w:rPr>
          <w:rFonts w:ascii="Times New Roman" w:hAnsi="Times New Roman" w:cs="Times New Roman"/>
        </w:rPr>
        <w:t>informasi</w:t>
      </w:r>
      <w:proofErr w:type="spellEnd"/>
      <w:r w:rsidRPr="004D747E">
        <w:rPr>
          <w:rFonts w:ascii="Times New Roman" w:hAnsi="Times New Roman" w:cs="Times New Roman"/>
        </w:rPr>
        <w:t xml:space="preserve"> yang </w:t>
      </w:r>
      <w:proofErr w:type="spellStart"/>
      <w:r w:rsidRPr="004D747E">
        <w:rPr>
          <w:rFonts w:ascii="Times New Roman" w:hAnsi="Times New Roman" w:cs="Times New Roman"/>
        </w:rPr>
        <w:t>benar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jelas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jujur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mengenai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kondisi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jaminan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barang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w:t>
      </w:r>
      <w:proofErr w:type="spellStart"/>
      <w:r w:rsidRPr="004D747E">
        <w:rPr>
          <w:rFonts w:ascii="Times New Roman" w:hAnsi="Times New Roman" w:cs="Times New Roman"/>
        </w:rPr>
        <w:t>atau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(4) </w:t>
      </w:r>
      <w:proofErr w:type="spellStart"/>
      <w:r w:rsidRPr="004D747E">
        <w:rPr>
          <w:rFonts w:ascii="Times New Roman" w:hAnsi="Times New Roman" w:cs="Times New Roman"/>
        </w:rPr>
        <w:t>hak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untuk</w:t>
      </w:r>
      <w:proofErr w:type="spellEnd"/>
      <w:r w:rsidRPr="004D747E">
        <w:rPr>
          <w:rFonts w:ascii="Times New Roman" w:hAnsi="Times New Roman" w:cs="Times New Roman"/>
        </w:rPr>
        <w:t xml:space="preserve"> di </w:t>
      </w:r>
      <w:proofErr w:type="spellStart"/>
      <w:r w:rsidRPr="004D747E">
        <w:rPr>
          <w:rFonts w:ascii="Times New Roman" w:hAnsi="Times New Roman" w:cs="Times New Roman"/>
        </w:rPr>
        <w:t>dengar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pendapat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keluhan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atas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barang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atau</w:t>
      </w:r>
      <w:proofErr w:type="spellEnd"/>
      <w:r w:rsidRPr="004D747E">
        <w:rPr>
          <w:rFonts w:ascii="Times New Roman" w:hAnsi="Times New Roman" w:cs="Times New Roman"/>
        </w:rPr>
        <w:t>/</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yang </w:t>
      </w:r>
      <w:proofErr w:type="spellStart"/>
      <w:r w:rsidRPr="004D747E">
        <w:rPr>
          <w:rFonts w:ascii="Times New Roman" w:hAnsi="Times New Roman" w:cs="Times New Roman"/>
        </w:rPr>
        <w:t>digunakan</w:t>
      </w:r>
      <w:proofErr w:type="spellEnd"/>
      <w:r w:rsidRPr="004D747E">
        <w:rPr>
          <w:rFonts w:ascii="Times New Roman" w:hAnsi="Times New Roman" w:cs="Times New Roman"/>
        </w:rPr>
        <w:t xml:space="preserve">; (5) </w:t>
      </w:r>
      <w:proofErr w:type="spellStart"/>
      <w:r w:rsidRPr="004D747E">
        <w:rPr>
          <w:rFonts w:ascii="Times New Roman" w:hAnsi="Times New Roman" w:cs="Times New Roman"/>
        </w:rPr>
        <w:t>hak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untuk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mendapatkan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adfokasi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upaya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penyelesaian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sengketa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perlidnungan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secara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patut</w:t>
      </w:r>
      <w:proofErr w:type="spellEnd"/>
      <w:r w:rsidRPr="004D747E">
        <w:rPr>
          <w:rFonts w:ascii="Times New Roman" w:hAnsi="Times New Roman" w:cs="Times New Roman"/>
        </w:rPr>
        <w:t xml:space="preserve">; (6) </w:t>
      </w:r>
      <w:proofErr w:type="spellStart"/>
      <w:r w:rsidRPr="004D747E">
        <w:rPr>
          <w:rFonts w:ascii="Times New Roman" w:hAnsi="Times New Roman" w:cs="Times New Roman"/>
        </w:rPr>
        <w:t>hak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untuk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diperlakukan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atau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dilayani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secara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benar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jujur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serta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tidak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diskriminatif</w:t>
      </w:r>
      <w:proofErr w:type="spellEnd"/>
      <w:r w:rsidRPr="004D747E">
        <w:rPr>
          <w:rFonts w:ascii="Times New Roman" w:hAnsi="Times New Roman" w:cs="Times New Roman"/>
        </w:rPr>
        <w:t xml:space="preserve">; (7) </w:t>
      </w:r>
      <w:proofErr w:type="spellStart"/>
      <w:r w:rsidRPr="004D747E">
        <w:rPr>
          <w:rFonts w:ascii="Times New Roman" w:hAnsi="Times New Roman" w:cs="Times New Roman"/>
        </w:rPr>
        <w:t>hak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untuk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mendapatkan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kompensasi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ganti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rugi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atau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penggantian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apabila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barang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atau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yang </w:t>
      </w:r>
      <w:proofErr w:type="spellStart"/>
      <w:r w:rsidRPr="004D747E">
        <w:rPr>
          <w:rFonts w:ascii="Times New Roman" w:hAnsi="Times New Roman" w:cs="Times New Roman"/>
        </w:rPr>
        <w:t>diterima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tidak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sesuai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dengan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perjanjian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atau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tidak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sebagaimana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mestinya</w:t>
      </w:r>
      <w:proofErr w:type="spellEnd"/>
      <w:r w:rsidRPr="004D747E">
        <w:rPr>
          <w:rFonts w:ascii="Times New Roman" w:hAnsi="Times New Roman" w:cs="Times New Roman"/>
        </w:rPr>
        <w:t xml:space="preserve">. (8) </w:t>
      </w:r>
      <w:proofErr w:type="spellStart"/>
      <w:r w:rsidRPr="004D747E">
        <w:rPr>
          <w:rFonts w:ascii="Times New Roman" w:hAnsi="Times New Roman" w:cs="Times New Roman"/>
        </w:rPr>
        <w:t>Hak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untuk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mendapatkan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pembinaan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penddikan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(9)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hak-hak</w:t>
      </w:r>
      <w:proofErr w:type="spellEnd"/>
      <w:r w:rsidRPr="004D747E">
        <w:rPr>
          <w:rFonts w:ascii="Times New Roman" w:hAnsi="Times New Roman" w:cs="Times New Roman"/>
        </w:rPr>
        <w:t xml:space="preserve"> yang </w:t>
      </w:r>
      <w:proofErr w:type="spellStart"/>
      <w:r w:rsidRPr="004D747E">
        <w:rPr>
          <w:rFonts w:ascii="Times New Roman" w:hAnsi="Times New Roman" w:cs="Times New Roman"/>
        </w:rPr>
        <w:t>diatur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dalam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ketentuan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peraturann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perundang-undangann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lainnya</w:t>
      </w:r>
      <w:proofErr w:type="spellEnd"/>
      <w:r w:rsidRPr="004D747E">
        <w:rPr>
          <w:rFonts w:ascii="Times New Roman" w:hAnsi="Times New Roman" w:cs="Times New Roman"/>
        </w:rPr>
        <w:t>.</w:t>
      </w:r>
    </w:p>
  </w:footnote>
  <w:footnote w:id="43">
    <w:p w14:paraId="2EEE91C4"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Haryani</w:t>
      </w:r>
      <w:proofErr w:type="spellEnd"/>
      <w:r w:rsidRPr="004D747E">
        <w:rPr>
          <w:rFonts w:ascii="Times New Roman" w:hAnsi="Times New Roman" w:cs="Times New Roman"/>
        </w:rPr>
        <w:t xml:space="preserve">, (2017), </w:t>
      </w:r>
      <w:r w:rsidRPr="004D747E">
        <w:rPr>
          <w:rFonts w:ascii="Times New Roman" w:hAnsi="Times New Roman" w:cs="Times New Roman"/>
          <w:i/>
        </w:rPr>
        <w:t>Ibid</w:t>
      </w:r>
      <w:r w:rsidRPr="004D747E">
        <w:rPr>
          <w:rFonts w:ascii="Times New Roman" w:hAnsi="Times New Roman" w:cs="Times New Roman"/>
        </w:rPr>
        <w:t>.</w:t>
      </w:r>
      <w:proofErr w:type="gramEnd"/>
    </w:p>
  </w:footnote>
  <w:footnote w:id="44">
    <w:p w14:paraId="115ADF14"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Lihat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pasal</w:t>
      </w:r>
      <w:proofErr w:type="spellEnd"/>
      <w:r w:rsidRPr="004D747E">
        <w:rPr>
          <w:rFonts w:ascii="Times New Roman" w:hAnsi="Times New Roman" w:cs="Times New Roman"/>
        </w:rPr>
        <w:t xml:space="preserve"> 13 </w:t>
      </w:r>
      <w:proofErr w:type="spellStart"/>
      <w:r w:rsidRPr="004D747E">
        <w:rPr>
          <w:rFonts w:ascii="Times New Roman" w:hAnsi="Times New Roman" w:cs="Times New Roman"/>
        </w:rPr>
        <w:t>Ayat</w:t>
      </w:r>
      <w:proofErr w:type="spellEnd"/>
      <w:r w:rsidRPr="004D747E">
        <w:rPr>
          <w:rFonts w:ascii="Times New Roman" w:hAnsi="Times New Roman" w:cs="Times New Roman"/>
        </w:rPr>
        <w:t xml:space="preserve"> 2 </w:t>
      </w:r>
      <w:proofErr w:type="spellStart"/>
      <w:r w:rsidRPr="004D747E">
        <w:rPr>
          <w:rFonts w:ascii="Times New Roman" w:hAnsi="Times New Roman" w:cs="Times New Roman"/>
        </w:rPr>
        <w:t>Undang-Undang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Informasi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Transaksi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Elektronik</w:t>
      </w:r>
      <w:proofErr w:type="spellEnd"/>
    </w:p>
  </w:footnote>
  <w:footnote w:id="45">
    <w:p w14:paraId="662CB1B1"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{"citationItems":[{"id":"ITEM-1","itemData":{"abstract":"----","author":[{"dropping-particle":"","family":"Santoso","given":"W.","non-dropping-particle":"","parse-names":false,"suffix":""}],"id":"ITEM-1","issued":{"date-parts":[["2020"]]},"title":"Fintech and the future offinance”, paper presented at the International Seminar onFintech and The Future of Finance, 12 March 2020, Universitas Sebelas Maret.","type":"article-journal"},"uris":["http://www.mendeley.com/documents/?uuid=722267ad-19bc-47ba-b763-1e7127411f28"]}],"mendeley":{"formattedCitation":"W. Santoso, “Fintech and the Future Offinance”, Paper Presented at the International Seminar OnFintech and The Future of Finance, 12 March 2020, Universitas Sebelas Maret.,” 2020.","plainTextFormattedCitation":"W. Santoso, “Fintech and the Future Offinance”, Paper Presented at the International Seminar OnFintech and The Future of Finance, 12 March 2020, Universitas Sebelas Maret.,” 2020.","previouslyFormattedCitation":"[18]"},"properties":{"noteIndex":45},"schema":"https://github.com/citation-style-language/schema/raw/master/csl-citation.json"}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W. Santoso, “Fintech and the Future Offinance”, Paper Presented at the International Seminar OnFintech and The Future of Finance, 12 March 2020, Universitas Sebelas Maret.,” 2020.</w:t>
      </w:r>
      <w:r w:rsidRPr="004D747E">
        <w:rPr>
          <w:rFonts w:ascii="Times New Roman" w:hAnsi="Times New Roman" w:cs="Times New Roman"/>
        </w:rPr>
        <w:fldChar w:fldCharType="end"/>
      </w:r>
    </w:p>
  </w:footnote>
  <w:footnote w:id="46">
    <w:p w14:paraId="5BA9D2AD"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{"citationItems":[{"id":"ITEM-1","itemData":{"ISBN":"9789292593322","abstract":"Technological innovations in financial services (fintech) are increasingly transforming the way financial services are provided. While fintech opens opportunities, it also comes with potential risks. Financial authorities have responded to fintech developments in various ways. Based on survey responses from around 30 jurisdictions, this paper provides a cross-country overview of policy responses to fintech developments. In addition, building on the work by global standard-setting bodies and other international organisations, the paper proposes a conceptual framework through which to analyse policy responses to fintech, referred to as the \"fintech tree\". The fintech tree identifies three categories: fintech activities, enabling technologies and policy enablers.","author":[{"dropping-particle":"","family":"Ehrentraud","given":"Johannes","non-dropping-particle":"","parse-names":false,"suffix":""},{"dropping-particle":"","family":"Garzoni","given":"Lorena","non-dropping-particle":"","parse-names":false,"suffix":""},{"dropping-particle":"","family":"Piccolo","given":"Mateo","non-dropping-particle":"","parse-names":false,"suffix":""},{"dropping-particle":"","family":"Garcia Ocampo","given":"Denise","non-dropping-particle":"","parse-names":false,"suffix":""}],"container-title":"FSI Insights on policy implementation","id":"ITEM-1","issue":"23","issued":{"date-parts":[["2020"]]},"number-of-pages":"1-56","title":"Policy responses to fintech: a cross-country overview","type":"book"},"uris":["http://www.mendeley.com/documents/?uuid=560bfc02-25fc-42ae-a21b-a228b2a0527d"]}],"mendeley":{"formattedCitation":"Johannes Ehrentraud et al., &lt;i&gt;Policy Responses to Fintech: A Cross-Country Overview&lt;/i&gt;, &lt;i&gt;FSI Insights on Policy Implementation&lt;/i&gt;, 2020.","plainTextFormattedCitation":"Johannes Ehrentraud et al., Policy Responses to Fintech: A Cross-Country Overview, FSI Insights on Policy Implementation, 2020.","previouslyFormattedCitation":"[19]"},"properties":{"noteIndex":46},"schema":"https://github.com/citation-style-language/schema/raw/master/csl-citation.json"}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 xml:space="preserve">Johannes Ehrentraud et al., </w:t>
      </w:r>
      <w:r w:rsidRPr="004D747E">
        <w:rPr>
          <w:rFonts w:ascii="Times New Roman" w:hAnsi="Times New Roman" w:cs="Times New Roman"/>
          <w:i/>
          <w:noProof/>
        </w:rPr>
        <w:t>Policy Responses to Fintech: A Cross-Country Overview</w:t>
      </w:r>
      <w:r w:rsidRPr="004D747E">
        <w:rPr>
          <w:rFonts w:ascii="Times New Roman" w:hAnsi="Times New Roman" w:cs="Times New Roman"/>
          <w:noProof/>
        </w:rPr>
        <w:t xml:space="preserve">, </w:t>
      </w:r>
      <w:r w:rsidRPr="004D747E">
        <w:rPr>
          <w:rFonts w:ascii="Times New Roman" w:hAnsi="Times New Roman" w:cs="Times New Roman"/>
          <w:i/>
          <w:noProof/>
        </w:rPr>
        <w:t>FSI Insights on Policy Implementation</w:t>
      </w:r>
      <w:r w:rsidRPr="004D747E">
        <w:rPr>
          <w:rFonts w:ascii="Times New Roman" w:hAnsi="Times New Roman" w:cs="Times New Roman"/>
          <w:noProof/>
        </w:rPr>
        <w:t>, 2020.</w:t>
      </w:r>
      <w:r w:rsidRPr="004D747E">
        <w:rPr>
          <w:rFonts w:ascii="Times New Roman" w:hAnsi="Times New Roman" w:cs="Times New Roman"/>
        </w:rPr>
        <w:fldChar w:fldCharType="end"/>
      </w:r>
    </w:p>
  </w:footnote>
  <w:footnote w:id="47">
    <w:p w14:paraId="1D042EF6"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{"citationItems":[{"id":"ITEM-1","itemData":{"ISBN":"9781450349185","abstract":"“Financial technology” or “FinTech” refers to technology enabled financial solutions. FinTech is often seen today as the new marriage of financial services and information technology. However, the interlinkage of finance and technology has a long history and has evolved over three distinct eras. FinTech 1.0, from 1866 to 1987, was the first period of financial globalization supported by technological infrastructure such as transatlantic transmission cables. This was followed by FinTech 2.0, from 1987-2008, during which financial services firms increasingly digitized their processes. Since 2008 a new era of FinTech has emerged in both the developed and developing world. This era is defined not by the financial products or services delivered but by who delivers them. This latest evolution of FinTech, led by start-ups, poses challenges for regulators and market participants alike, particularly in balancing the potential benefits of innovation with the possible risks of new approaches.","author":[{"dropping-particle":"","family":"Arner, DW; Barberis, JN; Buckley","given":"RP","non-dropping-particle":"","parse-names":false,"suffix":""}],"container-title":"Nhk</w:instrText>
      </w:r>
      <w:r w:rsidRPr="004D747E">
        <w:rPr>
          <w:rFonts w:ascii="Times New Roman" w:hAnsi="Times New Roman" w:cs="Times New Roman"/>
        </w:rPr>
        <w:instrText>技研</w:instrText>
      </w:r>
      <w:r w:rsidRPr="004D747E">
        <w:rPr>
          <w:rFonts w:ascii="Times New Roman" w:hAnsi="Times New Roman" w:cs="Times New Roman"/>
        </w:rPr>
        <w:instrText>","id":"ITEM-1","issue":"1","issued":{"date-parts":[["2015"]]},"page":"10-17","title":"No Title</w:instrText>
      </w:r>
      <w:r w:rsidRPr="004D747E">
        <w:rPr>
          <w:rFonts w:ascii="Times New Roman" w:hAnsi="Times New Roman" w:cs="Times New Roman"/>
        </w:rPr>
        <w:instrText>空間像再生型立体映像の</w:instrText>
      </w:r>
      <w:r w:rsidRPr="004D747E">
        <w:rPr>
          <w:rFonts w:ascii="Times New Roman" w:hAnsi="Times New Roman" w:cs="Times New Roman"/>
        </w:rPr>
        <w:instrText xml:space="preserve"> </w:instrText>
      </w:r>
      <w:r w:rsidRPr="004D747E">
        <w:rPr>
          <w:rFonts w:ascii="Times New Roman" w:hAnsi="Times New Roman" w:cs="Times New Roman"/>
        </w:rPr>
        <w:instrText>研究動向</w:instrText>
      </w:r>
      <w:r w:rsidRPr="004D747E">
        <w:rPr>
          <w:rFonts w:ascii="Times New Roman" w:hAnsi="Times New Roman" w:cs="Times New Roman"/>
        </w:rPr>
        <w:instrText>","type":"article-journal","volume":"151"},"uris":["http://www.mendeley.com/documents/?uuid=93a6f31a-ebe5-488d-8649-248d36025165"]}],"mendeley":{"formattedCitation":"RP Arner, DW; Barberis, JN; Buckley, “No Title</w:instrText>
      </w:r>
      <w:r w:rsidRPr="004D747E">
        <w:rPr>
          <w:rFonts w:ascii="Times New Roman" w:hAnsi="Times New Roman" w:cs="Times New Roman"/>
        </w:rPr>
        <w:instrText>空間像再生型立体映像の</w:instrText>
      </w:r>
      <w:r w:rsidRPr="004D747E">
        <w:rPr>
          <w:rFonts w:ascii="Times New Roman" w:hAnsi="Times New Roman" w:cs="Times New Roman"/>
        </w:rPr>
        <w:instrText xml:space="preserve"> </w:instrText>
      </w:r>
      <w:r w:rsidRPr="004D747E">
        <w:rPr>
          <w:rFonts w:ascii="Times New Roman" w:hAnsi="Times New Roman" w:cs="Times New Roman"/>
        </w:rPr>
        <w:instrText>研究動向</w:instrText>
      </w:r>
      <w:r w:rsidRPr="004D747E">
        <w:rPr>
          <w:rFonts w:ascii="Times New Roman" w:hAnsi="Times New Roman" w:cs="Times New Roman"/>
        </w:rPr>
        <w:instrText>,” &lt;i&gt;Nhk</w:instrText>
      </w:r>
      <w:r w:rsidRPr="004D747E">
        <w:rPr>
          <w:rFonts w:ascii="Times New Roman" w:hAnsi="Times New Roman" w:cs="Times New Roman"/>
        </w:rPr>
        <w:instrText>技研</w:instrText>
      </w:r>
      <w:r w:rsidRPr="004D747E">
        <w:rPr>
          <w:rFonts w:ascii="Times New Roman" w:hAnsi="Times New Roman" w:cs="Times New Roman"/>
        </w:rPr>
        <w:instrText>&lt;/i&gt; 151, no. 1 (2015): 10–17.","plainTextFormattedCitation":"RP Arner, DW; Barberis, JN; Buckley, “No Title</w:instrText>
      </w:r>
      <w:r w:rsidRPr="004D747E">
        <w:rPr>
          <w:rFonts w:ascii="Times New Roman" w:hAnsi="Times New Roman" w:cs="Times New Roman"/>
        </w:rPr>
        <w:instrText>空間像再生型立体映像の</w:instrText>
      </w:r>
      <w:r w:rsidRPr="004D747E">
        <w:rPr>
          <w:rFonts w:ascii="Times New Roman" w:hAnsi="Times New Roman" w:cs="Times New Roman"/>
        </w:rPr>
        <w:instrText xml:space="preserve"> </w:instrText>
      </w:r>
      <w:r w:rsidRPr="004D747E">
        <w:rPr>
          <w:rFonts w:ascii="Times New Roman" w:hAnsi="Times New Roman" w:cs="Times New Roman"/>
        </w:rPr>
        <w:instrText>研究動向</w:instrText>
      </w:r>
      <w:r w:rsidRPr="004D747E">
        <w:rPr>
          <w:rFonts w:ascii="Times New Roman" w:hAnsi="Times New Roman" w:cs="Times New Roman"/>
        </w:rPr>
        <w:instrText>,” Nhk</w:instrText>
      </w:r>
      <w:r w:rsidRPr="004D747E">
        <w:rPr>
          <w:rFonts w:ascii="Times New Roman" w:hAnsi="Times New Roman" w:cs="Times New Roman"/>
        </w:rPr>
        <w:instrText>技研</w:instrText>
      </w:r>
      <w:r w:rsidRPr="004D747E">
        <w:rPr>
          <w:rFonts w:ascii="Times New Roman" w:hAnsi="Times New Roman" w:cs="Times New Roman"/>
        </w:rPr>
        <w:instrText xml:space="preserve"> 151, no. 1 (2015): 10–17.","previouslyFormattedCitation":"[20]"},"properties":{"noteIndex":47},"schema":"https://github.com/citation-style-language/schema/raw/master/csl-citation.json"}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RP Arner, DW; Barberis, JN; Buckley, “No Title</w:t>
      </w:r>
      <w:r w:rsidRPr="004D747E">
        <w:rPr>
          <w:rFonts w:ascii="Times New Roman" w:hAnsi="Times New Roman" w:cs="Times New Roman"/>
          <w:noProof/>
        </w:rPr>
        <w:t>空間像再生型立体映像の</w:t>
      </w:r>
      <w:r w:rsidRPr="004D747E">
        <w:rPr>
          <w:rFonts w:ascii="Times New Roman" w:hAnsi="Times New Roman" w:cs="Times New Roman"/>
          <w:noProof/>
        </w:rPr>
        <w:t xml:space="preserve"> </w:t>
      </w:r>
      <w:r w:rsidRPr="004D747E">
        <w:rPr>
          <w:rFonts w:ascii="Times New Roman" w:hAnsi="Times New Roman" w:cs="Times New Roman"/>
          <w:noProof/>
        </w:rPr>
        <w:t>研究動向</w:t>
      </w:r>
      <w:r w:rsidRPr="004D747E">
        <w:rPr>
          <w:rFonts w:ascii="Times New Roman" w:hAnsi="Times New Roman" w:cs="Times New Roman"/>
          <w:noProof/>
        </w:rPr>
        <w:t xml:space="preserve">,” </w:t>
      </w:r>
      <w:r w:rsidRPr="004D747E">
        <w:rPr>
          <w:rFonts w:ascii="Times New Roman" w:hAnsi="Times New Roman" w:cs="Times New Roman"/>
          <w:i/>
          <w:noProof/>
        </w:rPr>
        <w:t>Nhk</w:t>
      </w:r>
      <w:r w:rsidRPr="004D747E">
        <w:rPr>
          <w:rFonts w:ascii="MS Mincho" w:eastAsia="MS Mincho" w:hAnsi="MS Mincho" w:cs="MS Mincho" w:hint="eastAsia"/>
          <w:i/>
          <w:noProof/>
        </w:rPr>
        <w:t>技研</w:t>
      </w:r>
      <w:r w:rsidRPr="004D747E">
        <w:rPr>
          <w:rFonts w:ascii="Times New Roman" w:hAnsi="Times New Roman" w:cs="Times New Roman"/>
          <w:noProof/>
        </w:rPr>
        <w:t xml:space="preserve"> 151, no. 1 (2015): 10–17.</w:t>
      </w:r>
      <w:r w:rsidRPr="004D747E">
        <w:rPr>
          <w:rFonts w:ascii="Times New Roman" w:hAnsi="Times New Roman" w:cs="Times New Roman"/>
        </w:rPr>
        <w:fldChar w:fldCharType="end"/>
      </w:r>
    </w:p>
  </w:footnote>
  <w:footnote w:id="48">
    <w:p w14:paraId="448A4D5D" w14:textId="77777777" w:rsidR="00424260" w:rsidRPr="004D747E" w:rsidRDefault="00424260" w:rsidP="00424260">
      <w:pPr>
        <w:pStyle w:val="FootnoteText"/>
        <w:spacing w:after="0"/>
        <w:ind w:firstLine="720"/>
        <w:jc w:val="both"/>
        <w:rPr>
          <w:rFonts w:ascii="Times New Roman" w:hAnsi="Times New Roman" w:cs="Times New Roman"/>
          <w:i/>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Hario</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Mahar</w:t>
      </w:r>
      <w:proofErr w:type="spellEnd"/>
      <w:r w:rsidRPr="004D747E">
        <w:rPr>
          <w:rFonts w:ascii="Times New Roman" w:hAnsi="Times New Roman" w:cs="Times New Roman"/>
        </w:rPr>
        <w:t xml:space="preserve">, </w:t>
      </w:r>
      <w:proofErr w:type="gramStart"/>
      <w:r w:rsidRPr="004D747E">
        <w:rPr>
          <w:rFonts w:ascii="Times New Roman" w:hAnsi="Times New Roman" w:cs="Times New Roman"/>
        </w:rPr>
        <w:t xml:space="preserve">“ </w:t>
      </w:r>
      <w:proofErr w:type="spellStart"/>
      <w:r w:rsidRPr="004D747E">
        <w:rPr>
          <w:rFonts w:ascii="Times New Roman" w:hAnsi="Times New Roman" w:cs="Times New Roman"/>
        </w:rPr>
        <w:t>Fenomena</w:t>
      </w:r>
      <w:proofErr w:type="spellEnd"/>
      <w:proofErr w:type="gramEnd"/>
      <w:r w:rsidRPr="004D747E">
        <w:rPr>
          <w:rFonts w:ascii="Times New Roman" w:hAnsi="Times New Roman" w:cs="Times New Roman"/>
        </w:rPr>
        <w:t xml:space="preserve"> </w:t>
      </w:r>
      <w:proofErr w:type="spellStart"/>
      <w:r w:rsidRPr="004D747E">
        <w:rPr>
          <w:rFonts w:ascii="Times New Roman" w:hAnsi="Times New Roman" w:cs="Times New Roman"/>
        </w:rPr>
        <w:t>dalam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kekosongan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i/>
        </w:rPr>
        <w:t>Rechtsvinding</w:t>
      </w:r>
      <w:proofErr w:type="spellEnd"/>
      <w:r w:rsidRPr="004D747E">
        <w:rPr>
          <w:rFonts w:ascii="Times New Roman" w:hAnsi="Times New Roman" w:cs="Times New Roman"/>
          <w:i/>
        </w:rPr>
        <w:t xml:space="preserve"> Online, </w:t>
      </w:r>
      <w:r w:rsidRPr="004D747E">
        <w:rPr>
          <w:rFonts w:ascii="Times New Roman" w:hAnsi="Times New Roman" w:cs="Times New Roman"/>
        </w:rPr>
        <w:t>2018. Hal.2</w:t>
      </w:r>
    </w:p>
  </w:footnote>
  <w:footnote w:id="49">
    <w:p w14:paraId="08C6B2E5"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proofErr w:type="gramStart"/>
      <w:r w:rsidRPr="004D747E">
        <w:rPr>
          <w:rFonts w:ascii="Times New Roman" w:hAnsi="Times New Roman" w:cs="Times New Roman"/>
        </w:rPr>
        <w:t>Dedy</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Nursamsi</w:t>
      </w:r>
      <w:proofErr w:type="spellEnd"/>
      <w:r w:rsidRPr="004D747E">
        <w:rPr>
          <w:rFonts w:ascii="Times New Roman" w:hAnsi="Times New Roman" w:cs="Times New Roman"/>
        </w:rPr>
        <w:t>, “</w:t>
      </w:r>
      <w:proofErr w:type="spellStart"/>
      <w:r w:rsidRPr="004D747E">
        <w:rPr>
          <w:rFonts w:ascii="Times New Roman" w:hAnsi="Times New Roman" w:cs="Times New Roman"/>
        </w:rPr>
        <w:t>Kerangka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Cita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Rechtldee</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Bangsa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sebagai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Dasar</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kewenangan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Mahkamah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Konstitusi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Menguju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Peraturan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Pemerintah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Pengganti</w:t>
      </w:r>
      <w:proofErr w:type="spellEnd"/>
      <w:r w:rsidRPr="004D747E">
        <w:rPr>
          <w:rFonts w:ascii="Times New Roman" w:hAnsi="Times New Roman" w:cs="Times New Roman"/>
        </w:rPr>
        <w:t xml:space="preserve"> UU’ </w:t>
      </w:r>
      <w:proofErr w:type="spellStart"/>
      <w:r w:rsidRPr="004D747E">
        <w:rPr>
          <w:rFonts w:ascii="Times New Roman" w:hAnsi="Times New Roman" w:cs="Times New Roman"/>
        </w:rPr>
        <w:t>Jurnal</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Cita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Vol. 2 No. 1, (2014).</w:t>
      </w:r>
      <w:proofErr w:type="gramEnd"/>
      <w:r w:rsidRPr="004D747E">
        <w:rPr>
          <w:rFonts w:ascii="Times New Roman" w:hAnsi="Times New Roman" w:cs="Times New Roman"/>
        </w:rPr>
        <w:t xml:space="preserve"> </w:t>
      </w:r>
      <w:proofErr w:type="gramStart"/>
      <w:r w:rsidRPr="004D747E">
        <w:rPr>
          <w:rFonts w:ascii="Times New Roman" w:hAnsi="Times New Roman" w:cs="Times New Roman"/>
        </w:rPr>
        <w:t>Hal.</w:t>
      </w:r>
      <w:proofErr w:type="gramEnd"/>
      <w:r w:rsidRPr="004D747E">
        <w:rPr>
          <w:rFonts w:ascii="Times New Roman" w:hAnsi="Times New Roman" w:cs="Times New Roman"/>
        </w:rPr>
        <w:t xml:space="preserve"> 90</w:t>
      </w:r>
    </w:p>
  </w:footnote>
  <w:footnote w:id="50">
    <w:p w14:paraId="49C9A0F4" w14:textId="77777777" w:rsidR="00424260" w:rsidRPr="004D747E" w:rsidRDefault="00424260" w:rsidP="00424260">
      <w:pPr>
        <w:pStyle w:val="FootnoteText"/>
        <w:spacing w:after="0"/>
        <w:ind w:firstLine="720"/>
        <w:jc w:val="both"/>
        <w:rPr>
          <w:rFonts w:ascii="Times New Roman" w:hAnsi="Times New Roman" w:cs="Times New Roman"/>
          <w:i/>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Satjipto</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Raharjo</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i/>
        </w:rPr>
        <w:t>Membedah</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Hukum</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Progresif</w:t>
      </w:r>
      <w:proofErr w:type="spellEnd"/>
      <w:r w:rsidRPr="004D747E">
        <w:rPr>
          <w:rFonts w:ascii="Times New Roman" w:hAnsi="Times New Roman" w:cs="Times New Roman"/>
          <w:i/>
        </w:rPr>
        <w:t xml:space="preserve">, </w:t>
      </w:r>
      <w:r w:rsidRPr="004D747E">
        <w:rPr>
          <w:rFonts w:ascii="Times New Roman" w:hAnsi="Times New Roman" w:cs="Times New Roman"/>
        </w:rPr>
        <w:t xml:space="preserve">(Jakarta: </w:t>
      </w:r>
      <w:proofErr w:type="spellStart"/>
      <w:r w:rsidRPr="004D747E">
        <w:rPr>
          <w:rFonts w:ascii="Times New Roman" w:hAnsi="Times New Roman" w:cs="Times New Roman"/>
        </w:rPr>
        <w:t>Penerbit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Kompas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Cetakan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w:t>
      </w:r>
      <w:proofErr w:type="spellEnd"/>
      <w:r w:rsidRPr="004D747E">
        <w:rPr>
          <w:rFonts w:ascii="Times New Roman" w:hAnsi="Times New Roman" w:cs="Times New Roman"/>
        </w:rPr>
        <w:t xml:space="preserve"> 2, 2007), Hal. 267</w:t>
      </w:r>
    </w:p>
  </w:footnote>
  <w:footnote w:id="51">
    <w:p w14:paraId="57309F75"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Ibid. 269</w:t>
      </w:r>
    </w:p>
  </w:footnote>
  <w:footnote w:id="52">
    <w:p w14:paraId="7F623E24"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Aisyah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Ayu</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Musyafa</w:t>
      </w:r>
      <w:proofErr w:type="spellEnd"/>
      <w:r w:rsidRPr="004D747E">
        <w:rPr>
          <w:rFonts w:ascii="Times New Roman" w:hAnsi="Times New Roman" w:cs="Times New Roman"/>
        </w:rPr>
        <w:t xml:space="preserve">, “ </w:t>
      </w:r>
      <w:proofErr w:type="spellStart"/>
      <w:r w:rsidRPr="004D747E">
        <w:rPr>
          <w:rFonts w:ascii="Times New Roman" w:hAnsi="Times New Roman" w:cs="Times New Roman"/>
        </w:rPr>
        <w:t>Peran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Otoritas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Jasa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Keuangan</w:t>
      </w:r>
      <w:proofErr w:type="spellEnd"/>
      <w:r w:rsidRPr="004D747E">
        <w:rPr>
          <w:rFonts w:ascii="Times New Roman" w:hAnsi="Times New Roman" w:cs="Times New Roman"/>
        </w:rPr>
        <w:t xml:space="preserve"> (OJK) </w:t>
      </w:r>
      <w:proofErr w:type="spellStart"/>
      <w:r w:rsidRPr="004D747E">
        <w:rPr>
          <w:rFonts w:ascii="Times New Roman" w:hAnsi="Times New Roman" w:cs="Times New Roman"/>
        </w:rPr>
        <w:t>dalam</w:t>
      </w:r>
      <w:proofErr w:type="spellEnd"/>
      <w:r w:rsidRPr="004D747E">
        <w:rPr>
          <w:rFonts w:ascii="Times New Roman" w:hAnsi="Times New Roman" w:cs="Times New Roman"/>
        </w:rPr>
        <w:t xml:space="preserve"> Hal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Nasabah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pada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Pada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Lembaga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Keunagan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Mikro</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Syariah</w:t>
      </w:r>
      <w:proofErr w:type="spellEnd"/>
      <w:r w:rsidRPr="004D747E">
        <w:rPr>
          <w:rFonts w:ascii="Times New Roman" w:hAnsi="Times New Roman" w:cs="Times New Roman"/>
        </w:rPr>
        <w:t xml:space="preserve">”, Law Development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Justice Review, </w:t>
      </w:r>
      <w:proofErr w:type="spellStart"/>
      <w:r w:rsidRPr="004D747E">
        <w:rPr>
          <w:rFonts w:ascii="Times New Roman" w:hAnsi="Times New Roman" w:cs="Times New Roman"/>
        </w:rPr>
        <w:t>Vol</w:t>
      </w:r>
      <w:proofErr w:type="spellEnd"/>
      <w:r w:rsidRPr="004D747E">
        <w:rPr>
          <w:rFonts w:ascii="Times New Roman" w:hAnsi="Times New Roman" w:cs="Times New Roman"/>
        </w:rPr>
        <w:t>, 2, No. 2, (2009), Hal. 196</w:t>
      </w:r>
    </w:p>
  </w:footnote>
  <w:footnote w:id="53">
    <w:p w14:paraId="76F6E7D5"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Siti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Malikhatiun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Badriyah</w:t>
      </w:r>
      <w:proofErr w:type="spellEnd"/>
      <w:r w:rsidRPr="004D747E">
        <w:rPr>
          <w:rFonts w:ascii="Times New Roman" w:hAnsi="Times New Roman" w:cs="Times New Roman"/>
        </w:rPr>
        <w:t xml:space="preserve">, “ </w:t>
      </w:r>
      <w:proofErr w:type="spellStart"/>
      <w:r w:rsidRPr="004D747E">
        <w:rPr>
          <w:rFonts w:ascii="Times New Roman" w:hAnsi="Times New Roman" w:cs="Times New Roman"/>
        </w:rPr>
        <w:t>Penemuan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Rechtsvinding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Penciptaan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Rechtsschepping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oleh</w:t>
      </w:r>
      <w:proofErr w:type="spellEnd"/>
      <w:r w:rsidRPr="004D747E">
        <w:rPr>
          <w:rFonts w:ascii="Times New Roman" w:hAnsi="Times New Roman" w:cs="Times New Roman"/>
        </w:rPr>
        <w:t xml:space="preserve"> Hakim </w:t>
      </w:r>
      <w:proofErr w:type="spellStart"/>
      <w:r w:rsidRPr="004D747E">
        <w:rPr>
          <w:rFonts w:ascii="Times New Roman" w:hAnsi="Times New Roman" w:cs="Times New Roman"/>
        </w:rPr>
        <w:t>untuk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mewujudkan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keadilan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MAsalah-Masalah</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Vol. 12, No. 3, (2012), Hal. 528</w:t>
      </w:r>
    </w:p>
  </w:footnote>
  <w:footnote w:id="54">
    <w:p w14:paraId="7928C0D9"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Sri </w:t>
      </w:r>
      <w:proofErr w:type="spellStart"/>
      <w:r w:rsidRPr="004D747E">
        <w:rPr>
          <w:rFonts w:ascii="Times New Roman" w:hAnsi="Times New Roman" w:cs="Times New Roman"/>
        </w:rPr>
        <w:t>Hartini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tedi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Sudrahat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rahadi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Asi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Bintoro</w:t>
      </w:r>
      <w:proofErr w:type="spellEnd"/>
      <w:r w:rsidRPr="004D747E">
        <w:rPr>
          <w:rFonts w:ascii="Times New Roman" w:hAnsi="Times New Roman" w:cs="Times New Roman"/>
        </w:rPr>
        <w:t xml:space="preserve">, “Model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terhadap</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Kebijakan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Perlakuan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Kesehatan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Masyarakat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Miskin</w:t>
      </w:r>
      <w:proofErr w:type="spellEnd"/>
      <w:r w:rsidRPr="004D747E">
        <w:rPr>
          <w:rFonts w:ascii="Times New Roman" w:hAnsi="Times New Roman" w:cs="Times New Roman"/>
        </w:rPr>
        <w:t xml:space="preserve"> di </w:t>
      </w:r>
      <w:proofErr w:type="spellStart"/>
      <w:r w:rsidRPr="004D747E">
        <w:rPr>
          <w:rFonts w:ascii="Times New Roman" w:hAnsi="Times New Roman" w:cs="Times New Roman"/>
        </w:rPr>
        <w:t>Kabupaten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Bayuma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i/>
        </w:rPr>
        <w:t>Jurnal</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Dinamika</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Hukum</w:t>
      </w:r>
      <w:proofErr w:type="spellEnd"/>
      <w:r w:rsidRPr="004D747E">
        <w:rPr>
          <w:rFonts w:ascii="Times New Roman" w:hAnsi="Times New Roman" w:cs="Times New Roman"/>
          <w:i/>
        </w:rPr>
        <w:t xml:space="preserve">, </w:t>
      </w:r>
      <w:r w:rsidRPr="004D747E">
        <w:rPr>
          <w:rFonts w:ascii="Times New Roman" w:hAnsi="Times New Roman" w:cs="Times New Roman"/>
        </w:rPr>
        <w:t>Vol. 12, No. 3, (2012), Hal. 91</w:t>
      </w:r>
    </w:p>
  </w:footnote>
  <w:footnote w:id="55">
    <w:p w14:paraId="2B7B4962"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Kornellius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Benuf</w:t>
      </w:r>
      <w:proofErr w:type="spellEnd"/>
      <w:r w:rsidRPr="004D747E">
        <w:rPr>
          <w:rFonts w:ascii="Times New Roman" w:hAnsi="Times New Roman" w:cs="Times New Roman"/>
        </w:rPr>
        <w:t>, “</w:t>
      </w:r>
      <w:proofErr w:type="spellStart"/>
      <w:r w:rsidRPr="004D747E">
        <w:rPr>
          <w:rFonts w:ascii="Times New Roman" w:hAnsi="Times New Roman" w:cs="Times New Roman"/>
        </w:rPr>
        <w:t>Politik</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Legislator </w:t>
      </w:r>
      <w:proofErr w:type="spellStart"/>
      <w:r w:rsidRPr="004D747E">
        <w:rPr>
          <w:rFonts w:ascii="Times New Roman" w:hAnsi="Times New Roman" w:cs="Times New Roman"/>
        </w:rPr>
        <w:t>dan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Ideologi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Pancasila</w:t>
      </w:r>
      <w:proofErr w:type="spellEnd"/>
      <w:r w:rsidRPr="004D747E">
        <w:rPr>
          <w:rFonts w:ascii="Times New Roman" w:hAnsi="Times New Roman" w:cs="Times New Roman"/>
        </w:rPr>
        <w:t xml:space="preserve">, “ </w:t>
      </w:r>
      <w:proofErr w:type="spellStart"/>
      <w:r w:rsidRPr="004D747E">
        <w:rPr>
          <w:rFonts w:ascii="Times New Roman" w:hAnsi="Times New Roman" w:cs="Times New Roman"/>
        </w:rPr>
        <w:t>Gema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Keadilan</w:t>
      </w:r>
      <w:proofErr w:type="spellEnd"/>
      <w:r w:rsidRPr="004D747E">
        <w:rPr>
          <w:rFonts w:ascii="Times New Roman" w:hAnsi="Times New Roman" w:cs="Times New Roman"/>
        </w:rPr>
        <w:t>, Vol. 5, No. 1, (2018), Hal. 91.</w:t>
      </w:r>
    </w:p>
  </w:footnote>
  <w:footnote w:id="56">
    <w:p w14:paraId="33BAF484"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Az</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Nasution</w:t>
      </w:r>
      <w:proofErr w:type="spellEnd"/>
      <w:r w:rsidRPr="004D747E">
        <w:rPr>
          <w:rFonts w:ascii="Times New Roman" w:hAnsi="Times New Roman" w:cs="Times New Roman"/>
        </w:rPr>
        <w:t>, “</w:t>
      </w:r>
      <w:proofErr w:type="spellStart"/>
      <w:r w:rsidRPr="004D747E">
        <w:rPr>
          <w:rFonts w:ascii="Times New Roman" w:hAnsi="Times New Roman" w:cs="Times New Roman"/>
        </w:rPr>
        <w:t>Sekilas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i/>
        </w:rPr>
        <w:t>Jurnal</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Hukum</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dan</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pembangunan</w:t>
      </w:r>
      <w:proofErr w:type="spellEnd"/>
      <w:r w:rsidRPr="004D747E">
        <w:rPr>
          <w:rFonts w:ascii="Times New Roman" w:hAnsi="Times New Roman" w:cs="Times New Roman"/>
          <w:i/>
        </w:rPr>
        <w:t xml:space="preserve">, </w:t>
      </w:r>
      <w:r w:rsidRPr="004D747E">
        <w:rPr>
          <w:rFonts w:ascii="Times New Roman" w:hAnsi="Times New Roman" w:cs="Times New Roman"/>
        </w:rPr>
        <w:t>Vol. 16, No. 6, (2017) Hal. 568</w:t>
      </w:r>
    </w:p>
  </w:footnote>
  <w:footnote w:id="57">
    <w:p w14:paraId="26434379"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Rizka</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Syafriana</w:t>
      </w:r>
      <w:proofErr w:type="spellEnd"/>
      <w:r w:rsidRPr="004D747E">
        <w:rPr>
          <w:rFonts w:ascii="Times New Roman" w:hAnsi="Times New Roman" w:cs="Times New Roman"/>
        </w:rPr>
        <w:t>,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dalam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Transaksi</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Elektronik</w:t>
      </w:r>
      <w:proofErr w:type="spellEnd"/>
      <w:r w:rsidRPr="004D747E">
        <w:rPr>
          <w:rFonts w:ascii="Times New Roman" w:hAnsi="Times New Roman" w:cs="Times New Roman"/>
        </w:rPr>
        <w:t>, “</w:t>
      </w:r>
      <w:r w:rsidRPr="004D747E">
        <w:rPr>
          <w:rFonts w:ascii="Times New Roman" w:hAnsi="Times New Roman" w:cs="Times New Roman"/>
          <w:i/>
        </w:rPr>
        <w:t xml:space="preserve">De </w:t>
      </w:r>
      <w:proofErr w:type="spellStart"/>
      <w:r w:rsidRPr="004D747E">
        <w:rPr>
          <w:rFonts w:ascii="Times New Roman" w:hAnsi="Times New Roman" w:cs="Times New Roman"/>
          <w:i/>
        </w:rPr>
        <w:t>lega</w:t>
      </w:r>
      <w:proofErr w:type="spellEnd"/>
      <w:r w:rsidRPr="004D747E">
        <w:rPr>
          <w:rFonts w:ascii="Times New Roman" w:hAnsi="Times New Roman" w:cs="Times New Roman"/>
          <w:i/>
        </w:rPr>
        <w:t xml:space="preserve"> </w:t>
      </w:r>
      <w:proofErr w:type="spellStart"/>
      <w:r w:rsidRPr="004D747E">
        <w:rPr>
          <w:rFonts w:ascii="Times New Roman" w:hAnsi="Times New Roman" w:cs="Times New Roman"/>
          <w:i/>
        </w:rPr>
        <w:t>Lata</w:t>
      </w:r>
      <w:proofErr w:type="spellEnd"/>
      <w:r w:rsidRPr="004D747E">
        <w:rPr>
          <w:rFonts w:ascii="Times New Roman" w:hAnsi="Times New Roman" w:cs="Times New Roman"/>
          <w:i/>
        </w:rPr>
        <w:t xml:space="preserve">, </w:t>
      </w:r>
      <w:r w:rsidRPr="004D747E">
        <w:rPr>
          <w:rFonts w:ascii="Times New Roman" w:hAnsi="Times New Roman" w:cs="Times New Roman"/>
        </w:rPr>
        <w:t>Vol. 1, No. 2, (2016) Hal. 443</w:t>
      </w:r>
    </w:p>
  </w:footnote>
  <w:footnote w:id="58">
    <w:p w14:paraId="7D80326C"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proofErr w:type="spellStart"/>
      <w:r w:rsidRPr="004D747E">
        <w:rPr>
          <w:rFonts w:ascii="Times New Roman" w:hAnsi="Times New Roman" w:cs="Times New Roman"/>
        </w:rPr>
        <w:t>Kornelius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Benuf</w:t>
      </w:r>
      <w:proofErr w:type="spellEnd"/>
      <w:r w:rsidRPr="004D747E">
        <w:rPr>
          <w:rFonts w:ascii="Times New Roman" w:hAnsi="Times New Roman" w:cs="Times New Roman"/>
        </w:rPr>
        <w:t xml:space="preserve">, (2020), </w:t>
      </w:r>
      <w:proofErr w:type="gramStart"/>
      <w:r w:rsidRPr="004D747E">
        <w:rPr>
          <w:rFonts w:ascii="Times New Roman" w:hAnsi="Times New Roman" w:cs="Times New Roman"/>
        </w:rPr>
        <w:t xml:space="preserve">“ </w:t>
      </w:r>
      <w:proofErr w:type="spellStart"/>
      <w:r w:rsidRPr="004D747E">
        <w:rPr>
          <w:rFonts w:ascii="Times New Roman" w:hAnsi="Times New Roman" w:cs="Times New Roman"/>
        </w:rPr>
        <w:t>Urgensi</w:t>
      </w:r>
      <w:proofErr w:type="spellEnd"/>
      <w:proofErr w:type="gramEnd"/>
      <w:r w:rsidRPr="004D747E">
        <w:rPr>
          <w:rFonts w:ascii="Times New Roman" w:hAnsi="Times New Roman" w:cs="Times New Roman"/>
        </w:rPr>
        <w:t xml:space="preserve"> </w:t>
      </w:r>
      <w:proofErr w:type="spellStart"/>
      <w:r w:rsidRPr="004D747E">
        <w:rPr>
          <w:rFonts w:ascii="Times New Roman" w:hAnsi="Times New Roman" w:cs="Times New Roman"/>
        </w:rPr>
        <w:t>Kebijakan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perlindungan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terhadap</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Konsumen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i/>
        </w:rPr>
        <w:t>fintech</w:t>
      </w:r>
      <w:proofErr w:type="spellEnd"/>
      <w:r w:rsidRPr="004D747E">
        <w:rPr>
          <w:rFonts w:ascii="Times New Roman" w:hAnsi="Times New Roman" w:cs="Times New Roman"/>
          <w:i/>
        </w:rPr>
        <w:t xml:space="preserve"> Peer To Peer Lending </w:t>
      </w:r>
      <w:proofErr w:type="spellStart"/>
      <w:r w:rsidRPr="004D747E">
        <w:rPr>
          <w:rFonts w:ascii="Times New Roman" w:hAnsi="Times New Roman" w:cs="Times New Roman"/>
        </w:rPr>
        <w:t>Akibat</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Penyebaran</w:t>
      </w:r>
      <w:proofErr w:type="spellEnd"/>
      <w:r w:rsidRPr="004D747E">
        <w:rPr>
          <w:rFonts w:ascii="Times New Roman" w:hAnsi="Times New Roman" w:cs="Times New Roman"/>
        </w:rPr>
        <w:t xml:space="preserve"> Covid-19”. </w:t>
      </w:r>
      <w:proofErr w:type="spellStart"/>
      <w:r w:rsidRPr="004D747E">
        <w:rPr>
          <w:rFonts w:ascii="Times New Roman" w:hAnsi="Times New Roman" w:cs="Times New Roman"/>
        </w:rPr>
        <w:t>Jurnal</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Rechts</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Vinding</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MediaPembinaan</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Hukum</w:t>
      </w:r>
      <w:proofErr w:type="spellEnd"/>
      <w:r w:rsidRPr="004D747E">
        <w:rPr>
          <w:rFonts w:ascii="Times New Roman" w:hAnsi="Times New Roman" w:cs="Times New Roman"/>
        </w:rPr>
        <w:t xml:space="preserve"> </w:t>
      </w:r>
      <w:proofErr w:type="spellStart"/>
      <w:r w:rsidRPr="004D747E">
        <w:rPr>
          <w:rFonts w:ascii="Times New Roman" w:hAnsi="Times New Roman" w:cs="Times New Roman"/>
        </w:rPr>
        <w:t>Nasional</w:t>
      </w:r>
      <w:proofErr w:type="spellEnd"/>
      <w:r w:rsidRPr="004D747E">
        <w:rPr>
          <w:rFonts w:ascii="Times New Roman" w:hAnsi="Times New Roman" w:cs="Times New Roman"/>
        </w:rPr>
        <w:t xml:space="preserve">, Vol. 9 No. 2. </w:t>
      </w:r>
      <w:proofErr w:type="gramStart"/>
      <w:r w:rsidRPr="004D747E">
        <w:rPr>
          <w:rFonts w:ascii="Times New Roman" w:hAnsi="Times New Roman" w:cs="Times New Roman"/>
        </w:rPr>
        <w:t>Hal.</w:t>
      </w:r>
      <w:proofErr w:type="gramEnd"/>
      <w:r w:rsidRPr="004D747E">
        <w:rPr>
          <w:rFonts w:ascii="Times New Roman" w:hAnsi="Times New Roman" w:cs="Times New Roman"/>
        </w:rPr>
        <w:t xml:space="preserve"> 203-217</w:t>
      </w:r>
    </w:p>
  </w:footnote>
  <w:footnote w:id="59">
    <w:p w14:paraId="3A1B65A7"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{"citationItems":[{"id":"ITEM-1","itemData":{"DOI":"10.2139/ssrn.3054770","ISBN":"1515041387","ISSN":"00168092","abstract":"Whether in response to robo advising, artificial intelligence, or cryptocurrencies such as Bitcoin, regulators around the world have made it a top policy priority to supervise the exponential growth of financial technology (or “fintech”) in the post-crisis era. However, applying traditional regulatory strategies to new technological ecosystems has proved conceptually difficult. Part of the challenge lies in managing the trade-offs that accompany the regulation of innovations that could, conceivably, both help and hurt consumers as well as market participants. Problems also arise from the common assumption that today's fintech is a mere continuation of the story of innovation that has shaped finance for centuries. This Article offers a new theoretical framework for understanding and regulating fintech by showing how the supervision of financial innovation is invariably bound by what can be described as a policy trilemma. Specifically, we argue that when seeking to provide clear rules, maintain market integrity, and encourage financial innovation, regulators have long been able to achieve, at best, only two out of these three goals. Moreover, today's innovations exacerbate the trade-offs historically embodied in the trilemma by breaking down financial services supply chains into discrete parts and disintermediating traditional functions using cutting edge, but untested, technologies, thereby introducing unprecedented uncertainty as to their risks and benefits. This Article seeks to catalogue the strategies taken by regulatory authorities to navigate the trilemma, and posits them as operating across a spectrum of interrelated responses. The Article then proposes supplemental administrative tools to support not only market, but also regulatory experimentation and innovation.","author":[{"dropping-particle":"","family":"Brummer","given":"Chris","non-dropping-particle":"","parse-names":false,"suffix":""},{"dropping-particle":"","family":"Yadav","given":"Yesha","non-dropping-particle":"","parse-names":false,"suffix":""}],"container-title":"Georgetown Law Journal","id":"ITEM-1","issue":"2","issued":{"date-parts":[["2019"]]},"number-of-pages":"235-307","title":"Fintech and the innovation trilemma","type":"book","volume":"107"},"uris":["http://www.mendeley.com/documents/?uuid=9660d48b-5d4f-474c-89ac-d2403ccaab27"]}],"mendeley":{"formattedCitation":"Chris Brummer and Yesha Yadav, &lt;i&gt;Fintech and the Innovation Trilemma&lt;/i&gt;, &lt;i&gt;Georgetown Law Journal&lt;/i&gt;, vol. 107, 2019, https://doi.org/10.2139/ssrn.3054770.","manualFormatting":"Chris Brummer and Yesha Yadav, (2019). \"Fintech and the Innovation Trilemma, Georgetown Law Journal, Vol. 107. No.2. Hal. 235-307, https://doi.org/10.2139/ssrn.3054770.","plainTextFormattedCitation":"Chris Brummer and Yesha Yadav, Fintech and the Innovation Trilemma, Georgetown Law Journal, vol. 107, 2019, https://doi.org/10.2139/ssrn.3054770.","previouslyFormattedCitation":"[21]"},"properties":{"noteIndex":59},"schema":"https://github.com/citation-style-language/schema/raw/master/csl-citation.json"}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Chris Brummer and Yesha Yadav, (2019). "Fintech and the Innovation Trilemma, Georgetown Law Journal, Vol. 107. No.2. Hal. 235-307, https://doi.org/10.2139/ssrn.3054770.</w:t>
      </w:r>
      <w:r w:rsidRPr="004D747E">
        <w:rPr>
          <w:rFonts w:ascii="Times New Roman" w:hAnsi="Times New Roman" w:cs="Times New Roman"/>
        </w:rPr>
        <w:fldChar w:fldCharType="end"/>
      </w:r>
    </w:p>
  </w:footnote>
  <w:footnote w:id="60">
    <w:p w14:paraId="48177A47"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{"citationItems":[{"id":"ITEM-1","itemData":{"DOI":"10.2139/ssrn.3054770","ISBN":"1515041387","ISSN":"00168092","abstract":"Whether in response to robo advising, artificial intelligence, or cryptocurrencies such as Bitcoin, regulators around the world have made it a top policy priority to supervise the exponential growth of financial technology (or “fintech”) in the post-crisis era. However, applying traditional regulatory strategies to new technological ecosystems has proved conceptually difficult. Part of the challenge lies in managing the trade-offs that accompany the regulation of innovations that could, conceivably, both help and hurt consumers as well as market participants. Problems also arise from the common assumption that today's fintech is a mere continuation of the story of innovation that has shaped finance for centuries. This Article offers a new theoretical framework for understanding and regulating fintech by showing how the supervision of financial innovation is invariably bound by what can be described as a policy trilemma. Specifically, we argue that when seeking to provide clear rules, maintain market integrity, and encourage financial innovation, regulators have long been able to achieve, at best, only two out of these three goals. Moreover, today's innovations exacerbate the trade-offs historically embodied in the trilemma by breaking down financial services supply chains into discrete parts and disintermediating traditional functions using cutting edge, but untested, technologies, thereby introducing unprecedented uncertainty as to their risks and benefits. This Article seeks to catalogue the strategies taken by regulatory authorities to navigate the trilemma, and posits them as operating across a spectrum of interrelated responses. The Article then proposes supplemental administrative tools to support not only market, but also regulatory experimentation and innovation.","author":[{"dropping-particle":"","family":"Brummer","given":"Chris","non-dropping-particle":"","parse-names":false,"suffix":""},{"dropping-particle":"","family":"Yadav","given":"Yesha","non-dropping-particle":"","parse-names":false,"suffix":""}],"container-title":"Georgetown Law Journal","id":"ITEM-1","issue":"2","issued":{"date-parts":[["2019"]]},"number-of-pages":"235-307","title":"Fintech and the innovation trilemma","type":"book","volume":"107"},"uris":["http://www.mendeley.com/documents/?uuid=9660d48b-5d4f-474c-89ac-d2403ccaab27"]}],"mendeley":{"formattedCitation":"Brummer and Yadav.","manualFormatting":"Brummer and Yadav...","plainTextFormattedCitation":"Brummer and Yadav.","previouslyFormattedCitation":"[21]"},"properties":{"noteIndex":60},"schema":"https://github.com/citation-style-language/schema/raw/master/csl-citation.json"}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Brummer and Yadav...</w:t>
      </w:r>
      <w:r w:rsidRPr="004D747E">
        <w:rPr>
          <w:rFonts w:ascii="Times New Roman" w:hAnsi="Times New Roman" w:cs="Times New Roman"/>
        </w:rPr>
        <w:fldChar w:fldCharType="end"/>
      </w:r>
    </w:p>
  </w:footnote>
  <w:footnote w:id="61">
    <w:p w14:paraId="47BAE1FD"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{"citationItems":[{"id":"ITEM-1","itemData":{"DOI":"10.22146/jmh.43129","ISSN":"0852-100X","abstract":"The growth of the financial technology (fintech) industry is a necessity as an effort to make financial services more practical and efficient. On the other hand, consumers of financial services are still low in financial literacy levels, especially in considering various risks that can occur in dealing with the fintech industry. Indonesian Financial Services Authority (OJK) is the body responsible for carrying out the protection of consumers of financial services. This article describes how legal matters in the fintech business, which are actually useful and can encourage financial inclusion, but on the other hand have the potential to harm consumers if they are not properly regulated. Existing related OJK Regulations would be examined and what things should be regulated by the OJK so that consumers of financial services are protected amid the development of fintech, will also be elaborated in this article. This article respectively describes the rationality of consumer protection in the financial services, the dynamics of fintech growth and its problems, and an analysis of the role of OJK in the era of fintech industry.","author":[{"dropping-particle":"","family":"Widijantoro","given":"Johanes","non-dropping-particle":"","parse-names":false,"suffix":""}],"container-title":"Mimbar Hukum - Fakultas Hukum Universitas Gadjah Mada","id":"ITEM-1","issue":"2","issued":{"date-parts":[["2019"]]},"page":"297","title":"the Role of Financial Services Authority in the Consumer Protection Amid the Growth of Fintech Industry in Indonesia","type":"article-journal","volume":"31"},"uris":["http://www.mendeley.com/documents/?uuid=d70413cc-3d56-4025-96f9-4d9cf1f8100a"]}],"mendeley":{"formattedCitation":"Johanes Widijantoro, “The Role of Financial Services Authority in the Consumer Protection Amid the Growth of Fintech Industry in Indonesia,” &lt;i&gt;Mimbar Hukum - Fakultas Hukum Universitas Gadjah Mada&lt;/i&gt; 31, no. 2 (2019): 297, https://doi.org/10.22146/jmh.43129.","plainTextFormattedCitation":"Johanes Widijantoro, “The Role of Financial Services Authority in the Consumer Protection Amid the Growth of Fintech Industry in Indonesia,” Mimbar Hukum - Fakultas Hukum Universitas Gadjah Mada 31, no. 2 (2019): 297, https://doi.org/10.22146/jmh.43129.","previouslyFormattedCitation":"[22]"},"properties":{"noteIndex":61},"schema":"https://github.com/citation-style-language/schema/raw/master/csl-citation.json"}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 xml:space="preserve">Johanes Widijantoro, “The Role of Financial Services Authority in the Consumer Protection Amid the Growth of Fintech Industry in Indonesia,” </w:t>
      </w:r>
      <w:r w:rsidRPr="004D747E">
        <w:rPr>
          <w:rFonts w:ascii="Times New Roman" w:hAnsi="Times New Roman" w:cs="Times New Roman"/>
          <w:i/>
          <w:noProof/>
        </w:rPr>
        <w:t>Mimbar Hukum - Fakultas Hukum Universitas Gadjah Mada</w:t>
      </w:r>
      <w:r w:rsidRPr="004D747E">
        <w:rPr>
          <w:rFonts w:ascii="Times New Roman" w:hAnsi="Times New Roman" w:cs="Times New Roman"/>
          <w:noProof/>
        </w:rPr>
        <w:t xml:space="preserve"> 31, no. 2 (2019): 297, https://doi.org/10.22146/jmh.43129.</w:t>
      </w:r>
      <w:r w:rsidRPr="004D747E">
        <w:rPr>
          <w:rFonts w:ascii="Times New Roman" w:hAnsi="Times New Roman" w:cs="Times New Roman"/>
        </w:rPr>
        <w:fldChar w:fldCharType="end"/>
      </w:r>
    </w:p>
  </w:footnote>
  <w:footnote w:id="62">
    <w:p w14:paraId="677C8BD6"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{"citationItems":[{"id":"ITEM-1","itemData":{"ISBN":"9789292593322","abstract":"Technological innovations in financial services (fintech) are increasingly transforming the way financial services are provided. While fintech opens opportunities, it also comes with potential risks. Financial authorities have responded to fintech developments in various ways. Based on survey responses from around 30 jurisdictions, this paper provides a cross-country overview of policy responses to fintech developments. In addition, building on the work by global standard-setting bodies and other international organisations, the paper proposes a conceptual framework through which to analyse policy responses to fintech, referred to as the \"fintech tree\". The fintech tree identifies three categories: fintech activities, enabling technologies and policy enablers.","author":[{"dropping-particle":"","family":"Ehrentraud","given":"Johannes","non-dropping-particle":"","parse-names":false,"suffix":""},{"dropping-particle":"","family":"Garzoni","given":"Lorena","non-dropping-particle":"","parse-names":false,"suffix":""},{"dropping-particle":"","family":"Piccolo","given":"Mateo","non-dropping-particle":"","parse-names":false,"suffix":""},{"dropping-particle":"","family":"Garcia Ocampo","given":"Denise","non-dropping-particle":"","parse-names":false,"suffix":""}],"container-title":"FSI Insights on policy implementation","id":"ITEM-1","issue":"23","issued":{"date-parts":[["2020"]]},"number-of-pages":"1-56","title":"Policy responses to fintech: a cross-country overview","type":"book"},"uris":["http://www.mendeley.com/documents/?uuid=560bfc02-25fc-42ae-a21b-a228b2a0527d"]}],"mendeley":{"formattedCitation":"Ehrentraud et al., &lt;i&gt;Policy Responses to Fintech: A Cross-Country Overview&lt;/i&gt;.","plainTextFormattedCitation":"Ehrentraud et al., Policy Responses to Fintech: A Cross-Country Overview.","previouslyFormattedCitation":"[19]"},"properties":{"noteIndex":62},"schema":"https://github.com/citation-style-language/schema/raw/master/csl-citation.json"}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 xml:space="preserve">Ehrentraud et al., </w:t>
      </w:r>
      <w:r w:rsidRPr="004D747E">
        <w:rPr>
          <w:rFonts w:ascii="Times New Roman" w:hAnsi="Times New Roman" w:cs="Times New Roman"/>
          <w:i/>
          <w:noProof/>
        </w:rPr>
        <w:t>Policy Responses to Fintech: A Cross-Country Overview</w:t>
      </w:r>
      <w:r w:rsidRPr="004D747E">
        <w:rPr>
          <w:rFonts w:ascii="Times New Roman" w:hAnsi="Times New Roman" w:cs="Times New Roman"/>
          <w:noProof/>
        </w:rPr>
        <w:t>.</w:t>
      </w:r>
      <w:r w:rsidRPr="004D747E">
        <w:rPr>
          <w:rFonts w:ascii="Times New Roman" w:hAnsi="Times New Roman" w:cs="Times New Roman"/>
        </w:rPr>
        <w:fldChar w:fldCharType="end"/>
      </w:r>
    </w:p>
  </w:footnote>
  <w:footnote w:id="63">
    <w:p w14:paraId="300D8448"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{"citationItems":[{"id":"ITEM-1","itemData":{"ISBN":"8133593557","abstract":"This paper showcases the growth as well as the challenging factors for fintech development in Indonesia. As the eighth-biggest economy in terms of gross domestic product, and with an internet participation ratio of more than 50% and more than 50 million micro, small, and medium-sized enterprises (MSMEs), the country shows huge potential for fintech. As of 2017, $1.62 million had been distributed through 11 local peer-to-peer (P2P) platforms. However, low financial inclusion and the big financing gap among MSMEs pose a huge challenge, which the government is trying to overcome. Ensuring financial literacy will be key. An example is Finansilaku, which is providing online literacy programs for the development of the next generation. Moreover, fintech companies such as Mekar are creating shared value as P2P lending platforms for women, with a similar philosophy as Grameen Bank. Finally, this paper also discusses customers’ reluctance to use fintech products and examines how regulators have adopted strategies related to regulation strategy, frameworks, market supervision, and innovation.","author":[{"dropping-particle":"","family":"Batunanggar","given":"Sukarela","non-dropping-particle":"","parse-names":false,"suffix":""}],"container-title":"Asian Development Bank Institute","id":"ITEM-1","issue":"1014","issued":{"date-parts":[["2019"]]},"page":"1-12","title":"Fintech Development and Regulatory Frameworks in Indonesia","type":"article-journal","volume":"1014"},"uris":["http://www.mendeley.com/documents/?uuid=a8ad0d58-6d68-4440-9c7d-aec60688366e"]}],"mendeley":{"formattedCitation":"Batunanggar, “Fintech Development and Regulatory Frameworks in Indonesia.”","plainTextFormattedCitation":"Batunanggar, “Fintech Development and Regulatory Frameworks in Indonesia.”","previouslyFormattedCitation":"[7]"},"properties":{"noteIndex":63},"schema":"https://github.com/citation-style-language/schema/raw/master/csl-citation.json"}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Batunanggar, “Fintech Development and Regulatory Frameworks in Indonesia.”</w:t>
      </w:r>
      <w:r w:rsidRPr="004D747E">
        <w:rPr>
          <w:rFonts w:ascii="Times New Roman" w:hAnsi="Times New Roman" w:cs="Times New Roman"/>
        </w:rPr>
        <w:fldChar w:fldCharType="end"/>
      </w:r>
    </w:p>
  </w:footnote>
  <w:footnote w:id="64">
    <w:p w14:paraId="11989B72" w14:textId="77777777" w:rsidR="00424260" w:rsidRPr="004D747E" w:rsidRDefault="00424260" w:rsidP="00424260">
      <w:pPr>
        <w:pStyle w:val="FootnoteText"/>
        <w:spacing w:after="0"/>
        <w:ind w:firstLine="720"/>
        <w:jc w:val="both"/>
        <w:rPr>
          <w:rFonts w:ascii="Times New Roman" w:hAnsi="Times New Roman" w:cs="Times New Roman"/>
        </w:rPr>
      </w:pPr>
      <w:r w:rsidRPr="004D747E">
        <w:rPr>
          <w:rStyle w:val="FootnoteReference"/>
          <w:rFonts w:ascii="Times New Roman" w:hAnsi="Times New Roman" w:cs="Times New Roman"/>
        </w:rPr>
        <w:footnoteRef/>
      </w:r>
      <w:r w:rsidRPr="004D747E">
        <w:rPr>
          <w:rFonts w:ascii="Times New Roman" w:hAnsi="Times New Roman" w:cs="Times New Roman"/>
        </w:rPr>
        <w:t xml:space="preserve"> </w:t>
      </w:r>
      <w:r w:rsidRPr="004D747E">
        <w:rPr>
          <w:rFonts w:ascii="Times New Roman" w:hAnsi="Times New Roman" w:cs="Times New Roman"/>
        </w:rPr>
        <w:fldChar w:fldCharType="begin" w:fldLock="1"/>
      </w:r>
      <w:r w:rsidRPr="004D747E">
        <w:rPr>
          <w:rFonts w:ascii="Times New Roman" w:hAnsi="Times New Roman" w:cs="Times New Roman"/>
        </w:rPr>
        <w:instrText>ADDIN CSL_CITATION {"citationItems":[{"id":"ITEM-1","itemData":{"DOI":"10.1017/err.2020.8","ISSN":"21908249","abstract":"New financial technology holds the promise of innovation and competition, challenging established products and services and frequently improving market processes. However, regulation of these new services faces a double challenge: to keep pace with innovation and facilitate new market entries while at the same time understanding and managing the regulatory risks that are involved. At this stage, the existing EU regulatory framework is of little help: the bulk of the present body of financial regulation stems from a different time, with different regulatory problems in mind. EU regulation is also very slow to change and to adapt. Therefore, this paper proposes a regulatory \"sandbox\"- an experimentation space - as a step towards a regulatory environment where such new business models can thrive. A sandbox would allow market participants to test fintech services in the real market, with real consumers, but under the close scrutiny of the supervisor. The benefit of such an approach is that it fuels the development of new business practices and reduces the \"time to market\"cycle of financial innovation, while simultaneously safeguarding consumer protection. At the same time, a sandbox allows for mutual learning in a technical field which is sometimes poorly understood, both for firms and for the regulator. This would help to reduce the prevalent regulatory uncertainty for all market participants. In the particular EU legal framework with various layers of legal instruments, the implementation of such a sandbox is not straightforward. In this paper, we propose a \"guided sandbox\", operated by the EU Member States, but with endorsement, support, and monitoring by EU institutions. This innovative approach would be somewhat uncharted territory for the EU, and thereby also contribute to the future development of EU financial market governance as a whole.","author":[{"dropping-particle":"","family":"Ringe","given":"Wolf Georg","non-dropping-particle":"","parse-names":false,"suffix":""},{"dropping-particle":"","family":"Ruof","given":"Christopher","non-dropping-particle":"","parse-names":false,"suffix":""}],"container-title":"European Journal of Risk Regulation","id":"ITEM-1","issue":"3","issued":{"date-parts":[["2020"]]},"page":"604-629","title":"Regulating fintech in the EU: The case for a guided sandbox","type":"article-journal","volume":"11"},"uris":["http://www.mendeley.com/documents/?uuid=ee621191-b2c3-46fb-840b-3766243ab137"]}],"mendeley":{"formattedCitation":"Wolf Georg Ringe and Christopher Ruof, “Regulating Fintech in the EU: The Case for a Guided Sandbox,” &lt;i&gt;European Journal of Risk Regulation&lt;/i&gt; 11, no. 3 (2020): 604–29, https://doi.org/10.1017/err.2020.8.","plainTextFormattedCitation":"Wolf Georg Ringe and Christopher Ruof, “Regulating Fintech in the EU: The Case for a Guided Sandbox,” European Journal of Risk Regulation 11, no. 3 (2020): 604–29, https://doi.org/10.1017/err.2020.8.","previouslyFormattedCitation":"[23]"},"properties":{"noteIndex":64},"schema":"https://github.com/citation-style-language/schema/raw/master/csl-citation.json"}</w:instrText>
      </w:r>
      <w:r w:rsidRPr="004D747E">
        <w:rPr>
          <w:rFonts w:ascii="Times New Roman" w:hAnsi="Times New Roman" w:cs="Times New Roman"/>
        </w:rPr>
        <w:fldChar w:fldCharType="separate"/>
      </w:r>
      <w:r w:rsidRPr="004D747E">
        <w:rPr>
          <w:rFonts w:ascii="Times New Roman" w:hAnsi="Times New Roman" w:cs="Times New Roman"/>
          <w:noProof/>
        </w:rPr>
        <w:t xml:space="preserve">Wolf Georg Ringe and Christopher Ruof, “Regulating Fintech in the EU: The Case for a Guided Sandbox,” </w:t>
      </w:r>
      <w:r w:rsidRPr="004D747E">
        <w:rPr>
          <w:rFonts w:ascii="Times New Roman" w:hAnsi="Times New Roman" w:cs="Times New Roman"/>
          <w:i/>
          <w:noProof/>
        </w:rPr>
        <w:t>European Journal of Risk Regulation</w:t>
      </w:r>
      <w:r w:rsidRPr="004D747E">
        <w:rPr>
          <w:rFonts w:ascii="Times New Roman" w:hAnsi="Times New Roman" w:cs="Times New Roman"/>
          <w:noProof/>
        </w:rPr>
        <w:t xml:space="preserve"> 11, no. 3 (2020): 604–29, https://doi.org/10.1017/err.2020.8.</w:t>
      </w:r>
      <w:r w:rsidRPr="004D747E">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74A48" w14:textId="77777777" w:rsidR="00424260" w:rsidRDefault="00424260">
    <w:pPr>
      <w:pStyle w:val="Header"/>
      <w:framePr w:wrap="around" w:vAnchor="text" w:hAnchor="margin" w:xAlign="right" w:y="1"/>
      <w:tabs>
        <w:tab w:val="clear" w:pos="4153"/>
        <w:tab w:val="clear" w:pos="8306"/>
        <w:tab w:val="center" w:pos="4320"/>
        <w:tab w:val="right" w:pos="8640"/>
      </w:tabs>
      <w:rPr>
        <w:rStyle w:val="PageNumber"/>
      </w:rPr>
    </w:pPr>
    <w:r>
      <w:fldChar w:fldCharType="begin"/>
    </w:r>
    <w:r>
      <w:rPr>
        <w:rStyle w:val="PageNumber"/>
      </w:rPr>
      <w:instrText xml:space="preserve">PAGE  </w:instrText>
    </w:r>
    <w:r>
      <w:fldChar w:fldCharType="end"/>
    </w:r>
  </w:p>
  <w:p w14:paraId="3A8966CA" w14:textId="77777777" w:rsidR="00424260" w:rsidRDefault="00424260">
    <w:pPr>
      <w:pStyle w:val="Header"/>
      <w:tabs>
        <w:tab w:val="clear" w:pos="4153"/>
        <w:tab w:val="clear" w:pos="8306"/>
        <w:tab w:val="center" w:pos="4320"/>
        <w:tab w:val="right" w:pos="86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131"/>
    <w:multiLevelType w:val="hybridMultilevel"/>
    <w:tmpl w:val="4A98FBE4"/>
    <w:lvl w:ilvl="0" w:tplc="04090011">
      <w:start w:val="1"/>
      <w:numFmt w:val="decimal"/>
      <w:lvlText w:val="%1)"/>
      <w:lvlJc w:val="left"/>
      <w:pPr>
        <w:ind w:left="1725" w:hanging="1005"/>
      </w:pPr>
      <w:rPr>
        <w:rFonts w:hint="default"/>
      </w:rPr>
    </w:lvl>
    <w:lvl w:ilvl="1" w:tplc="0448BFF6">
      <w:start w:val="1"/>
      <w:numFmt w:val="decimal"/>
      <w:lvlText w:val="%2."/>
      <w:lvlJc w:val="left"/>
      <w:pPr>
        <w:ind w:left="2100" w:hanging="6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745E25"/>
    <w:multiLevelType w:val="multilevel"/>
    <w:tmpl w:val="0974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041C88"/>
    <w:multiLevelType w:val="multilevel"/>
    <w:tmpl w:val="0C041C88"/>
    <w:lvl w:ilvl="0">
      <w:start w:val="1"/>
      <w:numFmt w:val="decimal"/>
      <w:lvlText w:val="%1."/>
      <w:lvlJc w:val="left"/>
      <w:pPr>
        <w:ind w:left="2486" w:hanging="360"/>
      </w:pPr>
      <w:rPr>
        <w:rFonts w:hint="default"/>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3">
    <w:nsid w:val="0C1A79A8"/>
    <w:multiLevelType w:val="hybridMultilevel"/>
    <w:tmpl w:val="0F7A2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E120C"/>
    <w:multiLevelType w:val="hybridMultilevel"/>
    <w:tmpl w:val="F8B85EDA"/>
    <w:lvl w:ilvl="0" w:tplc="CACEC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F4541"/>
    <w:multiLevelType w:val="multilevel"/>
    <w:tmpl w:val="10FF45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B23EC1"/>
    <w:multiLevelType w:val="hybridMultilevel"/>
    <w:tmpl w:val="4A003BD6"/>
    <w:lvl w:ilvl="0" w:tplc="C3B0E3F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nsid w:val="24CC4F4A"/>
    <w:multiLevelType w:val="multilevel"/>
    <w:tmpl w:val="F8A6A258"/>
    <w:lvl w:ilvl="0">
      <w:start w:val="1"/>
      <w:numFmt w:val="upperLetter"/>
      <w:lvlText w:val="%1."/>
      <w:lvlJc w:val="left"/>
      <w:pPr>
        <w:ind w:left="720" w:hanging="360"/>
      </w:pPr>
      <w:rPr>
        <w:b/>
        <w:color w:val="1F4E79"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b/>
        <w:i w:val="0"/>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E00A33"/>
    <w:multiLevelType w:val="multilevel"/>
    <w:tmpl w:val="26E00A33"/>
    <w:lvl w:ilvl="0">
      <w:start w:val="1"/>
      <w:numFmt w:val="decimal"/>
      <w:lvlText w:val="%1."/>
      <w:lvlJc w:val="left"/>
      <w:pPr>
        <w:tabs>
          <w:tab w:val="left" w:pos="2160"/>
        </w:tabs>
        <w:ind w:left="2160" w:hanging="360"/>
      </w:pPr>
    </w:lvl>
    <w:lvl w:ilvl="1">
      <w:start w:val="1"/>
      <w:numFmt w:val="lowerLetter"/>
      <w:lvlText w:val="%2."/>
      <w:lvlJc w:val="left"/>
      <w:pPr>
        <w:tabs>
          <w:tab w:val="left" w:pos="2880"/>
        </w:tabs>
        <w:ind w:left="2880" w:hanging="360"/>
      </w:pPr>
    </w:lvl>
    <w:lvl w:ilvl="2">
      <w:start w:val="1"/>
      <w:numFmt w:val="lowerRoman"/>
      <w:lvlText w:val="%3."/>
      <w:lvlJc w:val="right"/>
      <w:pPr>
        <w:tabs>
          <w:tab w:val="left" w:pos="3600"/>
        </w:tabs>
        <w:ind w:left="3600" w:hanging="180"/>
      </w:pPr>
    </w:lvl>
    <w:lvl w:ilvl="3">
      <w:start w:val="1"/>
      <w:numFmt w:val="decimal"/>
      <w:lvlText w:val="%4."/>
      <w:lvlJc w:val="left"/>
      <w:pPr>
        <w:tabs>
          <w:tab w:val="left" w:pos="4320"/>
        </w:tabs>
        <w:ind w:left="4320" w:hanging="360"/>
      </w:pPr>
    </w:lvl>
    <w:lvl w:ilvl="4">
      <w:start w:val="1"/>
      <w:numFmt w:val="lowerLetter"/>
      <w:lvlText w:val="%5."/>
      <w:lvlJc w:val="left"/>
      <w:pPr>
        <w:tabs>
          <w:tab w:val="left" w:pos="5040"/>
        </w:tabs>
        <w:ind w:left="5040" w:hanging="360"/>
      </w:pPr>
    </w:lvl>
    <w:lvl w:ilvl="5">
      <w:start w:val="1"/>
      <w:numFmt w:val="lowerRoman"/>
      <w:lvlText w:val="%6."/>
      <w:lvlJc w:val="right"/>
      <w:pPr>
        <w:tabs>
          <w:tab w:val="left" w:pos="5760"/>
        </w:tabs>
        <w:ind w:left="5760" w:hanging="180"/>
      </w:pPr>
    </w:lvl>
    <w:lvl w:ilvl="6">
      <w:start w:val="1"/>
      <w:numFmt w:val="decimal"/>
      <w:lvlText w:val="%7."/>
      <w:lvlJc w:val="left"/>
      <w:pPr>
        <w:tabs>
          <w:tab w:val="left" w:pos="6480"/>
        </w:tabs>
        <w:ind w:left="6480" w:hanging="360"/>
      </w:pPr>
    </w:lvl>
    <w:lvl w:ilvl="7">
      <w:start w:val="1"/>
      <w:numFmt w:val="lowerLetter"/>
      <w:lvlText w:val="%8."/>
      <w:lvlJc w:val="left"/>
      <w:pPr>
        <w:tabs>
          <w:tab w:val="left" w:pos="7200"/>
        </w:tabs>
        <w:ind w:left="7200" w:hanging="360"/>
      </w:pPr>
    </w:lvl>
    <w:lvl w:ilvl="8">
      <w:start w:val="1"/>
      <w:numFmt w:val="lowerRoman"/>
      <w:lvlText w:val="%9."/>
      <w:lvlJc w:val="right"/>
      <w:pPr>
        <w:tabs>
          <w:tab w:val="left" w:pos="7920"/>
        </w:tabs>
        <w:ind w:left="7920" w:hanging="180"/>
      </w:pPr>
    </w:lvl>
  </w:abstractNum>
  <w:abstractNum w:abstractNumId="9">
    <w:nsid w:val="2A012AAE"/>
    <w:multiLevelType w:val="hybridMultilevel"/>
    <w:tmpl w:val="0FBE3C24"/>
    <w:lvl w:ilvl="0" w:tplc="2BE670FA">
      <w:start w:val="1"/>
      <w:numFmt w:val="upperLetter"/>
      <w:lvlText w:val="%1."/>
      <w:lvlJc w:val="left"/>
      <w:pPr>
        <w:ind w:left="720" w:hanging="360"/>
      </w:pPr>
      <w:rPr>
        <w:rFonts w:ascii="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41C92"/>
    <w:multiLevelType w:val="multilevel"/>
    <w:tmpl w:val="2D641C92"/>
    <w:lvl w:ilvl="0">
      <w:start w:val="1"/>
      <w:numFmt w:val="lowerLetter"/>
      <w:lvlText w:val="%1."/>
      <w:lvlJc w:val="left"/>
      <w:pPr>
        <w:ind w:left="2498" w:hanging="360"/>
      </w:pPr>
      <w:rPr>
        <w:rFonts w:hint="default"/>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11">
    <w:nsid w:val="2DBA01FA"/>
    <w:multiLevelType w:val="hybridMultilevel"/>
    <w:tmpl w:val="C13CACD0"/>
    <w:lvl w:ilvl="0" w:tplc="04090019">
      <w:start w:val="1"/>
      <w:numFmt w:val="lowerLetter"/>
      <w:lvlText w:val="%1."/>
      <w:lvlJc w:val="left"/>
      <w:pPr>
        <w:ind w:left="786" w:hanging="360"/>
      </w:pPr>
      <w:rPr>
        <w:rFonts w:cs="Times New Roman" w:hint="default"/>
      </w:rPr>
    </w:lvl>
    <w:lvl w:ilvl="1" w:tplc="243438BC">
      <w:start w:val="1"/>
      <w:numFmt w:val="lowerLetter"/>
      <w:lvlText w:val="%2."/>
      <w:lvlJc w:val="left"/>
      <w:pPr>
        <w:ind w:left="1506" w:hanging="360"/>
      </w:pPr>
      <w:rPr>
        <w:rFonts w:cs="Times New Roman"/>
        <w:b w:val="0"/>
      </w:rPr>
    </w:lvl>
    <w:lvl w:ilvl="2" w:tplc="DF509AB0">
      <w:start w:val="1"/>
      <w:numFmt w:val="lowerLetter"/>
      <w:lvlText w:val="%3."/>
      <w:lvlJc w:val="left"/>
      <w:pPr>
        <w:ind w:left="2406" w:hanging="360"/>
      </w:pPr>
      <w:rPr>
        <w:rFonts w:cs="Times New Roman" w:hint="default"/>
      </w:rPr>
    </w:lvl>
    <w:lvl w:ilvl="3" w:tplc="EC38AC56">
      <w:start w:val="1"/>
      <w:numFmt w:val="decimal"/>
      <w:lvlText w:val="%4."/>
      <w:lvlJc w:val="left"/>
      <w:pPr>
        <w:ind w:left="2946" w:hanging="360"/>
      </w:pPr>
      <w:rPr>
        <w:rFonts w:cs="Times New Roman" w:hint="default"/>
        <w:b w:val="0"/>
      </w:rPr>
    </w:lvl>
    <w:lvl w:ilvl="4" w:tplc="04090019">
      <w:start w:val="1"/>
      <w:numFmt w:val="lowerLetter"/>
      <w:lvlText w:val="%5."/>
      <w:lvlJc w:val="left"/>
      <w:pPr>
        <w:ind w:left="3666" w:hanging="360"/>
      </w:pPr>
      <w:rPr>
        <w:rFonts w:cs="Times New Roman"/>
      </w:rPr>
    </w:lvl>
    <w:lvl w:ilvl="5" w:tplc="6584DDD8">
      <w:start w:val="1"/>
      <w:numFmt w:val="decimal"/>
      <w:lvlText w:val="%6."/>
      <w:lvlJc w:val="left"/>
      <w:pPr>
        <w:ind w:left="1260" w:hanging="720"/>
      </w:pPr>
      <w:rPr>
        <w:rFonts w:ascii="Times New Roman" w:eastAsia="Times New Roman" w:hAnsi="Times New Roman" w:cs="Times New Roman" w:hint="default"/>
        <w:b/>
      </w:rPr>
    </w:lvl>
    <w:lvl w:ilvl="6" w:tplc="543873AC">
      <w:start w:val="1"/>
      <w:numFmt w:val="upperLetter"/>
      <w:lvlText w:val="%7."/>
      <w:lvlJc w:val="left"/>
      <w:pPr>
        <w:ind w:left="5106" w:hanging="360"/>
      </w:pPr>
      <w:rPr>
        <w:rFonts w:cs="Times New Roman" w:hint="default"/>
        <w:b/>
        <w:sz w:val="24"/>
      </w:rPr>
    </w:lvl>
    <w:lvl w:ilvl="7" w:tplc="77987282">
      <w:start w:val="1"/>
      <w:numFmt w:val="lowerLetter"/>
      <w:lvlText w:val="%8)"/>
      <w:lvlJc w:val="left"/>
      <w:pPr>
        <w:ind w:left="5826" w:hanging="360"/>
      </w:pPr>
      <w:rPr>
        <w:rFonts w:cs="Times New Roman" w:hint="default"/>
      </w:rPr>
    </w:lvl>
    <w:lvl w:ilvl="8" w:tplc="0409001B" w:tentative="1">
      <w:start w:val="1"/>
      <w:numFmt w:val="lowerRoman"/>
      <w:lvlText w:val="%9."/>
      <w:lvlJc w:val="right"/>
      <w:pPr>
        <w:ind w:left="6546" w:hanging="180"/>
      </w:pPr>
      <w:rPr>
        <w:rFonts w:cs="Times New Roman"/>
      </w:rPr>
    </w:lvl>
  </w:abstractNum>
  <w:abstractNum w:abstractNumId="12">
    <w:nsid w:val="371140C7"/>
    <w:multiLevelType w:val="multilevel"/>
    <w:tmpl w:val="371140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4265B1"/>
    <w:multiLevelType w:val="multilevel"/>
    <w:tmpl w:val="394265B1"/>
    <w:lvl w:ilvl="0">
      <w:start w:val="1"/>
      <w:numFmt w:val="lowerLetter"/>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4">
    <w:nsid w:val="4320553B"/>
    <w:multiLevelType w:val="multilevel"/>
    <w:tmpl w:val="4320553B"/>
    <w:lvl w:ilvl="0">
      <w:start w:val="1"/>
      <w:numFmt w:val="decimal"/>
      <w:lvlText w:val="(%1)"/>
      <w:lvlJc w:val="left"/>
      <w:pPr>
        <w:tabs>
          <w:tab w:val="left" w:pos="1590"/>
        </w:tabs>
        <w:ind w:left="1590" w:hanging="87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5">
    <w:nsid w:val="4A15489C"/>
    <w:multiLevelType w:val="hybridMultilevel"/>
    <w:tmpl w:val="983E18F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6">
    <w:nsid w:val="4C2E4FF8"/>
    <w:multiLevelType w:val="hybridMultilevel"/>
    <w:tmpl w:val="3B102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35E73"/>
    <w:multiLevelType w:val="multilevel"/>
    <w:tmpl w:val="4E735E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07C7D3C"/>
    <w:multiLevelType w:val="hybridMultilevel"/>
    <w:tmpl w:val="4802F83C"/>
    <w:lvl w:ilvl="0" w:tplc="EC5893B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9">
    <w:nsid w:val="565F38FD"/>
    <w:multiLevelType w:val="hybridMultilevel"/>
    <w:tmpl w:val="0A9A2342"/>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77857C1"/>
    <w:multiLevelType w:val="hybridMultilevel"/>
    <w:tmpl w:val="5B32F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8BF54A7"/>
    <w:multiLevelType w:val="multilevel"/>
    <w:tmpl w:val="58BF54A7"/>
    <w:lvl w:ilvl="0">
      <w:start w:val="1"/>
      <w:numFmt w:val="decimal"/>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2">
    <w:nsid w:val="5A0E10DC"/>
    <w:multiLevelType w:val="multilevel"/>
    <w:tmpl w:val="5A0E10D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3">
    <w:nsid w:val="5A990D5B"/>
    <w:multiLevelType w:val="singleLevel"/>
    <w:tmpl w:val="5A990D5B"/>
    <w:lvl w:ilvl="0">
      <w:start w:val="1"/>
      <w:numFmt w:val="decimal"/>
      <w:lvlText w:val="%1."/>
      <w:lvlJc w:val="left"/>
      <w:pPr>
        <w:ind w:left="425" w:hanging="425"/>
      </w:pPr>
      <w:rPr>
        <w:rFonts w:hint="default"/>
      </w:rPr>
    </w:lvl>
  </w:abstractNum>
  <w:abstractNum w:abstractNumId="24">
    <w:nsid w:val="5A9E3F9B"/>
    <w:multiLevelType w:val="singleLevel"/>
    <w:tmpl w:val="5A9E3F9B"/>
    <w:lvl w:ilvl="0">
      <w:start w:val="1"/>
      <w:numFmt w:val="lowerLetter"/>
      <w:lvlText w:val="%1."/>
      <w:lvlJc w:val="left"/>
      <w:pPr>
        <w:ind w:left="425" w:hanging="425"/>
      </w:pPr>
      <w:rPr>
        <w:rFonts w:hint="default"/>
      </w:rPr>
    </w:lvl>
  </w:abstractNum>
  <w:abstractNum w:abstractNumId="25">
    <w:nsid w:val="5CA320EC"/>
    <w:multiLevelType w:val="multilevel"/>
    <w:tmpl w:val="5CA320E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6">
    <w:nsid w:val="5DB23329"/>
    <w:multiLevelType w:val="multilevel"/>
    <w:tmpl w:val="5DB23329"/>
    <w:lvl w:ilvl="0">
      <w:start w:val="1"/>
      <w:numFmt w:val="lowerLetter"/>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7">
    <w:nsid w:val="63CE1D49"/>
    <w:multiLevelType w:val="multilevel"/>
    <w:tmpl w:val="63CE1D49"/>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8">
    <w:nsid w:val="6D2C0464"/>
    <w:multiLevelType w:val="hybridMultilevel"/>
    <w:tmpl w:val="F404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495F7E"/>
    <w:multiLevelType w:val="hybridMultilevel"/>
    <w:tmpl w:val="70780426"/>
    <w:lvl w:ilvl="0" w:tplc="FE1E599A">
      <w:start w:val="1"/>
      <w:numFmt w:val="upperLetter"/>
      <w:lvlText w:val="%1."/>
      <w:lvlJc w:val="left"/>
      <w:pPr>
        <w:tabs>
          <w:tab w:val="num" w:pos="1080"/>
        </w:tabs>
        <w:ind w:left="1080" w:hanging="360"/>
      </w:pPr>
      <w:rPr>
        <w:rFonts w:ascii="Times New Roman" w:eastAsia="Times New Roman" w:hAnsi="Times New Roman" w:cs="Times New Roman" w:hint="default"/>
        <w:b/>
        <w:bCs/>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F71C8CBE">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53716A7"/>
    <w:multiLevelType w:val="hybridMultilevel"/>
    <w:tmpl w:val="351CD7C6"/>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5726A8B"/>
    <w:multiLevelType w:val="hybridMultilevel"/>
    <w:tmpl w:val="ED44C812"/>
    <w:lvl w:ilvl="0" w:tplc="CCB032F2">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4C0AC9"/>
    <w:multiLevelType w:val="hybridMultilevel"/>
    <w:tmpl w:val="C3AE7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23"/>
  </w:num>
  <w:num w:numId="4">
    <w:abstractNumId w:val="21"/>
  </w:num>
  <w:num w:numId="5">
    <w:abstractNumId w:val="17"/>
  </w:num>
  <w:num w:numId="6">
    <w:abstractNumId w:val="2"/>
  </w:num>
  <w:num w:numId="7">
    <w:abstractNumId w:val="1"/>
  </w:num>
  <w:num w:numId="8">
    <w:abstractNumId w:val="1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6"/>
  </w:num>
  <w:num w:numId="13">
    <w:abstractNumId w:val="5"/>
  </w:num>
  <w:num w:numId="14">
    <w:abstractNumId w:val="22"/>
  </w:num>
  <w:num w:numId="15">
    <w:abstractNumId w:val="13"/>
  </w:num>
  <w:num w:numId="16">
    <w:abstractNumId w:val="24"/>
  </w:num>
  <w:num w:numId="17">
    <w:abstractNumId w:val="25"/>
  </w:num>
  <w:num w:numId="18">
    <w:abstractNumId w:val="0"/>
  </w:num>
  <w:num w:numId="19">
    <w:abstractNumId w:val="30"/>
  </w:num>
  <w:num w:numId="20">
    <w:abstractNumId w:val="19"/>
  </w:num>
  <w:num w:numId="21">
    <w:abstractNumId w:val="11"/>
  </w:num>
  <w:num w:numId="22">
    <w:abstractNumId w:val="18"/>
  </w:num>
  <w:num w:numId="23">
    <w:abstractNumId w:val="29"/>
  </w:num>
  <w:num w:numId="24">
    <w:abstractNumId w:val="1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8"/>
  </w:num>
  <w:num w:numId="29">
    <w:abstractNumId w:val="16"/>
  </w:num>
  <w:num w:numId="30">
    <w:abstractNumId w:val="32"/>
  </w:num>
  <w:num w:numId="31">
    <w:abstractNumId w:val="3"/>
  </w:num>
  <w:num w:numId="32">
    <w:abstractNumId w:val="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63B31"/>
    <w:rsid w:val="00007679"/>
    <w:rsid w:val="000247BA"/>
    <w:rsid w:val="000322A9"/>
    <w:rsid w:val="000360EE"/>
    <w:rsid w:val="00052B33"/>
    <w:rsid w:val="00073662"/>
    <w:rsid w:val="00102D1C"/>
    <w:rsid w:val="00122967"/>
    <w:rsid w:val="00147FD4"/>
    <w:rsid w:val="001836BF"/>
    <w:rsid w:val="001A6567"/>
    <w:rsid w:val="001B4926"/>
    <w:rsid w:val="001E79D3"/>
    <w:rsid w:val="00234C06"/>
    <w:rsid w:val="00241083"/>
    <w:rsid w:val="00265AC2"/>
    <w:rsid w:val="00265D40"/>
    <w:rsid w:val="00267207"/>
    <w:rsid w:val="002A0FBA"/>
    <w:rsid w:val="002B2C8B"/>
    <w:rsid w:val="002E63F1"/>
    <w:rsid w:val="003066C9"/>
    <w:rsid w:val="0031161B"/>
    <w:rsid w:val="0033389B"/>
    <w:rsid w:val="003B56F9"/>
    <w:rsid w:val="003C05E3"/>
    <w:rsid w:val="003E74B3"/>
    <w:rsid w:val="003F40CC"/>
    <w:rsid w:val="0040296D"/>
    <w:rsid w:val="00410B23"/>
    <w:rsid w:val="00424260"/>
    <w:rsid w:val="00435093"/>
    <w:rsid w:val="00472C20"/>
    <w:rsid w:val="00482902"/>
    <w:rsid w:val="004C6651"/>
    <w:rsid w:val="004D0AAA"/>
    <w:rsid w:val="004F5207"/>
    <w:rsid w:val="005134CC"/>
    <w:rsid w:val="00526451"/>
    <w:rsid w:val="00545474"/>
    <w:rsid w:val="005729F1"/>
    <w:rsid w:val="00575E3D"/>
    <w:rsid w:val="005A59FB"/>
    <w:rsid w:val="005B6B0E"/>
    <w:rsid w:val="005C5B8D"/>
    <w:rsid w:val="005E27A4"/>
    <w:rsid w:val="00602F3A"/>
    <w:rsid w:val="0060501E"/>
    <w:rsid w:val="0061778B"/>
    <w:rsid w:val="006505C5"/>
    <w:rsid w:val="006A6D55"/>
    <w:rsid w:val="006A7317"/>
    <w:rsid w:val="006F56B1"/>
    <w:rsid w:val="00712C9B"/>
    <w:rsid w:val="00723513"/>
    <w:rsid w:val="007253E7"/>
    <w:rsid w:val="00726E27"/>
    <w:rsid w:val="00733DE0"/>
    <w:rsid w:val="007402D0"/>
    <w:rsid w:val="007403CD"/>
    <w:rsid w:val="00740812"/>
    <w:rsid w:val="007603EB"/>
    <w:rsid w:val="007608DA"/>
    <w:rsid w:val="007841ED"/>
    <w:rsid w:val="007B0CC5"/>
    <w:rsid w:val="007E79AA"/>
    <w:rsid w:val="007F1C0E"/>
    <w:rsid w:val="007F2014"/>
    <w:rsid w:val="0080283A"/>
    <w:rsid w:val="00813585"/>
    <w:rsid w:val="00813E0B"/>
    <w:rsid w:val="008144A1"/>
    <w:rsid w:val="00892E83"/>
    <w:rsid w:val="008953F1"/>
    <w:rsid w:val="008978C9"/>
    <w:rsid w:val="008C5DBA"/>
    <w:rsid w:val="008D07F2"/>
    <w:rsid w:val="008D316C"/>
    <w:rsid w:val="0091743E"/>
    <w:rsid w:val="009243F9"/>
    <w:rsid w:val="00942141"/>
    <w:rsid w:val="00984395"/>
    <w:rsid w:val="009A78E3"/>
    <w:rsid w:val="009B0FC0"/>
    <w:rsid w:val="009D33BC"/>
    <w:rsid w:val="00A1198E"/>
    <w:rsid w:val="00A2373D"/>
    <w:rsid w:val="00A4454B"/>
    <w:rsid w:val="00A6050C"/>
    <w:rsid w:val="00A7550C"/>
    <w:rsid w:val="00A81566"/>
    <w:rsid w:val="00A92C6C"/>
    <w:rsid w:val="00A9732A"/>
    <w:rsid w:val="00AD6495"/>
    <w:rsid w:val="00AE35A6"/>
    <w:rsid w:val="00B20390"/>
    <w:rsid w:val="00B61B89"/>
    <w:rsid w:val="00B70E94"/>
    <w:rsid w:val="00B77D57"/>
    <w:rsid w:val="00BC66B6"/>
    <w:rsid w:val="00BD4C15"/>
    <w:rsid w:val="00BD519D"/>
    <w:rsid w:val="00BD5ADE"/>
    <w:rsid w:val="00BF264E"/>
    <w:rsid w:val="00BF2784"/>
    <w:rsid w:val="00C06B1C"/>
    <w:rsid w:val="00C256F8"/>
    <w:rsid w:val="00C44B06"/>
    <w:rsid w:val="00CB7DAF"/>
    <w:rsid w:val="00CC67DB"/>
    <w:rsid w:val="00CC68A5"/>
    <w:rsid w:val="00CD1961"/>
    <w:rsid w:val="00CD409F"/>
    <w:rsid w:val="00CF6381"/>
    <w:rsid w:val="00D54B9B"/>
    <w:rsid w:val="00D75513"/>
    <w:rsid w:val="00D84276"/>
    <w:rsid w:val="00D97920"/>
    <w:rsid w:val="00DA280A"/>
    <w:rsid w:val="00DB38A4"/>
    <w:rsid w:val="00DC7FCE"/>
    <w:rsid w:val="00DD09F9"/>
    <w:rsid w:val="00DD5384"/>
    <w:rsid w:val="00DE7E31"/>
    <w:rsid w:val="00DF0DCA"/>
    <w:rsid w:val="00DF270A"/>
    <w:rsid w:val="00DF54D3"/>
    <w:rsid w:val="00DF6351"/>
    <w:rsid w:val="00E04AC3"/>
    <w:rsid w:val="00E13DB4"/>
    <w:rsid w:val="00E305FC"/>
    <w:rsid w:val="00E6721E"/>
    <w:rsid w:val="00EA580E"/>
    <w:rsid w:val="00EF2CB4"/>
    <w:rsid w:val="00EF5435"/>
    <w:rsid w:val="00EF58ED"/>
    <w:rsid w:val="00F04747"/>
    <w:rsid w:val="00F501EB"/>
    <w:rsid w:val="00F65A05"/>
    <w:rsid w:val="00F70ED4"/>
    <w:rsid w:val="00FB4EB9"/>
    <w:rsid w:val="00FC1473"/>
    <w:rsid w:val="00FC47CE"/>
    <w:rsid w:val="00FE2879"/>
    <w:rsid w:val="00FF5055"/>
    <w:rsid w:val="095E3654"/>
    <w:rsid w:val="0FBE585F"/>
    <w:rsid w:val="45463A96"/>
    <w:rsid w:val="46851689"/>
    <w:rsid w:val="48AE79C4"/>
    <w:rsid w:val="49DC44B7"/>
    <w:rsid w:val="5B133868"/>
    <w:rsid w:val="61F6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A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footer" w:uiPriority="99" w:qFormat="1"/>
    <w:lsdException w:name="caption" w:qFormat="1"/>
    <w:lsdException w:name="footnote reference" w:uiPriority="99"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qFormat="1"/>
    <w:lsdException w:name="Body Text Indent 3"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semiHidden="0"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Pr>
      <w:rFonts w:asciiTheme="minorHAnsi" w:hAnsiTheme="minorHAnsi"/>
      <w:sz w:val="20"/>
      <w:szCs w:val="20"/>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qFormat/>
    <w:rPr>
      <w:szCs w:val="24"/>
    </w:rPr>
  </w:style>
  <w:style w:type="character" w:styleId="FootnoteReference">
    <w:name w:val="footnote reference"/>
    <w:basedOn w:val="DefaultParagraphFont"/>
    <w:uiPriority w:val="99"/>
    <w:qFormat/>
    <w:rPr>
      <w:vertAlign w:val="superscript"/>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Char">
    <w:name w:val="Footer Char"/>
    <w:basedOn w:val="DefaultParagraphFont"/>
    <w:link w:val="Footer"/>
    <w:uiPriority w:val="99"/>
    <w:rsid w:val="00DF0DCA"/>
    <w:rPr>
      <w:rFonts w:ascii="Times New Roman" w:hAnsi="Times New Roman"/>
      <w:kern w:val="2"/>
      <w:sz w:val="18"/>
      <w:szCs w:val="18"/>
      <w:lang w:eastAsia="zh-CN"/>
    </w:rPr>
  </w:style>
  <w:style w:type="character" w:styleId="Hyperlink">
    <w:name w:val="Hyperlink"/>
    <w:basedOn w:val="DefaultParagraphFont"/>
    <w:uiPriority w:val="99"/>
    <w:rsid w:val="009B0FC0"/>
    <w:rPr>
      <w:color w:val="0563C1" w:themeColor="hyperlink"/>
      <w:u w:val="single"/>
    </w:rPr>
  </w:style>
  <w:style w:type="paragraph" w:styleId="ListParagraph">
    <w:name w:val="List Paragraph"/>
    <w:basedOn w:val="Normal"/>
    <w:link w:val="ListParagraphCh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locked/>
    <w:rsid w:val="00A6050C"/>
    <w:rPr>
      <w:rFonts w:cs="Times New Roman"/>
      <w:sz w:val="22"/>
      <w:szCs w:val="22"/>
    </w:rPr>
  </w:style>
  <w:style w:type="character" w:styleId="Emphasis">
    <w:name w:val="Emphasis"/>
    <w:basedOn w:val="DefaultParagraphFont"/>
    <w:uiPriority w:val="20"/>
    <w:qFormat/>
    <w:rsid w:val="00A6050C"/>
    <w:rPr>
      <w:rFonts w:cs="Times New Roman"/>
      <w:i/>
      <w:iCs/>
    </w:rPr>
  </w:style>
  <w:style w:type="character" w:customStyle="1" w:styleId="apple-converted-space">
    <w:name w:val="apple-converted-space"/>
    <w:basedOn w:val="DefaultParagraphFont"/>
    <w:rsid w:val="00A6050C"/>
    <w:rPr>
      <w:rFonts w:cs="Times New Roman"/>
    </w:rPr>
  </w:style>
  <w:style w:type="character" w:styleId="EndnoteReference">
    <w:name w:val="endnote reference"/>
    <w:basedOn w:val="DefaultParagraphFont"/>
    <w:semiHidden/>
    <w:unhideWhenUsed/>
    <w:rsid w:val="00F047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footer" w:uiPriority="99" w:qFormat="1"/>
    <w:lsdException w:name="caption" w:qFormat="1"/>
    <w:lsdException w:name="footnote reference" w:uiPriority="99"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qFormat="1"/>
    <w:lsdException w:name="Body Text Indent 3"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semiHidden="0"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Pr>
      <w:rFonts w:asciiTheme="minorHAnsi" w:hAnsiTheme="minorHAnsi"/>
      <w:sz w:val="20"/>
      <w:szCs w:val="20"/>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qFormat/>
    <w:rPr>
      <w:szCs w:val="24"/>
    </w:rPr>
  </w:style>
  <w:style w:type="character" w:styleId="FootnoteReference">
    <w:name w:val="footnote reference"/>
    <w:basedOn w:val="DefaultParagraphFont"/>
    <w:uiPriority w:val="99"/>
    <w:qFormat/>
    <w:rPr>
      <w:vertAlign w:val="superscript"/>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Char">
    <w:name w:val="Footer Char"/>
    <w:basedOn w:val="DefaultParagraphFont"/>
    <w:link w:val="Footer"/>
    <w:uiPriority w:val="99"/>
    <w:rsid w:val="00DF0DCA"/>
    <w:rPr>
      <w:rFonts w:ascii="Times New Roman" w:hAnsi="Times New Roman"/>
      <w:kern w:val="2"/>
      <w:sz w:val="18"/>
      <w:szCs w:val="18"/>
      <w:lang w:eastAsia="zh-CN"/>
    </w:rPr>
  </w:style>
  <w:style w:type="character" w:styleId="Hyperlink">
    <w:name w:val="Hyperlink"/>
    <w:basedOn w:val="DefaultParagraphFont"/>
    <w:uiPriority w:val="99"/>
    <w:rsid w:val="009B0FC0"/>
    <w:rPr>
      <w:color w:val="0563C1" w:themeColor="hyperlink"/>
      <w:u w:val="single"/>
    </w:rPr>
  </w:style>
  <w:style w:type="paragraph" w:styleId="ListParagraph">
    <w:name w:val="List Paragraph"/>
    <w:basedOn w:val="Normal"/>
    <w:link w:val="ListParagraphCh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locked/>
    <w:rsid w:val="00A6050C"/>
    <w:rPr>
      <w:rFonts w:cs="Times New Roman"/>
      <w:sz w:val="22"/>
      <w:szCs w:val="22"/>
    </w:rPr>
  </w:style>
  <w:style w:type="character" w:styleId="Emphasis">
    <w:name w:val="Emphasis"/>
    <w:basedOn w:val="DefaultParagraphFont"/>
    <w:uiPriority w:val="20"/>
    <w:qFormat/>
    <w:rsid w:val="00A6050C"/>
    <w:rPr>
      <w:rFonts w:cs="Times New Roman"/>
      <w:i/>
      <w:iCs/>
    </w:rPr>
  </w:style>
  <w:style w:type="character" w:customStyle="1" w:styleId="apple-converted-space">
    <w:name w:val="apple-converted-space"/>
    <w:basedOn w:val="DefaultParagraphFont"/>
    <w:rsid w:val="00A6050C"/>
    <w:rPr>
      <w:rFonts w:cs="Times New Roman"/>
    </w:rPr>
  </w:style>
  <w:style w:type="character" w:styleId="EndnoteReference">
    <w:name w:val="endnote reference"/>
    <w:basedOn w:val="DefaultParagraphFont"/>
    <w:semiHidden/>
    <w:unhideWhenUsed/>
    <w:rsid w:val="00F047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4513">
      <w:bodyDiv w:val="1"/>
      <w:marLeft w:val="0"/>
      <w:marRight w:val="0"/>
      <w:marTop w:val="0"/>
      <w:marBottom w:val="0"/>
      <w:divBdr>
        <w:top w:val="none" w:sz="0" w:space="0" w:color="auto"/>
        <w:left w:val="none" w:sz="0" w:space="0" w:color="auto"/>
        <w:bottom w:val="none" w:sz="0" w:space="0" w:color="auto"/>
        <w:right w:val="none" w:sz="0" w:space="0" w:color="auto"/>
      </w:divBdr>
    </w:div>
    <w:div w:id="369691600">
      <w:bodyDiv w:val="1"/>
      <w:marLeft w:val="0"/>
      <w:marRight w:val="0"/>
      <w:marTop w:val="0"/>
      <w:marBottom w:val="0"/>
      <w:divBdr>
        <w:top w:val="none" w:sz="0" w:space="0" w:color="auto"/>
        <w:left w:val="none" w:sz="0" w:space="0" w:color="auto"/>
        <w:bottom w:val="none" w:sz="0" w:space="0" w:color="auto"/>
        <w:right w:val="none" w:sz="0" w:space="0" w:color="auto"/>
      </w:divBdr>
    </w:div>
    <w:div w:id="646974546">
      <w:bodyDiv w:val="1"/>
      <w:marLeft w:val="0"/>
      <w:marRight w:val="0"/>
      <w:marTop w:val="0"/>
      <w:marBottom w:val="0"/>
      <w:divBdr>
        <w:top w:val="none" w:sz="0" w:space="0" w:color="auto"/>
        <w:left w:val="none" w:sz="0" w:space="0" w:color="auto"/>
        <w:bottom w:val="none" w:sz="0" w:space="0" w:color="auto"/>
        <w:right w:val="none" w:sz="0" w:space="0" w:color="auto"/>
      </w:divBdr>
    </w:div>
    <w:div w:id="725299180">
      <w:bodyDiv w:val="1"/>
      <w:marLeft w:val="0"/>
      <w:marRight w:val="0"/>
      <w:marTop w:val="0"/>
      <w:marBottom w:val="0"/>
      <w:divBdr>
        <w:top w:val="none" w:sz="0" w:space="0" w:color="auto"/>
        <w:left w:val="none" w:sz="0" w:space="0" w:color="auto"/>
        <w:bottom w:val="none" w:sz="0" w:space="0" w:color="auto"/>
        <w:right w:val="none" w:sz="0" w:space="0" w:color="auto"/>
      </w:divBdr>
    </w:div>
    <w:div w:id="809984554">
      <w:bodyDiv w:val="1"/>
      <w:marLeft w:val="0"/>
      <w:marRight w:val="0"/>
      <w:marTop w:val="0"/>
      <w:marBottom w:val="0"/>
      <w:divBdr>
        <w:top w:val="none" w:sz="0" w:space="0" w:color="auto"/>
        <w:left w:val="none" w:sz="0" w:space="0" w:color="auto"/>
        <w:bottom w:val="none" w:sz="0" w:space="0" w:color="auto"/>
        <w:right w:val="none" w:sz="0" w:space="0" w:color="auto"/>
      </w:divBdr>
    </w:div>
    <w:div w:id="1071345764">
      <w:bodyDiv w:val="1"/>
      <w:marLeft w:val="0"/>
      <w:marRight w:val="0"/>
      <w:marTop w:val="0"/>
      <w:marBottom w:val="0"/>
      <w:divBdr>
        <w:top w:val="none" w:sz="0" w:space="0" w:color="auto"/>
        <w:left w:val="none" w:sz="0" w:space="0" w:color="auto"/>
        <w:bottom w:val="none" w:sz="0" w:space="0" w:color="auto"/>
        <w:right w:val="none" w:sz="0" w:space="0" w:color="auto"/>
      </w:divBdr>
    </w:div>
    <w:div w:id="2034454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ossmark.crossref.org/dialog/?doi=10.47268/sasi.v26i3.247&amp;domain=pdf" TargetMode="External"/><Relationship Id="rId18" Type="http://schemas.openxmlformats.org/officeDocument/2006/relationships/hyperlink" Target="https://doi.org/10.24246/jrh.2019.v3.i2.p145-160" TargetMode="External"/><Relationship Id="rId26" Type="http://schemas.openxmlformats.org/officeDocument/2006/relationships/hyperlink" Target="https://doi.org/10.1108/joic-06-2015-0038" TargetMode="External"/><Relationship Id="rId3" Type="http://schemas.openxmlformats.org/officeDocument/2006/relationships/numbering" Target="numbering.xml"/><Relationship Id="rId21" Type="http://schemas.openxmlformats.org/officeDocument/2006/relationships/hyperlink" Target="https://doi.org/10.1177/0027950111411368" TargetMode="External"/><Relationship Id="rId7" Type="http://schemas.openxmlformats.org/officeDocument/2006/relationships/webSettings" Target="webSettings.xml"/><Relationship Id="rId12" Type="http://schemas.openxmlformats.org/officeDocument/2006/relationships/hyperlink" Target="http://creativecommons.org/licenses/by-nc/4.0/" TargetMode="External"/><Relationship Id="rId17" Type="http://schemas.openxmlformats.org/officeDocument/2006/relationships/hyperlink" Target="https://doi.org/10.24246/jrh.2019.v3.i2.p145-160" TargetMode="External"/><Relationship Id="rId25" Type="http://schemas.openxmlformats.org/officeDocument/2006/relationships/hyperlink" Target="https://doi.org/10.1017/err.2020.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snis.tempo.co/read/1266896/lagi-ojk-temukan-297-layanan-pinjaman-online-ilegal" TargetMode="External"/><Relationship Id="rId20" Type="http://schemas.openxmlformats.org/officeDocument/2006/relationships/hyperlink" Target="https://doi.org/10.1108/IJLMA-01-2018-0013" TargetMode="External"/><Relationship Id="rId29" Type="http://schemas.openxmlformats.org/officeDocument/2006/relationships/hyperlink" Target="https://doi.org/10.22146/jmh.431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15408/sjsbs.v7i7.15569"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didikirawansah@gmail.com%20" TargetMode="External"/><Relationship Id="rId23" Type="http://schemas.openxmlformats.org/officeDocument/2006/relationships/hyperlink" Target="https://doi.org/10.1108/joic-04-2018-0026" TargetMode="External"/><Relationship Id="rId28" Type="http://schemas.openxmlformats.org/officeDocument/2006/relationships/hyperlink" Target="https://doi.org/10.1016/j.ajp.2020.102119" TargetMode="External"/><Relationship Id="rId10" Type="http://schemas.openxmlformats.org/officeDocument/2006/relationships/image" Target="media/image1.png"/><Relationship Id="rId19" Type="http://schemas.openxmlformats.org/officeDocument/2006/relationships/hyperlink" Target="https://doi.org/10.2139/ssrn.3054770"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doi.org/10.1016/j.jeconbus.2018.11.002" TargetMode="External"/><Relationship Id="rId27" Type="http://schemas.openxmlformats.org/officeDocument/2006/relationships/hyperlink" Target="https://doi.org/10.35808/ersj/757"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epublika.co.id/berita/pwmq1n370/afsi-peraturan-ojkbelum-mewadahi-emfintechem-syariah" TargetMode="External"/><Relationship Id="rId2" Type="http://schemas.openxmlformats.org/officeDocument/2006/relationships/hyperlink" Target="https://keuangan.kontan.co.id/news/perjelas-landasanhukum-ojk-dorong" TargetMode="External"/><Relationship Id="rId1" Type="http://schemas.openxmlformats.org/officeDocument/2006/relationships/hyperlink" Target="https://covid19.go.id/Di" TargetMode="External"/><Relationship Id="rId4" Type="http://schemas.openxmlformats.org/officeDocument/2006/relationships/hyperlink" Target="https://www.hukumonline.com/berita/baca/lt5c9e0b2aec3ed/dpr-terbuka-jikaindustri-fintechdiatur-uuta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E3279-628B-4C93-A45B-3B09F7D5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20</Pages>
  <Words>8382</Words>
  <Characters>47782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ismail - [2010]</cp:lastModifiedBy>
  <cp:revision>47</cp:revision>
  <dcterms:created xsi:type="dcterms:W3CDTF">2020-06-01T03:51:00Z</dcterms:created>
  <dcterms:modified xsi:type="dcterms:W3CDTF">2021-06-25T07:30:00Z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