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B3" w:rsidRDefault="007935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FORCE MAJEURE OR HARDSHIP PRINCIPLE IN TERMINATION OF EMPLOYMENT DURING THE COVID-19 PANDEMIC</w:t>
      </w:r>
    </w:p>
    <w:p w:rsidR="00D71FB3" w:rsidRDefault="00D71FB3">
      <w:pPr>
        <w:spacing w:after="0" w:line="240" w:lineRule="auto"/>
        <w:jc w:val="center"/>
        <w:rPr>
          <w:rFonts w:ascii="Times New Roman" w:eastAsia="Times New Roman" w:hAnsi="Times New Roman" w:cs="Times New Roman"/>
          <w:sz w:val="24"/>
          <w:szCs w:val="24"/>
        </w:rPr>
      </w:pPr>
    </w:p>
    <w:p w:rsidR="00D71FB3" w:rsidRDefault="0079357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Junaidi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Mila Surahmi</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Desmawaty Romli</w:t>
      </w:r>
      <w:r>
        <w:rPr>
          <w:rFonts w:ascii="Times New Roman" w:eastAsia="Times New Roman" w:hAnsi="Times New Roman" w:cs="Times New Roman"/>
          <w:sz w:val="24"/>
          <w:szCs w:val="24"/>
          <w:vertAlign w:val="superscript"/>
        </w:rPr>
        <w:t>3</w:t>
      </w:r>
    </w:p>
    <w:p w:rsidR="00D71FB3" w:rsidRDefault="0079357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rPr>
        <w:t xml:space="preserve"> Sjakhyakirti University</w:t>
      </w:r>
    </w:p>
    <w:p w:rsidR="00D71FB3" w:rsidRDefault="0079357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rPr>
        <w:t xml:space="preserve"> Sjakhyakirti University</w:t>
      </w:r>
    </w:p>
    <w:p w:rsidR="00D71FB3" w:rsidRDefault="0079357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rPr>
        <w:t xml:space="preserve"> Sjakhyakirti University</w:t>
      </w:r>
    </w:p>
    <w:p w:rsidR="00D71FB3" w:rsidRDefault="00D71FB3">
      <w:pPr>
        <w:spacing w:after="0" w:line="240" w:lineRule="auto"/>
        <w:jc w:val="center"/>
        <w:rPr>
          <w:rFonts w:ascii="Times New Roman" w:eastAsia="Times New Roman" w:hAnsi="Times New Roman" w:cs="Times New Roman"/>
        </w:rPr>
      </w:pPr>
    </w:p>
    <w:p w:rsidR="00D71FB3" w:rsidRDefault="0079357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8">
        <w:r>
          <w:rPr>
            <w:rFonts w:ascii="Times New Roman" w:eastAsia="Times New Roman" w:hAnsi="Times New Roman" w:cs="Times New Roman"/>
            <w:color w:val="0000FF"/>
            <w:u w:val="single"/>
          </w:rPr>
          <w:t>milamimi@unisti.ac.id</w:t>
        </w:r>
      </w:hyperlink>
    </w:p>
    <w:p w:rsidR="00D71FB3" w:rsidRDefault="00D71FB3">
      <w:pPr>
        <w:spacing w:after="0" w:line="240" w:lineRule="auto"/>
        <w:jc w:val="center"/>
        <w:rPr>
          <w:rFonts w:ascii="Times New Roman" w:eastAsia="Times New Roman" w:hAnsi="Times New Roman" w:cs="Times New Roman"/>
        </w:rPr>
      </w:pPr>
    </w:p>
    <w:p w:rsidR="00D71FB3" w:rsidRDefault="00D71FB3">
      <w:pPr>
        <w:spacing w:after="0" w:line="240" w:lineRule="auto"/>
        <w:jc w:val="both"/>
        <w:rPr>
          <w:rFonts w:ascii="Times New Roman" w:eastAsia="Times New Roman" w:hAnsi="Times New Roman" w:cs="Times New Roman"/>
          <w:i/>
          <w:sz w:val="24"/>
          <w:szCs w:val="24"/>
        </w:rPr>
      </w:pPr>
    </w:p>
    <w:p w:rsidR="00D71FB3" w:rsidRPr="00BA4DD1" w:rsidRDefault="00BA4DD1">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bookmarkStart w:id="0" w:name="_GoBack"/>
      <w:bookmarkEnd w:id="0"/>
    </w:p>
    <w:p w:rsidR="00D71FB3" w:rsidRDefault="0079357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E101A"/>
          <w:sz w:val="24"/>
          <w:szCs w:val="24"/>
        </w:rPr>
        <w:t>The company often uses the spread of the Covid 19 virus in Indonesia in carrying out the Termination of Employment (PHK). Force Majeure is regulated by Article 164 of Law No. 13 of 2003 on Manpower but does not regulate epidemics or diseases as force majeure. Hardship itself is not regulated, and this doctrine is not yet known in Indonesia, as evidenced by the lack of contracts implementing the hardship clause. This, of course, leads to legal uncertainty in determining Covid 19 pandemic as force majeure or hardship. The government's role is needed to provide legal certainty and find solutions so that no one is harmed. The labor contract started with different interests, and then an attempt was made to merge them into one contract. This difference is then framed in a legal instrument so that it binds the parties</w:t>
      </w:r>
      <w:r>
        <w:rPr>
          <w:rFonts w:ascii="Times New Roman" w:eastAsia="Times New Roman" w:hAnsi="Times New Roman" w:cs="Times New Roman"/>
          <w:i/>
          <w:sz w:val="24"/>
          <w:szCs w:val="24"/>
        </w:rPr>
        <w:t>.</w:t>
      </w:r>
    </w:p>
    <w:p w:rsidR="00D71FB3" w:rsidRDefault="00D71FB3">
      <w:pPr>
        <w:spacing w:after="0" w:line="240" w:lineRule="auto"/>
        <w:jc w:val="both"/>
        <w:rPr>
          <w:rFonts w:ascii="Times New Roman" w:eastAsia="Times New Roman" w:hAnsi="Times New Roman" w:cs="Times New Roman"/>
          <w:i/>
        </w:rPr>
      </w:pPr>
    </w:p>
    <w:p w:rsidR="00D71FB3" w:rsidRDefault="0079357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i/>
          <w:sz w:val="24"/>
          <w:szCs w:val="24"/>
        </w:rPr>
        <w:t xml:space="preserve"> : Force Majeure, Hardship, Termination of Employment (PHK), Covid 19 pandemic</w:t>
      </w:r>
    </w:p>
    <w:p w:rsidR="00D71FB3" w:rsidRDefault="00D71FB3">
      <w:pPr>
        <w:spacing w:after="0" w:line="240" w:lineRule="auto"/>
        <w:jc w:val="both"/>
        <w:rPr>
          <w:rFonts w:ascii="Times New Roman" w:eastAsia="Times New Roman" w:hAnsi="Times New Roman" w:cs="Times New Roman"/>
        </w:rPr>
      </w:pPr>
    </w:p>
    <w:p w:rsidR="00D71FB3" w:rsidRDefault="00D71FB3">
      <w:pPr>
        <w:spacing w:after="0" w:line="240" w:lineRule="auto"/>
        <w:jc w:val="both"/>
        <w:rPr>
          <w:rFonts w:ascii="Times New Roman" w:eastAsia="Times New Roman" w:hAnsi="Times New Roman" w:cs="Times New Roman"/>
        </w:rPr>
      </w:pPr>
    </w:p>
    <w:p w:rsidR="00D71FB3" w:rsidRDefault="00793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D71FB3" w:rsidRDefault="0079357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early 2020, March 11, the World Health Organization has declared Covid-19 a global pandemic. In this regard, President Joko Widodo, with various considerations on April 13, 2020, issued Presidential Decree No. 12 of 2020 concerning the Determination of Non-Natural Disasters for the Spread of Corona Virus Disease (Covid-19). The issuance of this Presidential Decree has caused an increase in the number of victims and property losses. The Indonesian Government, to overcome the impact of the Covid-19 pandemic, has made several breakthroughs, including:</w:t>
      </w:r>
    </w:p>
    <w:p w:rsidR="00D71FB3" w:rsidRDefault="0079357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Issuing Government Regulation Number 21 of 2020 concerning PSBB to suppress the spread of Covid-19, in Article 4 of this PSBB regulates teaching and learning activities, restrictions on religious activities in places of worship, activities at work, and activities in public places, such as markets. Malls and parks;</w:t>
      </w:r>
      <w:r>
        <w:rPr>
          <w:rFonts w:ascii="Times New Roman" w:eastAsia="Times New Roman" w:hAnsi="Times New Roman" w:cs="Times New Roman"/>
          <w:color w:val="000000"/>
          <w:sz w:val="24"/>
          <w:szCs w:val="24"/>
          <w:vertAlign w:val="superscript"/>
        </w:rPr>
        <w:footnoteReference w:id="1"/>
      </w:r>
    </w:p>
    <w:p w:rsidR="00D71FB3" w:rsidRDefault="0079357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Income tax obtained by employees who have an income of 200 million in a year whose companies experience the impact of the Covid-19 pandemic are borne by the Government;</w:t>
      </w:r>
      <w:r>
        <w:rPr>
          <w:rFonts w:ascii="Times New Roman" w:eastAsia="Times New Roman" w:hAnsi="Times New Roman" w:cs="Times New Roman"/>
          <w:color w:val="000000"/>
          <w:sz w:val="24"/>
          <w:szCs w:val="24"/>
          <w:vertAlign w:val="superscript"/>
        </w:rPr>
        <w:footnoteReference w:id="2"/>
      </w:r>
    </w:p>
    <w:p w:rsidR="00D71FB3" w:rsidRDefault="0079357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Financial Services Authority (OJK) provides relaxation of credit for Micro, Small, and Medium Enterprises (MSMEs) for credit values ​​below Rp. 10 billion. This stimulus is stated in OJK Regulation No.11/POJK.03/2020 concerning National </w:t>
      </w:r>
      <w:r>
        <w:rPr>
          <w:rFonts w:ascii="Times New Roman" w:eastAsia="Times New Roman" w:hAnsi="Times New Roman" w:cs="Times New Roman"/>
          <w:color w:val="000000"/>
          <w:sz w:val="24"/>
          <w:szCs w:val="24"/>
        </w:rPr>
        <w:lastRenderedPageBreak/>
        <w:t>Economic Stimulus as Countercyclical Policy on the Impact of the Spread of Coronavirus Disease.</w:t>
      </w:r>
      <w:r>
        <w:rPr>
          <w:rFonts w:ascii="Times New Roman" w:eastAsia="Times New Roman" w:hAnsi="Times New Roman" w:cs="Times New Roman"/>
          <w:color w:val="000000"/>
          <w:sz w:val="24"/>
          <w:szCs w:val="24"/>
          <w:vertAlign w:val="superscript"/>
        </w:rPr>
        <w:footnoteReference w:id="3"/>
      </w:r>
    </w:p>
    <w:p w:rsidR="00D71FB3" w:rsidRDefault="0079357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electricity subsidies for people affected by the Covid Pandemic, based on the Decree of the Minister of Energy and Mineral Resources of the Republic of Indonesia Number 29.K/HK.02/MEM.L/2021 concerning the Provision of Stimulus for Consumer Electricity Tariffs of PT Perusahaan Listrik Negara (Persero) to deal with the impact of Corona Virus Disease 2019 (Covid-19).</w:t>
      </w:r>
    </w:p>
    <w:p w:rsidR="00D71FB3" w:rsidRDefault="0079357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Covid-19 pandemic, it has had a detrimental impact on the country and society, especially in the economic and labor fields. Many companies in Indonesia implement Work From Home (WFH) to limit the spread of Covid-19.</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It has also led the company to unilaterally terminate employment on the grounds of force majeure due to the Covid-19 pandemic, so that the company suffered losses. The Covid-19 pandemic causing losses as force majeure cannot be an excuse, which deviates from the existing provisions.</w:t>
      </w:r>
      <w:r>
        <w:rPr>
          <w:rFonts w:ascii="Times New Roman" w:eastAsia="Times New Roman" w:hAnsi="Times New Roman" w:cs="Times New Roman"/>
          <w:sz w:val="24"/>
          <w:szCs w:val="24"/>
          <w:vertAlign w:val="superscript"/>
        </w:rPr>
        <w:footnoteReference w:id="5"/>
      </w:r>
    </w:p>
    <w:p w:rsidR="00D71FB3" w:rsidRDefault="0079357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Covid-19 as the reason for force majeure is still being questioned as a natural disaster or not. Due to the force majeure reasons used by the company in terminating employment, it cannot be justified. Almost all companies in Indonesia use the Covid-19 pandemic to lay off their workers by not providing honoraria/wages, causing workers to suffer losses.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Mahfud MD, Minister of Politics, Law, and Security, stated that Presidential Decree No. 12 of 2020 cannot be interpreted as force majeure, which is the basis for canceling the agreement even though the Presidential Decree stipulates the Spread of Corona Virus Disease 2019 (Covid-19) as a National Disaster. The parties' agreement remains bound by Article 1338 of the Civil Code (KUHP).</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Constitutional Law expert Rafly Harun agrees with Mahfud. According to him, the issuance of this Presidential Decree does not necessarily become the basis for the legitimacy of Covid-19 as a force majeure condition, saying the Covid-19 pandemic is not included in the elements of force majeure, because Covid-19 does not come suddenly, like an earthquake. Tsunami or another natural disaster. Therefore, the Covid-19 pandemic cannot be used as a force majeure reason to cancel the contract.</w:t>
      </w:r>
      <w:r>
        <w:rPr>
          <w:rFonts w:ascii="Times New Roman" w:eastAsia="Times New Roman" w:hAnsi="Times New Roman" w:cs="Times New Roman"/>
          <w:sz w:val="24"/>
          <w:szCs w:val="24"/>
          <w:vertAlign w:val="superscript"/>
        </w:rPr>
        <w:footnoteReference w:id="8"/>
      </w:r>
    </w:p>
    <w:p w:rsidR="00D71FB3" w:rsidRDefault="0079357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Termination of Employment (PHK) during the Covid-19 pandemic caused new problems. Is it permissible for a company that terminates employment for reasons of force majeure caused by the Covid-19 pandemic, due to the Manpower Act for a company that terminates employment for its workers if it suffers losses for two consecutive years. There is an error from the employees themselves. Termination of Employment (PHK) due to the Covid-19 pandemic cannot be said to be the workers' fault. Therefore, an alternative to the force majeure principle is the hardship principle known in international contracts, which translates the </w:t>
      </w:r>
      <w:r>
        <w:rPr>
          <w:rFonts w:ascii="Times New Roman" w:eastAsia="Times New Roman" w:hAnsi="Times New Roman" w:cs="Times New Roman"/>
          <w:i/>
          <w:sz w:val="24"/>
          <w:szCs w:val="24"/>
        </w:rPr>
        <w:t>rebis sic stantibus</w:t>
      </w:r>
      <w:r>
        <w:rPr>
          <w:rFonts w:ascii="Times New Roman" w:eastAsia="Times New Roman" w:hAnsi="Times New Roman" w:cs="Times New Roman"/>
          <w:sz w:val="24"/>
          <w:szCs w:val="24"/>
        </w:rPr>
        <w:t xml:space="preserve"> principle as the arduous condition principle or </w:t>
      </w:r>
      <w:r>
        <w:rPr>
          <w:rFonts w:ascii="Times New Roman" w:eastAsia="Times New Roman" w:hAnsi="Times New Roman" w:cs="Times New Roman"/>
          <w:i/>
          <w:sz w:val="24"/>
          <w:szCs w:val="24"/>
        </w:rPr>
        <w:t>Hardship principle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p>
    <w:p w:rsidR="00D71FB3" w:rsidRDefault="00D71FB3">
      <w:pPr>
        <w:spacing w:after="0" w:line="240" w:lineRule="auto"/>
        <w:jc w:val="both"/>
        <w:rPr>
          <w:rFonts w:ascii="Times New Roman" w:eastAsia="Times New Roman" w:hAnsi="Times New Roman" w:cs="Times New Roman"/>
          <w:sz w:val="24"/>
          <w:szCs w:val="24"/>
        </w:rPr>
      </w:pPr>
    </w:p>
    <w:p w:rsidR="00D71FB3" w:rsidRDefault="0079357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Method</w:t>
      </w:r>
    </w:p>
    <w:p w:rsidR="00D71FB3" w:rsidRDefault="007935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researching to be able to achieve the desired goals and uses, it must use methods that function as scientific methods to attain goals.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The research method used is normative juridical or doctrinal law research. It is research that uses the approach of legislation in the governance and legal values that live in society.</w:t>
      </w:r>
      <w:r>
        <w:rPr>
          <w:rFonts w:ascii="Times New Roman" w:eastAsia="Times New Roman" w:hAnsi="Times New Roman" w:cs="Times New Roman"/>
          <w:sz w:val="24"/>
          <w:szCs w:val="24"/>
          <w:vertAlign w:val="superscript"/>
        </w:rPr>
        <w:footnoteReference w:id="11"/>
      </w:r>
    </w:p>
    <w:p w:rsidR="00D71FB3" w:rsidRDefault="00D71FB3">
      <w:pPr>
        <w:rPr>
          <w:rFonts w:ascii="Times New Roman" w:eastAsia="Times New Roman" w:hAnsi="Times New Roman" w:cs="Times New Roman"/>
          <w:sz w:val="24"/>
          <w:szCs w:val="24"/>
        </w:rPr>
      </w:pPr>
    </w:p>
    <w:p w:rsidR="00D71FB3" w:rsidRDefault="007935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 and Discussion</w:t>
      </w:r>
    </w:p>
    <w:p w:rsidR="00D71FB3" w:rsidRDefault="0079357A">
      <w:pPr>
        <w:rPr>
          <w:rFonts w:ascii="Times New Roman" w:eastAsia="Times New Roman" w:hAnsi="Times New Roman" w:cs="Times New Roman"/>
          <w:sz w:val="24"/>
          <w:szCs w:val="24"/>
        </w:rPr>
      </w:pPr>
      <w:r>
        <w:rPr>
          <w:rFonts w:ascii="Times New Roman" w:eastAsia="Times New Roman" w:hAnsi="Times New Roman" w:cs="Times New Roman"/>
          <w:sz w:val="24"/>
          <w:szCs w:val="24"/>
        </w:rPr>
        <w:t>1. The  Force Majeure or Hardship principle Principle in Termination of Employment</w:t>
      </w:r>
    </w:p>
    <w:p w:rsidR="00D71FB3" w:rsidRDefault="0079357A">
      <w:pPr>
        <w:rPr>
          <w:rFonts w:ascii="Times New Roman" w:eastAsia="Times New Roman" w:hAnsi="Times New Roman" w:cs="Times New Roman"/>
          <w:sz w:val="24"/>
          <w:szCs w:val="24"/>
        </w:rPr>
      </w:pPr>
      <w:r>
        <w:rPr>
          <w:rFonts w:ascii="Times New Roman" w:eastAsia="Times New Roman" w:hAnsi="Times New Roman" w:cs="Times New Roman"/>
          <w:sz w:val="24"/>
          <w:szCs w:val="24"/>
        </w:rPr>
        <w:t>a. Force Majeure Principle</w:t>
      </w:r>
    </w:p>
    <w:p w:rsidR="00D71FB3" w:rsidRDefault="007935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Termination of employment by the company due to an error made by the employee. During the Covid-19 pandemic, the company terminated the employment relationship, not because of the worker's fault. The company doing this is the company's policy in reducing losses. The company carries out this policy based on Presidential Decree No. 12 of 2020, which stipulates Covid-19 as a Non-Natural Disaster. Termination of Employment Relations during the pandemic carried out by the company is carried out for reasons of efficiency as regulated in Article 164 paragraph (3) of the Manpower Act. However, there are 2 (two) conditions in the termination of employment with efficiency:</w:t>
      </w:r>
      <w:r>
        <w:rPr>
          <w:rFonts w:ascii="Times New Roman" w:eastAsia="Times New Roman" w:hAnsi="Times New Roman" w:cs="Times New Roman"/>
          <w:sz w:val="24"/>
          <w:szCs w:val="24"/>
          <w:vertAlign w:val="superscript"/>
        </w:rPr>
        <w:footnoteReference w:id="12"/>
      </w:r>
    </w:p>
    <w:p w:rsidR="00D71FB3" w:rsidRDefault="0079357A">
      <w:pPr>
        <w:numPr>
          <w:ilvl w:val="0"/>
          <w:numId w:val="8"/>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is closed due to loss or force majeure (Article 164 paragraph (1) of the Manpower Act); and</w:t>
      </w:r>
    </w:p>
    <w:p w:rsidR="00D71FB3" w:rsidRDefault="0079357A">
      <w:pPr>
        <w:numPr>
          <w:ilvl w:val="0"/>
          <w:numId w:val="8"/>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performs efficiently (Article 164 paragraph (3) of the Manpower Act.</w:t>
      </w:r>
    </w:p>
    <w:p w:rsidR="00D71FB3" w:rsidRDefault="007935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provisions of Article 164 of the Manpower Act, it is required that companies must close and/or perform efficiently by implementing the rules stipulated in the Ministerial Circular Number SE-907/MEN/PHI-PPHI/X/2004 dated 28 October 2004 stating that :</w:t>
      </w:r>
      <w:r>
        <w:rPr>
          <w:rFonts w:ascii="Times New Roman" w:eastAsia="Times New Roman" w:hAnsi="Times New Roman" w:cs="Times New Roman"/>
          <w:sz w:val="24"/>
          <w:szCs w:val="24"/>
          <w:vertAlign w:val="superscript"/>
        </w:rPr>
        <w:footnoteReference w:id="13"/>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company is in a difficult situation and can affect employment, then termination of employment is the last resort by taking the following measures:</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wages and facilities for top-level workers, for example, at the level of managers and directors;</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Limiting/eliminating overtime work;</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Working Hours;</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Working Days;</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temporarily lay off or lay off workers/laborers;</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 or extending the contract for workers whose contract period has expired;</w:t>
      </w:r>
    </w:p>
    <w:p w:rsidR="00D71FB3" w:rsidRDefault="0079357A">
      <w:pPr>
        <w:numPr>
          <w:ilvl w:val="0"/>
          <w:numId w:val="9"/>
        </w:numPr>
        <w:ind w:left="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pensions for those who have met the requirements.</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stipulation of Covid-19 by the Government as a national disaster based on Presidential Decree Number 12 of 2020 cannot be used for force majeure because force majeure is the inability to carry out achievements due to an obstacle forcing circumstances. Force majeure is an act of making achievements at all due to an actual obstruction in carrying out the agreement's obligations, not because of the national disaster emergency status determined by the Government. The termination of employment due to the Covid-19 pandemic in Indonesia was not caused by the company closing due to bankruptcy but by the Government's policy of implementing Work From Home (WFH). In this case, it is still possible to do achievements, but the time is not following the agreement.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protect workers against termination of employment, the Government under Circular (SE) of the Minister of Manpower Number M/3/HK-04/III/2020 concerning Protection of Workers and Business Continuity in the Context of Prevention and Control of Covid-19 determines that:</w:t>
      </w:r>
    </w:p>
    <w:p w:rsidR="00D71FB3" w:rsidRDefault="0079357A">
      <w:pPr>
        <w:numPr>
          <w:ilvl w:val="0"/>
          <w:numId w:val="1"/>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workers/labor as Persons Under Supervision (ODP) Covid-19, which causes them to be unable to come to work for 14 days, they must be based on a doctor's certificate, and their wages are paid in full;</w:t>
      </w:r>
    </w:p>
    <w:p w:rsidR="00D71FB3" w:rsidRDefault="0079357A">
      <w:pPr>
        <w:numPr>
          <w:ilvl w:val="0"/>
          <w:numId w:val="1"/>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workers/labor as victims of Covid-19 and undergoing quarantine or isolation based on a doctor's statement during that period, the wages are paid in full;</w:t>
      </w:r>
    </w:p>
    <w:p w:rsidR="00D71FB3" w:rsidRDefault="0079357A">
      <w:pPr>
        <w:numPr>
          <w:ilvl w:val="0"/>
          <w:numId w:val="1"/>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workers/laborers who are unable to come to work due to Covid-19 illness and based on a doctor's statement, their wages are paid following applicable regulations; and</w:t>
      </w:r>
    </w:p>
    <w:p w:rsidR="00D71FB3" w:rsidRDefault="0079357A">
      <w:pPr>
        <w:numPr>
          <w:ilvl w:val="0"/>
          <w:numId w:val="1"/>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entrepreneurs who implement restrictions on business activities to prevent the spread of Covid-19 or prevent their workers from coming to work, the payment of wages follows a mutual agreement.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force majeure situation is defined by the Civil Code Procedure Article 1244 and 1245, where an unexpected event prevents the debtor from carrying out his obligations, as a result of which he cannot do anything at all following the event. -suddenly unpredictable in advance.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The force majeure situation contained in the Manpower Act does not explain in detail the existence of such force majeure. In general, the state of coercion refers to natural events or events, including floods, earthquakes, riots, landslides, volcanic eruptions, declarations of war.</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 majeure cannot be said directly as a reason for canceling the agreement or terminating the employment relationship (PHK). However, this situation can be used to renegotiate in improving the contents of the agreement. Based on Article 1338 of the Civil Code, it is stated that all agreements that have been mutually agreed upon and are validly valid constitute the law for the parties to the agreement. It demonstrates that as long as no amendments or changes are made, the agreement remains legally binding on both parties.</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Covid-19 Pandemic needs to be viewed differently by considering whether difficulties are caused by something emerging or problems being encountered because of financial problems, poverty, and severe illness due to Covid - this occurs widely. Hence, it is not feasible for parties to bear the burden of loss.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Covid-19 is not included in force majeure based on Article 164 paragraph (1) of the Manpower Act. The article explains that force majeure includes wars, riots, revolutions, natural disasters, strikes, and fires, while Covid-19 is categorized as non-natural disasters that are not included in force majeure.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Hardship principle Principle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hardship principle principle is a theory developed by the rebus sic stantibus principle. It is an agreement that is agreed to be disturbed if there is a fundamental change in circumstances.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The hardship principle principle comes from Roman philosophy, which is due to the principle of pacta sun servanda. The hardship principle principle means that an agreement in determining an action to be carried out in the future must be interpreted as being obedient and obedient to the requirements that occur in the environment or conditions that will remain the same.</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This hardship principle principle is contained in the Unidroit Principal of International Commercial Contract contained in Section 2 Art. 6.2.1 (Contract to be observed), which says Where the performance of a contract becomes more onerous for one of the parties, that party is nevertheless bound to perform its obligations subject to the following provisions on hardship principle.</w:t>
      </w:r>
      <w:r>
        <w:rPr>
          <w:rFonts w:ascii="Times New Roman" w:eastAsia="Times New Roman" w:hAnsi="Times New Roman" w:cs="Times New Roman"/>
          <w:sz w:val="24"/>
          <w:szCs w:val="24"/>
          <w:vertAlign w:val="superscript"/>
        </w:rPr>
        <w:footnoteReference w:id="18"/>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hardship principle principle if one of the parties in carrying out the agreement becomes difficult for him, then he remains bound in the implementation of the agreement by continuing to follow the provisions regarding hardship principle. It is regulated in Article 6.2.1 of the UPICC, concerning Contracts that must be complied with, this provision explains the following:</w:t>
      </w:r>
      <w:r>
        <w:rPr>
          <w:rFonts w:ascii="Times New Roman" w:eastAsia="Times New Roman" w:hAnsi="Times New Roman" w:cs="Times New Roman"/>
          <w:sz w:val="24"/>
          <w:szCs w:val="24"/>
          <w:vertAlign w:val="superscript"/>
        </w:rPr>
        <w:footnoteReference w:id="19"/>
      </w:r>
    </w:p>
    <w:p w:rsidR="00D71FB3" w:rsidRDefault="0079357A">
      <w:pPr>
        <w:numPr>
          <w:ilvl w:val="0"/>
          <w:numId w:val="2"/>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binding character of the contract as a general rule (binding character of the contract the general rule).</w:t>
      </w:r>
    </w:p>
    <w:p w:rsidR="00D71FB3" w:rsidRDefault="0079357A">
      <w:pPr>
        <w:numPr>
          <w:ilvl w:val="0"/>
          <w:numId w:val="2"/>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aims to emphasize that the contract remains binding and must be executed regardless of the conditions experienced by the parties.</w:t>
      </w:r>
    </w:p>
    <w:p w:rsidR="00D71FB3" w:rsidRDefault="0079357A">
      <w:pPr>
        <w:numPr>
          <w:ilvl w:val="0"/>
          <w:numId w:val="2"/>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changes in circumstances are only related to contracts (contracts whose implementation has not been carried out or are still valid and long-term).</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situation where a fundamental change in the balance of the contract occurs, the principle of the contract's binding nature is not absolute. It is an exception situation</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Based on this explanation, it can be concluded that there are 3 (three) things that must be observed in looking at the hardship principle principle, including:</w:t>
      </w:r>
      <w:r>
        <w:rPr>
          <w:rFonts w:ascii="Times New Roman" w:eastAsia="Times New Roman" w:hAnsi="Times New Roman" w:cs="Times New Roman"/>
          <w:sz w:val="24"/>
          <w:szCs w:val="24"/>
          <w:vertAlign w:val="superscript"/>
        </w:rPr>
        <w:footnoteReference w:id="20"/>
      </w:r>
    </w:p>
    <w:p w:rsidR="00D71FB3" w:rsidRDefault="0079357A">
      <w:pPr>
        <w:numPr>
          <w:ilvl w:val="0"/>
          <w:numId w:val="3"/>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fundamental change in the balance in the agreement;</w:t>
      </w:r>
    </w:p>
    <w:p w:rsidR="00D71FB3" w:rsidRDefault="0079357A">
      <w:pPr>
        <w:numPr>
          <w:ilvl w:val="0"/>
          <w:numId w:val="3"/>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increase in the value of a higher value is carried out by one of the parties;</w:t>
      </w:r>
    </w:p>
    <w:p w:rsidR="00D71FB3" w:rsidRDefault="0079357A">
      <w:pPr>
        <w:numPr>
          <w:ilvl w:val="0"/>
          <w:numId w:val="3"/>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decrease in value is accepted by one of the parties.</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hardship principle principle in the positive legal order in Indonesia has not explicitly been regulated in-laws and regulations. Courts in Indonesia have applied the hardship principle principle, although the legal basis refers to force majeure with a change in circumstances. Besides that, the principle of good faith becomes the basis for agreements and dispute resolution, especially in applying the hardship principle principle. If one party refuses to renegotiate the agreement, which causes changes in the situation, and the balance of one of the parties is disturbed.</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Clauses regarding the hardship principle principle must be contained in agreements, especially long-term ones with a very high value. It aims to overcome difficulties in applying the principle of failure to contract (frustration) and the force majeure principle. The hardship principle principle is one of the alternative methods in resolving disputes that have basic conditions affecting the balance of the agreement.</w:t>
      </w:r>
      <w:r>
        <w:rPr>
          <w:rFonts w:ascii="Times New Roman" w:eastAsia="Times New Roman" w:hAnsi="Times New Roman" w:cs="Times New Roman"/>
          <w:sz w:val="24"/>
          <w:szCs w:val="24"/>
          <w:vertAlign w:val="superscript"/>
        </w:rPr>
        <w:footnoteReference w:id="21"/>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hardship principle principle is a condition that causes the performance of one of the parties in the implementation of the agreement to be heavy and complicated. In contrast, the parties remain bound by their rights and obligations in the agreement. The hardship elements in an agreement are:</w:t>
      </w:r>
      <w:r>
        <w:rPr>
          <w:rFonts w:ascii="Times New Roman" w:eastAsia="Times New Roman" w:hAnsi="Times New Roman" w:cs="Times New Roman"/>
          <w:sz w:val="24"/>
          <w:szCs w:val="24"/>
          <w:vertAlign w:val="superscript"/>
        </w:rPr>
        <w:footnoteReference w:id="22"/>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 existence of an event that is beyond the control of the aggrieved party.</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There is a risk of an event that the injured party does not expect.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determine whether or not the hardship principle principle applies, 3 (three) elements need to be considered:</w:t>
      </w:r>
      <w:r>
        <w:rPr>
          <w:rFonts w:ascii="Times New Roman" w:eastAsia="Times New Roman" w:hAnsi="Times New Roman" w:cs="Times New Roman"/>
          <w:sz w:val="24"/>
          <w:szCs w:val="24"/>
          <w:vertAlign w:val="superscript"/>
        </w:rPr>
        <w:footnoteReference w:id="23"/>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Fundamental alteration of equilibrium of the contract;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Increase in cost of performance;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Decrease in the value of the performance received by one party (decrease in value of the performance received by one party).</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difference between the hardship principle and force majeure principle is that hardship principle indicates an unstable situation or situation between the parties who have reached an agreement in the agreement. In contrast, force majeure signifies a more specific </w:t>
      </w:r>
      <w:r>
        <w:rPr>
          <w:rFonts w:ascii="Times New Roman" w:eastAsia="Times New Roman" w:hAnsi="Times New Roman" w:cs="Times New Roman"/>
          <w:sz w:val="24"/>
          <w:szCs w:val="24"/>
        </w:rPr>
        <w:lastRenderedPageBreak/>
        <w:t>situation if it occurs unexpectedly under the control of the power of the parties in the agreement.</w:t>
      </w:r>
      <w:r>
        <w:rPr>
          <w:rFonts w:ascii="Times New Roman" w:eastAsia="Times New Roman" w:hAnsi="Times New Roman" w:cs="Times New Roman"/>
          <w:sz w:val="24"/>
          <w:szCs w:val="24"/>
          <w:vertAlign w:val="superscript"/>
        </w:rPr>
        <w:footnoteReference w:id="24"/>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shows the similarities and differences between the Hardship principle Principle and the Force Majeure Principle:</w:t>
      </w:r>
    </w:p>
    <w:tbl>
      <w:tblPr>
        <w:tblStyle w:val="a"/>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390"/>
        <w:gridCol w:w="4133"/>
        <w:gridCol w:w="3210"/>
      </w:tblGrid>
      <w:tr w:rsidR="00D71FB3">
        <w:tc>
          <w:tcPr>
            <w:tcW w:w="510" w:type="dxa"/>
          </w:tcPr>
          <w:p w:rsidR="00D71FB3" w:rsidRDefault="007935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390" w:type="dxa"/>
          </w:tcPr>
          <w:p w:rsidR="00D71FB3" w:rsidRDefault="007935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Similarities</w:t>
            </w:r>
          </w:p>
        </w:tc>
        <w:tc>
          <w:tcPr>
            <w:tcW w:w="4133" w:type="dxa"/>
          </w:tcPr>
          <w:p w:rsidR="00D71FB3" w:rsidRDefault="0079357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Hardship principle Principle</w:t>
            </w:r>
          </w:p>
        </w:tc>
        <w:tc>
          <w:tcPr>
            <w:tcW w:w="3210" w:type="dxa"/>
          </w:tcPr>
          <w:p w:rsidR="00D71FB3" w:rsidRDefault="007935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Force Majeure Principle</w:t>
            </w:r>
          </w:p>
        </w:tc>
      </w:tr>
      <w:tr w:rsidR="00D71FB3">
        <w:tc>
          <w:tcPr>
            <w:tcW w:w="9243" w:type="dxa"/>
            <w:gridSpan w:val="4"/>
          </w:tcPr>
          <w:p w:rsidR="00D71FB3" w:rsidRDefault="0079357A">
            <w:pPr>
              <w:pBdr>
                <w:top w:val="nil"/>
                <w:left w:val="nil"/>
                <w:bottom w:val="nil"/>
                <w:right w:val="nil"/>
                <w:between w:val="nil"/>
              </w:pBdr>
              <w:spacing w:after="0" w:line="240" w:lineRule="auto"/>
              <w:ind w:left="478" w:hanging="4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There are circumstances that prevent the obligation to carry out obligations to one of the parties;</w:t>
            </w:r>
          </w:p>
          <w:p w:rsidR="00D71FB3" w:rsidRDefault="0079357A">
            <w:pPr>
              <w:pBdr>
                <w:top w:val="nil"/>
                <w:left w:val="nil"/>
                <w:bottom w:val="nil"/>
                <w:right w:val="nil"/>
                <w:between w:val="nil"/>
              </w:pBdr>
              <w:spacing w:after="0" w:line="240" w:lineRule="auto"/>
              <w:ind w:left="257" w:hanging="2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situation was completely unexpected by the parties and occurred after the agreement was closed;</w:t>
            </w:r>
          </w:p>
          <w:p w:rsidR="00D71FB3" w:rsidRDefault="0079357A">
            <w:pPr>
              <w:pBdr>
                <w:top w:val="nil"/>
                <w:left w:val="nil"/>
                <w:bottom w:val="nil"/>
                <w:right w:val="nil"/>
                <w:between w:val="nil"/>
              </w:pBdr>
              <w:spacing w:after="0" w:line="240" w:lineRule="auto"/>
              <w:ind w:left="478" w:hanging="4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This situation is not the fault of either party.</w:t>
            </w:r>
          </w:p>
        </w:tc>
      </w:tr>
      <w:tr w:rsidR="00D71FB3">
        <w:tc>
          <w:tcPr>
            <w:tcW w:w="510" w:type="dxa"/>
          </w:tcPr>
          <w:p w:rsidR="00D71FB3" w:rsidRDefault="00D71FB3">
            <w:pPr>
              <w:spacing w:after="0" w:line="240" w:lineRule="auto"/>
              <w:jc w:val="both"/>
              <w:rPr>
                <w:rFonts w:ascii="Times New Roman" w:eastAsia="Times New Roman" w:hAnsi="Times New Roman" w:cs="Times New Roman"/>
                <w:sz w:val="24"/>
                <w:szCs w:val="24"/>
              </w:rPr>
            </w:pPr>
          </w:p>
        </w:tc>
        <w:tc>
          <w:tcPr>
            <w:tcW w:w="1390" w:type="dxa"/>
          </w:tcPr>
          <w:p w:rsidR="00D71FB3" w:rsidRDefault="007935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Difference</w:t>
            </w:r>
          </w:p>
        </w:tc>
        <w:tc>
          <w:tcPr>
            <w:tcW w:w="4133" w:type="dxa"/>
          </w:tcPr>
          <w:p w:rsidR="00D71FB3" w:rsidRDefault="0079357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Hardship principle Principle</w:t>
            </w:r>
          </w:p>
        </w:tc>
        <w:tc>
          <w:tcPr>
            <w:tcW w:w="3210" w:type="dxa"/>
          </w:tcPr>
          <w:p w:rsidR="00D71FB3" w:rsidRDefault="0079357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Force Majeure Principle</w:t>
            </w:r>
          </w:p>
        </w:tc>
      </w:tr>
      <w:tr w:rsidR="00D71FB3">
        <w:tc>
          <w:tcPr>
            <w:tcW w:w="5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Legal Basis</w:t>
            </w:r>
          </w:p>
        </w:tc>
        <w:tc>
          <w:tcPr>
            <w:tcW w:w="4133"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yet regulated in the Criminal Code. But it has been regulated in the Draft Bill on Contracts (ELIPS) and Article 6.2.2 of the UPICC.</w:t>
            </w:r>
          </w:p>
        </w:tc>
        <w:tc>
          <w:tcPr>
            <w:tcW w:w="32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Article 1244, 1245, 1444, 1445 of the Civil Code</w:t>
            </w:r>
          </w:p>
        </w:tc>
      </w:tr>
      <w:tr w:rsidR="00D71FB3">
        <w:tc>
          <w:tcPr>
            <w:tcW w:w="5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Cause</w:t>
            </w:r>
          </w:p>
        </w:tc>
        <w:tc>
          <w:tcPr>
            <w:tcW w:w="4133" w:type="dxa"/>
          </w:tcPr>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balance of the contract fundamentally changes either because the cost or value of its implementation has changed significantly, unreasonable losses can be caused to parties. It is meant to be a non-natural event, a disaster caused by a non-natural event, or a series of events, such as epidemics and disease outbreaks.</w:t>
            </w:r>
          </w:p>
          <w:p w:rsidR="00D71FB3" w:rsidRDefault="00D71FB3">
            <w:pPr>
              <w:spacing w:after="0" w:line="240" w:lineRule="auto"/>
              <w:jc w:val="both"/>
              <w:rPr>
                <w:rFonts w:ascii="Times New Roman" w:eastAsia="Times New Roman" w:hAnsi="Times New Roman" w:cs="Times New Roman"/>
                <w:sz w:val="24"/>
                <w:szCs w:val="24"/>
              </w:rPr>
            </w:pPr>
          </w:p>
        </w:tc>
        <w:tc>
          <w:tcPr>
            <w:tcW w:w="3210" w:type="dxa"/>
          </w:tcPr>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Occurs due to natural disasters, emergencies, and circumstances of force.</w:t>
            </w:r>
          </w:p>
          <w:p w:rsidR="00D71FB3" w:rsidRDefault="00D71FB3">
            <w:pPr>
              <w:spacing w:after="0" w:line="240" w:lineRule="auto"/>
              <w:jc w:val="both"/>
              <w:rPr>
                <w:rFonts w:ascii="Times New Roman" w:eastAsia="Times New Roman" w:hAnsi="Times New Roman" w:cs="Times New Roman"/>
                <w:sz w:val="24"/>
                <w:szCs w:val="24"/>
              </w:rPr>
            </w:pPr>
          </w:p>
        </w:tc>
      </w:tr>
      <w:tr w:rsidR="00D71FB3">
        <w:tc>
          <w:tcPr>
            <w:tcW w:w="5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9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Negotiation</w:t>
            </w:r>
          </w:p>
        </w:tc>
        <w:tc>
          <w:tcPr>
            <w:tcW w:w="4133"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can renegotiate the contract. The engagement is not deleted immediately.</w:t>
            </w:r>
          </w:p>
        </w:tc>
        <w:tc>
          <w:tcPr>
            <w:tcW w:w="32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 expires and cannot be renegotiated. Referring to 1381 of the Criminal Code, force majeure is one of the reasons for the annulment of an engagement.</w:t>
            </w:r>
          </w:p>
        </w:tc>
      </w:tr>
      <w:tr w:rsidR="00D71FB3">
        <w:tc>
          <w:tcPr>
            <w:tcW w:w="5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0" w:type="dxa"/>
          </w:tcPr>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Systematics and  substances placement </w:t>
            </w:r>
          </w:p>
          <w:p w:rsidR="00D71FB3" w:rsidRDefault="00D71FB3">
            <w:pPr>
              <w:spacing w:after="0" w:line="240" w:lineRule="auto"/>
              <w:jc w:val="both"/>
              <w:rPr>
                <w:rFonts w:ascii="Times New Roman" w:eastAsia="Times New Roman" w:hAnsi="Times New Roman" w:cs="Times New Roman"/>
                <w:sz w:val="24"/>
                <w:szCs w:val="24"/>
              </w:rPr>
            </w:pPr>
          </w:p>
        </w:tc>
        <w:tc>
          <w:tcPr>
            <w:tcW w:w="4133" w:type="dxa"/>
          </w:tcPr>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systematic sequence is contained in chapter VI on implementation. The emphasis is still on the context of the implementation of achievements. Even though there are obstacles, achievements can be implemented based on considerations of the proportionality of rights and obligations.</w:t>
            </w:r>
          </w:p>
        </w:tc>
        <w:tc>
          <w:tcPr>
            <w:tcW w:w="3210" w:type="dxa"/>
          </w:tcPr>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systematic order is in chapter VII on non-performance (non-performance). The emphasis on force majeure lies in non-performance or non-fulfillment of achievements due to contract termination.</w:t>
            </w:r>
          </w:p>
        </w:tc>
      </w:tr>
      <w:tr w:rsidR="00D71FB3">
        <w:tc>
          <w:tcPr>
            <w:tcW w:w="5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9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Dispute Resolution</w:t>
            </w:r>
          </w:p>
        </w:tc>
        <w:tc>
          <w:tcPr>
            <w:tcW w:w="4133"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choice between out of court (renegotiation of the parties) and court</w:t>
            </w:r>
          </w:p>
        </w:tc>
        <w:tc>
          <w:tcPr>
            <w:tcW w:w="3210" w:type="dxa"/>
          </w:tcPr>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comes down to court</w:t>
            </w:r>
          </w:p>
        </w:tc>
      </w:tr>
    </w:tbl>
    <w:p w:rsidR="00D71FB3" w:rsidRDefault="00D71FB3">
      <w:pPr>
        <w:ind w:firstLine="720"/>
        <w:jc w:val="both"/>
        <w:rPr>
          <w:rFonts w:ascii="Times New Roman" w:eastAsia="Times New Roman" w:hAnsi="Times New Roman" w:cs="Times New Roman"/>
          <w:sz w:val="24"/>
          <w:szCs w:val="24"/>
        </w:rPr>
      </w:pP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able to find out whether the government's relationship to the Covid-19 pandemic is included in force majeure or not, it is necessary to distinguish between the actions agreed in the agreement, can the work be done at home, for example, an agreement in </w:t>
      </w:r>
      <w:r>
        <w:rPr>
          <w:rFonts w:ascii="Times New Roman" w:eastAsia="Times New Roman" w:hAnsi="Times New Roman" w:cs="Times New Roman"/>
          <w:sz w:val="24"/>
          <w:szCs w:val="24"/>
        </w:rPr>
        <w:lastRenderedPageBreak/>
        <w:t>making a design, or an agreement to build a house. Based on the first example, the government's policy of carrying out social restrictions outside the home to combat the Covid-19 pandemic cannot interfere with implementations in meeting objectives since the work can be done at home, and the results can be achieved sent via electronic media. There is force majeure. Whereas in the second example, government policies can hinder performance, proving that the debtor is in a temporary (temporary) force majeure position or in a problematic situation (hardship principle).</w:t>
      </w:r>
      <w:r>
        <w:rPr>
          <w:rFonts w:ascii="Times New Roman" w:eastAsia="Times New Roman" w:hAnsi="Times New Roman" w:cs="Times New Roman"/>
          <w:sz w:val="24"/>
          <w:szCs w:val="24"/>
          <w:vertAlign w:val="superscript"/>
        </w:rPr>
        <w:footnoteReference w:id="25"/>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hardship principle principle in Indonesia's positive legal order has not been regulated in a regulation. The hardship principle principle is practically applied in a clause agreement included in settlement of cases related to hardship principle, more equating it with the provisions applicable in the force majeure principle, whether intentional or unintentional. Suppose an imbalance in a contract is fundamentally detrimental to one of the parties required to pay for the performance. In the Court, in giving a decision based on the provisions of positive Indonesian law, basically still equating the hardship principle principle with force majeure, this is due to impracticability. In this condition, there is no fault from the parties due to the events that occurred. If the incident occurs theoretically, the debtor can still perform his obligations in the form of achievements. However, it will result in great sacrifices in terms of costs, time, and other sacrifices. It makes it possible for the agreement to be implemented. However, it becomes impractical if it is carried out by force.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agreement that is legally based on Article 1388 of the Civil Code is a law for the parties who have jointly agreed to it. The agreement made cannot be withdrawn unless both parties have agreed to terminate it or have been determined in the legislation. The agreement that has been agreed must be based on the good faith of the parties. The hardship principle principle can be an alternative solution in overcoming legal problems that have implications for social, economic, and political problems as a domino effect resulting from government policies issued during the Covid-19 pandemic.</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we look at the differences and similarities between the principles of force majeure and hardship principle, from the perspective of a commercial contract, the hardship principle principle is more flexible and can accommodate solutions for resolving disputes that occur. It is indicated by the significant role of the parties in renegotiating the agreement to resolve problems outside the court to avoid a prolonged dispute. If this dispute resolution fails, the parties can ask the judge to reconsider the agreement's renegotiation and / or decide the end of the agreement. The purpose of this renegotiation is to regain the balanced rights and obligations of the parties and the fulfillment of the principles of good faith and cooperation by the parties in the agreement.</w:t>
      </w:r>
      <w:r>
        <w:rPr>
          <w:rFonts w:ascii="Times New Roman" w:eastAsia="Times New Roman" w:hAnsi="Times New Roman" w:cs="Times New Roman"/>
          <w:sz w:val="24"/>
          <w:szCs w:val="24"/>
          <w:vertAlign w:val="superscript"/>
        </w:rPr>
        <w:footnoteReference w:id="26"/>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 with changes in conditions in the world, such as an economic crisis or a pandemic that causes fundamental changes in circumstances, we need laws that can adapt and </w:t>
      </w:r>
      <w:r>
        <w:rPr>
          <w:rFonts w:ascii="Times New Roman" w:eastAsia="Times New Roman" w:hAnsi="Times New Roman" w:cs="Times New Roman"/>
          <w:sz w:val="24"/>
          <w:szCs w:val="24"/>
        </w:rPr>
        <w:lastRenderedPageBreak/>
        <w:t>are flexible in responding to these changes. The hardship principle principle can be used as an "escape clause" to solve these problem.</w:t>
      </w:r>
      <w:r>
        <w:rPr>
          <w:rFonts w:ascii="Times New Roman" w:eastAsia="Times New Roman" w:hAnsi="Times New Roman" w:cs="Times New Roman"/>
          <w:sz w:val="24"/>
          <w:szCs w:val="24"/>
          <w:vertAlign w:val="superscript"/>
        </w:rPr>
        <w:footnoteReference w:id="27"/>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Legal Impact of the Covid-19 Pandemic on the Agreement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rapid spread of Covid-19 has resulted in people's daily activities being disrupted and hampered, especially business activities being delayed due to uncertain conditions. The delay in an operation impacts the economic and financial conditions of a company, resulting in difficulties in fulfilling the rights of workers or laborers. It raises the question, does Covid-19 qualify as a non-natural disaster? Referring to the World Health Organization (WHO), which has determined that Covid-19 is a pandemic. Likewise, through Presidential Decree Number 12 of 2020, the Government of Indonesia concerning the Designation of Covid-19 as a National Disaster.</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Mahfud MD's statement, quoted by Mochamad Januar Rizki, stated that Covid-19 as a non-natural disaster could not be directly used as a justification for canceling the agreement on the grounds of force majeure. Presidential Decree 12 of 2020 as a basis for canceling civil contracts, especially business contracts, is a mistake. There is a provision that force majeure can be used as a reason to cancel a contract in the contract law.</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A large amount of budget that has been spent to deal with the Covid-19 pandemic should be considered a special force majeure. Various regulations and contract standards have not included Covid-19 as a force majeure event in the clause.</w:t>
      </w:r>
      <w:r>
        <w:rPr>
          <w:rFonts w:ascii="Times New Roman" w:eastAsia="Times New Roman" w:hAnsi="Times New Roman" w:cs="Times New Roman"/>
          <w:sz w:val="24"/>
          <w:szCs w:val="24"/>
          <w:vertAlign w:val="superscript"/>
        </w:rPr>
        <w:footnoteReference w:id="29"/>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interpretation and application of force majeure clauses during a pandemic such as Covid-19 is up to the courts, and generally, courts examine the entire contract. The same is done to ascertain how the contract performance is deemed impossible. The fact that the obligations that a party should have incurred have become heavy or expensive will not only attract the application of the force majeure clause. Therefore, the party seeking remedies under this clause must demonstrate that the only reason why it failed to honor its obligations was due to the Covid-19 pandemic.</w:t>
      </w:r>
      <w:r>
        <w:rPr>
          <w:rFonts w:ascii="Times New Roman" w:eastAsia="Times New Roman" w:hAnsi="Times New Roman" w:cs="Times New Roman"/>
          <w:sz w:val="24"/>
          <w:szCs w:val="24"/>
          <w:vertAlign w:val="superscript"/>
        </w:rPr>
        <w:footnoteReference w:id="30"/>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companies that cut off work relationships during the Covid-19 pandemic often use force majeure reasons, even though the company is still producing as usual. The important thing that is a condition for terminating the company's employment relationship to workers is that the company has experienced a decline or loss for 2 years. Meanwhile, the current Covid-19 pandemic has not reached or is considered 2 (two) years.</w:t>
      </w:r>
      <w:r>
        <w:rPr>
          <w:rFonts w:ascii="Times New Roman" w:eastAsia="Times New Roman" w:hAnsi="Times New Roman" w:cs="Times New Roman"/>
          <w:sz w:val="24"/>
          <w:szCs w:val="24"/>
          <w:vertAlign w:val="superscript"/>
        </w:rPr>
        <w:footnoteReference w:id="31"/>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Covid-19 can be interpreted as force majeure under the doctrine of "clause rebus sic stantibus (things thus standing)", which means the parties can terminate or cancel the contract </w:t>
      </w:r>
      <w:r>
        <w:rPr>
          <w:rFonts w:ascii="Times New Roman" w:eastAsia="Times New Roman" w:hAnsi="Times New Roman" w:cs="Times New Roman"/>
          <w:sz w:val="24"/>
          <w:szCs w:val="24"/>
        </w:rPr>
        <w:lastRenderedPageBreak/>
        <w:t>if there is a fundamental change to the circumstances surrounding it. . Therefore, proving the Covid-19 disaster as a force majeure on a contract will depend on the disaster having a fundamental influence on the implementation of the contract and its clauses. However, due to the Covid-19 pandemic, some companies cannot operate optimally, so it should be forgiven if the party unable to carry out their obligations has evidence in court that Covid-19 is a force majeure. There is a direct causal relationship between Covid-19 and COVID-19 19 by non-fulfillment of these obligations. However, it is difficult to use Covid-19 as a pretext for a force majeure claim in the absence of government policies that create obstacles to business operations since it will be difficult to determine precisely what point Covid-19 can be categorized as force majeure.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view the statement of Covid-19 as the reason for using the force majeure clause in the context of the principle of justice for those involved in the contract. The termination of the obligation must be balanced with the fulfillment of the rights in the agreement. For example, the demand for construction services is slow but cannot demand the payment as stipulated in the previous agreement.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Covid-19 is declared as force majeure, it has implications for the agreement made by the parties. Neither party is responsible for losses, fines, or interest due to obstructions, commonly known as default. Such default is when the parties fail to comply with obligations as specified by the contract between the creditor and the debtor.</w:t>
      </w:r>
      <w:r>
        <w:rPr>
          <w:rFonts w:ascii="Times New Roman" w:eastAsia="Times New Roman" w:hAnsi="Times New Roman" w:cs="Times New Roman"/>
          <w:sz w:val="24"/>
          <w:szCs w:val="24"/>
          <w:vertAlign w:val="superscript"/>
        </w:rPr>
        <w:footnoteReference w:id="32"/>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Refly Harun quoted by Setyo Aji Harjanto, the Covid-19 pandemic cannot be used to cancel the agreement because the pandemic can be anticipated for its spread and its arrival is not sudden. If an earthquake, tsunami, or another natural disaster cannot be anticipated, its arrival is due to natural events. Therefore, the Covid 19 pandemic cannot be interpreted as force majeure because companies are still operating.</w:t>
      </w:r>
      <w:r>
        <w:rPr>
          <w:rFonts w:ascii="Times New Roman" w:eastAsia="Times New Roman" w:hAnsi="Times New Roman" w:cs="Times New Roman"/>
          <w:sz w:val="24"/>
          <w:szCs w:val="24"/>
          <w:vertAlign w:val="superscript"/>
        </w:rPr>
        <w:footnoteReference w:id="33"/>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causes of force majeure are circumstances caused by natural events that cannot be predicted or avoided by anyone, such as floods, landslides, earthquakes, storms, volcanic eruptions, and so forth. Force majeure due to an emergency, which is a forced situation caused by an unnatural situation or condition, special circumstances that are immediate and short-lived, without being predictable in advance, such as war, blockade, strikes, epidemics, terrorism, explosions, mass riots, including the damage to an instrument that causes the non-fulfillment of an engagement.</w:t>
      </w:r>
      <w:r>
        <w:rPr>
          <w:rFonts w:ascii="Times New Roman" w:eastAsia="Times New Roman" w:hAnsi="Times New Roman" w:cs="Times New Roman"/>
          <w:sz w:val="24"/>
          <w:szCs w:val="24"/>
          <w:vertAlign w:val="superscript"/>
        </w:rPr>
        <w:footnoteReference w:id="34"/>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Government Regulation Number 21 of 2020 concerning Large-Scale Social Restrictions in the Context of Accelerating Handling of Corona Virus Disease 2019 (Covid-19), followed by Minister of Health Regulation Number 9 of 2020 concerning </w:t>
      </w:r>
      <w:r>
        <w:rPr>
          <w:rFonts w:ascii="Times New Roman" w:eastAsia="Times New Roman" w:hAnsi="Times New Roman" w:cs="Times New Roman"/>
          <w:sz w:val="24"/>
          <w:szCs w:val="24"/>
        </w:rPr>
        <w:lastRenderedPageBreak/>
        <w:t>Guidelines for Large-Scale Social Restrictions in the Context of Accelerating Handling of Corona Virus Disease 2019 ( Covid-19) which includes school and office holidays, restrictions on religious activities, restrictions on public places or facilities, restrictions on socio-cultural activities, restrictions on transportation modes, and restrictions on other activities related to defense and security aspects including forced or not, then we must look at casuistically to the subjective condition of the debtor, and the object agreed in the contract.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Suppose it has been proven that the government's closure of areas, social restrictions, and restrictions on transportation routes directly prevents the debtor in question from fulfilling his achievements, either in an agreement whose object is to surrender something or do something. In that case, the debtor concerned can be declared to be in relative compulsion or a state of relative compulsion. Difficult (hardship principle) whose legal consequences do not cancel the agreement but only suspend the implementation of the fulfillment of achievements, provided that:</w:t>
      </w:r>
    </w:p>
    <w:p w:rsidR="00D71FB3" w:rsidRDefault="0079357A">
      <w:pPr>
        <w:numPr>
          <w:ilvl w:val="0"/>
          <w:numId w:val="4"/>
        </w:numPr>
        <w:ind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agreement is suspended;</w:t>
      </w:r>
    </w:p>
    <w:p w:rsidR="00D71FB3" w:rsidRDefault="0079357A">
      <w:pPr>
        <w:numPr>
          <w:ilvl w:val="0"/>
          <w:numId w:val="4"/>
        </w:numPr>
        <w:ind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debtor must again fulfill the accomplishments if the government regulation, in this case, has been revoked.</w:t>
      </w:r>
    </w:p>
    <w:p w:rsidR="00D71FB3" w:rsidRDefault="0079357A">
      <w:pPr>
        <w:numPr>
          <w:ilvl w:val="0"/>
          <w:numId w:val="4"/>
        </w:numPr>
        <w:ind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debtor must immediately apply for renegotiation to the creditor. If the debtor does not submit a request for renegotiation (keep silent), or the creditor has asked for clarification regarding the late fulfillment of achievements, but the debtor does not respond, then the debtor is considered capable of carrying out the fulfillment of achievements;</w:t>
      </w:r>
    </w:p>
    <w:p w:rsidR="00D71FB3" w:rsidRDefault="0079357A">
      <w:pPr>
        <w:numPr>
          <w:ilvl w:val="0"/>
          <w:numId w:val="4"/>
        </w:numPr>
        <w:ind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renegotiation does not reach an agreement within a reasonable period, the parties can submit it to the Court;</w:t>
      </w:r>
    </w:p>
    <w:p w:rsidR="00D71FB3" w:rsidRDefault="0079357A">
      <w:pPr>
        <w:numPr>
          <w:ilvl w:val="0"/>
          <w:numId w:val="4"/>
        </w:numPr>
        <w:ind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it is proven that there is hardship principle, the Court may:</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Terminating the contract on a fixed date and time;</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Change the contract by restoring the balance of the contract.</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agreement to do something, if the agreed action no longer has benefits for the creditor, then the debtor is in an absolute (permanent) state of coercion whose legal consequences are:</w:t>
      </w:r>
    </w:p>
    <w:p w:rsidR="00D71FB3" w:rsidRDefault="0079357A">
      <w:pPr>
        <w:numPr>
          <w:ilvl w:val="0"/>
          <w:numId w:val="5"/>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agreement is void;</w:t>
      </w:r>
    </w:p>
    <w:p w:rsidR="00D71FB3" w:rsidRDefault="0079357A">
      <w:pPr>
        <w:numPr>
          <w:ilvl w:val="0"/>
          <w:numId w:val="5"/>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debtor cannot be declared negligent so that compensation cannot be claimed;</w:t>
      </w:r>
    </w:p>
    <w:p w:rsidR="00D71FB3" w:rsidRDefault="0079357A">
      <w:pPr>
        <w:numPr>
          <w:ilvl w:val="0"/>
          <w:numId w:val="5"/>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Creditors cannot demand fulfillment of achievements;</w:t>
      </w:r>
    </w:p>
    <w:p w:rsidR="00D71FB3" w:rsidRDefault="0079357A">
      <w:pPr>
        <w:numPr>
          <w:ilvl w:val="0"/>
          <w:numId w:val="5"/>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creditor cannot demand the cancellation of the agreement;</w:t>
      </w:r>
    </w:p>
    <w:p w:rsidR="00D71FB3" w:rsidRDefault="0079357A">
      <w:pPr>
        <w:numPr>
          <w:ilvl w:val="0"/>
          <w:numId w:val="5"/>
        </w:numPr>
        <w:ind w:left="1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risk does not pass to the debtor.</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author's opinion, with the rise of the Covid-19 debate whether it is the reason for force majeure or hardship principle, this cannot be separated from the theory that the Covid-19 situation can be a reason to reject the pacta sun servanda principle, namely the validity of the agreement as law for the parties who made it. The reason for covid-19 as force </w:t>
      </w:r>
      <w:r>
        <w:rPr>
          <w:rFonts w:ascii="Times New Roman" w:eastAsia="Times New Roman" w:hAnsi="Times New Roman" w:cs="Times New Roman"/>
          <w:sz w:val="24"/>
          <w:szCs w:val="24"/>
        </w:rPr>
        <w:lastRenderedPageBreak/>
        <w:t>majeure or hardship principle, theoretically in the laws and regulations in Indonesia, has never been defined explicitly, so this has become an endless debate and gives rise to different points of view. In the view of legal theory, the two principles can be an option and a means of reviewing the agreement to avoid more significant risks and losses.</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author, the essence of an agreement must begin on the principle of the parties' good faith, which is the essential factor in dispute resolution, especially in the conditions of the COVID-19 pandemic. The principle of good faith is regulated in Article 1320 paragraph (3) of the Civil Code, explaining that every agreement must be carried out in good faith. This principle of good faith must be applied during the implementation of the contract (contractuele phase) but also at the pre-contract (pre-contractuele), contract-making, and post-contract (post-contractuele) stages. The application of the good faith principle must be applied at every stage of the contract. It is what causes the principle of good faith to be very important in contract law.</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principle of good faith, there are differences of opinion among legal experts. According to Subekti</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and Ismijati Jenie</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said that good faith is a value of honesty and being careful, while Agus Yudha Hernoko</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says good faith is a psychological and ethical element. The psychological element is an action by the law, and the ethical element is related to the value of honesty and respect for promises.</w:t>
      </w:r>
    </w:p>
    <w:p w:rsidR="00D71FB3" w:rsidRDefault="0079357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different interpretations and opinions regarding the principle of good faith on having one thing in common is an attitude of honesty from the parties who make the contract. This honest attitude is a major factor in renegotiating an agreement. As a result, the problem caused by the agreement is determined, so we can see that performance has not been achieved because the party who should perform his obligations has been unwilling or unable to do so.</w:t>
      </w:r>
    </w:p>
    <w:p w:rsidR="00D71FB3" w:rsidRDefault="007935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D71FB3" w:rsidRDefault="007935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that terminate employment should renegotiate by delaying work or known as the hardship principle. In principle, Indonesia adheres to a positivist legal system influenced by civil law, which does not recognize the hardship principle principle in the agreement. The occurrence of a change in circumstances is always resolved using the force majeure principle. Using the force majeure principle causes workers to be unable to carry out their obligations, namely doing work. Based on the freedom of contract, the hardship principle principle clause can continue to carry out the agreement for workers affected by COVID-19. Basically, in resolving the legal consequences caused by the Covid-19 pandemic, honesty from the parties is needed. This principle is known as good faith. It greatly determines the condition of the Covid-19 pandemic in the termination of employment by the company so that the parties can renegotiate their work agreement.</w:t>
      </w:r>
    </w:p>
    <w:p w:rsidR="00D71FB3" w:rsidRDefault="00D71FB3">
      <w:pPr>
        <w:ind w:firstLine="720"/>
        <w:jc w:val="both"/>
        <w:rPr>
          <w:rFonts w:ascii="Times New Roman" w:eastAsia="Times New Roman" w:hAnsi="Times New Roman" w:cs="Times New Roman"/>
          <w:sz w:val="24"/>
          <w:szCs w:val="24"/>
        </w:rPr>
      </w:pPr>
    </w:p>
    <w:p w:rsidR="00D71FB3" w:rsidRDefault="0079357A">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D71FB3" w:rsidRDefault="0079357A">
      <w:pPr>
        <w:numPr>
          <w:ilvl w:val="0"/>
          <w:numId w:val="6"/>
        </w:numPr>
        <w:pBdr>
          <w:top w:val="nil"/>
          <w:left w:val="nil"/>
          <w:bottom w:val="nil"/>
          <w:right w:val="nil"/>
          <w:between w:val="nil"/>
        </w:pBdr>
        <w:spacing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Books</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Agus Yudho Hernoko. (2014). Hukum Perjanjian Asas Proporsionalitas dalam Kontrak Komersial. Jakarta : Prenadamedia Group.  </w:t>
      </w:r>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Jonaedi Efendi &amp; Johnny Ibrahim. (2016). </w:t>
      </w:r>
      <w:r>
        <w:rPr>
          <w:rFonts w:ascii="Times New Roman" w:eastAsia="Times New Roman" w:hAnsi="Times New Roman" w:cs="Times New Roman"/>
          <w:i/>
          <w:sz w:val="24"/>
          <w:szCs w:val="24"/>
        </w:rPr>
        <w:t xml:space="preserve">Metode Penelitian Hukum Normatif dan Empiris, </w:t>
      </w:r>
      <w:r>
        <w:rPr>
          <w:rFonts w:ascii="Times New Roman" w:eastAsia="Times New Roman" w:hAnsi="Times New Roman" w:cs="Times New Roman"/>
          <w:sz w:val="24"/>
          <w:szCs w:val="24"/>
        </w:rPr>
        <w:t>Jakarta: Kencana.</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Rahmat S.S. Soemadipradja. (2010). Penjelasan Hukum tentang Keadaan Memaksa (Syarat-syarat Pembatalan Perjanjian yang disebabkan Keadaan Memaksa/Force Majeure. Jakarta : PT. Gramedia. </w:t>
      </w:r>
    </w:p>
    <w:p w:rsidR="00D71FB3" w:rsidRDefault="0079357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Sugiyono. (2019). </w:t>
      </w:r>
      <w:r>
        <w:rPr>
          <w:rFonts w:ascii="Times New Roman" w:eastAsia="Times New Roman" w:hAnsi="Times New Roman" w:cs="Times New Roman"/>
          <w:i/>
          <w:sz w:val="24"/>
          <w:szCs w:val="24"/>
        </w:rPr>
        <w:t xml:space="preserve">Metode Penelitian Kuantitatif, Kualitatif dan R&amp;D. </w:t>
      </w:r>
      <w:r>
        <w:rPr>
          <w:rFonts w:ascii="Times New Roman" w:eastAsia="Times New Roman" w:hAnsi="Times New Roman" w:cs="Times New Roman"/>
          <w:sz w:val="24"/>
          <w:szCs w:val="24"/>
        </w:rPr>
        <w:t>Bandung : Alfabeta.</w:t>
      </w:r>
    </w:p>
    <w:p w:rsidR="00D71FB3" w:rsidRDefault="0079357A">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Subekti dalam buku Muhammad Syaifuddin. (2012). Hukum Kontrak. Bandung : Mandar Maju.</w:t>
      </w:r>
    </w:p>
    <w:p w:rsidR="00D71FB3" w:rsidRDefault="00D71FB3">
      <w:pPr>
        <w:pBdr>
          <w:top w:val="nil"/>
          <w:left w:val="nil"/>
          <w:bottom w:val="nil"/>
          <w:right w:val="nil"/>
          <w:between w:val="nil"/>
        </w:pBdr>
        <w:spacing w:after="240" w:line="240" w:lineRule="auto"/>
        <w:jc w:val="both"/>
        <w:rPr>
          <w:rFonts w:ascii="Times New Roman" w:eastAsia="Times New Roman" w:hAnsi="Times New Roman" w:cs="Times New Roman"/>
          <w:b/>
          <w:color w:val="000000"/>
          <w:sz w:val="24"/>
          <w:szCs w:val="24"/>
        </w:rPr>
      </w:pPr>
    </w:p>
    <w:p w:rsidR="00D71FB3" w:rsidRDefault="0079357A">
      <w:pPr>
        <w:numPr>
          <w:ilvl w:val="0"/>
          <w:numId w:val="6"/>
        </w:numPr>
        <w:pBdr>
          <w:top w:val="nil"/>
          <w:left w:val="nil"/>
          <w:bottom w:val="nil"/>
          <w:right w:val="nil"/>
          <w:between w:val="nil"/>
        </w:pBdr>
        <w:spacing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Journals, Proceedings and Book Chapters</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Agus Yudha Hernoko. (2006). Force Majeure Clause atau Hardship principle Clause Problematika dalam Perancangan Kontrak Bisnis. </w:t>
      </w:r>
      <w:r>
        <w:rPr>
          <w:rFonts w:ascii="Times New Roman" w:eastAsia="Times New Roman" w:hAnsi="Times New Roman" w:cs="Times New Roman"/>
          <w:i/>
          <w:color w:val="000000"/>
          <w:sz w:val="24"/>
          <w:szCs w:val="24"/>
        </w:rPr>
        <w:t xml:space="preserve">Jurnal Perspektif : Kajian Masalah Hukum dan Pembangunan, </w:t>
      </w:r>
      <w:r>
        <w:rPr>
          <w:rFonts w:ascii="Times New Roman" w:eastAsia="Times New Roman" w:hAnsi="Times New Roman" w:cs="Times New Roman"/>
          <w:color w:val="000000"/>
          <w:sz w:val="24"/>
          <w:szCs w:val="24"/>
        </w:rPr>
        <w:t xml:space="preserve">11(3), 203-225. </w:t>
      </w:r>
      <w:hyperlink r:id="rId9">
        <w:r>
          <w:rPr>
            <w:rFonts w:ascii="Times New Roman" w:eastAsia="Times New Roman" w:hAnsi="Times New Roman" w:cs="Times New Roman"/>
            <w:color w:val="0000FF"/>
            <w:sz w:val="24"/>
            <w:szCs w:val="24"/>
            <w:u w:val="single"/>
          </w:rPr>
          <w:t>http://dx.doi.org/10.30742/perspektif.v11i3.276</w:t>
        </w:r>
      </w:hyperlink>
      <w:r>
        <w:rPr>
          <w:rFonts w:ascii="Times New Roman" w:eastAsia="Times New Roman" w:hAnsi="Times New Roman" w:cs="Times New Roman"/>
          <w:color w:val="000000"/>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Aprista Ristyawati. (2020). Efektifitas Kebijakan Pembatasan Sosial Berskala Besar Dalam Masa Pandemi Corona Virus 2019 Oleh Pemerintah Sesuai Amanat UUD NRI Tahun 1945. </w:t>
      </w:r>
      <w:r>
        <w:rPr>
          <w:rFonts w:ascii="Times New Roman" w:eastAsia="Times New Roman" w:hAnsi="Times New Roman" w:cs="Times New Roman"/>
          <w:i/>
          <w:color w:val="000000"/>
          <w:sz w:val="24"/>
          <w:szCs w:val="24"/>
        </w:rPr>
        <w:t>Administrative Law &amp; Governance Journal</w:t>
      </w:r>
      <w:r>
        <w:rPr>
          <w:rFonts w:ascii="Times New Roman" w:eastAsia="Times New Roman" w:hAnsi="Times New Roman" w:cs="Times New Roman"/>
          <w:color w:val="000000"/>
          <w:sz w:val="24"/>
          <w:szCs w:val="24"/>
        </w:rPr>
        <w:t xml:space="preserve">, 3(2), 240-249. </w:t>
      </w:r>
      <w:hyperlink r:id="rId10">
        <w:r>
          <w:rPr>
            <w:rFonts w:ascii="Times New Roman" w:eastAsia="Times New Roman" w:hAnsi="Times New Roman" w:cs="Times New Roman"/>
            <w:color w:val="0000FF"/>
            <w:sz w:val="24"/>
            <w:szCs w:val="24"/>
            <w:u w:val="single"/>
          </w:rPr>
          <w:t>https://doi.org/10.14710/alj.v3i2.240-249</w:t>
        </w:r>
      </w:hyperlink>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Berger and Behn. (2019-2020). Force Majeure and Hardship principle in the Age of Corona: A Historical and Comparative Study.  McGill Journal of Dispute Resolution : Revue de règlement des différends de McGill, 6(4), 79-129. </w:t>
      </w:r>
      <w:hyperlink r:id="rId11">
        <w:r>
          <w:rPr>
            <w:rFonts w:ascii="Times New Roman" w:eastAsia="Times New Roman" w:hAnsi="Times New Roman" w:cs="Times New Roman"/>
            <w:color w:val="0000FF"/>
            <w:sz w:val="24"/>
            <w:szCs w:val="24"/>
            <w:u w:val="single"/>
          </w:rPr>
          <w:t>https://mjdr-rrdm.ca/articles/volume-6/force-majeure-and-hardship principle-in-the-age-of-corona/</w:t>
        </w:r>
      </w:hyperlink>
      <w:r>
        <w:rPr>
          <w:rFonts w:ascii="Times New Roman" w:eastAsia="Times New Roman" w:hAnsi="Times New Roman" w:cs="Times New Roman"/>
          <w:color w:val="000000"/>
          <w:sz w:val="24"/>
          <w:szCs w:val="24"/>
        </w:rPr>
        <w:t xml:space="preserve"> </w:t>
      </w:r>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Daryl John Rasuh. (2016). Kajian Hukum Keadaan Memaksa (Force Majeure) Menurut Pasal 1244 dan Pasal 1245 Kitab Undang-Undang Hukum Perdata. </w:t>
      </w:r>
      <w:r>
        <w:rPr>
          <w:rFonts w:ascii="Times New Roman" w:eastAsia="Times New Roman" w:hAnsi="Times New Roman" w:cs="Times New Roman"/>
          <w:i/>
          <w:sz w:val="24"/>
          <w:szCs w:val="24"/>
        </w:rPr>
        <w:t>Jurnal Lex Privatum</w:t>
      </w:r>
      <w:r>
        <w:rPr>
          <w:rFonts w:ascii="Times New Roman" w:eastAsia="Times New Roman" w:hAnsi="Times New Roman" w:cs="Times New Roman"/>
          <w:sz w:val="24"/>
          <w:szCs w:val="24"/>
        </w:rPr>
        <w:t xml:space="preserve">, 4(2), 173-180. </w:t>
      </w:r>
      <w:hyperlink r:id="rId12">
        <w:r>
          <w:rPr>
            <w:rFonts w:ascii="Times New Roman" w:eastAsia="Times New Roman" w:hAnsi="Times New Roman" w:cs="Times New Roman"/>
            <w:color w:val="0000FF"/>
            <w:sz w:val="24"/>
            <w:szCs w:val="24"/>
            <w:u w:val="single"/>
          </w:rPr>
          <w:t>https://ejournal.unsrat.ac.id/index.php/lexprivatum/issue/view/1266</w:t>
        </w:r>
      </w:hyperlink>
      <w:r>
        <w:rPr>
          <w:rFonts w:ascii="Times New Roman" w:eastAsia="Times New Roman" w:hAnsi="Times New Roman" w:cs="Times New Roman"/>
          <w:sz w:val="24"/>
          <w:szCs w:val="24"/>
        </w:rPr>
        <w:t xml:space="preserve"> </w:t>
      </w:r>
    </w:p>
    <w:p w:rsidR="00D71FB3" w:rsidRDefault="0079357A">
      <w:pPr>
        <w:pStyle w:val="Heading1"/>
        <w:shd w:val="clear" w:color="auto" w:fill="FFFFFF"/>
        <w:spacing w:before="0"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Dwi Primilono Adi. (2015). Absorbsi Prinsip ”Rebus Sic Stantibus” Dalam Kerangka Pembaharuan Hukum Perjanjian Nasional. </w:t>
      </w:r>
      <w:r>
        <w:rPr>
          <w:rFonts w:ascii="Times New Roman" w:eastAsia="Times New Roman" w:hAnsi="Times New Roman" w:cs="Times New Roman"/>
          <w:i/>
          <w:color w:val="000000"/>
          <w:sz w:val="24"/>
          <w:szCs w:val="24"/>
        </w:rPr>
        <w:t>Jurnal Jatiswara</w:t>
      </w:r>
      <w:r>
        <w:rPr>
          <w:rFonts w:ascii="Times New Roman" w:eastAsia="Times New Roman" w:hAnsi="Times New Roman" w:cs="Times New Roman"/>
          <w:color w:val="000000"/>
          <w:sz w:val="24"/>
          <w:szCs w:val="24"/>
        </w:rPr>
        <w:t xml:space="preserve">, 30(1), 71-91. </w:t>
      </w:r>
      <w:hyperlink r:id="rId13">
        <w:r>
          <w:rPr>
            <w:rFonts w:ascii="Times New Roman" w:eastAsia="Times New Roman" w:hAnsi="Times New Roman" w:cs="Times New Roman"/>
            <w:color w:val="0000FF"/>
            <w:sz w:val="24"/>
            <w:szCs w:val="24"/>
            <w:u w:val="single"/>
          </w:rPr>
          <w:t>http://jatiswara.unram.ac.id/index.php/js/article/view/91/85</w:t>
        </w:r>
      </w:hyperlink>
      <w:r>
        <w:rPr>
          <w:rFonts w:ascii="Times New Roman" w:eastAsia="Times New Roman" w:hAnsi="Times New Roman" w:cs="Times New Roman"/>
          <w:color w:val="000000"/>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Herman, </w:t>
      </w:r>
      <w:r>
        <w:rPr>
          <w:rFonts w:ascii="Times New Roman" w:eastAsia="Times New Roman" w:hAnsi="Times New Roman" w:cs="Times New Roman"/>
          <w:i/>
          <w:color w:val="000000"/>
          <w:sz w:val="24"/>
          <w:szCs w:val="24"/>
        </w:rPr>
        <w:t>et.al</w:t>
      </w:r>
      <w:r>
        <w:rPr>
          <w:rFonts w:ascii="Times New Roman" w:eastAsia="Times New Roman" w:hAnsi="Times New Roman" w:cs="Times New Roman"/>
          <w:color w:val="000000"/>
          <w:sz w:val="24"/>
          <w:szCs w:val="24"/>
        </w:rPr>
        <w:t xml:space="preserve">. (2020). Tinjauan Yuridis Mengenai Dampak COVID-19 Terhadap Pemutusan Hubungan Kerja. </w:t>
      </w:r>
      <w:r>
        <w:rPr>
          <w:rFonts w:ascii="Times New Roman" w:eastAsia="Times New Roman" w:hAnsi="Times New Roman" w:cs="Times New Roman"/>
          <w:i/>
          <w:color w:val="000000"/>
          <w:sz w:val="24"/>
          <w:szCs w:val="24"/>
        </w:rPr>
        <w:t>Journal Halu Oleo Law Review</w:t>
      </w:r>
      <w:r>
        <w:rPr>
          <w:rFonts w:ascii="Times New Roman" w:eastAsia="Times New Roman" w:hAnsi="Times New Roman" w:cs="Times New Roman"/>
          <w:color w:val="000000"/>
          <w:sz w:val="24"/>
          <w:szCs w:val="24"/>
        </w:rPr>
        <w:t xml:space="preserve">, 4(2), 157-176. </w:t>
      </w:r>
      <w:hyperlink r:id="rId14">
        <w:r>
          <w:rPr>
            <w:rFonts w:ascii="Times New Roman" w:eastAsia="Times New Roman" w:hAnsi="Times New Roman" w:cs="Times New Roman"/>
            <w:color w:val="01337B"/>
            <w:sz w:val="24"/>
            <w:szCs w:val="24"/>
            <w:highlight w:val="white"/>
            <w:u w:val="single"/>
          </w:rPr>
          <w:t>http://dx.doi.org/10.33561/holrev.v4i2</w:t>
        </w:r>
      </w:hyperlink>
      <w:r>
        <w:rPr>
          <w:rFonts w:ascii="Times New Roman" w:eastAsia="Times New Roman" w:hAnsi="Times New Roman" w:cs="Times New Roman"/>
          <w:color w:val="000000"/>
          <w:sz w:val="24"/>
          <w:szCs w:val="24"/>
        </w:rPr>
        <w:t>.</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333333"/>
          <w:sz w:val="24"/>
          <w:szCs w:val="24"/>
          <w:highlight w:val="white"/>
        </w:rPr>
        <w:t xml:space="preserve">Ifada Qurrata A`yun Amalia dan Endang Prasetyawati. (2019). Karakteristik Asas Proposionalitas dalam Pembentukan Klausul Perjanjian Waralaba. 2(2), 173-184. </w:t>
      </w:r>
      <w:hyperlink r:id="rId15">
        <w:r>
          <w:rPr>
            <w:rFonts w:ascii="Times New Roman" w:eastAsia="Times New Roman" w:hAnsi="Times New Roman" w:cs="Times New Roman"/>
            <w:color w:val="0000FF"/>
            <w:sz w:val="24"/>
            <w:szCs w:val="24"/>
            <w:highlight w:val="white"/>
            <w:u w:val="single"/>
          </w:rPr>
          <w:t>https://doi.org/10.30996/jhbbc.v2i2i2513</w:t>
        </w:r>
      </w:hyperlink>
      <w:r>
        <w:rPr>
          <w:rFonts w:ascii="Times New Roman" w:eastAsia="Times New Roman" w:hAnsi="Times New Roman" w:cs="Times New Roman"/>
          <w:i/>
          <w:color w:val="333333"/>
          <w:sz w:val="24"/>
          <w:szCs w:val="24"/>
          <w:highlight w:val="white"/>
        </w:rPr>
        <w:t xml:space="preserve"> </w:t>
      </w:r>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Imas Novita Juaningsih. (2020). Analisis Kebijakan PHK Bagi Para Pekerja Pada Masa Pandemi Covid-19 Di Indonesia. </w:t>
      </w:r>
      <w:r>
        <w:rPr>
          <w:rFonts w:ascii="Times New Roman" w:eastAsia="Times New Roman" w:hAnsi="Times New Roman" w:cs="Times New Roman"/>
          <w:i/>
          <w:sz w:val="24"/>
          <w:szCs w:val="24"/>
        </w:rPr>
        <w:t>Adalah : Buletin Hukum dan Keadilan</w:t>
      </w:r>
      <w:r>
        <w:rPr>
          <w:rFonts w:ascii="Times New Roman" w:eastAsia="Times New Roman" w:hAnsi="Times New Roman" w:cs="Times New Roman"/>
          <w:sz w:val="24"/>
          <w:szCs w:val="24"/>
        </w:rPr>
        <w:t xml:space="preserve">, 4(1), 189-196. </w:t>
      </w:r>
      <w:r>
        <w:rPr>
          <w:rFonts w:ascii="Times New Roman" w:eastAsia="Times New Roman" w:hAnsi="Times New Roman" w:cs="Times New Roman"/>
          <w:color w:val="5B9BD5"/>
          <w:sz w:val="24"/>
          <w:szCs w:val="24"/>
        </w:rPr>
        <w:t>https://doi.org/</w:t>
      </w:r>
      <w:hyperlink r:id="rId16">
        <w:r>
          <w:rPr>
            <w:rFonts w:ascii="Times New Roman" w:eastAsia="Times New Roman" w:hAnsi="Times New Roman" w:cs="Times New Roman"/>
            <w:color w:val="5B9BD5"/>
            <w:sz w:val="24"/>
            <w:szCs w:val="24"/>
            <w:highlight w:val="white"/>
            <w:u w:val="single"/>
          </w:rPr>
          <w:t>10.15408/adalah.v4i1.15764</w:t>
        </w:r>
      </w:hyperlink>
      <w:r>
        <w:rPr>
          <w:rFonts w:ascii="Times New Roman" w:eastAsia="Times New Roman" w:hAnsi="Times New Roman" w:cs="Times New Roman"/>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Junaidi. (2021).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xml:space="preserve"> Pandemi Covid-19 Landasan Perjanjian Kerja sebagai Perlindungan Pekerja. </w:t>
      </w:r>
      <w:r>
        <w:rPr>
          <w:rFonts w:ascii="Times New Roman" w:eastAsia="Times New Roman" w:hAnsi="Times New Roman" w:cs="Times New Roman"/>
          <w:i/>
          <w:color w:val="000000"/>
          <w:sz w:val="24"/>
          <w:szCs w:val="24"/>
        </w:rPr>
        <w:t xml:space="preserve">Book Chapter Dinamika Perlindungan HAM bagi Kaum Marginal Pasca Pandemi Covid di Era Society 5.0, </w:t>
      </w:r>
      <w:r>
        <w:rPr>
          <w:rFonts w:ascii="Times New Roman" w:eastAsia="Times New Roman" w:hAnsi="Times New Roman" w:cs="Times New Roman"/>
          <w:color w:val="000000"/>
          <w:sz w:val="24"/>
          <w:szCs w:val="24"/>
        </w:rPr>
        <w:t>Surabaya : UM Surabaya.</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Maharani Mega Febriyanti dan Husni Syawali. (2021).  </w:t>
      </w:r>
      <w:r>
        <w:rPr>
          <w:rFonts w:ascii="Times New Roman" w:eastAsia="Times New Roman" w:hAnsi="Times New Roman" w:cs="Times New Roman"/>
          <w:i/>
          <w:color w:val="000000"/>
          <w:sz w:val="24"/>
          <w:szCs w:val="24"/>
        </w:rPr>
        <w:t xml:space="preserve">Force Majeure </w:t>
      </w:r>
      <w:r>
        <w:rPr>
          <w:rFonts w:ascii="Times New Roman" w:eastAsia="Times New Roman" w:hAnsi="Times New Roman" w:cs="Times New Roman"/>
          <w:color w:val="000000"/>
          <w:sz w:val="24"/>
          <w:szCs w:val="24"/>
        </w:rPr>
        <w:t xml:space="preserve">dalam Pemutusan Hubungan Kerja terhadap Karyawan di Masa Pandemi Covid-19 ditinjau dari Buku III Kitab Undang Undang Hukum Perdata dihubungkan dengan Undang Undang Nomor 13 tahun 2003 Tentang Ketenagakerjaan. </w:t>
      </w:r>
      <w:r>
        <w:rPr>
          <w:rFonts w:ascii="Times New Roman" w:eastAsia="Times New Roman" w:hAnsi="Times New Roman" w:cs="Times New Roman"/>
          <w:i/>
          <w:color w:val="000000"/>
          <w:sz w:val="24"/>
          <w:szCs w:val="24"/>
        </w:rPr>
        <w:t xml:space="preserve">Prosiding Ilmu Hukum Spesia Unisba, </w:t>
      </w:r>
      <w:r>
        <w:rPr>
          <w:rFonts w:ascii="Times New Roman" w:eastAsia="Times New Roman" w:hAnsi="Times New Roman" w:cs="Times New Roman"/>
          <w:color w:val="000000"/>
          <w:sz w:val="24"/>
          <w:szCs w:val="24"/>
        </w:rPr>
        <w:t xml:space="preserve">7(1), 220-223.  </w:t>
      </w:r>
      <w:hyperlink r:id="rId17">
        <w:r>
          <w:rPr>
            <w:rFonts w:ascii="Times New Roman" w:eastAsia="Times New Roman" w:hAnsi="Times New Roman" w:cs="Times New Roman"/>
            <w:color w:val="0000FF"/>
            <w:sz w:val="24"/>
            <w:szCs w:val="24"/>
            <w:u w:val="single"/>
          </w:rPr>
          <w:t>http://dx.doi.org/10.29313/.v7i1.24997</w:t>
        </w:r>
      </w:hyperlink>
      <w:r>
        <w:rPr>
          <w:rFonts w:ascii="Times New Roman" w:eastAsia="Times New Roman" w:hAnsi="Times New Roman" w:cs="Times New Roman"/>
          <w:color w:val="000000"/>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Mustakim dan Syafrida. (2020).  Pandemi Covid-19 Sebagai Alasan Force Majeure Dalam Melakukan Pemutusan Hubungan Kerja di Indonesia, 7(8), 695-706. </w:t>
      </w:r>
      <w:hyperlink r:id="rId18">
        <w:r>
          <w:rPr>
            <w:rFonts w:ascii="Times New Roman" w:eastAsia="Times New Roman" w:hAnsi="Times New Roman" w:cs="Times New Roman"/>
            <w:color w:val="0000FF"/>
            <w:sz w:val="24"/>
            <w:szCs w:val="24"/>
            <w:u w:val="single"/>
          </w:rPr>
          <w:t>https://doi.org/10.15408/sjsbs.v7i8.16552</w:t>
        </w:r>
      </w:hyperlink>
      <w:r>
        <w:rPr>
          <w:rFonts w:ascii="Times New Roman" w:eastAsia="Times New Roman" w:hAnsi="Times New Roman" w:cs="Times New Roman"/>
          <w:color w:val="000000"/>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Nikodemus Maringan. (2015). Tinjauan Yuridis Pelaksanaan Pemutusan Hubungan Kerja (PHK) Secara Sepihak oleh Perusahaan Menurut Undang-Undang Nomor 13 tahun 2003 tentang Ketenagakerjaan. </w:t>
      </w:r>
      <w:r>
        <w:rPr>
          <w:rFonts w:ascii="Times New Roman" w:eastAsia="Times New Roman" w:hAnsi="Times New Roman" w:cs="Times New Roman"/>
          <w:i/>
          <w:color w:val="000000"/>
          <w:sz w:val="24"/>
          <w:szCs w:val="24"/>
        </w:rPr>
        <w:t xml:space="preserve">Jurnal Ilmu Hukum Legal Opinion, </w:t>
      </w:r>
      <w:r>
        <w:rPr>
          <w:rFonts w:ascii="Times New Roman" w:eastAsia="Times New Roman" w:hAnsi="Times New Roman" w:cs="Times New Roman"/>
          <w:color w:val="000000"/>
          <w:sz w:val="24"/>
          <w:szCs w:val="24"/>
        </w:rPr>
        <w:t xml:space="preserve">3(3), 1-10. </w:t>
      </w:r>
      <w:hyperlink r:id="rId19">
        <w:r>
          <w:rPr>
            <w:rFonts w:ascii="Times New Roman" w:eastAsia="Times New Roman" w:hAnsi="Times New Roman" w:cs="Times New Roman"/>
            <w:color w:val="0000FF"/>
            <w:sz w:val="24"/>
            <w:szCs w:val="24"/>
            <w:u w:val="single"/>
          </w:rPr>
          <w:t>https://garuda.ristekbrin.go.id/documents/detail/404584</w:t>
        </w:r>
      </w:hyperlink>
      <w:r>
        <w:rPr>
          <w:rFonts w:ascii="Times New Roman" w:eastAsia="Times New Roman" w:hAnsi="Times New Roman" w:cs="Times New Roman"/>
          <w:color w:val="000000"/>
          <w:sz w:val="24"/>
          <w:szCs w:val="24"/>
        </w:rPr>
        <w:t xml:space="preserve">. </w:t>
      </w:r>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Luh Nila Winarni. (2015). Asas Itikad Baik sebagai Upaya Perlindungan Konsumen dalam Perjanjian Pembiayaan. </w:t>
      </w:r>
      <w:r>
        <w:rPr>
          <w:rFonts w:ascii="Times New Roman" w:eastAsia="Times New Roman" w:hAnsi="Times New Roman" w:cs="Times New Roman"/>
          <w:i/>
          <w:color w:val="000000"/>
          <w:sz w:val="24"/>
          <w:szCs w:val="24"/>
        </w:rPr>
        <w:t xml:space="preserve">DiH : Jurnal Ilmu Hukum, </w:t>
      </w:r>
      <w:r>
        <w:rPr>
          <w:rFonts w:ascii="Times New Roman" w:eastAsia="Times New Roman" w:hAnsi="Times New Roman" w:cs="Times New Roman"/>
          <w:color w:val="000000"/>
          <w:sz w:val="24"/>
          <w:szCs w:val="24"/>
        </w:rPr>
        <w:t xml:space="preserve">11(21), 1-12. </w:t>
      </w:r>
      <w:hyperlink r:id="rId20">
        <w:r>
          <w:rPr>
            <w:rFonts w:ascii="Times New Roman" w:eastAsia="Times New Roman" w:hAnsi="Times New Roman" w:cs="Times New Roman"/>
            <w:color w:val="0000FF"/>
            <w:sz w:val="24"/>
            <w:szCs w:val="24"/>
            <w:u w:val="single"/>
          </w:rPr>
          <w:t>https://doi.org/10.30996/dih.v11i21</w:t>
        </w:r>
      </w:hyperlink>
      <w:r>
        <w:rPr>
          <w:rFonts w:ascii="Times New Roman" w:eastAsia="Times New Roman" w:hAnsi="Times New Roman" w:cs="Times New Roman"/>
          <w:color w:val="000000"/>
          <w:sz w:val="24"/>
          <w:szCs w:val="24"/>
        </w:rPr>
        <w:t xml:space="preserve">. </w:t>
      </w:r>
    </w:p>
    <w:p w:rsidR="00D71FB3" w:rsidRDefault="0079357A">
      <w:pPr>
        <w:pStyle w:val="Heading2"/>
        <w:shd w:val="clear" w:color="auto" w:fill="FFFFFF"/>
        <w:spacing w:after="240"/>
        <w:ind w:left="709" w:hanging="709"/>
        <w:jc w:val="both"/>
        <w:rPr>
          <w:b w:val="0"/>
          <w:color w:val="0000FF"/>
          <w:sz w:val="24"/>
          <w:szCs w:val="24"/>
          <w:u w:val="single"/>
        </w:rPr>
      </w:pPr>
      <w:r>
        <w:rPr>
          <w:b w:val="0"/>
          <w:sz w:val="24"/>
          <w:szCs w:val="24"/>
        </w:rPr>
        <w:t xml:space="preserve">Nugraha. R, </w:t>
      </w:r>
      <w:r>
        <w:rPr>
          <w:b w:val="0"/>
          <w:i/>
          <w:sz w:val="24"/>
          <w:szCs w:val="24"/>
        </w:rPr>
        <w:t>et.al</w:t>
      </w:r>
      <w:r>
        <w:rPr>
          <w:b w:val="0"/>
          <w:sz w:val="24"/>
          <w:szCs w:val="24"/>
        </w:rPr>
        <w:t xml:space="preserve">. (2021). Analisis Pandemi </w:t>
      </w:r>
      <w:r>
        <w:rPr>
          <w:b w:val="0"/>
          <w:i/>
          <w:sz w:val="24"/>
          <w:szCs w:val="24"/>
        </w:rPr>
        <w:t xml:space="preserve">Corona Virus Disease </w:t>
      </w:r>
      <w:r>
        <w:rPr>
          <w:b w:val="0"/>
          <w:sz w:val="24"/>
          <w:szCs w:val="24"/>
        </w:rPr>
        <w:t xml:space="preserve">2019 sebagai Alasan Keadaan Memaksa </w:t>
      </w:r>
      <w:r>
        <w:rPr>
          <w:b w:val="0"/>
          <w:i/>
          <w:sz w:val="24"/>
          <w:szCs w:val="24"/>
        </w:rPr>
        <w:t>(Force Majeure</w:t>
      </w:r>
      <w:r>
        <w:rPr>
          <w:b w:val="0"/>
          <w:sz w:val="24"/>
          <w:szCs w:val="24"/>
        </w:rPr>
        <w:t xml:space="preserve">) Menurut Hukum Perdata di Indonesia. 2(3), 917-930. </w:t>
      </w:r>
      <w:hyperlink r:id="rId21">
        <w:r>
          <w:rPr>
            <w:b w:val="0"/>
            <w:color w:val="0000FF"/>
            <w:sz w:val="24"/>
            <w:szCs w:val="24"/>
            <w:u w:val="single"/>
          </w:rPr>
          <w:t>https://doi.org/10.52103/jlg.v2i3.382</w:t>
        </w:r>
      </w:hyperlink>
    </w:p>
    <w:p w:rsidR="00D71FB3" w:rsidRDefault="0079357A">
      <w:pPr>
        <w:ind w:left="709" w:hanging="709"/>
        <w:jc w:val="both"/>
        <w:rPr>
          <w:rFonts w:ascii="Times New Roman" w:eastAsia="Times New Roman" w:hAnsi="Times New Roman" w:cs="Times New Roman"/>
          <w:color w:val="007AB2"/>
          <w:sz w:val="24"/>
          <w:szCs w:val="24"/>
          <w:u w:val="single"/>
        </w:rPr>
      </w:pPr>
      <w:r>
        <w:rPr>
          <w:rFonts w:ascii="Times New Roman" w:eastAsia="Times New Roman" w:hAnsi="Times New Roman" w:cs="Times New Roman"/>
          <w:sz w:val="24"/>
          <w:szCs w:val="24"/>
        </w:rPr>
        <w:t xml:space="preserve">Sri Mustikasari M Saleh, Abdul Qahar, and Zainuddin. (2020). Wanprestasi in The Construction Service Agreement in The General Working and Spatial, </w:t>
      </w:r>
      <w:r>
        <w:rPr>
          <w:rFonts w:ascii="Times New Roman" w:eastAsia="Times New Roman" w:hAnsi="Times New Roman" w:cs="Times New Roman"/>
          <w:i/>
          <w:sz w:val="24"/>
          <w:szCs w:val="24"/>
        </w:rPr>
        <w:t xml:space="preserve">Meraja Journal, </w:t>
      </w:r>
      <w:r>
        <w:rPr>
          <w:rFonts w:ascii="Times New Roman" w:eastAsia="Times New Roman" w:hAnsi="Times New Roman" w:cs="Times New Roman"/>
          <w:sz w:val="24"/>
          <w:szCs w:val="24"/>
        </w:rPr>
        <w:t xml:space="preserve">3(2), 207-218. </w:t>
      </w:r>
      <w:hyperlink r:id="rId22">
        <w:r>
          <w:rPr>
            <w:rFonts w:ascii="Times New Roman" w:eastAsia="Times New Roman" w:hAnsi="Times New Roman" w:cs="Times New Roman"/>
            <w:color w:val="007AB2"/>
            <w:sz w:val="24"/>
            <w:szCs w:val="24"/>
            <w:u w:val="single"/>
          </w:rPr>
          <w:t>https://doi.org/10.33080/mrj.v3i2.113</w:t>
        </w:r>
      </w:hyperlink>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Saurabh Sood. (2020). COVID-19 As a Force Majeure in Corporate Transactions,” </w:t>
      </w:r>
      <w:r>
        <w:rPr>
          <w:rFonts w:ascii="Times New Roman" w:eastAsia="Times New Roman" w:hAnsi="Times New Roman" w:cs="Times New Roman"/>
          <w:i/>
          <w:sz w:val="24"/>
          <w:szCs w:val="24"/>
        </w:rPr>
        <w:t>Purakala (UGC Care Journal)</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31(34), 17-26. </w:t>
      </w:r>
      <w:hyperlink r:id="rId23">
        <w:r>
          <w:rPr>
            <w:rFonts w:ascii="Times New Roman" w:eastAsia="Times New Roman" w:hAnsi="Times New Roman" w:cs="Times New Roman"/>
            <w:color w:val="0000FF"/>
            <w:sz w:val="24"/>
            <w:szCs w:val="24"/>
            <w:u w:val="single"/>
          </w:rPr>
          <w:t>https://doi.org/10.2139/ssrn.3577701</w:t>
        </w:r>
      </w:hyperlink>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Seng Hansen. (2020). Does the COVID-19 Outbreak Constitute a Force Majeure Event ? A Pandemic Impact on Construction Contracts. </w:t>
      </w:r>
      <w:r>
        <w:rPr>
          <w:rFonts w:ascii="Times New Roman" w:eastAsia="Times New Roman" w:hAnsi="Times New Roman" w:cs="Times New Roman"/>
          <w:i/>
          <w:color w:val="000000"/>
          <w:sz w:val="24"/>
          <w:szCs w:val="24"/>
        </w:rPr>
        <w:t>Journal of the Civil Engineering</w:t>
      </w:r>
      <w:r>
        <w:rPr>
          <w:rFonts w:ascii="Times New Roman" w:eastAsia="Times New Roman" w:hAnsi="Times New Roman" w:cs="Times New Roman"/>
          <w:color w:val="000000"/>
          <w:sz w:val="24"/>
          <w:szCs w:val="24"/>
        </w:rPr>
        <w:t xml:space="preserve">, 6(2), 201-214. </w:t>
      </w:r>
      <w:hyperlink r:id="rId24">
        <w:r>
          <w:rPr>
            <w:rFonts w:ascii="Times New Roman" w:eastAsia="Times New Roman" w:hAnsi="Times New Roman" w:cs="Times New Roman"/>
            <w:color w:val="0000FF"/>
            <w:sz w:val="24"/>
            <w:szCs w:val="24"/>
            <w:u w:val="single"/>
          </w:rPr>
          <w:t>https://doi.org/10.22146/jcef.54997</w:t>
        </w:r>
      </w:hyperlink>
    </w:p>
    <w:p w:rsidR="00D71FB3" w:rsidRDefault="0079357A">
      <w:pPr>
        <w:pBdr>
          <w:top w:val="nil"/>
          <w:left w:val="nil"/>
          <w:bottom w:val="nil"/>
          <w:right w:val="nil"/>
          <w:between w:val="nil"/>
        </w:pBdr>
        <w:spacing w:after="240" w:line="240" w:lineRule="auto"/>
        <w:ind w:left="709" w:hanging="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Sheela Jayabalan. (2020). The Legality of Doctrine of Frustration in the Realm of Covid-19 Pandemic. </w:t>
      </w:r>
      <w:r>
        <w:rPr>
          <w:rFonts w:ascii="Times New Roman" w:eastAsia="Times New Roman" w:hAnsi="Times New Roman" w:cs="Times New Roman"/>
          <w:i/>
          <w:color w:val="000000"/>
          <w:sz w:val="24"/>
          <w:szCs w:val="24"/>
        </w:rPr>
        <w:t>Sociological Jurisprudence Journal</w:t>
      </w:r>
      <w:r>
        <w:rPr>
          <w:rFonts w:ascii="Times New Roman" w:eastAsia="Times New Roman" w:hAnsi="Times New Roman" w:cs="Times New Roman"/>
          <w:color w:val="000000"/>
          <w:sz w:val="24"/>
          <w:szCs w:val="24"/>
        </w:rPr>
        <w:t xml:space="preserve">, 3(2), 84-90. </w:t>
      </w:r>
      <w:hyperlink r:id="rId25">
        <w:r>
          <w:rPr>
            <w:rFonts w:ascii="Times New Roman" w:eastAsia="Times New Roman" w:hAnsi="Times New Roman" w:cs="Times New Roman"/>
            <w:color w:val="0000FF"/>
            <w:sz w:val="24"/>
            <w:szCs w:val="24"/>
            <w:u w:val="single"/>
          </w:rPr>
          <w:t>https://doi.org/10.22225/scj.3.2.1900.84-90</w:t>
        </w:r>
      </w:hyperlink>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Sudibyo Aji Narendra Buwana, </w:t>
      </w:r>
      <w:r>
        <w:rPr>
          <w:rFonts w:ascii="Times New Roman" w:eastAsia="Times New Roman" w:hAnsi="Times New Roman" w:cs="Times New Roman"/>
          <w:i/>
          <w:sz w:val="24"/>
          <w:szCs w:val="24"/>
        </w:rPr>
        <w:t>et.al</w:t>
      </w:r>
      <w:r>
        <w:rPr>
          <w:rFonts w:ascii="Times New Roman" w:eastAsia="Times New Roman" w:hAnsi="Times New Roman" w:cs="Times New Roman"/>
          <w:sz w:val="24"/>
          <w:szCs w:val="24"/>
        </w:rPr>
        <w:t xml:space="preserve">. (2015). Implementasi Pemutusan Hubungan Kerja (PHK) terhadap Pekerja Status Perjanjian Waktu Tertentu (PKWT) PT X Kota Malang. </w:t>
      </w:r>
      <w:r>
        <w:rPr>
          <w:rFonts w:ascii="Times New Roman" w:eastAsia="Times New Roman" w:hAnsi="Times New Roman" w:cs="Times New Roman"/>
          <w:i/>
          <w:sz w:val="24"/>
          <w:szCs w:val="24"/>
        </w:rPr>
        <w:t xml:space="preserve">Competence Journal Of Management Studies, </w:t>
      </w:r>
      <w:r>
        <w:rPr>
          <w:rFonts w:ascii="Times New Roman" w:eastAsia="Times New Roman" w:hAnsi="Times New Roman" w:cs="Times New Roman"/>
          <w:sz w:val="24"/>
          <w:szCs w:val="24"/>
        </w:rPr>
        <w:t xml:space="preserve">9(2), 202-214. </w:t>
      </w:r>
      <w:hyperlink r:id="rId26">
        <w:r>
          <w:rPr>
            <w:rFonts w:ascii="Times New Roman" w:eastAsia="Times New Roman" w:hAnsi="Times New Roman" w:cs="Times New Roman"/>
            <w:color w:val="0000FF"/>
            <w:sz w:val="24"/>
            <w:szCs w:val="24"/>
            <w:highlight w:val="white"/>
            <w:u w:val="single"/>
          </w:rPr>
          <w:t>https://doi.org/10.21107/kompetensi.v9i2.1628</w:t>
        </w:r>
      </w:hyperlink>
      <w:r>
        <w:rPr>
          <w:rFonts w:ascii="Times New Roman" w:eastAsia="Times New Roman" w:hAnsi="Times New Roman" w:cs="Times New Roman"/>
          <w:sz w:val="24"/>
          <w:szCs w:val="24"/>
        </w:rPr>
        <w:t xml:space="preserve"> </w:t>
      </w:r>
    </w:p>
    <w:p w:rsidR="00D71FB3" w:rsidRDefault="00D71FB3">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p>
    <w:p w:rsidR="00D71FB3" w:rsidRDefault="0079357A">
      <w:pPr>
        <w:numPr>
          <w:ilvl w:val="0"/>
          <w:numId w:val="6"/>
        </w:numPr>
        <w:pBdr>
          <w:top w:val="nil"/>
          <w:left w:val="nil"/>
          <w:bottom w:val="nil"/>
          <w:right w:val="nil"/>
          <w:between w:val="nil"/>
        </w:pBdr>
        <w:spacing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Internet</w:t>
      </w:r>
    </w:p>
    <w:p w:rsidR="00D71FB3" w:rsidRDefault="0077776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hyperlink r:id="rId27">
        <w:r w:rsidR="0079357A">
          <w:rPr>
            <w:rFonts w:ascii="Times New Roman" w:eastAsia="Times New Roman" w:hAnsi="Times New Roman" w:cs="Times New Roman"/>
            <w:color w:val="0000FF"/>
            <w:sz w:val="24"/>
            <w:szCs w:val="24"/>
            <w:u w:val="single"/>
          </w:rPr>
          <w:t>https://www.cnbcindonesia.com/market/20200324131204-17-147248/cicilan-sederet-kredit-ditangguhkan-jokowi-ini-aturannya</w:t>
        </w:r>
      </w:hyperlink>
      <w:r w:rsidR="0079357A">
        <w:rPr>
          <w:rFonts w:ascii="Times New Roman" w:eastAsia="Times New Roman" w:hAnsi="Times New Roman" w:cs="Times New Roman"/>
          <w:color w:val="000000"/>
          <w:sz w:val="24"/>
          <w:szCs w:val="24"/>
        </w:rPr>
        <w:t>.</w:t>
      </w:r>
    </w:p>
    <w:p w:rsidR="00D71FB3" w:rsidRDefault="0077776A">
      <w:pPr>
        <w:pBdr>
          <w:top w:val="nil"/>
          <w:left w:val="nil"/>
          <w:bottom w:val="nil"/>
          <w:right w:val="nil"/>
          <w:between w:val="nil"/>
        </w:pBdr>
        <w:spacing w:after="240" w:line="240" w:lineRule="auto"/>
        <w:ind w:left="709" w:hanging="709"/>
        <w:jc w:val="both"/>
        <w:rPr>
          <w:rFonts w:ascii="Times New Roman" w:eastAsia="Times New Roman" w:hAnsi="Times New Roman" w:cs="Times New Roman"/>
          <w:color w:val="000000"/>
          <w:sz w:val="24"/>
          <w:szCs w:val="24"/>
        </w:rPr>
      </w:pPr>
      <w:hyperlink r:id="rId28">
        <w:r w:rsidR="0079357A">
          <w:rPr>
            <w:rFonts w:ascii="Times New Roman" w:eastAsia="Times New Roman" w:hAnsi="Times New Roman" w:cs="Times New Roman"/>
            <w:color w:val="0000FF"/>
            <w:sz w:val="24"/>
            <w:szCs w:val="24"/>
            <w:u w:val="single"/>
          </w:rPr>
          <w:t>https://www.ugm.ac.id/id/berita/2066-pengukuhan-prof-ismijati-jenie-itikad-baik-sebagai-asas-hukum</w:t>
        </w:r>
      </w:hyperlink>
      <w:r w:rsidR="0079357A">
        <w:rPr>
          <w:rFonts w:ascii="Times New Roman" w:eastAsia="Times New Roman" w:hAnsi="Times New Roman" w:cs="Times New Roman"/>
          <w:color w:val="000000"/>
          <w:sz w:val="24"/>
          <w:szCs w:val="24"/>
        </w:rPr>
        <w:t>.</w:t>
      </w:r>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Mochamad Januar Rizki, “Penjelasan Prof Mahfud Soal Force Majeure Akibat Pandemi Corona”. </w:t>
      </w:r>
      <w:hyperlink r:id="rId29">
        <w:r>
          <w:rPr>
            <w:rFonts w:ascii="Times New Roman" w:eastAsia="Times New Roman" w:hAnsi="Times New Roman" w:cs="Times New Roman"/>
            <w:color w:val="0000FF"/>
            <w:sz w:val="24"/>
            <w:szCs w:val="24"/>
            <w:u w:val="single"/>
          </w:rPr>
          <w:t>https://www.hukumonline.com/berita/baca/lt5ea11ca6a5956/penjelasan-profmahfud-soal-i-force-majeure-i-akibat-pandemi-corona?page=2</w:t>
        </w:r>
      </w:hyperlink>
      <w:r>
        <w:rPr>
          <w:rFonts w:ascii="Times New Roman" w:eastAsia="Times New Roman" w:hAnsi="Times New Roman" w:cs="Times New Roman"/>
          <w:sz w:val="24"/>
          <w:szCs w:val="24"/>
        </w:rPr>
        <w:t>.</w:t>
      </w:r>
    </w:p>
    <w:p w:rsidR="00D71FB3" w:rsidRDefault="0079357A">
      <w:pPr>
        <w:spacing w:after="24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Setyo Aji Harjanto, “Pandemi COVID-19 Bukan Force Majeure, Simak Penjelasan Pakar Hukum- Kabar24 Bisnis.Com,” </w:t>
      </w:r>
      <w:hyperlink r:id="rId30">
        <w:r>
          <w:rPr>
            <w:rFonts w:ascii="Times New Roman" w:eastAsia="Times New Roman" w:hAnsi="Times New Roman" w:cs="Times New Roman"/>
            <w:color w:val="0000FF"/>
            <w:sz w:val="24"/>
            <w:szCs w:val="24"/>
            <w:u w:val="single"/>
          </w:rPr>
          <w:t>https://kabar24.bisnis.com/read/20200415/15/1227419/pandemi-covid-19-bukan-force-majeure-simak-penjelasan-pakar-hukum</w:t>
        </w:r>
      </w:hyperlink>
      <w:r>
        <w:rPr>
          <w:rFonts w:ascii="Times New Roman" w:eastAsia="Times New Roman" w:hAnsi="Times New Roman" w:cs="Times New Roman"/>
          <w:sz w:val="24"/>
          <w:szCs w:val="24"/>
        </w:rPr>
        <w:t>.</w:t>
      </w:r>
    </w:p>
    <w:p w:rsidR="00D71FB3" w:rsidRDefault="00D71FB3">
      <w:pPr>
        <w:spacing w:after="240" w:line="240" w:lineRule="auto"/>
        <w:ind w:left="709" w:hanging="709"/>
        <w:jc w:val="both"/>
        <w:rPr>
          <w:rFonts w:ascii="Times New Roman" w:eastAsia="Times New Roman" w:hAnsi="Times New Roman" w:cs="Times New Roman"/>
        </w:rPr>
      </w:pPr>
    </w:p>
    <w:p w:rsidR="00D71FB3" w:rsidRDefault="00D71FB3">
      <w:pPr>
        <w:ind w:firstLine="720"/>
        <w:jc w:val="both"/>
        <w:rPr>
          <w:rFonts w:ascii="Times New Roman" w:eastAsia="Times New Roman" w:hAnsi="Times New Roman" w:cs="Times New Roman"/>
        </w:rPr>
      </w:pPr>
    </w:p>
    <w:sectPr w:rsidR="00D71FB3">
      <w:headerReference w:type="default" r:id="rId31"/>
      <w:footerReference w:type="default" r:id="rId32"/>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76A" w:rsidRDefault="0077776A">
      <w:pPr>
        <w:spacing w:after="0" w:line="240" w:lineRule="auto"/>
      </w:pPr>
      <w:r>
        <w:separator/>
      </w:r>
    </w:p>
  </w:endnote>
  <w:endnote w:type="continuationSeparator" w:id="0">
    <w:p w:rsidR="0077776A" w:rsidRDefault="0077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B3" w:rsidRDefault="007935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4DD1">
      <w:rPr>
        <w:noProof/>
        <w:color w:val="000000"/>
      </w:rPr>
      <w:t>1</w:t>
    </w:r>
    <w:r>
      <w:rPr>
        <w:color w:val="000000"/>
      </w:rPr>
      <w:fldChar w:fldCharType="end"/>
    </w:r>
  </w:p>
  <w:p w:rsidR="00D71FB3" w:rsidRDefault="00D71F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76A" w:rsidRDefault="0077776A">
      <w:pPr>
        <w:spacing w:after="0" w:line="240" w:lineRule="auto"/>
      </w:pPr>
      <w:r>
        <w:separator/>
      </w:r>
    </w:p>
  </w:footnote>
  <w:footnote w:type="continuationSeparator" w:id="0">
    <w:p w:rsidR="0077776A" w:rsidRDefault="0077776A">
      <w:pPr>
        <w:spacing w:after="0" w:line="240" w:lineRule="auto"/>
      </w:pPr>
      <w:r>
        <w:continuationSeparator/>
      </w:r>
    </w:p>
  </w:footnote>
  <w:footnote w:id="1">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Aprista Ristyawati. (2020). Efektifitas Kebijakan Pembatasan Sosial Berskala Besar Dalam Masa Pandemi Corona Virus 2019 Oleh Pemerintah Sesuai Amanat UUD NRI Tahun 1945. </w:t>
      </w:r>
      <w:r>
        <w:rPr>
          <w:rFonts w:ascii="Times New Roman" w:eastAsia="Times New Roman" w:hAnsi="Times New Roman" w:cs="Times New Roman"/>
          <w:i/>
          <w:color w:val="000000"/>
          <w:sz w:val="18"/>
          <w:szCs w:val="18"/>
        </w:rPr>
        <w:t>Administrative Law &amp; Governance Journal</w:t>
      </w:r>
      <w:r>
        <w:rPr>
          <w:rFonts w:ascii="Times New Roman" w:eastAsia="Times New Roman" w:hAnsi="Times New Roman" w:cs="Times New Roman"/>
          <w:color w:val="000000"/>
          <w:sz w:val="18"/>
          <w:szCs w:val="18"/>
        </w:rPr>
        <w:t xml:space="preserve">, 3(2), 240-249. </w:t>
      </w:r>
      <w:hyperlink r:id="rId1">
        <w:r>
          <w:rPr>
            <w:rFonts w:ascii="Times New Roman" w:eastAsia="Times New Roman" w:hAnsi="Times New Roman" w:cs="Times New Roman"/>
            <w:color w:val="0000FF"/>
            <w:sz w:val="18"/>
            <w:szCs w:val="18"/>
            <w:u w:val="single"/>
          </w:rPr>
          <w:t>https://doi.org/10.14710/alj.v3i2.240-249</w:t>
        </w:r>
      </w:hyperlink>
      <w:r>
        <w:rPr>
          <w:rFonts w:ascii="Times New Roman" w:eastAsia="Times New Roman" w:hAnsi="Times New Roman" w:cs="Times New Roman"/>
          <w:color w:val="000000"/>
          <w:sz w:val="20"/>
          <w:szCs w:val="20"/>
        </w:rPr>
        <w:t xml:space="preserve"> </w:t>
      </w:r>
    </w:p>
  </w:footnote>
  <w:footnote w:id="2">
    <w:p w:rsidR="00D71FB3" w:rsidRDefault="0079357A">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See the Finance Minister's Regulation 23/PMK.03/2020 on Clarifying Business Fields and Ease of Import and Export.</w:t>
      </w:r>
    </w:p>
  </w:footnote>
  <w:footnote w:id="3">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563C1"/>
            <w:sz w:val="18"/>
            <w:szCs w:val="18"/>
            <w:u w:val="single"/>
          </w:rPr>
          <w:t>https://www.cnbcindonesia.com/market/20200324131204-17-147248/cicilan-sederet-kredit-ditangguhkan-jokowi-ini-aturannya</w:t>
        </w:r>
      </w:hyperlink>
      <w:r>
        <w:rPr>
          <w:rFonts w:ascii="Times New Roman" w:eastAsia="Times New Roman" w:hAnsi="Times New Roman" w:cs="Times New Roman"/>
          <w:color w:val="000000"/>
          <w:sz w:val="18"/>
          <w:szCs w:val="18"/>
        </w:rPr>
        <w:t>, accessed on August 28, 2021.</w:t>
      </w:r>
    </w:p>
  </w:footnote>
  <w:footnote w:id="4">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Herman, </w:t>
      </w:r>
      <w:r>
        <w:rPr>
          <w:rFonts w:ascii="Times New Roman" w:eastAsia="Times New Roman" w:hAnsi="Times New Roman" w:cs="Times New Roman"/>
          <w:i/>
          <w:color w:val="000000"/>
          <w:sz w:val="18"/>
          <w:szCs w:val="18"/>
        </w:rPr>
        <w:t>et.al</w:t>
      </w:r>
      <w:r>
        <w:rPr>
          <w:rFonts w:ascii="Times New Roman" w:eastAsia="Times New Roman" w:hAnsi="Times New Roman" w:cs="Times New Roman"/>
          <w:color w:val="000000"/>
          <w:sz w:val="18"/>
          <w:szCs w:val="18"/>
        </w:rPr>
        <w:t xml:space="preserve">. (2020). Tinjauan Yuridis Mengenai Dampak COVID-19 Terhadap Pemutusan Hubungan Kerja. </w:t>
      </w:r>
      <w:r>
        <w:rPr>
          <w:rFonts w:ascii="Times New Roman" w:eastAsia="Times New Roman" w:hAnsi="Times New Roman" w:cs="Times New Roman"/>
          <w:i/>
          <w:color w:val="000000"/>
          <w:sz w:val="18"/>
          <w:szCs w:val="18"/>
        </w:rPr>
        <w:t>Journal Halu Oleo Law Review</w:t>
      </w:r>
      <w:r>
        <w:rPr>
          <w:rFonts w:ascii="Times New Roman" w:eastAsia="Times New Roman" w:hAnsi="Times New Roman" w:cs="Times New Roman"/>
          <w:color w:val="000000"/>
          <w:sz w:val="18"/>
          <w:szCs w:val="18"/>
        </w:rPr>
        <w:t xml:space="preserve">, 4(2), 157-176. </w:t>
      </w:r>
      <w:hyperlink r:id="rId3">
        <w:r>
          <w:rPr>
            <w:rFonts w:ascii="Times New Roman" w:eastAsia="Times New Roman" w:hAnsi="Times New Roman" w:cs="Times New Roman"/>
            <w:color w:val="01337B"/>
            <w:sz w:val="18"/>
            <w:szCs w:val="18"/>
            <w:highlight w:val="white"/>
            <w:u w:val="single"/>
          </w:rPr>
          <w:t>http://dx.doi.org/10.33561/holrev.v4i2</w:t>
        </w:r>
      </w:hyperlink>
      <w:r>
        <w:rPr>
          <w:rFonts w:ascii="Times New Roman" w:eastAsia="Times New Roman" w:hAnsi="Times New Roman" w:cs="Times New Roman"/>
          <w:color w:val="000000"/>
          <w:sz w:val="18"/>
          <w:szCs w:val="18"/>
        </w:rPr>
        <w:t>.</w:t>
      </w:r>
    </w:p>
  </w:footnote>
  <w:footnote w:id="5">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Maharani Mega Febriyanti dan Husni Syawali. (2021).  </w:t>
      </w:r>
      <w:r>
        <w:rPr>
          <w:rFonts w:ascii="Times New Roman" w:eastAsia="Times New Roman" w:hAnsi="Times New Roman" w:cs="Times New Roman"/>
          <w:i/>
          <w:color w:val="000000"/>
          <w:sz w:val="18"/>
          <w:szCs w:val="18"/>
        </w:rPr>
        <w:t xml:space="preserve">Force Majeure </w:t>
      </w:r>
      <w:r>
        <w:rPr>
          <w:rFonts w:ascii="Times New Roman" w:eastAsia="Times New Roman" w:hAnsi="Times New Roman" w:cs="Times New Roman"/>
          <w:color w:val="000000"/>
          <w:sz w:val="18"/>
          <w:szCs w:val="18"/>
        </w:rPr>
        <w:t xml:space="preserve">dalam Pemutusan Hubungan Kerja terhadap Karyawan di Masa Pandemi Covid-19 ditinjau dari Buku III Kitab Undang Undang Hukum Perdata dihubungkan dengan Undang Undang Nomor 13 tahun 2003 Tentang Ketenagakerjaan. </w:t>
      </w:r>
      <w:r>
        <w:rPr>
          <w:rFonts w:ascii="Times New Roman" w:eastAsia="Times New Roman" w:hAnsi="Times New Roman" w:cs="Times New Roman"/>
          <w:i/>
          <w:color w:val="000000"/>
          <w:sz w:val="18"/>
          <w:szCs w:val="18"/>
        </w:rPr>
        <w:t xml:space="preserve">Prosiding Ilmu Hukum Spesia Unisba, </w:t>
      </w:r>
      <w:r>
        <w:rPr>
          <w:rFonts w:ascii="Times New Roman" w:eastAsia="Times New Roman" w:hAnsi="Times New Roman" w:cs="Times New Roman"/>
          <w:color w:val="000000"/>
          <w:sz w:val="18"/>
          <w:szCs w:val="18"/>
        </w:rPr>
        <w:t xml:space="preserve">7(1), 220-223.  </w:t>
      </w:r>
      <w:hyperlink r:id="rId4">
        <w:r>
          <w:rPr>
            <w:rFonts w:ascii="Times New Roman" w:eastAsia="Times New Roman" w:hAnsi="Times New Roman" w:cs="Times New Roman"/>
            <w:color w:val="0000FF"/>
            <w:sz w:val="18"/>
            <w:szCs w:val="18"/>
            <w:u w:val="single"/>
          </w:rPr>
          <w:t>http://dx.doi.org/10.29313/.v7i1.24997</w:t>
        </w:r>
      </w:hyperlink>
    </w:p>
  </w:footnote>
  <w:footnote w:id="6">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Sudibyo Aji Narendra Buwana, </w:t>
      </w:r>
      <w:r>
        <w:rPr>
          <w:rFonts w:ascii="Times New Roman" w:eastAsia="Times New Roman" w:hAnsi="Times New Roman" w:cs="Times New Roman"/>
          <w:i/>
          <w:color w:val="000000"/>
          <w:sz w:val="18"/>
          <w:szCs w:val="18"/>
        </w:rPr>
        <w:t>et.al</w:t>
      </w:r>
      <w:r>
        <w:rPr>
          <w:rFonts w:ascii="Times New Roman" w:eastAsia="Times New Roman" w:hAnsi="Times New Roman" w:cs="Times New Roman"/>
          <w:color w:val="000000"/>
          <w:sz w:val="18"/>
          <w:szCs w:val="18"/>
        </w:rPr>
        <w:t xml:space="preserve">. (2015). Implementasi Pemutusan Hubungan Kerja (PHK) terhadap Pekerja Status Perjanjian Waktu Tertentu (PKWT) PT X Kota Malang. </w:t>
      </w:r>
      <w:r>
        <w:rPr>
          <w:rFonts w:ascii="Times New Roman" w:eastAsia="Times New Roman" w:hAnsi="Times New Roman" w:cs="Times New Roman"/>
          <w:i/>
          <w:color w:val="000000"/>
          <w:sz w:val="18"/>
          <w:szCs w:val="18"/>
        </w:rPr>
        <w:t xml:space="preserve">Competence Journal Of Management Studies, </w:t>
      </w:r>
      <w:r>
        <w:rPr>
          <w:rFonts w:ascii="Times New Roman" w:eastAsia="Times New Roman" w:hAnsi="Times New Roman" w:cs="Times New Roman"/>
          <w:color w:val="000000"/>
          <w:sz w:val="18"/>
          <w:szCs w:val="18"/>
        </w:rPr>
        <w:t xml:space="preserve">9(2), 202-214. </w:t>
      </w:r>
      <w:hyperlink r:id="rId5">
        <w:r>
          <w:rPr>
            <w:rFonts w:ascii="Times New Roman" w:eastAsia="Times New Roman" w:hAnsi="Times New Roman" w:cs="Times New Roman"/>
            <w:color w:val="0000FF"/>
            <w:sz w:val="18"/>
            <w:szCs w:val="18"/>
            <w:highlight w:val="white"/>
            <w:u w:val="single"/>
          </w:rPr>
          <w:t>https://doi.org/10.21107/kompetensi.v9i2.1628</w:t>
        </w:r>
      </w:hyperlink>
    </w:p>
  </w:footnote>
  <w:footnote w:id="7">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Junaidi. (2021). </w:t>
      </w:r>
      <w:r>
        <w:rPr>
          <w:rFonts w:ascii="Times New Roman" w:eastAsia="Times New Roman" w:hAnsi="Times New Roman" w:cs="Times New Roman"/>
          <w:i/>
          <w:color w:val="000000"/>
          <w:sz w:val="18"/>
          <w:szCs w:val="18"/>
        </w:rPr>
        <w:t>Force Majeure</w:t>
      </w:r>
      <w:r>
        <w:rPr>
          <w:rFonts w:ascii="Times New Roman" w:eastAsia="Times New Roman" w:hAnsi="Times New Roman" w:cs="Times New Roman"/>
          <w:color w:val="000000"/>
          <w:sz w:val="18"/>
          <w:szCs w:val="18"/>
        </w:rPr>
        <w:t xml:space="preserve"> Pandemi Covid-19 Landasan Perjanjian Kerja sebagai Perlindungan Pekerjaan. </w:t>
      </w:r>
      <w:r>
        <w:rPr>
          <w:rFonts w:ascii="Times New Roman" w:eastAsia="Times New Roman" w:hAnsi="Times New Roman" w:cs="Times New Roman"/>
          <w:i/>
          <w:color w:val="000000"/>
          <w:sz w:val="18"/>
          <w:szCs w:val="18"/>
        </w:rPr>
        <w:t xml:space="preserve">Book Chapter Dinamika Perlindungan HAM bagi Kaum Marginal Pasca Pandemi Covid di Era Society 5.0, </w:t>
      </w:r>
      <w:r>
        <w:rPr>
          <w:rFonts w:ascii="Times New Roman" w:eastAsia="Times New Roman" w:hAnsi="Times New Roman" w:cs="Times New Roman"/>
          <w:color w:val="000000"/>
          <w:sz w:val="18"/>
          <w:szCs w:val="18"/>
        </w:rPr>
        <w:t>Surabaya : UM Surabaya, 105-112.</w:t>
      </w:r>
    </w:p>
  </w:footnote>
  <w:footnote w:id="8">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Ibid</w:t>
      </w:r>
      <w:r>
        <w:rPr>
          <w:rFonts w:ascii="Times New Roman" w:eastAsia="Times New Roman" w:hAnsi="Times New Roman" w:cs="Times New Roman"/>
          <w:color w:val="000000"/>
          <w:sz w:val="20"/>
          <w:szCs w:val="20"/>
        </w:rPr>
        <w:t>.</w:t>
      </w:r>
    </w:p>
  </w:footnote>
  <w:footnote w:id="9">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Sheela Jayabalan. (2020). The Legality of Doctrine of Frustration in the Realm of Covid-19 Pandemic. </w:t>
      </w:r>
      <w:r>
        <w:rPr>
          <w:rFonts w:ascii="Times New Roman" w:eastAsia="Times New Roman" w:hAnsi="Times New Roman" w:cs="Times New Roman"/>
          <w:i/>
          <w:color w:val="000000"/>
          <w:sz w:val="18"/>
          <w:szCs w:val="18"/>
        </w:rPr>
        <w:t>Sociological Jurisprudence Journal</w:t>
      </w:r>
      <w:r>
        <w:rPr>
          <w:rFonts w:ascii="Times New Roman" w:eastAsia="Times New Roman" w:hAnsi="Times New Roman" w:cs="Times New Roman"/>
          <w:color w:val="000000"/>
          <w:sz w:val="18"/>
          <w:szCs w:val="18"/>
        </w:rPr>
        <w:t xml:space="preserve">, 3(2), 84-90. </w:t>
      </w:r>
      <w:hyperlink r:id="rId6">
        <w:r>
          <w:rPr>
            <w:rFonts w:ascii="Times New Roman" w:eastAsia="Times New Roman" w:hAnsi="Times New Roman" w:cs="Times New Roman"/>
            <w:color w:val="0000FF"/>
            <w:sz w:val="18"/>
            <w:szCs w:val="18"/>
            <w:u w:val="single"/>
          </w:rPr>
          <w:t>https://doi.org/10.22225/scj.3.2.1900.84-90</w:t>
        </w:r>
      </w:hyperlink>
    </w:p>
  </w:footnote>
  <w:footnote w:id="10">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Sugiyono. (2019). </w:t>
      </w:r>
      <w:r>
        <w:rPr>
          <w:rFonts w:ascii="Times New Roman" w:eastAsia="Times New Roman" w:hAnsi="Times New Roman" w:cs="Times New Roman"/>
          <w:i/>
          <w:color w:val="000000"/>
          <w:sz w:val="18"/>
          <w:szCs w:val="18"/>
        </w:rPr>
        <w:t xml:space="preserve">Metode Penelitian Kuantitatif, Kualitatif dan R&amp;D. </w:t>
      </w:r>
      <w:r>
        <w:rPr>
          <w:rFonts w:ascii="Times New Roman" w:eastAsia="Times New Roman" w:hAnsi="Times New Roman" w:cs="Times New Roman"/>
          <w:color w:val="000000"/>
          <w:sz w:val="18"/>
          <w:szCs w:val="18"/>
        </w:rPr>
        <w:t>Bandung : Alfabeta, hlm. 2</w:t>
      </w:r>
    </w:p>
  </w:footnote>
  <w:footnote w:id="11">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Jonaedi Efendi &amp; Johnny Ibrahim. (2016). </w:t>
      </w:r>
      <w:r>
        <w:rPr>
          <w:rFonts w:ascii="Times New Roman" w:eastAsia="Times New Roman" w:hAnsi="Times New Roman" w:cs="Times New Roman"/>
          <w:i/>
          <w:color w:val="000000"/>
          <w:sz w:val="18"/>
          <w:szCs w:val="18"/>
        </w:rPr>
        <w:t xml:space="preserve">Metode Penelitian Hukum Normatif dan Empiris, </w:t>
      </w:r>
      <w:r>
        <w:rPr>
          <w:rFonts w:ascii="Times New Roman" w:eastAsia="Times New Roman" w:hAnsi="Times New Roman" w:cs="Times New Roman"/>
          <w:color w:val="000000"/>
          <w:sz w:val="18"/>
          <w:szCs w:val="18"/>
        </w:rPr>
        <w:t>Jakarta: Kencana, hlm. 295</w:t>
      </w:r>
    </w:p>
  </w:footnote>
  <w:footnote w:id="12">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Nikodemus Maringan. (2015). Tinjauan Yuridis Pelaksanaan Pemutusan Hubungan Kerja (PHK) Secara Sepihak oleh Perusahaan Menurut Undang-Undang Nomor 13 tahun 2003 tentang Ketenagakerjaan. </w:t>
      </w:r>
      <w:r>
        <w:rPr>
          <w:rFonts w:ascii="Times New Roman" w:eastAsia="Times New Roman" w:hAnsi="Times New Roman" w:cs="Times New Roman"/>
          <w:i/>
          <w:color w:val="000000"/>
          <w:sz w:val="18"/>
          <w:szCs w:val="18"/>
        </w:rPr>
        <w:t xml:space="preserve">Jurnal Ilmu Hukum Legal Opinion, </w:t>
      </w:r>
      <w:r>
        <w:rPr>
          <w:rFonts w:ascii="Times New Roman" w:eastAsia="Times New Roman" w:hAnsi="Times New Roman" w:cs="Times New Roman"/>
          <w:color w:val="000000"/>
          <w:sz w:val="18"/>
          <w:szCs w:val="18"/>
        </w:rPr>
        <w:t>3(3), 1-10. https://garuda.ristekbrin.go.id/documents/detail/404584</w:t>
      </w:r>
    </w:p>
  </w:footnote>
  <w:footnote w:id="13">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Mustakim dan Syafrida. (2020).  Pandemi Covid-19 Sebagai Alasan Force Majeure Dalam Melakukan Pemutusan Hubungan Kerja di Indonesia, 7(8), 695-706. </w:t>
      </w:r>
      <w:hyperlink r:id="rId7">
        <w:r>
          <w:rPr>
            <w:rFonts w:ascii="Times New Roman" w:eastAsia="Times New Roman" w:hAnsi="Times New Roman" w:cs="Times New Roman"/>
            <w:color w:val="0000FF"/>
            <w:sz w:val="18"/>
            <w:szCs w:val="18"/>
            <w:u w:val="single"/>
          </w:rPr>
          <w:t>https://doi.org/10.15408/sjsbs.v7i8.16552</w:t>
        </w:r>
      </w:hyperlink>
    </w:p>
  </w:footnote>
  <w:footnote w:id="14">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Rahmat S.S. Soemadipradja. (2010). Penjelasan Hukum tentang Keadaan Memaksa (Syarat-syarat Pembatalan Perjanjian yang disebabkan Keadaan Memaksa/Force Majeure. Jakarta : PT. Gramedia, hlm. 72  </w:t>
      </w:r>
    </w:p>
  </w:footnote>
  <w:footnote w:id="15">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Herman, </w:t>
      </w:r>
      <w:r>
        <w:rPr>
          <w:rFonts w:ascii="Times New Roman" w:eastAsia="Times New Roman" w:hAnsi="Times New Roman" w:cs="Times New Roman"/>
          <w:i/>
          <w:color w:val="000000"/>
          <w:sz w:val="18"/>
          <w:szCs w:val="18"/>
        </w:rPr>
        <w:t>et.al</w:t>
      </w:r>
      <w:r>
        <w:rPr>
          <w:rFonts w:ascii="Times New Roman" w:eastAsia="Times New Roman" w:hAnsi="Times New Roman" w:cs="Times New Roman"/>
          <w:color w:val="000000"/>
          <w:sz w:val="18"/>
          <w:szCs w:val="18"/>
        </w:rPr>
        <w:t xml:space="preserve">. (2020), </w:t>
      </w:r>
      <w:r>
        <w:rPr>
          <w:rFonts w:ascii="Times New Roman" w:eastAsia="Times New Roman" w:hAnsi="Times New Roman" w:cs="Times New Roman"/>
          <w:i/>
          <w:color w:val="000000"/>
          <w:sz w:val="18"/>
          <w:szCs w:val="18"/>
        </w:rPr>
        <w:t>op.cit</w:t>
      </w:r>
      <w:r>
        <w:rPr>
          <w:rFonts w:ascii="Times New Roman" w:eastAsia="Times New Roman" w:hAnsi="Times New Roman" w:cs="Times New Roman"/>
          <w:color w:val="000000"/>
          <w:sz w:val="18"/>
          <w:szCs w:val="18"/>
        </w:rPr>
        <w:t>, hlm. 174</w:t>
      </w:r>
    </w:p>
  </w:footnote>
  <w:footnote w:id="16">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Agus Yudha Hernoko. (2006). Force Majeure Clause atau Hardship Clause Problematika dalam Perancangan Kontrak Bisnis. </w:t>
      </w:r>
      <w:r>
        <w:rPr>
          <w:rFonts w:ascii="Times New Roman" w:eastAsia="Times New Roman" w:hAnsi="Times New Roman" w:cs="Times New Roman"/>
          <w:i/>
          <w:color w:val="000000"/>
          <w:sz w:val="18"/>
          <w:szCs w:val="18"/>
        </w:rPr>
        <w:t xml:space="preserve">Jurnal Perspektif : Kajian Masalah Hukum dan Pembangunan, </w:t>
      </w:r>
      <w:r>
        <w:rPr>
          <w:rFonts w:ascii="Times New Roman" w:eastAsia="Times New Roman" w:hAnsi="Times New Roman" w:cs="Times New Roman"/>
          <w:color w:val="000000"/>
          <w:sz w:val="18"/>
          <w:szCs w:val="18"/>
        </w:rPr>
        <w:t xml:space="preserve">11(3), 203-225. </w:t>
      </w:r>
      <w:hyperlink r:id="rId8">
        <w:r>
          <w:rPr>
            <w:rFonts w:ascii="Times New Roman" w:eastAsia="Times New Roman" w:hAnsi="Times New Roman" w:cs="Times New Roman"/>
            <w:color w:val="0000FF"/>
            <w:sz w:val="18"/>
            <w:szCs w:val="18"/>
            <w:u w:val="single"/>
          </w:rPr>
          <w:t>http://dx.doi.org/10.30742/perspektif.v11i3.276</w:t>
        </w:r>
      </w:hyperlink>
    </w:p>
  </w:footnote>
  <w:footnote w:id="17">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Dwi Primilono Adi. (2015). Absorbsi Prinsip ”Rebus Sic Stantibus” Dalam Kerangka Pembaharuan Hukum Perjanjian Nasional. 30(1), 71-91. </w:t>
      </w:r>
      <w:hyperlink r:id="rId9">
        <w:r>
          <w:rPr>
            <w:rFonts w:ascii="Times New Roman" w:eastAsia="Times New Roman" w:hAnsi="Times New Roman" w:cs="Times New Roman"/>
            <w:color w:val="0000FF"/>
            <w:sz w:val="18"/>
            <w:szCs w:val="18"/>
            <w:u w:val="single"/>
          </w:rPr>
          <w:t>http://jatiswara.unram.ac.id/index.php/js/article/view/91/85</w:t>
        </w:r>
      </w:hyperlink>
    </w:p>
  </w:footnote>
  <w:footnote w:id="18">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Berger and Behn. (2019-2020). Force Majeure and Hardship in the Age of Corona: A Historical and Comparative Study.  McGill Journal of Dispute Resolution : Revue de règlement des différends de McGill, 6(4), 79-129. </w:t>
      </w:r>
      <w:hyperlink r:id="rId10">
        <w:r>
          <w:rPr>
            <w:rFonts w:ascii="Times New Roman" w:eastAsia="Times New Roman" w:hAnsi="Times New Roman" w:cs="Times New Roman"/>
            <w:color w:val="0000FF"/>
            <w:sz w:val="18"/>
            <w:szCs w:val="18"/>
            <w:u w:val="single"/>
          </w:rPr>
          <w:t>https://mjdr-rrdm.ca/articles/volume-6/force-majeure-and-hardship-in-the-age-of-corona/</w:t>
        </w:r>
      </w:hyperlink>
    </w:p>
  </w:footnote>
  <w:footnote w:id="19">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Herman, </w:t>
      </w:r>
      <w:r>
        <w:rPr>
          <w:rFonts w:ascii="Times New Roman" w:eastAsia="Times New Roman" w:hAnsi="Times New Roman" w:cs="Times New Roman"/>
          <w:i/>
          <w:color w:val="000000"/>
          <w:sz w:val="18"/>
          <w:szCs w:val="18"/>
        </w:rPr>
        <w:t>et.al. Op,cit</w:t>
      </w:r>
      <w:r>
        <w:rPr>
          <w:rFonts w:ascii="Times New Roman" w:eastAsia="Times New Roman" w:hAnsi="Times New Roman" w:cs="Times New Roman"/>
          <w:color w:val="000000"/>
          <w:sz w:val="18"/>
          <w:szCs w:val="18"/>
        </w:rPr>
        <w:t>, hlm. 162</w:t>
      </w:r>
    </w:p>
  </w:footnote>
  <w:footnote w:id="20">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Agus Yudho Hernoko. (2014). Hukum Perjanjian Asas Proporsionalitas dalam Kontrak Komersial. Jakarta : Prenadamedia Group. hlm. 283  </w:t>
      </w:r>
    </w:p>
  </w:footnote>
  <w:footnote w:id="21">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333333"/>
          <w:sz w:val="18"/>
          <w:szCs w:val="18"/>
          <w:highlight w:val="white"/>
        </w:rPr>
        <w:t xml:space="preserve">Ifada Qurrata A`yun Amalia dan Endang Prasetyawati. (2019). Karakteristik Asas Proposionalitas dalam Pembentukan Klausul Perjanjian Waralaba. 2(2), 173-184. </w:t>
      </w:r>
      <w:hyperlink r:id="rId11">
        <w:r>
          <w:rPr>
            <w:rFonts w:ascii="Times New Roman" w:eastAsia="Times New Roman" w:hAnsi="Times New Roman" w:cs="Times New Roman"/>
            <w:color w:val="0000FF"/>
            <w:sz w:val="18"/>
            <w:szCs w:val="18"/>
            <w:highlight w:val="white"/>
            <w:u w:val="single"/>
          </w:rPr>
          <w:t>https://doi.org/10.30996/jhbbc.v2i2i2513</w:t>
        </w:r>
      </w:hyperlink>
    </w:p>
  </w:footnote>
  <w:footnote w:id="22">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Herman, </w:t>
      </w:r>
      <w:r>
        <w:rPr>
          <w:rFonts w:ascii="Times New Roman" w:eastAsia="Times New Roman" w:hAnsi="Times New Roman" w:cs="Times New Roman"/>
          <w:i/>
          <w:color w:val="000000"/>
          <w:sz w:val="18"/>
          <w:szCs w:val="18"/>
        </w:rPr>
        <w:t>et.al. Loc.cit</w:t>
      </w:r>
      <w:r>
        <w:rPr>
          <w:rFonts w:ascii="Times New Roman" w:eastAsia="Times New Roman" w:hAnsi="Times New Roman" w:cs="Times New Roman"/>
          <w:color w:val="000000"/>
          <w:sz w:val="18"/>
          <w:szCs w:val="18"/>
        </w:rPr>
        <w:t>, hlm. 164</w:t>
      </w:r>
    </w:p>
  </w:footnote>
  <w:footnote w:id="23">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Dwi Prilmilono Adi. </w:t>
      </w:r>
      <w:r>
        <w:rPr>
          <w:rFonts w:ascii="Times New Roman" w:eastAsia="Times New Roman" w:hAnsi="Times New Roman" w:cs="Times New Roman"/>
          <w:i/>
          <w:color w:val="000000"/>
          <w:sz w:val="18"/>
          <w:szCs w:val="18"/>
        </w:rPr>
        <w:t xml:space="preserve">Op.cit, </w:t>
      </w:r>
      <w:r>
        <w:rPr>
          <w:rFonts w:ascii="Times New Roman" w:eastAsia="Times New Roman" w:hAnsi="Times New Roman" w:cs="Times New Roman"/>
          <w:color w:val="000000"/>
          <w:sz w:val="18"/>
          <w:szCs w:val="18"/>
        </w:rPr>
        <w:t>hlm. 71-91.</w:t>
      </w:r>
    </w:p>
  </w:footnote>
  <w:footnote w:id="24">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Herman, </w:t>
      </w:r>
      <w:r>
        <w:rPr>
          <w:rFonts w:ascii="Times New Roman" w:eastAsia="Times New Roman" w:hAnsi="Times New Roman" w:cs="Times New Roman"/>
          <w:i/>
          <w:sz w:val="18"/>
          <w:szCs w:val="18"/>
        </w:rPr>
        <w:t>et.al.</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Op.cit</w:t>
      </w:r>
      <w:r>
        <w:rPr>
          <w:rFonts w:ascii="Times New Roman" w:eastAsia="Times New Roman" w:hAnsi="Times New Roman" w:cs="Times New Roman"/>
          <w:sz w:val="18"/>
          <w:szCs w:val="18"/>
        </w:rPr>
        <w:t>, hlm. 23</w:t>
      </w:r>
    </w:p>
  </w:footnote>
  <w:footnote w:id="25">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Nugraha. R, </w:t>
      </w:r>
      <w:r>
        <w:rPr>
          <w:rFonts w:ascii="Times New Roman" w:eastAsia="Times New Roman" w:hAnsi="Times New Roman" w:cs="Times New Roman"/>
          <w:i/>
          <w:color w:val="000000"/>
          <w:sz w:val="18"/>
          <w:szCs w:val="18"/>
        </w:rPr>
        <w:t>et.al</w:t>
      </w:r>
      <w:r>
        <w:rPr>
          <w:rFonts w:ascii="Times New Roman" w:eastAsia="Times New Roman" w:hAnsi="Times New Roman" w:cs="Times New Roman"/>
          <w:color w:val="000000"/>
          <w:sz w:val="18"/>
          <w:szCs w:val="18"/>
        </w:rPr>
        <w:t xml:space="preserve">. (2021). Analisis Pandemi </w:t>
      </w:r>
      <w:r>
        <w:rPr>
          <w:rFonts w:ascii="Times New Roman" w:eastAsia="Times New Roman" w:hAnsi="Times New Roman" w:cs="Times New Roman"/>
          <w:i/>
          <w:color w:val="000000"/>
          <w:sz w:val="18"/>
          <w:szCs w:val="18"/>
        </w:rPr>
        <w:t xml:space="preserve">Corona Virus Disease </w:t>
      </w:r>
      <w:r>
        <w:rPr>
          <w:rFonts w:ascii="Times New Roman" w:eastAsia="Times New Roman" w:hAnsi="Times New Roman" w:cs="Times New Roman"/>
          <w:color w:val="000000"/>
          <w:sz w:val="18"/>
          <w:szCs w:val="18"/>
        </w:rPr>
        <w:t xml:space="preserve">2019 sebagai Alasan Keadaan Memaksa </w:t>
      </w:r>
      <w:r>
        <w:rPr>
          <w:rFonts w:ascii="Times New Roman" w:eastAsia="Times New Roman" w:hAnsi="Times New Roman" w:cs="Times New Roman"/>
          <w:i/>
          <w:color w:val="000000"/>
          <w:sz w:val="18"/>
          <w:szCs w:val="18"/>
        </w:rPr>
        <w:t>(Force Majeure</w:t>
      </w:r>
      <w:r>
        <w:rPr>
          <w:rFonts w:ascii="Times New Roman" w:eastAsia="Times New Roman" w:hAnsi="Times New Roman" w:cs="Times New Roman"/>
          <w:color w:val="000000"/>
          <w:sz w:val="18"/>
          <w:szCs w:val="18"/>
        </w:rPr>
        <w:t xml:space="preserve">) Menurut Hukum Perdata di Indonesia. 2(3), 917-930. </w:t>
      </w:r>
      <w:hyperlink r:id="rId12">
        <w:r>
          <w:rPr>
            <w:rFonts w:ascii="Times New Roman" w:eastAsia="Times New Roman" w:hAnsi="Times New Roman" w:cs="Times New Roman"/>
            <w:color w:val="0000FF"/>
            <w:sz w:val="18"/>
            <w:szCs w:val="18"/>
            <w:u w:val="single"/>
          </w:rPr>
          <w:t>https://doi.org/10.52103/jlg.v2i3.382</w:t>
        </w:r>
      </w:hyperlink>
    </w:p>
  </w:footnote>
  <w:footnote w:id="26">
    <w:p w:rsidR="00D71FB3" w:rsidRDefault="0079357A">
      <w:pPr>
        <w:ind w:firstLine="720"/>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Luh Nila Winarni. (2015). Asas Itikad Baik sebagai Upaya Perlindungan Konsumen dalam Perjanjian Pembiayaan. </w:t>
      </w:r>
      <w:r>
        <w:rPr>
          <w:rFonts w:ascii="Times New Roman" w:eastAsia="Times New Roman" w:hAnsi="Times New Roman" w:cs="Times New Roman"/>
          <w:i/>
          <w:sz w:val="18"/>
          <w:szCs w:val="18"/>
        </w:rPr>
        <w:t xml:space="preserve">DiH : Jurnal Ilmu Hukum, </w:t>
      </w:r>
      <w:r>
        <w:rPr>
          <w:rFonts w:ascii="Times New Roman" w:eastAsia="Times New Roman" w:hAnsi="Times New Roman" w:cs="Times New Roman"/>
          <w:sz w:val="18"/>
          <w:szCs w:val="18"/>
        </w:rPr>
        <w:t xml:space="preserve">11(21), 1-12. </w:t>
      </w:r>
      <w:hyperlink r:id="rId13">
        <w:r>
          <w:rPr>
            <w:rFonts w:ascii="Times New Roman" w:eastAsia="Times New Roman" w:hAnsi="Times New Roman" w:cs="Times New Roman"/>
            <w:color w:val="0000FF"/>
            <w:sz w:val="18"/>
            <w:szCs w:val="18"/>
            <w:u w:val="single"/>
          </w:rPr>
          <w:t>https://doi.org/10.30996/dih.v11i21</w:t>
        </w:r>
      </w:hyperlink>
      <w:r>
        <w:rPr>
          <w:rFonts w:ascii="Times New Roman" w:eastAsia="Times New Roman" w:hAnsi="Times New Roman" w:cs="Times New Roman"/>
          <w:sz w:val="18"/>
          <w:szCs w:val="18"/>
        </w:rPr>
        <w:t>.</w:t>
      </w:r>
    </w:p>
  </w:footnote>
  <w:footnote w:id="27">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Agus Yudho Hernoko, </w:t>
      </w:r>
      <w:r>
        <w:rPr>
          <w:rFonts w:ascii="Times New Roman" w:eastAsia="Times New Roman" w:hAnsi="Times New Roman" w:cs="Times New Roman"/>
          <w:i/>
          <w:color w:val="000000"/>
          <w:sz w:val="18"/>
          <w:szCs w:val="18"/>
        </w:rPr>
        <w:t>Op.cit</w:t>
      </w:r>
      <w:r>
        <w:rPr>
          <w:rFonts w:ascii="Times New Roman" w:eastAsia="Times New Roman" w:hAnsi="Times New Roman" w:cs="Times New Roman"/>
          <w:color w:val="000000"/>
          <w:sz w:val="18"/>
          <w:szCs w:val="18"/>
        </w:rPr>
        <w:t xml:space="preserve">, hlm.287  </w:t>
      </w:r>
    </w:p>
  </w:footnote>
  <w:footnote w:id="28">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Mahfud MD in Mochamad Januar Rizki, “Penjelasan Prof Mahfud Soal Force Majeure Akibat Pandemi Corona”. </w:t>
      </w:r>
      <w:hyperlink r:id="rId14">
        <w:r>
          <w:rPr>
            <w:rFonts w:ascii="Times New Roman" w:eastAsia="Times New Roman" w:hAnsi="Times New Roman" w:cs="Times New Roman"/>
            <w:color w:val="0000FF"/>
            <w:sz w:val="18"/>
            <w:szCs w:val="18"/>
            <w:u w:val="single"/>
          </w:rPr>
          <w:t>https://www.hukumonline.com/berita/baca/lt5ea11ca6a5956/penjelasan-profmahfud-soal-i-force-majeure-i-akibat-pandemi-corona?page=2</w:t>
        </w:r>
      </w:hyperlink>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accessed 28 August 2021.</w:t>
      </w:r>
    </w:p>
  </w:footnote>
  <w:footnote w:id="29">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Seng Hansen. (2020). Does the COVID-19 Outbreak Constitute a Force Majeure Event ? A Pandemic Impact on Construction Contracts. </w:t>
      </w:r>
      <w:r>
        <w:rPr>
          <w:rFonts w:ascii="Times New Roman" w:eastAsia="Times New Roman" w:hAnsi="Times New Roman" w:cs="Times New Roman"/>
          <w:i/>
          <w:sz w:val="18"/>
          <w:szCs w:val="18"/>
        </w:rPr>
        <w:t>Journal of the Civil Engineering</w:t>
      </w:r>
      <w:r>
        <w:rPr>
          <w:rFonts w:ascii="Times New Roman" w:eastAsia="Times New Roman" w:hAnsi="Times New Roman" w:cs="Times New Roman"/>
          <w:sz w:val="18"/>
          <w:szCs w:val="18"/>
        </w:rPr>
        <w:t xml:space="preserve">, 6(2), 201-214. </w:t>
      </w:r>
      <w:hyperlink r:id="rId15">
        <w:r>
          <w:rPr>
            <w:rFonts w:ascii="Times New Roman" w:eastAsia="Times New Roman" w:hAnsi="Times New Roman" w:cs="Times New Roman"/>
            <w:color w:val="0000FF"/>
            <w:sz w:val="18"/>
            <w:szCs w:val="18"/>
            <w:u w:val="single"/>
          </w:rPr>
          <w:t>https://doi.org/10.22146/jcef.54997</w:t>
        </w:r>
      </w:hyperlink>
    </w:p>
  </w:footnote>
  <w:footnote w:id="30">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Saurabh Sood. (2020). COVID-19 As a Force Majeure in Corporate Transactions,” </w:t>
      </w:r>
      <w:r>
        <w:rPr>
          <w:rFonts w:ascii="Times New Roman" w:eastAsia="Times New Roman" w:hAnsi="Times New Roman" w:cs="Times New Roman"/>
          <w:i/>
          <w:sz w:val="18"/>
          <w:szCs w:val="18"/>
        </w:rPr>
        <w:t>Purakala (UGC Care Journal)</w:t>
      </w:r>
      <w:r>
        <w:rPr>
          <w:rFonts w:ascii="Times New Roman" w:eastAsia="Times New Roman" w:hAnsi="Times New Roman" w:cs="Times New Roman"/>
          <w:sz w:val="18"/>
          <w:szCs w:val="18"/>
        </w:rPr>
        <w:t>.</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 xml:space="preserve">31(34), 17-26. </w:t>
      </w:r>
      <w:hyperlink r:id="rId16">
        <w:r>
          <w:rPr>
            <w:rFonts w:ascii="Times New Roman" w:eastAsia="Times New Roman" w:hAnsi="Times New Roman" w:cs="Times New Roman"/>
            <w:color w:val="0000FF"/>
            <w:sz w:val="18"/>
            <w:szCs w:val="18"/>
            <w:u w:val="single"/>
          </w:rPr>
          <w:t>https://doi.org/10.2139/ssrn.3577701</w:t>
        </w:r>
      </w:hyperlink>
      <w:r>
        <w:rPr>
          <w:rFonts w:ascii="Times New Roman" w:eastAsia="Times New Roman" w:hAnsi="Times New Roman" w:cs="Times New Roman"/>
          <w:sz w:val="18"/>
          <w:szCs w:val="18"/>
        </w:rPr>
        <w:t>.</w:t>
      </w:r>
    </w:p>
  </w:footnote>
  <w:footnote w:id="31">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Imas Novita Juaningsih. (2020). Analisis Kebijakan PHK Bagi Para Pekerja Pada Masa Pandemi Covid-19 Di Indonesia. </w:t>
      </w:r>
      <w:r>
        <w:rPr>
          <w:rFonts w:ascii="Times New Roman" w:eastAsia="Times New Roman" w:hAnsi="Times New Roman" w:cs="Times New Roman"/>
          <w:i/>
          <w:color w:val="000000"/>
          <w:sz w:val="18"/>
          <w:szCs w:val="18"/>
        </w:rPr>
        <w:t>Adalah : Buletin Hukum dan Keadilan</w:t>
      </w:r>
      <w:r>
        <w:rPr>
          <w:rFonts w:ascii="Times New Roman" w:eastAsia="Times New Roman" w:hAnsi="Times New Roman" w:cs="Times New Roman"/>
          <w:color w:val="000000"/>
          <w:sz w:val="18"/>
          <w:szCs w:val="18"/>
        </w:rPr>
        <w:t xml:space="preserve">, 4(1), 189-196. </w:t>
      </w:r>
      <w:r>
        <w:rPr>
          <w:rFonts w:ascii="Times New Roman" w:eastAsia="Times New Roman" w:hAnsi="Times New Roman" w:cs="Times New Roman"/>
          <w:color w:val="5B9BD5"/>
          <w:sz w:val="18"/>
          <w:szCs w:val="18"/>
        </w:rPr>
        <w:t>https://doi.org/</w:t>
      </w:r>
      <w:hyperlink r:id="rId17">
        <w:r>
          <w:rPr>
            <w:rFonts w:ascii="Times New Roman" w:eastAsia="Times New Roman" w:hAnsi="Times New Roman" w:cs="Times New Roman"/>
            <w:color w:val="5B9BD5"/>
            <w:sz w:val="18"/>
            <w:szCs w:val="18"/>
            <w:highlight w:val="white"/>
            <w:u w:val="single"/>
          </w:rPr>
          <w:t>10.15408/adalah.v4i1.15764</w:t>
        </w:r>
      </w:hyperlink>
    </w:p>
  </w:footnote>
  <w:footnote w:id="32">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Refly Harun in Sri Mustikasari M Saleh, Abdul Qahar, and Zainuddin. (2020). Wanprestasi in The Construction Service Agreement in The General Working and Spatial, </w:t>
      </w:r>
      <w:r>
        <w:rPr>
          <w:rFonts w:ascii="Times New Roman" w:eastAsia="Times New Roman" w:hAnsi="Times New Roman" w:cs="Times New Roman"/>
          <w:i/>
          <w:sz w:val="18"/>
          <w:szCs w:val="18"/>
        </w:rPr>
        <w:t xml:space="preserve">Meraja Journal, </w:t>
      </w:r>
      <w:r>
        <w:rPr>
          <w:rFonts w:ascii="Times New Roman" w:eastAsia="Times New Roman" w:hAnsi="Times New Roman" w:cs="Times New Roman"/>
          <w:sz w:val="18"/>
          <w:szCs w:val="18"/>
        </w:rPr>
        <w:t xml:space="preserve">3(2), 207-218. </w:t>
      </w:r>
      <w:hyperlink r:id="rId18">
        <w:r>
          <w:rPr>
            <w:rFonts w:ascii="Times New Roman" w:eastAsia="Times New Roman" w:hAnsi="Times New Roman" w:cs="Times New Roman"/>
            <w:color w:val="007AB2"/>
            <w:sz w:val="18"/>
            <w:szCs w:val="18"/>
            <w:u w:val="single"/>
          </w:rPr>
          <w:t>https://doi.org/10.33080/mrj.v3i2.113</w:t>
        </w:r>
      </w:hyperlink>
    </w:p>
  </w:footnote>
  <w:footnote w:id="33">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Setyo Aji Harjanto, “Pandemi COVID-19 Bukan Force Majeure, Simak Penjelasan Pakar Hukum- Kabar24 Bisnis.Com,” </w:t>
      </w:r>
      <w:hyperlink r:id="rId19">
        <w:r>
          <w:rPr>
            <w:rFonts w:ascii="Times New Roman" w:eastAsia="Times New Roman" w:hAnsi="Times New Roman" w:cs="Times New Roman"/>
            <w:color w:val="0000FF"/>
            <w:sz w:val="18"/>
            <w:szCs w:val="18"/>
            <w:u w:val="single"/>
          </w:rPr>
          <w:t>https://kabar24.bisnis.com/read/20200415/15/1227419/pandemi-covid-19-bukan-force-majeure-simak-penjelasan-pakar-hukum</w:t>
        </w:r>
      </w:hyperlink>
      <w:r>
        <w:rPr>
          <w:rFonts w:ascii="Times New Roman" w:eastAsia="Times New Roman" w:hAnsi="Times New Roman" w:cs="Times New Roman"/>
          <w:sz w:val="18"/>
          <w:szCs w:val="18"/>
        </w:rPr>
        <w:t xml:space="preserve">,  </w:t>
      </w:r>
      <w:r>
        <w:rPr>
          <w:rFonts w:ascii="Times New Roman" w:eastAsia="Times New Roman" w:hAnsi="Times New Roman" w:cs="Times New Roman"/>
        </w:rPr>
        <w:t>accessed 28 August 2021.</w:t>
      </w:r>
    </w:p>
  </w:footnote>
  <w:footnote w:id="34">
    <w:p w:rsidR="00D71FB3" w:rsidRDefault="0079357A">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Daryl John Rasuh. (2016). Kajian Hukum Keadaan Memaksa (Force Majeure) Menurut Pasal 1244 dan Pasal 1245 Kitab Undang-Undang Hukum Perdata. </w:t>
      </w:r>
      <w:r>
        <w:rPr>
          <w:rFonts w:ascii="Times New Roman" w:eastAsia="Times New Roman" w:hAnsi="Times New Roman" w:cs="Times New Roman"/>
          <w:i/>
          <w:sz w:val="18"/>
          <w:szCs w:val="18"/>
        </w:rPr>
        <w:t>Jurnal Lex Privatum</w:t>
      </w:r>
      <w:r>
        <w:rPr>
          <w:rFonts w:ascii="Times New Roman" w:eastAsia="Times New Roman" w:hAnsi="Times New Roman" w:cs="Times New Roman"/>
          <w:sz w:val="18"/>
          <w:szCs w:val="18"/>
        </w:rPr>
        <w:t xml:space="preserve">, 4(2), 173-180. </w:t>
      </w:r>
      <w:hyperlink r:id="rId20">
        <w:r>
          <w:rPr>
            <w:rFonts w:ascii="Times New Roman" w:eastAsia="Times New Roman" w:hAnsi="Times New Roman" w:cs="Times New Roman"/>
            <w:color w:val="0000FF"/>
            <w:sz w:val="18"/>
            <w:szCs w:val="18"/>
            <w:u w:val="single"/>
          </w:rPr>
          <w:t>https://ejournal.unsrat.ac.id/index.php/lexprivatum/issue/view/1266</w:t>
        </w:r>
      </w:hyperlink>
    </w:p>
  </w:footnote>
  <w:footnote w:id="35">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Subekti dalam buku Muhammad Syaifuddin. 2012. Hukum Kontrak. Bandung : Mandar Maju. hlm. 94.</w:t>
      </w:r>
    </w:p>
  </w:footnote>
  <w:footnote w:id="36">
    <w:p w:rsidR="00D71FB3" w:rsidRDefault="007935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1">
        <w:r>
          <w:rPr>
            <w:rFonts w:ascii="Times New Roman" w:eastAsia="Times New Roman" w:hAnsi="Times New Roman" w:cs="Times New Roman"/>
            <w:color w:val="0000FF"/>
            <w:sz w:val="18"/>
            <w:szCs w:val="18"/>
            <w:u w:val="single"/>
          </w:rPr>
          <w:t>https://www.ugm.ac.id/id/berita/2066-pengukuhan-prof-ismijati-jenie-itikad-baik-sebagai-asas-hukum</w:t>
        </w:r>
      </w:hyperlink>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accessed 30 August 2021.</w:t>
      </w:r>
    </w:p>
  </w:footnote>
  <w:footnote w:id="37">
    <w:p w:rsidR="00D71FB3" w:rsidRDefault="00793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Agus Yudha Hernoko. </w:t>
      </w:r>
      <w:r>
        <w:rPr>
          <w:rFonts w:ascii="Times New Roman" w:eastAsia="Times New Roman" w:hAnsi="Times New Roman" w:cs="Times New Roman"/>
          <w:i/>
          <w:color w:val="000000"/>
          <w:sz w:val="18"/>
          <w:szCs w:val="18"/>
        </w:rPr>
        <w:t xml:space="preserve">Op.cit, </w:t>
      </w:r>
      <w:r>
        <w:rPr>
          <w:rFonts w:ascii="Times New Roman" w:eastAsia="Times New Roman" w:hAnsi="Times New Roman" w:cs="Times New Roman"/>
          <w:color w:val="000000"/>
          <w:sz w:val="18"/>
          <w:szCs w:val="18"/>
        </w:rPr>
        <w:t xml:space="preserve">hlm. </w:t>
      </w:r>
      <w:r>
        <w:rPr>
          <w:rFonts w:ascii="Times New Roman" w:eastAsia="Times New Roman" w:hAnsi="Times New Roman" w:cs="Times New Roman"/>
          <w:i/>
          <w:color w:val="000000"/>
          <w:sz w:val="18"/>
          <w:szCs w:val="18"/>
        </w:rPr>
        <w:t>271.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B3" w:rsidRDefault="0079357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Junaidi, Mila Surahmi, Desmaway Romli</w:t>
    </w:r>
  </w:p>
  <w:p w:rsidR="00D71FB3" w:rsidRDefault="0079357A">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Force Majeure or Hardship Principle in Termination of Employment</w:t>
    </w:r>
  </w:p>
  <w:p w:rsidR="00D71FB3" w:rsidRDefault="0079357A">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-during the Covid-19 Pandemic</w:t>
    </w:r>
  </w:p>
  <w:p w:rsidR="00D71FB3" w:rsidRDefault="00D71FB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FD0"/>
    <w:multiLevelType w:val="multilevel"/>
    <w:tmpl w:val="5BE26590"/>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FFC2CC2"/>
    <w:multiLevelType w:val="multilevel"/>
    <w:tmpl w:val="AD785A1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80C67F3"/>
    <w:multiLevelType w:val="multilevel"/>
    <w:tmpl w:val="42E8261C"/>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15E7FA7"/>
    <w:multiLevelType w:val="multilevel"/>
    <w:tmpl w:val="18ACCA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65E48BA"/>
    <w:multiLevelType w:val="multilevel"/>
    <w:tmpl w:val="7770642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BC17CF1"/>
    <w:multiLevelType w:val="multilevel"/>
    <w:tmpl w:val="1E4A6CA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ECC0819"/>
    <w:multiLevelType w:val="multilevel"/>
    <w:tmpl w:val="CD2A833E"/>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1EE2E5A"/>
    <w:multiLevelType w:val="multilevel"/>
    <w:tmpl w:val="BE16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054436"/>
    <w:multiLevelType w:val="multilevel"/>
    <w:tmpl w:val="FA74DC4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1FB3"/>
    <w:rsid w:val="000A7D17"/>
    <w:rsid w:val="0077776A"/>
    <w:rsid w:val="0079357A"/>
    <w:rsid w:val="00BA4DD1"/>
    <w:rsid w:val="00D7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mimi@unisti.ac.id" TargetMode="External"/><Relationship Id="rId13" Type="http://schemas.openxmlformats.org/officeDocument/2006/relationships/hyperlink" Target="http://jatiswara.unram.ac.id/index.php/js/article/view/91/85" TargetMode="External"/><Relationship Id="rId18" Type="http://schemas.openxmlformats.org/officeDocument/2006/relationships/hyperlink" Target="https://doi.org/10.15408/sjsbs.v7i8.16552" TargetMode="External"/><Relationship Id="rId26" Type="http://schemas.openxmlformats.org/officeDocument/2006/relationships/hyperlink" Target="https://doi.org/10.21107/kompetensi.v9i2.1628" TargetMode="External"/><Relationship Id="rId3" Type="http://schemas.microsoft.com/office/2007/relationships/stylesWithEffects" Target="stylesWithEffects.xml"/><Relationship Id="rId21" Type="http://schemas.openxmlformats.org/officeDocument/2006/relationships/hyperlink" Target="https://doi.org/10.52103/jlg.v2i3.38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ournal.unsrat.ac.id/index.php/lexprivatum/issue/view/1266" TargetMode="External"/><Relationship Id="rId17" Type="http://schemas.openxmlformats.org/officeDocument/2006/relationships/hyperlink" Target="http://dx.doi.org/10.29313/.v7i1.24997" TargetMode="External"/><Relationship Id="rId25" Type="http://schemas.openxmlformats.org/officeDocument/2006/relationships/hyperlink" Target="https://doi.org/10.22225/scj.3.2.1900.84-9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408/adalah.v4i1.15764" TargetMode="External"/><Relationship Id="rId20" Type="http://schemas.openxmlformats.org/officeDocument/2006/relationships/hyperlink" Target="https://doi.org/10.30996/dih.v11i21" TargetMode="External"/><Relationship Id="rId29" Type="http://schemas.openxmlformats.org/officeDocument/2006/relationships/hyperlink" Target="https://www.hukumonline.com/berita/baca/lt5ea11ca6a5956/penjelasan-profmahfud-soal-i-force-majeure-i-akibat-pandemi-corona?page=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jdr-rrdm.ca/articles/volume-6/force-majeure-and-hardship-in-the-age-of-corona/" TargetMode="External"/><Relationship Id="rId24" Type="http://schemas.openxmlformats.org/officeDocument/2006/relationships/hyperlink" Target="https://doi.org/10.22146/jcef.5499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0996/jhbbc.v2i2i2513" TargetMode="External"/><Relationship Id="rId23" Type="http://schemas.openxmlformats.org/officeDocument/2006/relationships/hyperlink" Target="https://doi.org/10.2139/ssrn.3577701" TargetMode="External"/><Relationship Id="rId28" Type="http://schemas.openxmlformats.org/officeDocument/2006/relationships/hyperlink" Target="https://www.ugm.ac.id/id/berita/2066-pengukuhan-prof-ismijati-jenie-itikad-baik-sebagai-asas-hukum" TargetMode="External"/><Relationship Id="rId10" Type="http://schemas.openxmlformats.org/officeDocument/2006/relationships/hyperlink" Target="https://doi.org/10.14710/alj.v3i2.240-249" TargetMode="External"/><Relationship Id="rId19" Type="http://schemas.openxmlformats.org/officeDocument/2006/relationships/hyperlink" Target="https://garuda.ristekbrin.go.id/documents/detail/40458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30742/perspektif.v11i3.276" TargetMode="External"/><Relationship Id="rId14" Type="http://schemas.openxmlformats.org/officeDocument/2006/relationships/hyperlink" Target="http://dx.doi.org/10.33561/holrev.v4i2" TargetMode="External"/><Relationship Id="rId22" Type="http://schemas.openxmlformats.org/officeDocument/2006/relationships/hyperlink" Target="https://doi.org/10.33080/mrj.v3i2.113" TargetMode="External"/><Relationship Id="rId27" Type="http://schemas.openxmlformats.org/officeDocument/2006/relationships/hyperlink" Target="https://www.cnbcindonesia.com/market/20200324131204-17-147248/cicilan-sederet-kredit-ditangguhkan-jokowi-ini-aturannya" TargetMode="External"/><Relationship Id="rId30" Type="http://schemas.openxmlformats.org/officeDocument/2006/relationships/hyperlink" Target="https://kabar24.bisnis.com/read/20200415/15/1227419/pandemi-covid-19-bukan-force-majeure-simak-penjelasan-pakar-huku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x.doi.org/10.30742/perspektif.v11i3.276" TargetMode="External"/><Relationship Id="rId13" Type="http://schemas.openxmlformats.org/officeDocument/2006/relationships/hyperlink" Target="https://doi.org/10.30996/dih.v11i21" TargetMode="External"/><Relationship Id="rId18" Type="http://schemas.openxmlformats.org/officeDocument/2006/relationships/hyperlink" Target="https://doi.org/10.33080/mrj.v3i2.113" TargetMode="External"/><Relationship Id="rId3" Type="http://schemas.openxmlformats.org/officeDocument/2006/relationships/hyperlink" Target="http://dx.doi.org/10.33561/holrev.v4i2" TargetMode="External"/><Relationship Id="rId21" Type="http://schemas.openxmlformats.org/officeDocument/2006/relationships/hyperlink" Target="https://www.ugm.ac.id/id/berita/2066-pengukuhan-prof-ismijati-jenie-itikad-baik-sebagai-asas-hukum" TargetMode="External"/><Relationship Id="rId7" Type="http://schemas.openxmlformats.org/officeDocument/2006/relationships/hyperlink" Target="https://doi.org/10.15408/sjsbs.v7i8.16552" TargetMode="External"/><Relationship Id="rId12" Type="http://schemas.openxmlformats.org/officeDocument/2006/relationships/hyperlink" Target="https://doi.org/10.52103/jlg.v2i3.382" TargetMode="External"/><Relationship Id="rId17" Type="http://schemas.openxmlformats.org/officeDocument/2006/relationships/hyperlink" Target="https://doi.org/10.15408/adalah.v4i1.15764" TargetMode="External"/><Relationship Id="rId2" Type="http://schemas.openxmlformats.org/officeDocument/2006/relationships/hyperlink" Target="https://www.cnbcindonesia.com/market/20200324131204-17-147248/cicilan-sederet-kredit-ditangguhkan-jokowi-ini-aturannya" TargetMode="External"/><Relationship Id="rId16" Type="http://schemas.openxmlformats.org/officeDocument/2006/relationships/hyperlink" Target="https://doi.org/10.2139/ssrn.3577701" TargetMode="External"/><Relationship Id="rId20" Type="http://schemas.openxmlformats.org/officeDocument/2006/relationships/hyperlink" Target="https://ejournal.unsrat.ac.id/index.php/lexprivatum/issue/view/1266" TargetMode="External"/><Relationship Id="rId1" Type="http://schemas.openxmlformats.org/officeDocument/2006/relationships/hyperlink" Target="https://doi.org/10.14710/alj.v3i2.240-249" TargetMode="External"/><Relationship Id="rId6" Type="http://schemas.openxmlformats.org/officeDocument/2006/relationships/hyperlink" Target="https://doi.org/10.22225/scj.3.2.1900.84-90" TargetMode="External"/><Relationship Id="rId11" Type="http://schemas.openxmlformats.org/officeDocument/2006/relationships/hyperlink" Target="https://doi.org/10.30996/jhbbc.v2i2i2513" TargetMode="External"/><Relationship Id="rId5" Type="http://schemas.openxmlformats.org/officeDocument/2006/relationships/hyperlink" Target="https://doi.org/10.21107/kompetensi.v9i2.1628" TargetMode="External"/><Relationship Id="rId15" Type="http://schemas.openxmlformats.org/officeDocument/2006/relationships/hyperlink" Target="https://doi.org/10.22146/jcef.54997" TargetMode="External"/><Relationship Id="rId10" Type="http://schemas.openxmlformats.org/officeDocument/2006/relationships/hyperlink" Target="https://mjdr-rrdm.ca/articles/volume-6/force-majeure-and-hardship-in-the-age-of-corona/" TargetMode="External"/><Relationship Id="rId19" Type="http://schemas.openxmlformats.org/officeDocument/2006/relationships/hyperlink" Target="https://kabar24.bisnis.com/read/20200415/15/1227419/pandemi-covid-19-bukan-force-majeure-simak-penjelasan-pakar-hukum" TargetMode="External"/><Relationship Id="rId4" Type="http://schemas.openxmlformats.org/officeDocument/2006/relationships/hyperlink" Target="http://dx.doi.org/10.29313/.v7i1.24997" TargetMode="External"/><Relationship Id="rId9" Type="http://schemas.openxmlformats.org/officeDocument/2006/relationships/hyperlink" Target="http://jatiswara.unram.ac.id/index.php/js/article/view/91/85" TargetMode="External"/><Relationship Id="rId14" Type="http://schemas.openxmlformats.org/officeDocument/2006/relationships/hyperlink" Target="https://www.hukumonline.com/berita/baca/lt5ea11ca6a5956/penjelasan-profmahfud-soal-i-force-majeure-i-akibat-pandemi-corona?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5938</Words>
  <Characters>33851</Characters>
  <Application>Microsoft Office Word</Application>
  <DocSecurity>0</DocSecurity>
  <Lines>282</Lines>
  <Paragraphs>79</Paragraphs>
  <ScaleCrop>false</ScaleCrop>
  <Company>home</Company>
  <LinksUpToDate>false</LinksUpToDate>
  <CharactersWithSpaces>39710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TOSHIBA</cp:lastModifiedBy>
  <cp:revision>4</cp:revision>
  <dcterms:created xsi:type="dcterms:W3CDTF">2022-05-22T06:24:00Z</dcterms:created>
  <dcterms:modified xsi:type="dcterms:W3CDTF">2022-05-22T06:31:00Z</dcterms:modified>
</cp:coreProperties>
</file>