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4DACBE" w14:textId="596D41B0" w:rsidR="00F05DF3" w:rsidRDefault="00F05DF3" w:rsidP="008B6AFA">
      <w:pPr>
        <w:jc w:val="center"/>
        <w:rPr>
          <w:rFonts w:ascii="Times New Roman" w:hAnsi="Times New Roman" w:cs="Times New Roman"/>
          <w:b/>
          <w:bCs/>
          <w:sz w:val="24"/>
          <w:szCs w:val="24"/>
        </w:rPr>
      </w:pPr>
      <w:r w:rsidRPr="008B6AFA">
        <w:rPr>
          <w:rFonts w:ascii="Times New Roman" w:hAnsi="Times New Roman" w:cs="Times New Roman"/>
          <w:b/>
          <w:bCs/>
          <w:sz w:val="24"/>
          <w:szCs w:val="24"/>
        </w:rPr>
        <w:t>LEMBAGA JAMINAN RESI GUDANG (</w:t>
      </w:r>
      <w:r w:rsidRPr="008B6AFA">
        <w:rPr>
          <w:rFonts w:ascii="Times New Roman" w:hAnsi="Times New Roman" w:cs="Times New Roman"/>
          <w:b/>
          <w:bCs/>
          <w:i/>
          <w:iCs/>
          <w:sz w:val="24"/>
          <w:szCs w:val="24"/>
        </w:rPr>
        <w:t>IDEMNITY FUND</w:t>
      </w:r>
      <w:r w:rsidRPr="008B6AFA">
        <w:rPr>
          <w:rFonts w:ascii="Times New Roman" w:hAnsi="Times New Roman" w:cs="Times New Roman"/>
          <w:b/>
          <w:bCs/>
          <w:sz w:val="24"/>
          <w:szCs w:val="24"/>
        </w:rPr>
        <w:t>) SEBAGAI PERLINDUNGAN BAGI PEMEGANG RESI GUDANG ATAU PENERIMA HAK JAMINAN</w:t>
      </w:r>
      <w:r w:rsidR="0016580B" w:rsidRPr="008B6AFA">
        <w:rPr>
          <w:rFonts w:ascii="Times New Roman" w:hAnsi="Times New Roman" w:cs="Times New Roman"/>
          <w:b/>
          <w:bCs/>
          <w:sz w:val="24"/>
          <w:szCs w:val="24"/>
        </w:rPr>
        <w:t xml:space="preserve"> ATAS RESI GUDANG</w:t>
      </w:r>
    </w:p>
    <w:p w14:paraId="57ADCA7B" w14:textId="61803F79" w:rsidR="00285112" w:rsidRDefault="00C04DEE" w:rsidP="006F4F70">
      <w:pPr>
        <w:spacing w:line="240" w:lineRule="auto"/>
        <w:jc w:val="center"/>
        <w:rPr>
          <w:rFonts w:ascii="Times New Roman" w:hAnsi="Times New Roman" w:cs="Times New Roman"/>
          <w:sz w:val="24"/>
          <w:szCs w:val="24"/>
        </w:rPr>
      </w:pPr>
      <w:r w:rsidRPr="00C04DEE">
        <w:rPr>
          <w:rFonts w:ascii="Times New Roman" w:hAnsi="Times New Roman" w:cs="Times New Roman"/>
          <w:sz w:val="24"/>
          <w:szCs w:val="24"/>
        </w:rPr>
        <w:t>Syadzwina Hindun Nabila</w:t>
      </w:r>
      <w:r w:rsidRPr="00C04DEE">
        <w:rPr>
          <w:rFonts w:ascii="Times New Roman" w:hAnsi="Times New Roman" w:cs="Times New Roman"/>
          <w:sz w:val="24"/>
          <w:szCs w:val="24"/>
        </w:rPr>
        <w:br/>
        <w:t>Fakultas Hukum, Universitas Pattimura</w:t>
      </w:r>
      <w:r w:rsidRPr="00C04DEE">
        <w:rPr>
          <w:rFonts w:ascii="Times New Roman" w:hAnsi="Times New Roman" w:cs="Times New Roman"/>
          <w:sz w:val="24"/>
          <w:szCs w:val="24"/>
        </w:rPr>
        <w:br/>
      </w:r>
      <w:hyperlink r:id="rId8" w:history="1">
        <w:r w:rsidRPr="00C04DEE">
          <w:rPr>
            <w:rStyle w:val="Hyperlink"/>
            <w:rFonts w:ascii="Times New Roman" w:hAnsi="Times New Roman" w:cs="Times New Roman"/>
            <w:sz w:val="24"/>
            <w:szCs w:val="24"/>
          </w:rPr>
          <w:t>syadzwinahn@gmail.com</w:t>
        </w:r>
      </w:hyperlink>
      <w:r w:rsidRPr="00C04DEE">
        <w:rPr>
          <w:rFonts w:ascii="Times New Roman" w:hAnsi="Times New Roman" w:cs="Times New Roman"/>
          <w:sz w:val="24"/>
          <w:szCs w:val="24"/>
        </w:rPr>
        <w:t xml:space="preserve"> </w:t>
      </w:r>
    </w:p>
    <w:p w14:paraId="246A6C2F" w14:textId="0FC081AB" w:rsidR="00285112" w:rsidRPr="00285112" w:rsidRDefault="00285112" w:rsidP="00285112">
      <w:pPr>
        <w:spacing w:after="0" w:line="240" w:lineRule="auto"/>
        <w:jc w:val="center"/>
        <w:rPr>
          <w:rFonts w:ascii="Times New Roman" w:hAnsi="Times New Roman" w:cs="Times New Roman"/>
          <w:b/>
          <w:bCs/>
          <w:i/>
          <w:iCs/>
        </w:rPr>
      </w:pPr>
      <w:r w:rsidRPr="00285112">
        <w:rPr>
          <w:rFonts w:ascii="Times New Roman" w:hAnsi="Times New Roman" w:cs="Times New Roman"/>
          <w:b/>
          <w:bCs/>
          <w:i/>
          <w:iCs/>
        </w:rPr>
        <w:t>Abstract</w:t>
      </w:r>
    </w:p>
    <w:p w14:paraId="331EBD54" w14:textId="3B35F6A8" w:rsidR="00285112" w:rsidRPr="00285112" w:rsidRDefault="00285112" w:rsidP="00285112">
      <w:pPr>
        <w:spacing w:after="0" w:line="240" w:lineRule="auto"/>
        <w:jc w:val="both"/>
        <w:rPr>
          <w:rFonts w:ascii="Times New Roman" w:hAnsi="Times New Roman" w:cs="Times New Roman"/>
          <w:i/>
          <w:iCs/>
          <w:sz w:val="20"/>
          <w:szCs w:val="20"/>
        </w:rPr>
      </w:pPr>
      <w:r w:rsidRPr="00285112">
        <w:rPr>
          <w:rFonts w:ascii="Times New Roman" w:hAnsi="Times New Roman" w:cs="Times New Roman" w:hint="eastAsia"/>
          <w:b/>
          <w:bCs/>
          <w:i/>
          <w:iCs/>
          <w:sz w:val="20"/>
          <w:szCs w:val="20"/>
        </w:rPr>
        <w:t>Introduction</w:t>
      </w:r>
      <w:r w:rsidRPr="00285112">
        <w:rPr>
          <w:rFonts w:ascii="Times New Roman" w:hAnsi="Times New Roman" w:cs="Times New Roman"/>
          <w:i/>
          <w:iCs/>
          <w:sz w:val="20"/>
          <w:szCs w:val="20"/>
        </w:rPr>
        <w:t>: The agricultural sector is the backbone of the Indonesian economy. However, farmers still face various challenges, including limited access to finance, fluctuating commodity prices, and the dominance of middlemen in the supply chain. These conditions hinder the improvement of farmers' productivity and welfare. The warehouse receipt system works by providing farmers with proof of ownership of their crops in the form of warehouse receipts that can be used as collateral to obtain loans from financial institutions, giving farmers flexibility in selling their crops. However, the warehouse receipt system still faces a number of challenges, including the risk of loss due to failure of the warehouse manager. To address this, the government has established the Warehouse Receipt Guarantee Corporation, which aims to protect farmers' rights and increase confidence in the system.</w:t>
      </w:r>
    </w:p>
    <w:p w14:paraId="3D520D24" w14:textId="41017457" w:rsidR="00285112" w:rsidRPr="00285112" w:rsidRDefault="00285112" w:rsidP="00285112">
      <w:pPr>
        <w:spacing w:after="0" w:line="240" w:lineRule="auto"/>
        <w:jc w:val="both"/>
        <w:rPr>
          <w:rFonts w:ascii="Times New Roman" w:hAnsi="Times New Roman" w:cs="Times New Roman"/>
          <w:i/>
          <w:iCs/>
          <w:sz w:val="20"/>
          <w:szCs w:val="20"/>
        </w:rPr>
      </w:pPr>
      <w:r w:rsidRPr="00285112">
        <w:rPr>
          <w:rFonts w:ascii="Times New Roman" w:hAnsi="Times New Roman" w:cs="Times New Roman" w:hint="eastAsia"/>
          <w:b/>
          <w:bCs/>
          <w:i/>
          <w:iCs/>
          <w:sz w:val="20"/>
          <w:szCs w:val="20"/>
        </w:rPr>
        <w:t>Purposes of the Research</w:t>
      </w:r>
      <w:r w:rsidRPr="00285112">
        <w:rPr>
          <w:rFonts w:ascii="Times New Roman" w:hAnsi="Times New Roman" w:cs="Times New Roman"/>
          <w:i/>
          <w:iCs/>
          <w:sz w:val="20"/>
          <w:szCs w:val="20"/>
        </w:rPr>
        <w:t xml:space="preserve">: </w:t>
      </w:r>
      <w:r w:rsidRPr="00285112">
        <w:rPr>
          <w:rFonts w:ascii="Times New Roman" w:hAnsi="Times New Roman" w:cs="Times New Roman"/>
          <w:i/>
          <w:iCs/>
          <w:sz w:val="20"/>
          <w:szCs w:val="20"/>
        </w:rPr>
        <w:t>The purpose of this study is to examine how the warehouse receipt guarantee institution as a protection for warehouse receipt holders or recipients of collateral rights on warehouse receipts.</w:t>
      </w:r>
    </w:p>
    <w:p w14:paraId="0FCEFED0" w14:textId="21C45BAE" w:rsidR="00285112" w:rsidRPr="00285112" w:rsidRDefault="00285112" w:rsidP="00285112">
      <w:pPr>
        <w:spacing w:after="0" w:line="240" w:lineRule="auto"/>
        <w:jc w:val="both"/>
        <w:rPr>
          <w:rFonts w:ascii="Times New Roman" w:hAnsi="Times New Roman" w:cs="Times New Roman"/>
          <w:i/>
          <w:iCs/>
          <w:sz w:val="20"/>
          <w:szCs w:val="20"/>
        </w:rPr>
      </w:pPr>
      <w:r w:rsidRPr="00285112">
        <w:rPr>
          <w:rFonts w:ascii="Times New Roman" w:hAnsi="Times New Roman" w:cs="Times New Roman" w:hint="eastAsia"/>
          <w:b/>
          <w:bCs/>
          <w:i/>
          <w:iCs/>
          <w:sz w:val="20"/>
          <w:szCs w:val="20"/>
        </w:rPr>
        <w:t>Methods of the Research</w:t>
      </w:r>
      <w:r w:rsidRPr="00285112">
        <w:rPr>
          <w:rFonts w:ascii="Times New Roman" w:hAnsi="Times New Roman" w:cs="Times New Roman"/>
          <w:i/>
          <w:iCs/>
          <w:sz w:val="20"/>
          <w:szCs w:val="20"/>
        </w:rPr>
        <w:t>: This research is conducted in normative juridical, using literature data as secondary data to examine the rules and norms in law.</w:t>
      </w:r>
    </w:p>
    <w:p w14:paraId="35310BB3" w14:textId="3E8FAE50" w:rsidR="00285112" w:rsidRPr="00285112" w:rsidRDefault="00285112" w:rsidP="00285112">
      <w:pPr>
        <w:spacing w:after="0" w:line="240" w:lineRule="auto"/>
        <w:jc w:val="both"/>
        <w:rPr>
          <w:rFonts w:ascii="Times New Roman" w:hAnsi="Times New Roman" w:cs="Times New Roman"/>
          <w:i/>
          <w:iCs/>
          <w:sz w:val="20"/>
          <w:szCs w:val="20"/>
        </w:rPr>
      </w:pPr>
      <w:r w:rsidRPr="00285112">
        <w:rPr>
          <w:rFonts w:ascii="Times New Roman" w:hAnsi="Times New Roman" w:cs="Times New Roman" w:hint="eastAsia"/>
          <w:b/>
          <w:bCs/>
          <w:i/>
          <w:iCs/>
          <w:sz w:val="20"/>
          <w:szCs w:val="20"/>
        </w:rPr>
        <w:t>Results Originality of the Research</w:t>
      </w:r>
      <w:r w:rsidRPr="00285112">
        <w:rPr>
          <w:rFonts w:ascii="Times New Roman" w:hAnsi="Times New Roman" w:cs="Times New Roman"/>
          <w:i/>
          <w:iCs/>
          <w:sz w:val="20"/>
          <w:szCs w:val="20"/>
        </w:rPr>
        <w:t>: The warehouse receipt guarantee institution provides protection and legal certainty to warehouse receipt holders and recipients of collateral rights from the failure of warehouse managers to carry out their duties which can result in physical damage to goods due to external factors such as natural disasters or internal factors such as negligence. This Warehouse Receipt Guarantee Agency will function as a guarantor like insurance if there are Warehouse Managers who experience bankruptcy. To protect the rights of warehouse receipt holders, Law Number 9 Year 2011 authorizes the Guarantee Institution to take action if the warehouse manager fails to perform his duties. The Guarantee Institution is authorized to make policies, handle problems, and even file for bankruptcy if necessary.</w:t>
      </w:r>
    </w:p>
    <w:p w14:paraId="654308D6" w14:textId="77777777" w:rsidR="00285112" w:rsidRPr="00285112" w:rsidRDefault="00285112" w:rsidP="00285112">
      <w:pPr>
        <w:spacing w:after="0" w:line="240" w:lineRule="auto"/>
        <w:jc w:val="both"/>
        <w:rPr>
          <w:rFonts w:ascii="Times New Roman" w:hAnsi="Times New Roman" w:cs="Times New Roman"/>
          <w:sz w:val="20"/>
          <w:szCs w:val="20"/>
        </w:rPr>
      </w:pPr>
    </w:p>
    <w:p w14:paraId="13123826" w14:textId="217E7C6A" w:rsidR="00285112" w:rsidRPr="00285112" w:rsidRDefault="00285112" w:rsidP="00285112">
      <w:pPr>
        <w:spacing w:after="0" w:line="240" w:lineRule="auto"/>
        <w:jc w:val="both"/>
        <w:rPr>
          <w:rFonts w:ascii="Times New Roman" w:hAnsi="Times New Roman" w:cs="Times New Roman"/>
          <w:b/>
          <w:bCs/>
          <w:i/>
          <w:iCs/>
          <w:sz w:val="20"/>
          <w:szCs w:val="20"/>
        </w:rPr>
      </w:pPr>
      <w:r w:rsidRPr="00285112">
        <w:rPr>
          <w:rFonts w:ascii="Times New Roman" w:hAnsi="Times New Roman" w:cs="Times New Roman"/>
          <w:b/>
          <w:bCs/>
          <w:i/>
          <w:iCs/>
          <w:sz w:val="20"/>
          <w:szCs w:val="20"/>
        </w:rPr>
        <w:t>Keywords: Warehouse Receipt, Guarantee, Legal Protection</w:t>
      </w:r>
    </w:p>
    <w:p w14:paraId="6C5E2647" w14:textId="77777777" w:rsidR="00285112" w:rsidRPr="00285112" w:rsidRDefault="00285112" w:rsidP="00285112">
      <w:pPr>
        <w:spacing w:after="0" w:line="240" w:lineRule="auto"/>
        <w:jc w:val="both"/>
        <w:rPr>
          <w:rFonts w:ascii="Times New Roman" w:hAnsi="Times New Roman" w:cs="Times New Roman"/>
          <w:sz w:val="20"/>
          <w:szCs w:val="20"/>
        </w:rPr>
      </w:pPr>
    </w:p>
    <w:p w14:paraId="4F827179" w14:textId="77777777" w:rsidR="00285112" w:rsidRDefault="00285112" w:rsidP="00285112">
      <w:pPr>
        <w:spacing w:after="0" w:line="240" w:lineRule="auto"/>
        <w:jc w:val="center"/>
        <w:rPr>
          <w:rFonts w:ascii="Times New Roman" w:hAnsi="Times New Roman" w:cs="Times New Roman"/>
          <w:sz w:val="24"/>
          <w:szCs w:val="24"/>
        </w:rPr>
      </w:pPr>
    </w:p>
    <w:p w14:paraId="171C1C14" w14:textId="77777777" w:rsidR="00285112" w:rsidRDefault="00285112" w:rsidP="00285112">
      <w:pPr>
        <w:spacing w:after="0" w:line="240" w:lineRule="auto"/>
        <w:jc w:val="center"/>
        <w:rPr>
          <w:rFonts w:ascii="Times New Roman" w:hAnsi="Times New Roman" w:cs="Times New Roman"/>
          <w:sz w:val="24"/>
          <w:szCs w:val="24"/>
        </w:rPr>
      </w:pPr>
    </w:p>
    <w:p w14:paraId="11094E0A" w14:textId="77777777" w:rsidR="00285112" w:rsidRDefault="00285112" w:rsidP="00285112">
      <w:pPr>
        <w:spacing w:after="0" w:line="240" w:lineRule="auto"/>
        <w:jc w:val="center"/>
        <w:rPr>
          <w:rFonts w:ascii="Times New Roman" w:hAnsi="Times New Roman" w:cs="Times New Roman"/>
          <w:sz w:val="24"/>
          <w:szCs w:val="24"/>
        </w:rPr>
      </w:pPr>
    </w:p>
    <w:p w14:paraId="7CD4FBA6" w14:textId="77777777" w:rsidR="00285112" w:rsidRDefault="00285112" w:rsidP="00285112">
      <w:pPr>
        <w:spacing w:after="0" w:line="240" w:lineRule="auto"/>
        <w:jc w:val="center"/>
        <w:rPr>
          <w:rFonts w:ascii="Times New Roman" w:hAnsi="Times New Roman" w:cs="Times New Roman"/>
          <w:sz w:val="24"/>
          <w:szCs w:val="24"/>
        </w:rPr>
      </w:pPr>
    </w:p>
    <w:p w14:paraId="1CD8BDE8" w14:textId="77777777" w:rsidR="00285112" w:rsidRDefault="00285112" w:rsidP="00285112">
      <w:pPr>
        <w:spacing w:after="0" w:line="240" w:lineRule="auto"/>
        <w:jc w:val="center"/>
        <w:rPr>
          <w:rFonts w:ascii="Times New Roman" w:hAnsi="Times New Roman" w:cs="Times New Roman"/>
          <w:sz w:val="24"/>
          <w:szCs w:val="24"/>
        </w:rPr>
      </w:pPr>
    </w:p>
    <w:p w14:paraId="365F8646" w14:textId="77777777" w:rsidR="00285112" w:rsidRDefault="00285112" w:rsidP="00285112">
      <w:pPr>
        <w:spacing w:after="0" w:line="240" w:lineRule="auto"/>
        <w:jc w:val="center"/>
        <w:rPr>
          <w:rFonts w:ascii="Times New Roman" w:hAnsi="Times New Roman" w:cs="Times New Roman"/>
          <w:sz w:val="24"/>
          <w:szCs w:val="24"/>
        </w:rPr>
      </w:pPr>
    </w:p>
    <w:p w14:paraId="1B69CE3B" w14:textId="77777777" w:rsidR="00285112" w:rsidRDefault="00285112" w:rsidP="00285112">
      <w:pPr>
        <w:spacing w:after="0" w:line="240" w:lineRule="auto"/>
        <w:jc w:val="center"/>
        <w:rPr>
          <w:rFonts w:ascii="Times New Roman" w:hAnsi="Times New Roman" w:cs="Times New Roman"/>
          <w:sz w:val="24"/>
          <w:szCs w:val="24"/>
        </w:rPr>
      </w:pPr>
    </w:p>
    <w:p w14:paraId="7C1D1FFE" w14:textId="77777777" w:rsidR="00285112" w:rsidRDefault="00285112" w:rsidP="00285112">
      <w:pPr>
        <w:spacing w:after="0" w:line="240" w:lineRule="auto"/>
        <w:jc w:val="center"/>
        <w:rPr>
          <w:rFonts w:ascii="Times New Roman" w:hAnsi="Times New Roman" w:cs="Times New Roman"/>
          <w:sz w:val="24"/>
          <w:szCs w:val="24"/>
        </w:rPr>
      </w:pPr>
    </w:p>
    <w:p w14:paraId="21B5C48F" w14:textId="77777777" w:rsidR="00285112" w:rsidRDefault="00285112" w:rsidP="00285112">
      <w:pPr>
        <w:spacing w:after="0" w:line="240" w:lineRule="auto"/>
        <w:jc w:val="center"/>
        <w:rPr>
          <w:rFonts w:ascii="Times New Roman" w:hAnsi="Times New Roman" w:cs="Times New Roman"/>
          <w:sz w:val="24"/>
          <w:szCs w:val="24"/>
        </w:rPr>
      </w:pPr>
    </w:p>
    <w:p w14:paraId="6FDF0538" w14:textId="77777777" w:rsidR="00285112" w:rsidRDefault="00285112" w:rsidP="00285112">
      <w:pPr>
        <w:spacing w:after="0" w:line="240" w:lineRule="auto"/>
        <w:jc w:val="center"/>
        <w:rPr>
          <w:rFonts w:ascii="Times New Roman" w:hAnsi="Times New Roman" w:cs="Times New Roman"/>
          <w:sz w:val="24"/>
          <w:szCs w:val="24"/>
        </w:rPr>
      </w:pPr>
    </w:p>
    <w:p w14:paraId="55D5F5AE" w14:textId="77777777" w:rsidR="00285112" w:rsidRDefault="00285112" w:rsidP="00285112">
      <w:pPr>
        <w:spacing w:after="0" w:line="240" w:lineRule="auto"/>
        <w:jc w:val="center"/>
        <w:rPr>
          <w:rFonts w:ascii="Times New Roman" w:hAnsi="Times New Roman" w:cs="Times New Roman"/>
          <w:sz w:val="24"/>
          <w:szCs w:val="24"/>
        </w:rPr>
      </w:pPr>
    </w:p>
    <w:p w14:paraId="63D7EA8F" w14:textId="77777777" w:rsidR="00285112" w:rsidRDefault="00285112" w:rsidP="00285112">
      <w:pPr>
        <w:spacing w:after="0" w:line="240" w:lineRule="auto"/>
        <w:jc w:val="center"/>
        <w:rPr>
          <w:rFonts w:ascii="Times New Roman" w:hAnsi="Times New Roman" w:cs="Times New Roman"/>
          <w:sz w:val="24"/>
          <w:szCs w:val="24"/>
        </w:rPr>
      </w:pPr>
    </w:p>
    <w:p w14:paraId="71D5E081" w14:textId="77777777" w:rsidR="00285112" w:rsidRDefault="00285112" w:rsidP="00285112">
      <w:pPr>
        <w:spacing w:after="0" w:line="240" w:lineRule="auto"/>
        <w:jc w:val="center"/>
        <w:rPr>
          <w:rFonts w:ascii="Times New Roman" w:hAnsi="Times New Roman" w:cs="Times New Roman"/>
          <w:sz w:val="24"/>
          <w:szCs w:val="24"/>
        </w:rPr>
      </w:pPr>
    </w:p>
    <w:p w14:paraId="2A5A17AF" w14:textId="77777777" w:rsidR="00285112" w:rsidRDefault="00285112" w:rsidP="00285112">
      <w:pPr>
        <w:spacing w:after="0" w:line="240" w:lineRule="auto"/>
        <w:jc w:val="center"/>
        <w:rPr>
          <w:rFonts w:ascii="Times New Roman" w:hAnsi="Times New Roman" w:cs="Times New Roman"/>
          <w:sz w:val="24"/>
          <w:szCs w:val="24"/>
        </w:rPr>
      </w:pPr>
    </w:p>
    <w:p w14:paraId="2CFB022E" w14:textId="77777777" w:rsidR="00285112" w:rsidRDefault="00285112" w:rsidP="00285112">
      <w:pPr>
        <w:spacing w:after="0" w:line="240" w:lineRule="auto"/>
        <w:jc w:val="center"/>
        <w:rPr>
          <w:rFonts w:ascii="Times New Roman" w:hAnsi="Times New Roman" w:cs="Times New Roman"/>
          <w:sz w:val="24"/>
          <w:szCs w:val="24"/>
        </w:rPr>
      </w:pPr>
    </w:p>
    <w:p w14:paraId="7C338BDF" w14:textId="77777777" w:rsidR="00285112" w:rsidRDefault="00285112" w:rsidP="00285112">
      <w:pPr>
        <w:spacing w:after="0" w:line="240" w:lineRule="auto"/>
        <w:jc w:val="center"/>
        <w:rPr>
          <w:rFonts w:ascii="Times New Roman" w:hAnsi="Times New Roman" w:cs="Times New Roman"/>
          <w:sz w:val="24"/>
          <w:szCs w:val="24"/>
        </w:rPr>
      </w:pPr>
    </w:p>
    <w:p w14:paraId="225BDACD" w14:textId="77777777" w:rsidR="00285112" w:rsidRDefault="00285112" w:rsidP="00285112">
      <w:pPr>
        <w:spacing w:after="0" w:line="240" w:lineRule="auto"/>
        <w:jc w:val="center"/>
        <w:rPr>
          <w:rFonts w:ascii="Times New Roman" w:hAnsi="Times New Roman" w:cs="Times New Roman"/>
          <w:sz w:val="24"/>
          <w:szCs w:val="24"/>
        </w:rPr>
      </w:pPr>
    </w:p>
    <w:p w14:paraId="5E3C4A2D" w14:textId="77777777" w:rsidR="00285112" w:rsidRDefault="00285112" w:rsidP="00285112">
      <w:pPr>
        <w:spacing w:after="0" w:line="240" w:lineRule="auto"/>
        <w:jc w:val="center"/>
        <w:rPr>
          <w:rFonts w:ascii="Times New Roman" w:hAnsi="Times New Roman" w:cs="Times New Roman"/>
          <w:sz w:val="24"/>
          <w:szCs w:val="24"/>
        </w:rPr>
      </w:pPr>
    </w:p>
    <w:p w14:paraId="4C6A23B4" w14:textId="77777777" w:rsidR="006F4F70" w:rsidRDefault="006F4F70" w:rsidP="00285112">
      <w:pPr>
        <w:spacing w:after="0" w:line="240" w:lineRule="auto"/>
        <w:jc w:val="center"/>
        <w:rPr>
          <w:rFonts w:ascii="Times New Roman" w:hAnsi="Times New Roman" w:cs="Times New Roman"/>
          <w:sz w:val="24"/>
          <w:szCs w:val="24"/>
        </w:rPr>
      </w:pPr>
    </w:p>
    <w:p w14:paraId="59B2AF1D" w14:textId="77777777" w:rsidR="006F4F70" w:rsidRDefault="006F4F70" w:rsidP="00285112">
      <w:pPr>
        <w:spacing w:after="0" w:line="240" w:lineRule="auto"/>
        <w:jc w:val="center"/>
        <w:rPr>
          <w:rFonts w:ascii="Times New Roman" w:hAnsi="Times New Roman" w:cs="Times New Roman"/>
          <w:sz w:val="24"/>
          <w:szCs w:val="24"/>
        </w:rPr>
      </w:pPr>
    </w:p>
    <w:p w14:paraId="140D0352" w14:textId="77777777" w:rsidR="00285112" w:rsidRDefault="00285112" w:rsidP="00285112">
      <w:pPr>
        <w:spacing w:after="0" w:line="240" w:lineRule="auto"/>
        <w:jc w:val="center"/>
        <w:rPr>
          <w:rFonts w:ascii="Times New Roman" w:hAnsi="Times New Roman" w:cs="Times New Roman"/>
          <w:sz w:val="24"/>
          <w:szCs w:val="24"/>
        </w:rPr>
      </w:pPr>
    </w:p>
    <w:p w14:paraId="42C7BC9A" w14:textId="77777777" w:rsidR="00285112" w:rsidRDefault="00285112" w:rsidP="00285112">
      <w:pPr>
        <w:spacing w:after="0" w:line="240" w:lineRule="auto"/>
        <w:jc w:val="center"/>
        <w:rPr>
          <w:rFonts w:ascii="Times New Roman" w:hAnsi="Times New Roman" w:cs="Times New Roman"/>
          <w:sz w:val="24"/>
          <w:szCs w:val="24"/>
        </w:rPr>
      </w:pPr>
    </w:p>
    <w:p w14:paraId="4966EFBD" w14:textId="7D50F265" w:rsidR="00B36B22" w:rsidRDefault="00B36B22" w:rsidP="0028511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Abstrak</w:t>
      </w:r>
    </w:p>
    <w:p w14:paraId="364CC4F9" w14:textId="2A46D27A" w:rsidR="00B36B22" w:rsidRPr="00285112" w:rsidRDefault="00B36B22" w:rsidP="00285112">
      <w:pPr>
        <w:spacing w:after="0" w:line="240" w:lineRule="auto"/>
        <w:jc w:val="both"/>
        <w:rPr>
          <w:rFonts w:ascii="Times New Roman" w:hAnsi="Times New Roman" w:cs="Times New Roman"/>
          <w:sz w:val="20"/>
          <w:szCs w:val="20"/>
        </w:rPr>
      </w:pPr>
      <w:r w:rsidRPr="00285112">
        <w:rPr>
          <w:rFonts w:ascii="Times New Roman" w:hAnsi="Times New Roman" w:cs="Times New Roman"/>
          <w:b/>
          <w:bCs/>
          <w:sz w:val="20"/>
          <w:szCs w:val="20"/>
        </w:rPr>
        <w:t>Latar Belakang :</w:t>
      </w:r>
      <w:r w:rsidRPr="00285112">
        <w:rPr>
          <w:rFonts w:ascii="Times New Roman" w:hAnsi="Times New Roman" w:cs="Times New Roman"/>
          <w:sz w:val="20"/>
          <w:szCs w:val="20"/>
        </w:rPr>
        <w:t xml:space="preserve"> </w:t>
      </w:r>
      <w:r w:rsidRPr="00285112">
        <w:rPr>
          <w:rFonts w:ascii="Times New Roman" w:hAnsi="Times New Roman" w:cs="Times New Roman"/>
          <w:sz w:val="20"/>
          <w:szCs w:val="20"/>
        </w:rPr>
        <w:t>Sektor pertanian merupakan tulang punggung perekonomian Indonesia. Namun, para petani masih menghadapi berbagai tantangan, termasuk terbatasnya akses terhadap pembiayaan, fluktuasi harga komoditas, dan dominasi tengkulak dalam rantai pasok. Kondisi ini menghambat peningkatan produktivitas dan kesejahteraan petani</w:t>
      </w:r>
      <w:r w:rsidRPr="00285112">
        <w:rPr>
          <w:rFonts w:ascii="Times New Roman" w:hAnsi="Times New Roman" w:cs="Times New Roman"/>
          <w:sz w:val="20"/>
          <w:szCs w:val="20"/>
        </w:rPr>
        <w:t xml:space="preserve">. </w:t>
      </w:r>
      <w:r w:rsidRPr="00285112">
        <w:rPr>
          <w:rFonts w:ascii="Times New Roman" w:hAnsi="Times New Roman" w:cs="Times New Roman"/>
          <w:sz w:val="20"/>
          <w:szCs w:val="20"/>
        </w:rPr>
        <w:t>Sistem Resi Gudang bekerja dengan cara memberikan petani bukti kepemilikan atas hasil panen mereka dalam bentuk resi gudang</w:t>
      </w:r>
      <w:r w:rsidRPr="00285112">
        <w:rPr>
          <w:rFonts w:ascii="Times New Roman" w:hAnsi="Times New Roman" w:cs="Times New Roman"/>
          <w:sz w:val="20"/>
          <w:szCs w:val="20"/>
        </w:rPr>
        <w:t xml:space="preserve"> yang</w:t>
      </w:r>
      <w:r w:rsidRPr="00285112">
        <w:rPr>
          <w:rFonts w:ascii="Times New Roman" w:hAnsi="Times New Roman" w:cs="Times New Roman"/>
          <w:sz w:val="20"/>
          <w:szCs w:val="20"/>
        </w:rPr>
        <w:t xml:space="preserve"> dapat digunakan sebagai jaminan untuk mendapatkan pinjaman dari lembaga keuangan, sehingga petani memiliki fleksibilitas dalam menjual hasil panen mereka.</w:t>
      </w:r>
      <w:r w:rsidRPr="00285112">
        <w:rPr>
          <w:rFonts w:ascii="Times New Roman" w:hAnsi="Times New Roman" w:cs="Times New Roman"/>
          <w:sz w:val="20"/>
          <w:szCs w:val="20"/>
        </w:rPr>
        <w:t xml:space="preserve"> Namun sistim resi gudang</w:t>
      </w:r>
      <w:r w:rsidRPr="00285112">
        <w:rPr>
          <w:rFonts w:ascii="Times New Roman" w:hAnsi="Times New Roman" w:cs="Times New Roman"/>
          <w:sz w:val="20"/>
          <w:szCs w:val="20"/>
        </w:rPr>
        <w:t xml:space="preserve"> masih menghadapi sejumlah tantangan, termasuk risiko kerugian akibat kegagalan pengelola gudang. Untuk mengatasi hal ini, pemerintah telah membentuk Lembaga Jaminan Resi Gudang yang bertujuan untuk melindungi hak-hak petani dan meningkatkan kepercayaan terhadap sistem ini.</w:t>
      </w:r>
    </w:p>
    <w:p w14:paraId="3872E7D9" w14:textId="53FD5081" w:rsidR="00B36B22" w:rsidRPr="00285112" w:rsidRDefault="00B36B22" w:rsidP="00285112">
      <w:pPr>
        <w:spacing w:after="0" w:line="240" w:lineRule="auto"/>
        <w:jc w:val="both"/>
        <w:rPr>
          <w:rFonts w:ascii="Times New Roman" w:hAnsi="Times New Roman" w:cs="Times New Roman"/>
          <w:sz w:val="20"/>
          <w:szCs w:val="20"/>
        </w:rPr>
      </w:pPr>
      <w:r w:rsidRPr="00285112">
        <w:rPr>
          <w:rFonts w:ascii="Times New Roman" w:hAnsi="Times New Roman" w:cs="Times New Roman"/>
          <w:b/>
          <w:bCs/>
          <w:sz w:val="20"/>
          <w:szCs w:val="20"/>
        </w:rPr>
        <w:t>Tujuan Penelitian :</w:t>
      </w:r>
      <w:r w:rsidRPr="00285112">
        <w:rPr>
          <w:rFonts w:ascii="Times New Roman" w:hAnsi="Times New Roman" w:cs="Times New Roman"/>
          <w:sz w:val="20"/>
          <w:szCs w:val="20"/>
        </w:rPr>
        <w:t xml:space="preserve"> Tujuan penelitian ini untuk mengkaji bagaimana lembaga jaminan resi gudang sebagai perlindungan bagi pemegang resi gudang atau penerima hak jaminan atas resi gudang.</w:t>
      </w:r>
    </w:p>
    <w:p w14:paraId="3059041F" w14:textId="77777777" w:rsidR="00B36B22" w:rsidRPr="00B36B22" w:rsidRDefault="00B36B22" w:rsidP="00285112">
      <w:pPr>
        <w:spacing w:after="0" w:line="240" w:lineRule="auto"/>
        <w:jc w:val="both"/>
        <w:rPr>
          <w:rFonts w:ascii="Times New Roman" w:hAnsi="Times New Roman" w:cs="Times New Roman"/>
          <w:sz w:val="20"/>
          <w:szCs w:val="20"/>
        </w:rPr>
      </w:pPr>
      <w:r w:rsidRPr="00B36B22">
        <w:rPr>
          <w:rFonts w:ascii="Times New Roman" w:hAnsi="Times New Roman" w:cs="Times New Roman"/>
          <w:b/>
          <w:bCs/>
          <w:sz w:val="20"/>
          <w:szCs w:val="20"/>
        </w:rPr>
        <w:t>Metode Penelitian</w:t>
      </w:r>
      <w:r w:rsidRPr="00B36B22">
        <w:rPr>
          <w:rFonts w:ascii="Times New Roman" w:hAnsi="Times New Roman" w:cs="Times New Roman"/>
          <w:sz w:val="20"/>
          <w:szCs w:val="20"/>
        </w:rPr>
        <w:t xml:space="preserve"> : </w:t>
      </w:r>
      <w:r w:rsidRPr="00B36B22">
        <w:rPr>
          <w:rFonts w:ascii="Times New Roman" w:hAnsi="Times New Roman" w:cs="Times New Roman" w:hint="eastAsia"/>
          <w:sz w:val="20"/>
          <w:szCs w:val="20"/>
        </w:rPr>
        <w:t>Penelitian ini dilakukan secara yuridis normatif, menggunakan data kepustakaan sebagai data sekunder guna meneliti kaidah dan norma dalam hukum.</w:t>
      </w:r>
    </w:p>
    <w:p w14:paraId="616F9EC5" w14:textId="0A1EF727" w:rsidR="00B36B22" w:rsidRPr="00285112" w:rsidRDefault="00B36B22" w:rsidP="00B36B22">
      <w:pPr>
        <w:spacing w:line="240" w:lineRule="auto"/>
        <w:jc w:val="both"/>
        <w:rPr>
          <w:rFonts w:ascii="Times New Roman" w:hAnsi="Times New Roman" w:cs="Times New Roman"/>
          <w:sz w:val="20"/>
          <w:szCs w:val="20"/>
        </w:rPr>
      </w:pPr>
      <w:r w:rsidRPr="00285112">
        <w:rPr>
          <w:rFonts w:ascii="Times New Roman" w:hAnsi="Times New Roman" w:cs="Times New Roman"/>
          <w:b/>
          <w:bCs/>
          <w:sz w:val="20"/>
          <w:szCs w:val="20"/>
        </w:rPr>
        <w:t>Hasil Penelitian :</w:t>
      </w:r>
      <w:r w:rsidRPr="00285112">
        <w:rPr>
          <w:rFonts w:ascii="Times New Roman" w:hAnsi="Times New Roman" w:cs="Times New Roman"/>
          <w:sz w:val="20"/>
          <w:szCs w:val="20"/>
        </w:rPr>
        <w:t xml:space="preserve"> </w:t>
      </w:r>
      <w:r w:rsidRPr="00285112">
        <w:rPr>
          <w:rFonts w:ascii="Times New Roman" w:hAnsi="Times New Roman" w:cs="Times New Roman"/>
          <w:sz w:val="20"/>
          <w:szCs w:val="20"/>
        </w:rPr>
        <w:t>Lembaga jaminan resi gudang memberikan suatu perlindungan dan kepastian hukum kepada pemegang resi gudang dan penerima hak jaminan dari kegagalan pengelola gudang dalam menjalankan tugasnya dapat mengakibatkan kerusakan fisik barang akibat faktor eksternal seperti bencana alam atau faktor internal seperti kelalaian.</w:t>
      </w:r>
      <w:r w:rsidRPr="00285112">
        <w:rPr>
          <w:rFonts w:ascii="Times New Roman" w:hAnsi="Times New Roman" w:cs="Times New Roman"/>
          <w:sz w:val="20"/>
          <w:szCs w:val="20"/>
        </w:rPr>
        <w:t xml:space="preserve"> </w:t>
      </w:r>
      <w:r w:rsidRPr="00285112">
        <w:rPr>
          <w:rFonts w:ascii="Times New Roman" w:hAnsi="Times New Roman" w:cs="Times New Roman"/>
          <w:sz w:val="20"/>
          <w:szCs w:val="20"/>
        </w:rPr>
        <w:t>Lembaga Jaminan</w:t>
      </w:r>
      <w:r w:rsidRPr="00285112">
        <w:rPr>
          <w:rFonts w:ascii="Times New Roman" w:hAnsi="Times New Roman" w:cs="Times New Roman"/>
          <w:sz w:val="20"/>
          <w:szCs w:val="20"/>
        </w:rPr>
        <w:t xml:space="preserve"> </w:t>
      </w:r>
      <w:r w:rsidRPr="00285112">
        <w:rPr>
          <w:rFonts w:ascii="Times New Roman" w:hAnsi="Times New Roman" w:cs="Times New Roman"/>
          <w:sz w:val="20"/>
          <w:szCs w:val="20"/>
        </w:rPr>
        <w:t>Resi Gudang inilah yang akan</w:t>
      </w:r>
      <w:r w:rsidRPr="00285112">
        <w:rPr>
          <w:rFonts w:ascii="Times New Roman" w:hAnsi="Times New Roman" w:cs="Times New Roman"/>
          <w:sz w:val="20"/>
          <w:szCs w:val="20"/>
        </w:rPr>
        <w:t xml:space="preserve"> </w:t>
      </w:r>
      <w:r w:rsidRPr="00285112">
        <w:rPr>
          <w:rFonts w:ascii="Times New Roman" w:hAnsi="Times New Roman" w:cs="Times New Roman"/>
          <w:sz w:val="20"/>
          <w:szCs w:val="20"/>
        </w:rPr>
        <w:t>berfungsi sebagai penjamin seperti</w:t>
      </w:r>
      <w:r w:rsidRPr="00285112">
        <w:rPr>
          <w:rFonts w:ascii="Times New Roman" w:hAnsi="Times New Roman" w:cs="Times New Roman"/>
          <w:sz w:val="20"/>
          <w:szCs w:val="20"/>
        </w:rPr>
        <w:t xml:space="preserve"> </w:t>
      </w:r>
      <w:r w:rsidRPr="00285112">
        <w:rPr>
          <w:rFonts w:ascii="Times New Roman" w:hAnsi="Times New Roman" w:cs="Times New Roman"/>
          <w:sz w:val="20"/>
          <w:szCs w:val="20"/>
        </w:rPr>
        <w:t>layaknya asuransi apabila terdapat</w:t>
      </w:r>
      <w:r w:rsidRPr="00285112">
        <w:rPr>
          <w:rFonts w:ascii="Times New Roman" w:hAnsi="Times New Roman" w:cs="Times New Roman"/>
          <w:sz w:val="20"/>
          <w:szCs w:val="20"/>
        </w:rPr>
        <w:t xml:space="preserve"> </w:t>
      </w:r>
      <w:r w:rsidRPr="00285112">
        <w:rPr>
          <w:rFonts w:ascii="Times New Roman" w:hAnsi="Times New Roman" w:cs="Times New Roman"/>
          <w:sz w:val="20"/>
          <w:szCs w:val="20"/>
        </w:rPr>
        <w:t>Pengelola Gudang yang mengalami</w:t>
      </w:r>
      <w:r w:rsidRPr="00285112">
        <w:rPr>
          <w:rFonts w:ascii="Times New Roman" w:hAnsi="Times New Roman" w:cs="Times New Roman"/>
          <w:sz w:val="20"/>
          <w:szCs w:val="20"/>
        </w:rPr>
        <w:t xml:space="preserve"> </w:t>
      </w:r>
      <w:r w:rsidRPr="00285112">
        <w:rPr>
          <w:rFonts w:ascii="Times New Roman" w:hAnsi="Times New Roman" w:cs="Times New Roman"/>
          <w:sz w:val="20"/>
          <w:szCs w:val="20"/>
        </w:rPr>
        <w:t>kebangkrutan.</w:t>
      </w:r>
      <w:r w:rsidR="00285112" w:rsidRPr="00285112">
        <w:rPr>
          <w:rFonts w:ascii="Times New Roman" w:hAnsi="Times New Roman" w:cs="Times New Roman"/>
          <w:sz w:val="20"/>
          <w:szCs w:val="20"/>
        </w:rPr>
        <w:t xml:space="preserve"> </w:t>
      </w:r>
      <w:r w:rsidR="00285112" w:rsidRPr="00285112">
        <w:rPr>
          <w:rFonts w:ascii="Times New Roman" w:hAnsi="Times New Roman" w:cs="Times New Roman"/>
          <w:sz w:val="20"/>
          <w:szCs w:val="20"/>
        </w:rPr>
        <w:t>Untuk melindungi hak-hak pemegang resi gudang, Undang-Undang Nomor 9 Tahun 2011 memberikan kewenangan kepada Lembaga Jaminan untuk mengambil tindakan jika pengelola gudang gagal menjalankan tugasnya. Lembaga Jaminan berwenang membuat kebijakan, menangani masalah, bahkan mengajukan permohonan pailit jika diperlukan.</w:t>
      </w:r>
    </w:p>
    <w:p w14:paraId="225536F2" w14:textId="2A3CD7E5" w:rsidR="00285112" w:rsidRPr="00285112" w:rsidRDefault="00285112" w:rsidP="00B36B22">
      <w:pPr>
        <w:spacing w:line="240" w:lineRule="auto"/>
        <w:jc w:val="both"/>
        <w:rPr>
          <w:rFonts w:ascii="Times New Roman" w:hAnsi="Times New Roman" w:cs="Times New Roman"/>
          <w:b/>
          <w:bCs/>
          <w:i/>
          <w:iCs/>
          <w:sz w:val="20"/>
          <w:szCs w:val="20"/>
        </w:rPr>
      </w:pPr>
      <w:r w:rsidRPr="00285112">
        <w:rPr>
          <w:rFonts w:ascii="Times New Roman" w:hAnsi="Times New Roman" w:cs="Times New Roman"/>
          <w:b/>
          <w:bCs/>
          <w:i/>
          <w:iCs/>
          <w:sz w:val="20"/>
          <w:szCs w:val="20"/>
        </w:rPr>
        <w:t>Kata kunci: Resi Gudang, Jaminan, Perlindungan Hukum</w:t>
      </w:r>
    </w:p>
    <w:p w14:paraId="0232B4CD" w14:textId="77777777" w:rsidR="00285112" w:rsidRDefault="00285112" w:rsidP="00F05DF3">
      <w:pPr>
        <w:jc w:val="both"/>
        <w:rPr>
          <w:rFonts w:ascii="Times New Roman" w:hAnsi="Times New Roman" w:cs="Times New Roman"/>
          <w:b/>
          <w:bCs/>
          <w:sz w:val="24"/>
          <w:szCs w:val="24"/>
        </w:rPr>
      </w:pPr>
    </w:p>
    <w:p w14:paraId="62AE9661" w14:textId="77777777" w:rsidR="00285112" w:rsidRDefault="00285112" w:rsidP="00F05DF3">
      <w:pPr>
        <w:jc w:val="both"/>
        <w:rPr>
          <w:rFonts w:ascii="Times New Roman" w:hAnsi="Times New Roman" w:cs="Times New Roman"/>
          <w:b/>
          <w:bCs/>
          <w:sz w:val="24"/>
          <w:szCs w:val="24"/>
        </w:rPr>
      </w:pPr>
    </w:p>
    <w:p w14:paraId="4F8F020A" w14:textId="77777777" w:rsidR="00285112" w:rsidRDefault="00285112" w:rsidP="00F05DF3">
      <w:pPr>
        <w:jc w:val="both"/>
        <w:rPr>
          <w:rFonts w:ascii="Times New Roman" w:hAnsi="Times New Roman" w:cs="Times New Roman"/>
          <w:b/>
          <w:bCs/>
          <w:sz w:val="24"/>
          <w:szCs w:val="24"/>
        </w:rPr>
      </w:pPr>
    </w:p>
    <w:p w14:paraId="1AE913A6" w14:textId="77777777" w:rsidR="00285112" w:rsidRDefault="00285112" w:rsidP="00F05DF3">
      <w:pPr>
        <w:jc w:val="both"/>
        <w:rPr>
          <w:rFonts w:ascii="Times New Roman" w:hAnsi="Times New Roman" w:cs="Times New Roman"/>
          <w:b/>
          <w:bCs/>
          <w:sz w:val="24"/>
          <w:szCs w:val="24"/>
        </w:rPr>
      </w:pPr>
    </w:p>
    <w:p w14:paraId="6DBE0FE9" w14:textId="77777777" w:rsidR="00285112" w:rsidRDefault="00285112" w:rsidP="00F05DF3">
      <w:pPr>
        <w:jc w:val="both"/>
        <w:rPr>
          <w:rFonts w:ascii="Times New Roman" w:hAnsi="Times New Roman" w:cs="Times New Roman"/>
          <w:b/>
          <w:bCs/>
          <w:sz w:val="24"/>
          <w:szCs w:val="24"/>
        </w:rPr>
      </w:pPr>
    </w:p>
    <w:p w14:paraId="42C6B4CA" w14:textId="77777777" w:rsidR="00285112" w:rsidRDefault="00285112" w:rsidP="00F05DF3">
      <w:pPr>
        <w:jc w:val="both"/>
        <w:rPr>
          <w:rFonts w:ascii="Times New Roman" w:hAnsi="Times New Roman" w:cs="Times New Roman"/>
          <w:b/>
          <w:bCs/>
          <w:sz w:val="24"/>
          <w:szCs w:val="24"/>
        </w:rPr>
      </w:pPr>
    </w:p>
    <w:p w14:paraId="4C07A17A" w14:textId="77777777" w:rsidR="00285112" w:rsidRDefault="00285112" w:rsidP="00F05DF3">
      <w:pPr>
        <w:jc w:val="both"/>
        <w:rPr>
          <w:rFonts w:ascii="Times New Roman" w:hAnsi="Times New Roman" w:cs="Times New Roman"/>
          <w:b/>
          <w:bCs/>
          <w:sz w:val="24"/>
          <w:szCs w:val="24"/>
        </w:rPr>
      </w:pPr>
    </w:p>
    <w:p w14:paraId="058B2D9E" w14:textId="77777777" w:rsidR="00285112" w:rsidRDefault="00285112" w:rsidP="00F05DF3">
      <w:pPr>
        <w:jc w:val="both"/>
        <w:rPr>
          <w:rFonts w:ascii="Times New Roman" w:hAnsi="Times New Roman" w:cs="Times New Roman"/>
          <w:b/>
          <w:bCs/>
          <w:sz w:val="24"/>
          <w:szCs w:val="24"/>
        </w:rPr>
      </w:pPr>
    </w:p>
    <w:p w14:paraId="0910CFFA" w14:textId="77777777" w:rsidR="00285112" w:rsidRDefault="00285112" w:rsidP="00F05DF3">
      <w:pPr>
        <w:jc w:val="both"/>
        <w:rPr>
          <w:rFonts w:ascii="Times New Roman" w:hAnsi="Times New Roman" w:cs="Times New Roman"/>
          <w:b/>
          <w:bCs/>
          <w:sz w:val="24"/>
          <w:szCs w:val="24"/>
        </w:rPr>
      </w:pPr>
    </w:p>
    <w:p w14:paraId="65C6E776" w14:textId="77777777" w:rsidR="00285112" w:rsidRDefault="00285112" w:rsidP="00F05DF3">
      <w:pPr>
        <w:jc w:val="both"/>
        <w:rPr>
          <w:rFonts w:ascii="Times New Roman" w:hAnsi="Times New Roman" w:cs="Times New Roman"/>
          <w:b/>
          <w:bCs/>
          <w:sz w:val="24"/>
          <w:szCs w:val="24"/>
        </w:rPr>
      </w:pPr>
    </w:p>
    <w:p w14:paraId="1BAF2FB1" w14:textId="77777777" w:rsidR="00285112" w:rsidRDefault="00285112" w:rsidP="00F05DF3">
      <w:pPr>
        <w:jc w:val="both"/>
        <w:rPr>
          <w:rFonts w:ascii="Times New Roman" w:hAnsi="Times New Roman" w:cs="Times New Roman"/>
          <w:b/>
          <w:bCs/>
          <w:sz w:val="24"/>
          <w:szCs w:val="24"/>
        </w:rPr>
      </w:pPr>
    </w:p>
    <w:p w14:paraId="6EFC9601" w14:textId="77777777" w:rsidR="00285112" w:rsidRDefault="00285112" w:rsidP="00F05DF3">
      <w:pPr>
        <w:jc w:val="both"/>
        <w:rPr>
          <w:rFonts w:ascii="Times New Roman" w:hAnsi="Times New Roman" w:cs="Times New Roman"/>
          <w:b/>
          <w:bCs/>
          <w:sz w:val="24"/>
          <w:szCs w:val="24"/>
        </w:rPr>
      </w:pPr>
    </w:p>
    <w:p w14:paraId="69FC533F" w14:textId="77777777" w:rsidR="00285112" w:rsidRDefault="00285112" w:rsidP="00F05DF3">
      <w:pPr>
        <w:jc w:val="both"/>
        <w:rPr>
          <w:rFonts w:ascii="Times New Roman" w:hAnsi="Times New Roman" w:cs="Times New Roman"/>
          <w:b/>
          <w:bCs/>
          <w:sz w:val="24"/>
          <w:szCs w:val="24"/>
        </w:rPr>
      </w:pPr>
    </w:p>
    <w:p w14:paraId="33FA00AF" w14:textId="77777777" w:rsidR="00285112" w:rsidRDefault="00285112" w:rsidP="00F05DF3">
      <w:pPr>
        <w:jc w:val="both"/>
        <w:rPr>
          <w:rFonts w:ascii="Times New Roman" w:hAnsi="Times New Roman" w:cs="Times New Roman"/>
          <w:b/>
          <w:bCs/>
          <w:sz w:val="24"/>
          <w:szCs w:val="24"/>
        </w:rPr>
      </w:pPr>
    </w:p>
    <w:p w14:paraId="2595E4C0" w14:textId="77777777" w:rsidR="00285112" w:rsidRDefault="00285112" w:rsidP="00F05DF3">
      <w:pPr>
        <w:jc w:val="both"/>
        <w:rPr>
          <w:rFonts w:ascii="Times New Roman" w:hAnsi="Times New Roman" w:cs="Times New Roman"/>
          <w:b/>
          <w:bCs/>
          <w:sz w:val="24"/>
          <w:szCs w:val="24"/>
        </w:rPr>
      </w:pPr>
    </w:p>
    <w:p w14:paraId="6E843DAA" w14:textId="77777777" w:rsidR="00285112" w:rsidRDefault="00285112" w:rsidP="00F05DF3">
      <w:pPr>
        <w:jc w:val="both"/>
        <w:rPr>
          <w:rFonts w:ascii="Times New Roman" w:hAnsi="Times New Roman" w:cs="Times New Roman"/>
          <w:b/>
          <w:bCs/>
          <w:sz w:val="24"/>
          <w:szCs w:val="24"/>
        </w:rPr>
      </w:pPr>
    </w:p>
    <w:p w14:paraId="14B18611" w14:textId="77777777" w:rsidR="00285112" w:rsidRDefault="00285112" w:rsidP="00F05DF3">
      <w:pPr>
        <w:jc w:val="both"/>
        <w:rPr>
          <w:rFonts w:ascii="Times New Roman" w:hAnsi="Times New Roman" w:cs="Times New Roman"/>
          <w:b/>
          <w:bCs/>
          <w:sz w:val="24"/>
          <w:szCs w:val="24"/>
        </w:rPr>
      </w:pPr>
    </w:p>
    <w:p w14:paraId="7E457B39" w14:textId="77777777" w:rsidR="00285112" w:rsidRDefault="00285112" w:rsidP="00F05DF3">
      <w:pPr>
        <w:jc w:val="both"/>
        <w:rPr>
          <w:rFonts w:ascii="Times New Roman" w:hAnsi="Times New Roman" w:cs="Times New Roman"/>
          <w:b/>
          <w:bCs/>
          <w:sz w:val="24"/>
          <w:szCs w:val="24"/>
        </w:rPr>
      </w:pPr>
    </w:p>
    <w:p w14:paraId="29BD47F8" w14:textId="7970FA76" w:rsidR="00FF1C40" w:rsidRPr="0016580B" w:rsidRDefault="00F05DF3" w:rsidP="00F05DF3">
      <w:pPr>
        <w:jc w:val="both"/>
        <w:rPr>
          <w:rFonts w:ascii="Times New Roman" w:hAnsi="Times New Roman" w:cs="Times New Roman"/>
          <w:b/>
          <w:bCs/>
          <w:sz w:val="24"/>
          <w:szCs w:val="24"/>
        </w:rPr>
      </w:pPr>
      <w:r w:rsidRPr="0016580B">
        <w:rPr>
          <w:rFonts w:ascii="Times New Roman" w:hAnsi="Times New Roman" w:cs="Times New Roman"/>
          <w:b/>
          <w:bCs/>
          <w:sz w:val="24"/>
          <w:szCs w:val="24"/>
        </w:rPr>
        <w:lastRenderedPageBreak/>
        <w:t>PENDAHULUAN</w:t>
      </w:r>
    </w:p>
    <w:p w14:paraId="533E2AE2" w14:textId="73CCEE79" w:rsidR="00F05DF3" w:rsidRPr="00F05DF3" w:rsidRDefault="00F05DF3" w:rsidP="00285112">
      <w:pPr>
        <w:ind w:firstLine="720"/>
        <w:jc w:val="both"/>
        <w:rPr>
          <w:rFonts w:ascii="Times New Roman" w:hAnsi="Times New Roman" w:cs="Times New Roman"/>
          <w:sz w:val="24"/>
          <w:szCs w:val="24"/>
        </w:rPr>
      </w:pPr>
      <w:r w:rsidRPr="00F05DF3">
        <w:rPr>
          <w:rFonts w:ascii="Times New Roman" w:hAnsi="Times New Roman" w:cs="Times New Roman"/>
          <w:sz w:val="24"/>
          <w:szCs w:val="24"/>
        </w:rPr>
        <w:t>Sektor pertanian memegang peranan penting dalam perekonomian Indonesia.  Sebagai negara agraris dengan kekayaan alam melimpah, Indonesia memiliki potensi besar untuk menjadi produsen komoditas pertanian unggulan.  Namun,  kenyataannya,  petani  seringkali  terjebak dalam  lingkaran  kemiskinan  dan  kesulitan  dalam  mengembangkan  usaha mereka.</w:t>
      </w:r>
      <w:r w:rsidR="00A72CD8">
        <w:rPr>
          <w:rFonts w:ascii="Times New Roman" w:hAnsi="Times New Roman" w:cs="Times New Roman"/>
          <w:sz w:val="24"/>
          <w:szCs w:val="24"/>
        </w:rPr>
        <w:t xml:space="preserve"> </w:t>
      </w:r>
      <w:r w:rsidRPr="00F05DF3">
        <w:rPr>
          <w:rFonts w:ascii="Times New Roman" w:hAnsi="Times New Roman" w:cs="Times New Roman"/>
          <w:sz w:val="24"/>
          <w:szCs w:val="24"/>
        </w:rPr>
        <w:t xml:space="preserve">Salah satu  kendala utama  yang  dihadapi  petani  adalah  akses  terhadap  pembiayaan.  Petani  kesulitan  memperoleh  pinjaman  dari  bank  atau  lembaga keuangan  lainnya  karena  kurangnya  aset  yang  dapat  dijadikan  jaminan.  Kondisi  ini  memperparah  ketergantungan  petani  pada  tengkulak  yang  seringkali  menawarkan  harga  rendah  dan  sistem  </w:t>
      </w:r>
      <w:r w:rsidR="00A72CD8" w:rsidRPr="00A72CD8">
        <w:rPr>
          <w:rFonts w:ascii="Times New Roman" w:hAnsi="Times New Roman" w:cs="Times New Roman"/>
          <w:i/>
          <w:iCs/>
          <w:sz w:val="24"/>
          <w:szCs w:val="24"/>
        </w:rPr>
        <w:t>i</w:t>
      </w:r>
      <w:r w:rsidRPr="00A72CD8">
        <w:rPr>
          <w:rFonts w:ascii="Times New Roman" w:hAnsi="Times New Roman" w:cs="Times New Roman"/>
          <w:i/>
          <w:iCs/>
          <w:sz w:val="24"/>
          <w:szCs w:val="24"/>
        </w:rPr>
        <w:t>jon</w:t>
      </w:r>
      <w:r w:rsidRPr="00F05DF3">
        <w:rPr>
          <w:rFonts w:ascii="Times New Roman" w:hAnsi="Times New Roman" w:cs="Times New Roman"/>
          <w:sz w:val="24"/>
          <w:szCs w:val="24"/>
        </w:rPr>
        <w:t xml:space="preserve">  yang  merugikan.</w:t>
      </w:r>
      <w:r w:rsidR="00A72CD8">
        <w:rPr>
          <w:rFonts w:ascii="Times New Roman" w:hAnsi="Times New Roman" w:cs="Times New Roman"/>
          <w:sz w:val="24"/>
          <w:szCs w:val="24"/>
        </w:rPr>
        <w:t xml:space="preserve"> </w:t>
      </w:r>
      <w:r w:rsidRPr="00F05DF3">
        <w:rPr>
          <w:rFonts w:ascii="Times New Roman" w:hAnsi="Times New Roman" w:cs="Times New Roman"/>
          <w:sz w:val="24"/>
          <w:szCs w:val="24"/>
        </w:rPr>
        <w:t>Selain  itu, fluktuasi  harga  komoditas  pertanian  juga  menjadi  masalah  krusial.  Harga  komoditas  pertanian  yang  tidak  stabil,  terutama  saat  panen  raya,  menyebabkan  petani  terpaksa  menjual  hasil  panen  dengan  harga  rendah  untuk  menghindari  kerugian  akibat  kerusakan  atau  penurunan  kualitas.  Kondisi  ini  mengakibatkan  petani  tidak  memperoleh  keuntungan  yang  optimal  dari  jerih  payah  mereka.</w:t>
      </w:r>
    </w:p>
    <w:p w14:paraId="027D54B5" w14:textId="315252C0" w:rsidR="00F05DF3" w:rsidRDefault="00F05DF3" w:rsidP="00285112">
      <w:pPr>
        <w:ind w:firstLine="720"/>
        <w:jc w:val="both"/>
        <w:rPr>
          <w:rFonts w:ascii="Times New Roman" w:hAnsi="Times New Roman" w:cs="Times New Roman"/>
          <w:sz w:val="24"/>
          <w:szCs w:val="24"/>
        </w:rPr>
      </w:pPr>
      <w:r w:rsidRPr="00F05DF3">
        <w:rPr>
          <w:rFonts w:ascii="Times New Roman" w:hAnsi="Times New Roman" w:cs="Times New Roman"/>
          <w:sz w:val="24"/>
          <w:szCs w:val="24"/>
        </w:rPr>
        <w:t>Untuk  mengatasi  permasalahan  tersebut,  pemerintah  Indonesia  menerapkan  Sistem  Resi  Gudang  (SRG)  melalui  Undang-Undang  Nomor  9  Tahun  2006</w:t>
      </w:r>
      <w:r w:rsidR="00A72CD8">
        <w:rPr>
          <w:rFonts w:ascii="Times New Roman" w:hAnsi="Times New Roman" w:cs="Times New Roman"/>
          <w:sz w:val="24"/>
          <w:szCs w:val="24"/>
        </w:rPr>
        <w:t xml:space="preserve"> </w:t>
      </w:r>
      <w:r w:rsidR="008B6AFA">
        <w:rPr>
          <w:rFonts w:ascii="Times New Roman" w:hAnsi="Times New Roman" w:cs="Times New Roman"/>
          <w:sz w:val="24"/>
          <w:szCs w:val="24"/>
        </w:rPr>
        <w:t xml:space="preserve">tentang Sistem Resi Gudang jo. Undang-Undang Nomor 09 Tahun 2011 tentang  </w:t>
      </w:r>
      <w:r w:rsidR="008B6AFA" w:rsidRPr="008B6AFA">
        <w:rPr>
          <w:rFonts w:ascii="Times New Roman" w:hAnsi="Times New Roman" w:cs="Times New Roman"/>
          <w:sz w:val="24"/>
          <w:szCs w:val="24"/>
        </w:rPr>
        <w:t xml:space="preserve">Perubahan </w:t>
      </w:r>
      <w:r w:rsidR="008B6AFA">
        <w:rPr>
          <w:rFonts w:ascii="Times New Roman" w:hAnsi="Times New Roman" w:cs="Times New Roman"/>
          <w:sz w:val="24"/>
          <w:szCs w:val="24"/>
        </w:rPr>
        <w:t>a</w:t>
      </w:r>
      <w:r w:rsidR="008B6AFA" w:rsidRPr="008B6AFA">
        <w:rPr>
          <w:rFonts w:ascii="Times New Roman" w:hAnsi="Times New Roman" w:cs="Times New Roman"/>
          <w:sz w:val="24"/>
          <w:szCs w:val="24"/>
        </w:rPr>
        <w:t>tas Undang-Undang Nomor 9 Tahun 2006</w:t>
      </w:r>
      <w:r w:rsidR="008B6AFA">
        <w:rPr>
          <w:rFonts w:ascii="Times New Roman" w:hAnsi="Times New Roman" w:cs="Times New Roman"/>
          <w:sz w:val="24"/>
          <w:szCs w:val="24"/>
        </w:rPr>
        <w:t xml:space="preserve"> </w:t>
      </w:r>
      <w:r w:rsidR="008B6AFA" w:rsidRPr="008B6AFA">
        <w:rPr>
          <w:rFonts w:ascii="Times New Roman" w:hAnsi="Times New Roman" w:cs="Times New Roman"/>
          <w:sz w:val="24"/>
          <w:szCs w:val="24"/>
        </w:rPr>
        <w:t>Tentang Sistem Resi Gudang</w:t>
      </w:r>
      <w:r w:rsidRPr="00F05DF3">
        <w:rPr>
          <w:rFonts w:ascii="Times New Roman" w:hAnsi="Times New Roman" w:cs="Times New Roman"/>
          <w:sz w:val="24"/>
          <w:szCs w:val="24"/>
        </w:rPr>
        <w:t xml:space="preserve">.  SRG  merupakan  sistem  penyimpanan  barang  di  gudang  yang  telah  terdaftar  dan  </w:t>
      </w:r>
      <w:r w:rsidR="008B6AFA">
        <w:rPr>
          <w:rFonts w:ascii="Times New Roman" w:hAnsi="Times New Roman" w:cs="Times New Roman"/>
          <w:sz w:val="24"/>
          <w:szCs w:val="24"/>
        </w:rPr>
        <w:t>diterbitkan</w:t>
      </w:r>
      <w:r w:rsidRPr="00F05DF3">
        <w:rPr>
          <w:rFonts w:ascii="Times New Roman" w:hAnsi="Times New Roman" w:cs="Times New Roman"/>
          <w:sz w:val="24"/>
          <w:szCs w:val="24"/>
        </w:rPr>
        <w:t xml:space="preserve">  Resi  Gudang  sebagai  bukti  kepemilikan  yang  dapat  dijadikan  jaminan  pembiayaan.  Melalui  SRG,  petani  dapat  menyimpan  hasil  panen  di  gudang  dan  menunggu  waktu  yang  tepat  untuk  menjualnya  dengan  harga  yang  lebih  baik.  Resi  Gudang  yang  diperoleh  juga  dapat  digunakan  sebagai  jaminan  untuk  memperoleh  pinjaman  modal  dari  bank  atau  lembaga  keuangan,  sehingga  petani  dapat  mengembangkan  usaha  dan  meningkatkan  pendapatan  mereka.</w:t>
      </w:r>
    </w:p>
    <w:p w14:paraId="5891E123" w14:textId="6F9BC5FE" w:rsidR="00A72CD8" w:rsidRPr="00046885" w:rsidRDefault="00046885" w:rsidP="00285112">
      <w:pPr>
        <w:ind w:firstLine="720"/>
        <w:jc w:val="both"/>
        <w:rPr>
          <w:rFonts w:ascii="Times New Roman" w:hAnsi="Times New Roman" w:cs="Times New Roman"/>
          <w:color w:val="000000" w:themeColor="text1"/>
          <w:sz w:val="24"/>
          <w:szCs w:val="24"/>
        </w:rPr>
      </w:pPr>
      <w:r w:rsidRPr="00046885">
        <w:rPr>
          <w:rFonts w:ascii="Times New Roman" w:hAnsi="Times New Roman" w:cs="Times New Roman"/>
          <w:color w:val="000000" w:themeColor="text1"/>
          <w:sz w:val="24"/>
          <w:szCs w:val="24"/>
        </w:rPr>
        <w:t>Seperti</w:t>
      </w:r>
      <w:r w:rsidRPr="00046885">
        <w:rPr>
          <w:rFonts w:ascii="Times New Roman" w:hAnsi="Times New Roman" w:cs="Times New Roman"/>
          <w:b/>
          <w:bCs/>
          <w:color w:val="000000" w:themeColor="text1"/>
          <w:sz w:val="24"/>
          <w:szCs w:val="24"/>
        </w:rPr>
        <w:t xml:space="preserve"> </w:t>
      </w:r>
      <w:r w:rsidRPr="00046885">
        <w:rPr>
          <w:rFonts w:ascii="Times New Roman" w:hAnsi="Times New Roman" w:cs="Times New Roman"/>
          <w:color w:val="000000" w:themeColor="text1"/>
          <w:sz w:val="24"/>
          <w:szCs w:val="24"/>
        </w:rPr>
        <w:t>halnya yang dilakukan p</w:t>
      </w:r>
      <w:r w:rsidR="00A72CD8" w:rsidRPr="00046885">
        <w:rPr>
          <w:rFonts w:ascii="Times New Roman" w:hAnsi="Times New Roman" w:cs="Times New Roman"/>
          <w:color w:val="000000" w:themeColor="text1"/>
          <w:sz w:val="24"/>
          <w:szCs w:val="24"/>
        </w:rPr>
        <w:t>etani Kopi di Aceh</w:t>
      </w:r>
      <w:r w:rsidRPr="00046885">
        <w:rPr>
          <w:rFonts w:ascii="Times New Roman" w:hAnsi="Times New Roman" w:cs="Times New Roman"/>
          <w:b/>
          <w:bCs/>
          <w:color w:val="000000" w:themeColor="text1"/>
          <w:sz w:val="24"/>
          <w:szCs w:val="24"/>
        </w:rPr>
        <w:t>.</w:t>
      </w:r>
      <w:r w:rsidR="00A72CD8" w:rsidRPr="00046885">
        <w:rPr>
          <w:rFonts w:ascii="Times New Roman" w:hAnsi="Times New Roman" w:cs="Times New Roman"/>
          <w:color w:val="000000" w:themeColor="text1"/>
          <w:sz w:val="24"/>
          <w:szCs w:val="24"/>
        </w:rPr>
        <w:t xml:space="preserve"> Banyak petani kopi di Aceh yang memanfaatkan jaminan resi gudang untuk mendapatkan pinjaman modal kerja. Dengan menyimpan hasil panen kopinya di gudang yang terakreditasi, mereka dapat memperoleh pinjaman dari bank dengan bunga yang lebih rendah. Hal ini memungkinkan mereka untuk membeli pupuk, pestisida, dan peralatan pertanian lainnya, sehingga meningkatkan produktivitas dan kualitas kopi mereka.</w:t>
      </w:r>
      <w:r w:rsidRPr="00046885">
        <w:rPr>
          <w:rFonts w:ascii="Times New Roman" w:hAnsi="Times New Roman" w:cs="Times New Roman"/>
          <w:color w:val="000000" w:themeColor="text1"/>
          <w:sz w:val="24"/>
          <w:szCs w:val="24"/>
        </w:rPr>
        <w:t xml:space="preserve"> Dan juga p</w:t>
      </w:r>
      <w:r w:rsidR="00A72CD8" w:rsidRPr="00046885">
        <w:rPr>
          <w:rFonts w:ascii="Times New Roman" w:hAnsi="Times New Roman" w:cs="Times New Roman"/>
          <w:color w:val="000000" w:themeColor="text1"/>
          <w:sz w:val="24"/>
          <w:szCs w:val="24"/>
        </w:rPr>
        <w:t>etani Padi di Jawa Tengah</w:t>
      </w:r>
      <w:r w:rsidRPr="00046885">
        <w:rPr>
          <w:rFonts w:ascii="Times New Roman" w:hAnsi="Times New Roman" w:cs="Times New Roman"/>
          <w:b/>
          <w:bCs/>
          <w:color w:val="000000" w:themeColor="text1"/>
          <w:sz w:val="24"/>
          <w:szCs w:val="24"/>
        </w:rPr>
        <w:t xml:space="preserve">. </w:t>
      </w:r>
      <w:r w:rsidR="00A72CD8" w:rsidRPr="00046885">
        <w:rPr>
          <w:rFonts w:ascii="Times New Roman" w:hAnsi="Times New Roman" w:cs="Times New Roman"/>
          <w:color w:val="000000" w:themeColor="text1"/>
          <w:sz w:val="24"/>
          <w:szCs w:val="24"/>
        </w:rPr>
        <w:t>Beberapa kelompok tani di Jawa Tengah juga telah berhasil menerapkan sistem jaminan resi gudang. Mereka bekerja sama dengan koperasi dan bank untuk menyimpan hasil panen padinya di gudang. Dengan adanya jaminan resi gudang, petani dapat menjual padinya pada saat harga sedang tinggi, tanpa harus terburu-buru menjual saat panen.</w:t>
      </w:r>
    </w:p>
    <w:p w14:paraId="1C6E4A33" w14:textId="05F82AA9" w:rsidR="00F05DF3" w:rsidRPr="00046885" w:rsidRDefault="00527F89" w:rsidP="00285112">
      <w:pPr>
        <w:ind w:firstLine="720"/>
        <w:jc w:val="both"/>
        <w:rPr>
          <w:rFonts w:ascii="Times New Roman" w:hAnsi="Times New Roman" w:cs="Times New Roman"/>
          <w:color w:val="FF0000"/>
          <w:sz w:val="24"/>
          <w:szCs w:val="24"/>
        </w:rPr>
      </w:pPr>
      <w:r w:rsidRPr="00046885">
        <w:rPr>
          <w:rFonts w:ascii="Times New Roman" w:hAnsi="Times New Roman" w:cs="Times New Roman"/>
          <w:color w:val="000000" w:themeColor="text1"/>
          <w:sz w:val="24"/>
          <w:szCs w:val="24"/>
        </w:rPr>
        <w:t xml:space="preserve">Meskipun memiliki banyak manfaat, sistem jaminan resi gudang masih menghadapi beberapa tantangan, seperti kurangnya kesadaran masyarakat, keterbatasan infrastruktur gudang, dan regulasi yang masih perlu disempurnakan. </w:t>
      </w:r>
      <w:r w:rsidR="00046885" w:rsidRPr="00046885">
        <w:rPr>
          <w:rFonts w:ascii="Times New Roman" w:hAnsi="Times New Roman" w:cs="Times New Roman"/>
          <w:color w:val="000000" w:themeColor="text1"/>
          <w:sz w:val="24"/>
          <w:szCs w:val="24"/>
        </w:rPr>
        <w:t>D</w:t>
      </w:r>
      <w:r w:rsidR="00F05DF3" w:rsidRPr="00046885">
        <w:rPr>
          <w:rFonts w:ascii="Times New Roman" w:hAnsi="Times New Roman" w:cs="Times New Roman"/>
          <w:color w:val="000000" w:themeColor="text1"/>
          <w:sz w:val="24"/>
          <w:szCs w:val="24"/>
        </w:rPr>
        <w:t xml:space="preserve">alam  pelaksanaan  SRG,  masih  terdapat  risiko  </w:t>
      </w:r>
      <w:r w:rsidR="00F05DF3" w:rsidRPr="00F05DF3">
        <w:rPr>
          <w:rFonts w:ascii="Times New Roman" w:hAnsi="Times New Roman" w:cs="Times New Roman"/>
          <w:sz w:val="24"/>
          <w:szCs w:val="24"/>
        </w:rPr>
        <w:t>yang  dihadapi  oleh  pemegang  Resi  Gudang,  seperti</w:t>
      </w:r>
      <w:r w:rsidR="00A72CD8">
        <w:rPr>
          <w:rFonts w:ascii="Times New Roman" w:hAnsi="Times New Roman" w:cs="Times New Roman"/>
          <w:sz w:val="24"/>
          <w:szCs w:val="24"/>
        </w:rPr>
        <w:t xml:space="preserve"> halnya k</w:t>
      </w:r>
      <w:r w:rsidR="00F05DF3" w:rsidRPr="00F05DF3">
        <w:rPr>
          <w:rFonts w:ascii="Times New Roman" w:hAnsi="Times New Roman" w:cs="Times New Roman"/>
          <w:sz w:val="24"/>
          <w:szCs w:val="24"/>
        </w:rPr>
        <w:t>egagalan Pengelola Gudang dalam menyimpan barang: Kerusakan barang akibat kebakaran, bencana alam, atau kelalaian Pengelola Gudang.</w:t>
      </w:r>
      <w:r w:rsidR="00A72CD8">
        <w:rPr>
          <w:rFonts w:ascii="Times New Roman" w:hAnsi="Times New Roman" w:cs="Times New Roman"/>
          <w:sz w:val="24"/>
          <w:szCs w:val="24"/>
        </w:rPr>
        <w:t xml:space="preserve"> Begitu juga dapat terjadi p</w:t>
      </w:r>
      <w:r w:rsidR="00F05DF3" w:rsidRPr="00F05DF3">
        <w:rPr>
          <w:rFonts w:ascii="Times New Roman" w:hAnsi="Times New Roman" w:cs="Times New Roman"/>
          <w:sz w:val="24"/>
          <w:szCs w:val="24"/>
        </w:rPr>
        <w:t>enyalahgunaan Resi Gudang</w:t>
      </w:r>
      <w:r w:rsidR="00A72CD8">
        <w:rPr>
          <w:rFonts w:ascii="Times New Roman" w:hAnsi="Times New Roman" w:cs="Times New Roman"/>
          <w:sz w:val="24"/>
          <w:szCs w:val="24"/>
        </w:rPr>
        <w:t>, seperti p</w:t>
      </w:r>
      <w:r w:rsidR="00F05DF3" w:rsidRPr="00F05DF3">
        <w:rPr>
          <w:rFonts w:ascii="Times New Roman" w:hAnsi="Times New Roman" w:cs="Times New Roman"/>
          <w:sz w:val="24"/>
          <w:szCs w:val="24"/>
        </w:rPr>
        <w:t>emalsuan Resi Gudang atau penggunaan Resi Gudang yang sama untuk beberapa transaksi</w:t>
      </w:r>
      <w:r w:rsidR="00A72CD8">
        <w:rPr>
          <w:rFonts w:ascii="Times New Roman" w:hAnsi="Times New Roman" w:cs="Times New Roman"/>
          <w:sz w:val="24"/>
          <w:szCs w:val="24"/>
        </w:rPr>
        <w:t>. Atau k</w:t>
      </w:r>
      <w:r w:rsidR="00F05DF3" w:rsidRPr="00F05DF3">
        <w:rPr>
          <w:rFonts w:ascii="Times New Roman" w:hAnsi="Times New Roman" w:cs="Times New Roman"/>
          <w:sz w:val="24"/>
          <w:szCs w:val="24"/>
        </w:rPr>
        <w:t>etidakmampuan Pengelola Gudang dalam menyerahkan barang</w:t>
      </w:r>
      <w:r w:rsidR="00A72CD8">
        <w:rPr>
          <w:rFonts w:ascii="Times New Roman" w:hAnsi="Times New Roman" w:cs="Times New Roman"/>
          <w:sz w:val="24"/>
          <w:szCs w:val="24"/>
        </w:rPr>
        <w:t>, contohnya p</w:t>
      </w:r>
      <w:r w:rsidR="00F05DF3" w:rsidRPr="00F05DF3">
        <w:rPr>
          <w:rFonts w:ascii="Times New Roman" w:hAnsi="Times New Roman" w:cs="Times New Roman"/>
          <w:sz w:val="24"/>
          <w:szCs w:val="24"/>
        </w:rPr>
        <w:t xml:space="preserve">engelola Gudang mengalami kesulitan keuangan atau pailit, sehingga tidak dapat </w:t>
      </w:r>
      <w:r w:rsidR="00F05DF3" w:rsidRPr="00F05DF3">
        <w:rPr>
          <w:rFonts w:ascii="Times New Roman" w:hAnsi="Times New Roman" w:cs="Times New Roman"/>
          <w:sz w:val="24"/>
          <w:szCs w:val="24"/>
        </w:rPr>
        <w:lastRenderedPageBreak/>
        <w:t>menyerahkan barang sesuai dengan Resi Gudang.</w:t>
      </w:r>
      <w:r w:rsidR="00046885">
        <w:rPr>
          <w:rFonts w:ascii="Times New Roman" w:hAnsi="Times New Roman" w:cs="Times New Roman"/>
          <w:sz w:val="24"/>
          <w:szCs w:val="24"/>
        </w:rPr>
        <w:t xml:space="preserve"> </w:t>
      </w:r>
      <w:r w:rsidR="00046885" w:rsidRPr="00046885">
        <w:rPr>
          <w:rFonts w:ascii="Times New Roman" w:hAnsi="Times New Roman" w:cs="Times New Roman"/>
          <w:color w:val="000000" w:themeColor="text1"/>
          <w:sz w:val="24"/>
          <w:szCs w:val="24"/>
        </w:rPr>
        <w:t>Namun, pemerintah dan berbagai pihak terkait terus berupaya mengembangkan sistem ini agar semakin efektif dan efisien.</w:t>
      </w:r>
    </w:p>
    <w:p w14:paraId="7EE85A60" w14:textId="77777777" w:rsidR="00A72CD8" w:rsidRDefault="00F05DF3" w:rsidP="00285112">
      <w:pPr>
        <w:ind w:firstLine="720"/>
        <w:jc w:val="both"/>
        <w:rPr>
          <w:rFonts w:ascii="Times New Roman" w:hAnsi="Times New Roman" w:cs="Times New Roman"/>
          <w:sz w:val="24"/>
          <w:szCs w:val="24"/>
        </w:rPr>
      </w:pPr>
      <w:r w:rsidRPr="00F05DF3">
        <w:rPr>
          <w:rFonts w:ascii="Times New Roman" w:hAnsi="Times New Roman" w:cs="Times New Roman"/>
          <w:sz w:val="24"/>
          <w:szCs w:val="24"/>
        </w:rPr>
        <w:t>Untuk  memberikan  perlindungan  dan  meningkatkan  kepercayaan  terhadap  SRG,  dibentuklah  Lembaga  Jaminan  Resi  Gudang  (LJRG).  LJRG  berperan  sebagai  penjamin  yang  akan  memberikan  ganti  rugi  kepada  pemegang  Resi  Gudang  jika  terjadi  kerugian  akibat  kesalahan  Pengelola  Gudang.  Dengan  adanya  LJRG,  diharapkan  SRG  dapat  berjalan  lebih  optimal  dalam  mendukung  pemberdayaan  petani  dan  peningkatan  nilai  komoditas  pertanian  di  Indonesia.</w:t>
      </w:r>
    </w:p>
    <w:p w14:paraId="1423EFFF" w14:textId="3008F3D3" w:rsidR="00F05DF3" w:rsidRDefault="00F05DF3" w:rsidP="00285112">
      <w:pPr>
        <w:ind w:firstLine="720"/>
        <w:jc w:val="both"/>
        <w:rPr>
          <w:rFonts w:ascii="Times New Roman" w:hAnsi="Times New Roman" w:cs="Times New Roman"/>
          <w:sz w:val="24"/>
          <w:szCs w:val="24"/>
        </w:rPr>
      </w:pPr>
      <w:r w:rsidRPr="00F05DF3">
        <w:rPr>
          <w:rFonts w:ascii="Times New Roman" w:hAnsi="Times New Roman" w:cs="Times New Roman"/>
          <w:sz w:val="24"/>
          <w:szCs w:val="24"/>
        </w:rPr>
        <w:t>Keberadaan  LJRG  memiliki  beberapa  manfaat  penting,  antara  lain</w:t>
      </w:r>
      <w:r w:rsidR="00A72CD8">
        <w:rPr>
          <w:rFonts w:ascii="Times New Roman" w:hAnsi="Times New Roman" w:cs="Times New Roman"/>
          <w:sz w:val="24"/>
          <w:szCs w:val="24"/>
        </w:rPr>
        <w:t xml:space="preserve"> dapat m</w:t>
      </w:r>
      <w:r w:rsidRPr="00F05DF3">
        <w:rPr>
          <w:rFonts w:ascii="Times New Roman" w:hAnsi="Times New Roman" w:cs="Times New Roman"/>
          <w:sz w:val="24"/>
          <w:szCs w:val="24"/>
        </w:rPr>
        <w:t>eningkatkan kepercayaan masyarakat terhadap SRG</w:t>
      </w:r>
      <w:r w:rsidR="00A72CD8">
        <w:rPr>
          <w:rFonts w:ascii="Times New Roman" w:hAnsi="Times New Roman" w:cs="Times New Roman"/>
          <w:sz w:val="24"/>
          <w:szCs w:val="24"/>
        </w:rPr>
        <w:t>.</w:t>
      </w:r>
      <w:r w:rsidRPr="00F05DF3">
        <w:rPr>
          <w:rFonts w:ascii="Times New Roman" w:hAnsi="Times New Roman" w:cs="Times New Roman"/>
          <w:sz w:val="24"/>
          <w:szCs w:val="24"/>
        </w:rPr>
        <w:t xml:space="preserve"> Dengan adanya jaminan dari LJRG, masyarakat, terutama petani dan lembaga keuangan, akan lebih percaya dalam menggunakan SRG.</w:t>
      </w:r>
      <w:r w:rsidR="00A72CD8">
        <w:rPr>
          <w:rFonts w:ascii="Times New Roman" w:hAnsi="Times New Roman" w:cs="Times New Roman"/>
          <w:sz w:val="24"/>
          <w:szCs w:val="24"/>
        </w:rPr>
        <w:t xml:space="preserve"> Juga dapat m</w:t>
      </w:r>
      <w:r w:rsidRPr="00F05DF3">
        <w:rPr>
          <w:rFonts w:ascii="Times New Roman" w:hAnsi="Times New Roman" w:cs="Times New Roman"/>
          <w:sz w:val="24"/>
          <w:szCs w:val="24"/>
        </w:rPr>
        <w:t>endorong pemanfaatan SRG oleh petani</w:t>
      </w:r>
      <w:r w:rsidR="00A72CD8">
        <w:rPr>
          <w:rFonts w:ascii="Times New Roman" w:hAnsi="Times New Roman" w:cs="Times New Roman"/>
          <w:sz w:val="24"/>
          <w:szCs w:val="24"/>
        </w:rPr>
        <w:t xml:space="preserve">. </w:t>
      </w:r>
      <w:r w:rsidRPr="00F05DF3">
        <w:rPr>
          <w:rFonts w:ascii="Times New Roman" w:hAnsi="Times New Roman" w:cs="Times New Roman"/>
          <w:sz w:val="24"/>
          <w:szCs w:val="24"/>
        </w:rPr>
        <w:t>Petani akan lebih termotivasi untuk menyimpan hasil panen di gudang dan memanfaatkan Resi Gudang sebagai instrumen pembiayaan.</w:t>
      </w:r>
      <w:r w:rsidR="00A72CD8">
        <w:rPr>
          <w:rFonts w:ascii="Times New Roman" w:hAnsi="Times New Roman" w:cs="Times New Roman"/>
          <w:sz w:val="24"/>
          <w:szCs w:val="24"/>
        </w:rPr>
        <w:t xml:space="preserve"> </w:t>
      </w:r>
      <w:r w:rsidRPr="00F05DF3">
        <w:rPr>
          <w:rFonts w:ascii="Times New Roman" w:hAnsi="Times New Roman" w:cs="Times New Roman"/>
          <w:sz w:val="24"/>
          <w:szCs w:val="24"/>
        </w:rPr>
        <w:t>Meningkatkan akses petani terhadap pembiayaan: Resi Gudang yang dijamin oleh LJRG akan lebih mudah diterima oleh bank dan lembaga keuangan sebagai jaminan kredit.</w:t>
      </w:r>
      <w:r w:rsidR="00A72CD8">
        <w:rPr>
          <w:rFonts w:ascii="Times New Roman" w:hAnsi="Times New Roman" w:cs="Times New Roman"/>
          <w:sz w:val="24"/>
          <w:szCs w:val="24"/>
        </w:rPr>
        <w:t xml:space="preserve"> </w:t>
      </w:r>
      <w:r w:rsidRPr="00F05DF3">
        <w:rPr>
          <w:rFonts w:ascii="Times New Roman" w:hAnsi="Times New Roman" w:cs="Times New Roman"/>
          <w:sz w:val="24"/>
          <w:szCs w:val="24"/>
        </w:rPr>
        <w:t>Mendorong pertumbuhan ekonomi di sektor pertanian: Peningkatan pemanfaatan SRG akan mendorong pertumbuhan sektor pertanian dan meningkatkan pendapatan petani.</w:t>
      </w:r>
      <w:r w:rsidR="00046885">
        <w:rPr>
          <w:rFonts w:ascii="Times New Roman" w:hAnsi="Times New Roman" w:cs="Times New Roman"/>
          <w:sz w:val="24"/>
          <w:szCs w:val="24"/>
        </w:rPr>
        <w:t xml:space="preserve"> </w:t>
      </w:r>
      <w:r w:rsidRPr="00F05DF3">
        <w:rPr>
          <w:rFonts w:ascii="Times New Roman" w:hAnsi="Times New Roman" w:cs="Times New Roman"/>
          <w:sz w:val="24"/>
          <w:szCs w:val="24"/>
        </w:rPr>
        <w:t>Dengan  demikian,  LJRG  memiliki  peran  strategis  dalam  mendukung  pengembangan  sektor  pertanian  di  Indonesia.  Melalui  perlindungan  dan  jaminan  yang  diberikan,  LJRG  berkontribusi  dalam  meningkatkan  kesejahteraan  petani  dan  memajukan  perekonomian  nasional.</w:t>
      </w:r>
    </w:p>
    <w:p w14:paraId="705E0C83" w14:textId="2A62FAD0" w:rsidR="00527F89" w:rsidRPr="0016580B" w:rsidRDefault="0016580B" w:rsidP="00F05DF3">
      <w:pPr>
        <w:jc w:val="both"/>
        <w:rPr>
          <w:rFonts w:ascii="Times New Roman" w:hAnsi="Times New Roman" w:cs="Times New Roman"/>
          <w:b/>
          <w:bCs/>
          <w:sz w:val="24"/>
          <w:szCs w:val="24"/>
        </w:rPr>
      </w:pPr>
      <w:r w:rsidRPr="0016580B">
        <w:rPr>
          <w:rFonts w:ascii="Times New Roman" w:hAnsi="Times New Roman" w:cs="Times New Roman"/>
          <w:b/>
          <w:bCs/>
          <w:sz w:val="24"/>
          <w:szCs w:val="24"/>
        </w:rPr>
        <w:t>METODE PENELITIAN</w:t>
      </w:r>
    </w:p>
    <w:p w14:paraId="69195077" w14:textId="0B30D16E" w:rsidR="006F4F70" w:rsidRDefault="0016580B" w:rsidP="00F05DF3">
      <w:pPr>
        <w:jc w:val="both"/>
        <w:rPr>
          <w:rFonts w:ascii="Times New Roman" w:hAnsi="Times New Roman" w:cs="Times New Roman"/>
          <w:sz w:val="24"/>
          <w:szCs w:val="24"/>
        </w:rPr>
      </w:pPr>
      <w:r w:rsidRPr="0016580B">
        <w:rPr>
          <w:rFonts w:ascii="Times New Roman" w:hAnsi="Times New Roman" w:cs="Times New Roman"/>
          <w:sz w:val="24"/>
          <w:szCs w:val="24"/>
        </w:rPr>
        <w:t>Metode   penelitian   diperuntukkan   menemukan, mengembangkan   dan   menguji kebenaran suatu pengetahuan yang dilakukan dengan menggunakan metode-metode ilmiah. Penelitian  ini  dilakukan  secara  yuridis  normatif yaitu  dengan  meneliti  data sekunder  bidang  hukum  yang  ada  sebagai  data  kepustakaan  yang difokuskan  untuk mengkaji penerapan kaidah-kaidah atau norma-norma dalam hukum positifsehingga data yang  digunakan  penulis  ialah  data  sekunder. Penelitian  hukum  normatif  atau  penelitian hukum  doktrinal,  yaitu  penelitian  hukum  yang  mempergunakan  data  sekunder  yang dilakukan dengan studi dokumen atau penelitian kepustakaan bahan-bahan hukum.</w:t>
      </w:r>
    </w:p>
    <w:p w14:paraId="6988531C" w14:textId="43CAC430" w:rsidR="00527F89" w:rsidRPr="0016580B" w:rsidRDefault="00527F89" w:rsidP="00F05DF3">
      <w:pPr>
        <w:jc w:val="both"/>
        <w:rPr>
          <w:rFonts w:ascii="Times New Roman" w:hAnsi="Times New Roman" w:cs="Times New Roman"/>
          <w:b/>
          <w:bCs/>
          <w:sz w:val="24"/>
          <w:szCs w:val="24"/>
        </w:rPr>
      </w:pPr>
      <w:r w:rsidRPr="0016580B">
        <w:rPr>
          <w:rFonts w:ascii="Times New Roman" w:hAnsi="Times New Roman" w:cs="Times New Roman"/>
          <w:b/>
          <w:bCs/>
          <w:sz w:val="24"/>
          <w:szCs w:val="24"/>
        </w:rPr>
        <w:t>HASIL DAN PEMBAHASAN</w:t>
      </w:r>
    </w:p>
    <w:p w14:paraId="145E9039" w14:textId="77777777" w:rsidR="00046885" w:rsidRDefault="00527F89" w:rsidP="00285112">
      <w:pPr>
        <w:ind w:firstLine="720"/>
        <w:jc w:val="both"/>
        <w:rPr>
          <w:rFonts w:ascii="Times New Roman" w:hAnsi="Times New Roman" w:cs="Times New Roman"/>
          <w:sz w:val="24"/>
          <w:szCs w:val="24"/>
        </w:rPr>
      </w:pPr>
      <w:r w:rsidRPr="00046885">
        <w:rPr>
          <w:rFonts w:ascii="Times New Roman" w:hAnsi="Times New Roman" w:cs="Times New Roman"/>
          <w:sz w:val="24"/>
          <w:szCs w:val="24"/>
        </w:rPr>
        <w:t>Jaminan resi gudang merupakan suatu hak jaminan yang dibebankan pada sebuah resi gudang. Resi gudang sendiri adalah dokumen yang dikeluarkan oleh pengelola gudang sebagai bukti penerimaan barang yang disimpan di gudang tersebut. Dengan kata lain, jaminan resi gudang menjadikan resi gudang sebagai agunan atau jaminan untuk melunasi suatu utang. Penerima jaminan ini kemudian memiliki hak lebih tinggi dibandingkan kreditor lain dalam hal pelunasan utang. Konsep ini memberikan kepastian hukum dan keamanan bagi kedua belah pihak, baik pemberi maupun penerima jaminan. Melalui jaminan resi gudang, komoditas yang disimpan di gudang dapat dijadikan sebagai aset yang dapat diperdagangkan dan digunakan untuk memperoleh kredit atau pembiayaan</w:t>
      </w:r>
      <w:r w:rsidR="00B85EAA" w:rsidRPr="00046885">
        <w:rPr>
          <w:rFonts w:ascii="Times New Roman" w:hAnsi="Times New Roman" w:cs="Times New Roman"/>
          <w:sz w:val="24"/>
          <w:szCs w:val="24"/>
        </w:rPr>
        <w:t xml:space="preserve"> dengan cara melakukan pembebanan pada resi gudang tersebut</w:t>
      </w:r>
      <w:r w:rsidR="00046885">
        <w:rPr>
          <w:rFonts w:ascii="Times New Roman" w:hAnsi="Times New Roman" w:cs="Times New Roman"/>
          <w:sz w:val="24"/>
          <w:szCs w:val="24"/>
        </w:rPr>
        <w:t>.</w:t>
      </w:r>
    </w:p>
    <w:p w14:paraId="5BB0163A" w14:textId="03CE173F" w:rsidR="00B85EAA" w:rsidRPr="00B85EAA" w:rsidRDefault="00B85EAA" w:rsidP="00285112">
      <w:pPr>
        <w:ind w:firstLine="720"/>
        <w:jc w:val="both"/>
        <w:rPr>
          <w:rFonts w:ascii="Times New Roman" w:hAnsi="Times New Roman" w:cs="Times New Roman"/>
          <w:sz w:val="24"/>
          <w:szCs w:val="24"/>
        </w:rPr>
      </w:pPr>
      <w:r w:rsidRPr="00B85EAA">
        <w:rPr>
          <w:rFonts w:ascii="Times New Roman" w:hAnsi="Times New Roman" w:cs="Times New Roman"/>
          <w:sz w:val="24"/>
          <w:szCs w:val="24"/>
        </w:rPr>
        <w:t xml:space="preserve">Pembebanan resi gudang merupakan suatu mekanisme yang memungkinkan pemilik barang yang disimpan di gudang untuk menggunakan resi gudang sebagai jaminan utang. </w:t>
      </w:r>
      <w:r w:rsidRPr="00B85EAA">
        <w:rPr>
          <w:rFonts w:ascii="Times New Roman" w:hAnsi="Times New Roman" w:cs="Times New Roman"/>
          <w:sz w:val="24"/>
          <w:szCs w:val="24"/>
        </w:rPr>
        <w:lastRenderedPageBreak/>
        <w:t xml:space="preserve">Dengan kata lain, resi gudang menjadi agunan atau collateral bagi pemilik barang untuk mendapatkan pinjaman dari lembaga keuangan. Mekanisme ini memberikan akses yang lebih mudah bagi </w:t>
      </w:r>
      <w:r>
        <w:rPr>
          <w:rFonts w:ascii="Times New Roman" w:hAnsi="Times New Roman" w:cs="Times New Roman"/>
          <w:sz w:val="24"/>
          <w:szCs w:val="24"/>
        </w:rPr>
        <w:t xml:space="preserve">para petani dan </w:t>
      </w:r>
      <w:r w:rsidRPr="00B85EAA">
        <w:rPr>
          <w:rFonts w:ascii="Times New Roman" w:hAnsi="Times New Roman" w:cs="Times New Roman"/>
          <w:sz w:val="24"/>
          <w:szCs w:val="24"/>
        </w:rPr>
        <w:t>pelaku usaha, terutama UMKM, untuk mendapatkan modal kerja.</w:t>
      </w:r>
      <w:r>
        <w:rPr>
          <w:rFonts w:ascii="Times New Roman" w:hAnsi="Times New Roman" w:cs="Times New Roman"/>
          <w:sz w:val="24"/>
          <w:szCs w:val="24"/>
        </w:rPr>
        <w:t xml:space="preserve"> </w:t>
      </w:r>
    </w:p>
    <w:p w14:paraId="534D3991" w14:textId="77777777" w:rsidR="00285112" w:rsidRDefault="00675DCE" w:rsidP="00285112">
      <w:pPr>
        <w:pStyle w:val="ListParagraph"/>
        <w:ind w:left="0" w:firstLine="720"/>
        <w:jc w:val="both"/>
        <w:rPr>
          <w:rFonts w:ascii="Times New Roman" w:hAnsi="Times New Roman" w:cs="Times New Roman"/>
          <w:sz w:val="24"/>
          <w:szCs w:val="24"/>
        </w:rPr>
      </w:pPr>
      <w:r w:rsidRPr="00675DCE">
        <w:rPr>
          <w:rFonts w:ascii="Times New Roman" w:hAnsi="Times New Roman" w:cs="Times New Roman"/>
          <w:sz w:val="24"/>
          <w:szCs w:val="24"/>
        </w:rPr>
        <w:t>Pembebanan hak jaminan terhadap resi gudang dibuat dengan akta perjanjian hak jaminan. Berdasarkan lampiran Peraturan Kepala Badan Pengawasan Perdagangan Berjangka Komoditi Nomor 09/BAPPEBTI/PER</w:t>
      </w:r>
      <w:r w:rsidR="00B85EAA">
        <w:rPr>
          <w:rFonts w:ascii="Times New Roman" w:hAnsi="Times New Roman" w:cs="Times New Roman"/>
          <w:sz w:val="24"/>
          <w:szCs w:val="24"/>
        </w:rPr>
        <w:t>-</w:t>
      </w:r>
      <w:r w:rsidRPr="00675DCE">
        <w:rPr>
          <w:rFonts w:ascii="Times New Roman" w:hAnsi="Times New Roman" w:cs="Times New Roman"/>
          <w:sz w:val="24"/>
          <w:szCs w:val="24"/>
        </w:rPr>
        <w:t>SRG/7/2008 tentang Pedoman Tehnis Penjaminan Resi Gudang tanggal 24 Juli 2008, ditentukan model Formulir Nomor SRG-OPR 14 tentang Perjanjian Pembebanan Hak Jaminan Atas Resi Gudang yang berisikan tentang identitas para pihak, yaitu pemberi dan penerima hak jaminan, data perjanjian pokok yang dijamin dengan hak jaminan, spesifikasi resi gudang yang diagunkan, nilai jaminan utang dan nilai barang berdasarkan harga pasar pada saat barang dimasukkan ke dalam gudang.</w:t>
      </w:r>
    </w:p>
    <w:p w14:paraId="46B5BBCD" w14:textId="77777777" w:rsidR="00285112" w:rsidRDefault="00675DCE" w:rsidP="00285112">
      <w:pPr>
        <w:pStyle w:val="ListParagraph"/>
        <w:ind w:left="0" w:firstLine="720"/>
        <w:jc w:val="both"/>
        <w:rPr>
          <w:rFonts w:ascii="Times New Roman" w:hAnsi="Times New Roman" w:cs="Times New Roman"/>
          <w:sz w:val="24"/>
          <w:szCs w:val="24"/>
        </w:rPr>
      </w:pPr>
      <w:r w:rsidRPr="00675DCE">
        <w:rPr>
          <w:rFonts w:ascii="Times New Roman" w:hAnsi="Times New Roman" w:cs="Times New Roman"/>
          <w:sz w:val="24"/>
          <w:szCs w:val="24"/>
        </w:rPr>
        <w:t>Disamping itu dalam perjanjian tersebut memuat ketentuan sebagai berikut:</w:t>
      </w:r>
      <w:r w:rsidR="00046885">
        <w:rPr>
          <w:rFonts w:ascii="Times New Roman" w:hAnsi="Times New Roman" w:cs="Times New Roman"/>
          <w:sz w:val="24"/>
          <w:szCs w:val="24"/>
        </w:rPr>
        <w:t xml:space="preserve"> </w:t>
      </w:r>
      <w:r w:rsidRPr="00675DCE">
        <w:rPr>
          <w:rFonts w:ascii="Times New Roman" w:hAnsi="Times New Roman" w:cs="Times New Roman"/>
          <w:sz w:val="24"/>
          <w:szCs w:val="24"/>
        </w:rPr>
        <w:t>Pertama, Resi Gudang berada dalam kekuasaan pihak kedua dalam hal ini adalah bank penerima hak jaminan. Kedua, bank berkewajiban untuk memastikan keabsahan dan kelengkapan resi gudang sebagai objek yang akan dibebani hak jaminan dengan meminta pusat registrasi untuk melakukan verifikasi. Ketiga, atas pembebanan hak jaminan tersebut bank wajib memberitahukan kepada pusat registrasi dan pusat registrasi setelah melakukan verifikasi dengan hasil sesuai persyaratan, menerbitkan konfirmasi bahwa pembebanan hak jaminan tersebut telah ditatausahakan pada pusat registrasi paling lambat 1 (satu) hari setelah tanggal perjanjian ini. Keempat, dalam hal debitur lalai membayar utangnya maka bank berhak mencairkan atau</w:t>
      </w:r>
      <w:r w:rsidR="00B85EAA">
        <w:rPr>
          <w:rFonts w:ascii="Times New Roman" w:hAnsi="Times New Roman" w:cs="Times New Roman"/>
          <w:sz w:val="24"/>
          <w:szCs w:val="24"/>
        </w:rPr>
        <w:t xml:space="preserve"> </w:t>
      </w:r>
      <w:r w:rsidRPr="00675DCE">
        <w:rPr>
          <w:rFonts w:ascii="Times New Roman" w:hAnsi="Times New Roman" w:cs="Times New Roman"/>
          <w:sz w:val="24"/>
          <w:szCs w:val="24"/>
        </w:rPr>
        <w:t>menjual resi gudang dengan tata cara sebagaimana diatur dalam peraturan perundang-undangan dan bank berhak mengambil hasil penjualan resi gudang tersebut sebagai pembayaran atas seluruh utang debitur kepada bank. Kelima, apabila hasil dari pencairan atau penjualan atas resi gudang lebih besar dari jumlah fasilitas kredit yang diterima oleh debitur, ditambah dengan biaya bunga dan biaya administrasi dan/atau biaya pencairan agunan, maka yang dapat diambil oleh bank adalah sebesar jumlah dimaksud, sedang kelebihannya harus dikembalikan oleh bank kepada debitur sebagai pemiliknya.</w:t>
      </w:r>
    </w:p>
    <w:p w14:paraId="1C0F54BE" w14:textId="0C30C9AD" w:rsidR="00046885" w:rsidRDefault="00675DCE" w:rsidP="00285112">
      <w:pPr>
        <w:pStyle w:val="ListParagraph"/>
        <w:ind w:left="0" w:firstLine="720"/>
        <w:jc w:val="both"/>
        <w:rPr>
          <w:rFonts w:ascii="Times New Roman" w:hAnsi="Times New Roman" w:cs="Times New Roman"/>
          <w:sz w:val="24"/>
          <w:szCs w:val="24"/>
        </w:rPr>
      </w:pPr>
      <w:r w:rsidRPr="00675DCE">
        <w:rPr>
          <w:rFonts w:ascii="Times New Roman" w:hAnsi="Times New Roman" w:cs="Times New Roman"/>
          <w:sz w:val="24"/>
          <w:szCs w:val="24"/>
        </w:rPr>
        <w:t>Setelah dibuat perjanjian pembebanan hak jaminan atas resi gudang maka paling lambat 1 (satu) hari setelah tanggal perjanjian pembebanan hak jaminan atas resi gudang, bank sebagai pihak penerima hak jaminan wajib memberitahukan kepada pusat registrasi sistem resi gudang agar dilakukan pencatatan pada Buku Daftar Pembebanan Hak Jaminan atas Resi Gudang. Kemudian pihak pusat registrasi akan mengeluarkan bukti konfirmasi pemberitahuan pembebanan hak jaminan bahwa telah diterima dan telah dilakukan pencatatan. Hal ini dilakukan agar tidak terjadi penjaminan ganda serta memantau peredaran resi gudang dan memberikan kepastian hukum tentang pihak yang berhak atas barang dalam hal terjadi cedera janji</w:t>
      </w:r>
      <w:r w:rsidR="00B85EAA">
        <w:rPr>
          <w:rFonts w:ascii="Times New Roman" w:hAnsi="Times New Roman" w:cs="Times New Roman"/>
          <w:sz w:val="24"/>
          <w:szCs w:val="24"/>
        </w:rPr>
        <w:t xml:space="preserve"> </w:t>
      </w:r>
      <w:r w:rsidRPr="00675DCE">
        <w:rPr>
          <w:rFonts w:ascii="Times New Roman" w:hAnsi="Times New Roman" w:cs="Times New Roman"/>
          <w:sz w:val="24"/>
          <w:szCs w:val="24"/>
        </w:rPr>
        <w:t>(Trisadini Prasastinah Usanti, 2014 : 169-170).</w:t>
      </w:r>
      <w:r w:rsidR="006A7ECD">
        <w:rPr>
          <w:rStyle w:val="FootnoteReference"/>
          <w:rFonts w:ascii="Times New Roman" w:hAnsi="Times New Roman" w:cs="Times New Roman"/>
          <w:sz w:val="24"/>
          <w:szCs w:val="24"/>
        </w:rPr>
        <w:footnoteReference w:id="1"/>
      </w:r>
    </w:p>
    <w:p w14:paraId="25F3ABDB" w14:textId="77777777" w:rsidR="00046885" w:rsidRDefault="00B85EAA" w:rsidP="00285112">
      <w:pPr>
        <w:pStyle w:val="ListParagraph"/>
        <w:ind w:left="0" w:firstLine="720"/>
        <w:jc w:val="both"/>
        <w:rPr>
          <w:rFonts w:ascii="Times New Roman" w:hAnsi="Times New Roman" w:cs="Times New Roman"/>
          <w:sz w:val="24"/>
          <w:szCs w:val="24"/>
        </w:rPr>
      </w:pPr>
      <w:r>
        <w:rPr>
          <w:rFonts w:ascii="Times New Roman" w:hAnsi="Times New Roman" w:cs="Times New Roman"/>
          <w:sz w:val="24"/>
          <w:szCs w:val="24"/>
        </w:rPr>
        <w:t xml:space="preserve">Atas dilakukannya pembebanan terhadap resi gudang, maka timbul juga suatu Hak dan Kewajiban bagi </w:t>
      </w:r>
      <w:r w:rsidRPr="00046885">
        <w:rPr>
          <w:rFonts w:ascii="Times New Roman" w:hAnsi="Times New Roman" w:cs="Times New Roman"/>
          <w:color w:val="000000" w:themeColor="text1"/>
          <w:sz w:val="24"/>
          <w:szCs w:val="24"/>
        </w:rPr>
        <w:t>debitur dan kreditur</w:t>
      </w:r>
      <w:r>
        <w:rPr>
          <w:rFonts w:ascii="Times New Roman" w:hAnsi="Times New Roman" w:cs="Times New Roman"/>
          <w:sz w:val="24"/>
          <w:szCs w:val="24"/>
        </w:rPr>
        <w:t xml:space="preserve">. Yang mana </w:t>
      </w:r>
      <w:r w:rsidR="00675DCE" w:rsidRPr="00675DCE">
        <w:rPr>
          <w:rFonts w:ascii="Times New Roman" w:hAnsi="Times New Roman" w:cs="Times New Roman"/>
          <w:sz w:val="24"/>
          <w:szCs w:val="24"/>
        </w:rPr>
        <w:t>Hak jaminan atas resi gudang, yang selanjutnya disebut hak jaminan, adalah hak jaminan yang dibebankan pada resi gudang untuk pelunasan utang, yang memberikan kedudukan untuk diutamakan bagi penerima hak jaminan terhadap kreditur yang lain.</w:t>
      </w:r>
    </w:p>
    <w:p w14:paraId="455F157B" w14:textId="77777777" w:rsidR="00046885" w:rsidRDefault="00675DCE" w:rsidP="00285112">
      <w:pPr>
        <w:pStyle w:val="ListParagraph"/>
        <w:ind w:left="0" w:firstLine="720"/>
        <w:jc w:val="both"/>
        <w:rPr>
          <w:rFonts w:ascii="Times New Roman" w:hAnsi="Times New Roman" w:cs="Times New Roman"/>
          <w:sz w:val="24"/>
          <w:szCs w:val="24"/>
        </w:rPr>
      </w:pPr>
      <w:r w:rsidRPr="00675DCE">
        <w:rPr>
          <w:rFonts w:ascii="Times New Roman" w:hAnsi="Times New Roman" w:cs="Times New Roman"/>
          <w:sz w:val="24"/>
          <w:szCs w:val="24"/>
        </w:rPr>
        <w:t xml:space="preserve">Perjanjian hak jaminan merupakan perjanjian ikutan dari suatu perjanjian utang-piutang yang menjadi perjanjian pokok. Setiap resi gudang yang diterbitkan hanya dapat dibebani satu jaminan utang. Resi gudang yang dijadikan jaminan wajib diserahkan atau berada dalam </w:t>
      </w:r>
      <w:r w:rsidRPr="00675DCE">
        <w:rPr>
          <w:rFonts w:ascii="Times New Roman" w:hAnsi="Times New Roman" w:cs="Times New Roman"/>
          <w:sz w:val="24"/>
          <w:szCs w:val="24"/>
        </w:rPr>
        <w:lastRenderedPageBreak/>
        <w:t>penguasaan kreditur selaku penerima jaminan. Oleh karena itu, apabila telah berada ditangan kreditur penerima jaminan, resi gudang tersebut tidak mungkin lagi dijaminkan ulang.</w:t>
      </w:r>
      <w:r>
        <w:rPr>
          <w:rFonts w:ascii="Times New Roman" w:hAnsi="Times New Roman" w:cs="Times New Roman"/>
          <w:sz w:val="24"/>
          <w:szCs w:val="24"/>
        </w:rPr>
        <w:t xml:space="preserve"> </w:t>
      </w:r>
      <w:r w:rsidRPr="00675DCE">
        <w:rPr>
          <w:rFonts w:ascii="Times New Roman" w:hAnsi="Times New Roman" w:cs="Times New Roman"/>
          <w:sz w:val="24"/>
          <w:szCs w:val="24"/>
        </w:rPr>
        <w:t xml:space="preserve">Penerima hak jaminan harus memberitahukan perjanjian pengikatan resi gudang sebagai hak jaminan kepada pusat registrasi dan pengelola gudang. Pemberitahuan ini memuat pula data perjanjian pokok utang piutang yang mendasari timbulnya jaminan. </w:t>
      </w:r>
      <w:r>
        <w:rPr>
          <w:rFonts w:ascii="Times New Roman" w:hAnsi="Times New Roman" w:cs="Times New Roman"/>
          <w:sz w:val="24"/>
          <w:szCs w:val="24"/>
        </w:rPr>
        <w:t>P</w:t>
      </w:r>
      <w:r w:rsidRPr="00675DCE">
        <w:rPr>
          <w:rFonts w:ascii="Times New Roman" w:hAnsi="Times New Roman" w:cs="Times New Roman"/>
          <w:sz w:val="24"/>
          <w:szCs w:val="24"/>
        </w:rPr>
        <w:t>emberitahuan tersebut akan mempermudah pusat registrasi dan pengelola gudang dalam rangka mencegah adanya penjaminan ganda serta memantau peredaran resi gudang dan memberikan kepastian hukum tentang pihak yang berhak atas barang dalam hal terjadi cidera janji.</w:t>
      </w:r>
    </w:p>
    <w:p w14:paraId="07FA3510" w14:textId="77777777" w:rsidR="00046885" w:rsidRDefault="00046885" w:rsidP="00285112">
      <w:pPr>
        <w:pStyle w:val="ListParagraph"/>
        <w:ind w:left="0" w:firstLine="720"/>
        <w:jc w:val="both"/>
        <w:rPr>
          <w:rFonts w:ascii="Times New Roman" w:hAnsi="Times New Roman" w:cs="Times New Roman"/>
          <w:sz w:val="24"/>
          <w:szCs w:val="24"/>
        </w:rPr>
      </w:pPr>
      <w:r w:rsidRPr="00046885">
        <w:rPr>
          <w:rFonts w:ascii="Times New Roman" w:hAnsi="Times New Roman" w:cs="Times New Roman"/>
          <w:sz w:val="24"/>
          <w:szCs w:val="24"/>
        </w:rPr>
        <w:t>Jaminan resi gudang merupakan suatu mekanisme yang memungkinkan pemilik barang yang disimpan di gudang untuk mendapatkan pinjaman dengan menggunakan resi gudang sebagai agunan. Dalam sistem ini, terdapat dua pihak utama yang memiliki hak dan kewajiban masing-masing, yaitu pemberi jaminan (pemilik barang) dan penerima jaminan (kreditur).</w:t>
      </w:r>
    </w:p>
    <w:p w14:paraId="3EAA827D" w14:textId="77777777" w:rsidR="00046885" w:rsidRDefault="00046885" w:rsidP="00046885">
      <w:pPr>
        <w:pStyle w:val="ListParagraph"/>
        <w:ind w:left="0"/>
        <w:jc w:val="both"/>
        <w:rPr>
          <w:rFonts w:ascii="Times New Roman" w:hAnsi="Times New Roman" w:cs="Times New Roman"/>
          <w:sz w:val="24"/>
          <w:szCs w:val="24"/>
        </w:rPr>
      </w:pPr>
      <w:r w:rsidRPr="00046885">
        <w:rPr>
          <w:rFonts w:ascii="Times New Roman" w:hAnsi="Times New Roman" w:cs="Times New Roman"/>
          <w:sz w:val="24"/>
          <w:szCs w:val="24"/>
        </w:rPr>
        <w:t>Pemberi jaminan memiliki hak untuk mendapatkan pinjaman, mendapat pemberitahuan jika barang jaminan akan dijual, dan mendapatkan kembali resi gudang setelah utang lunas. Namun, mereka juga berkewajiban untuk membuat akta jaminan, melunasi utang, menyerahkan resi gudang, dan bertanggung jawab atas kekurangan pembayaran jika hasil penjualan barang jaminan tidak cukup menutupi utang.</w:t>
      </w:r>
    </w:p>
    <w:p w14:paraId="561F94C2" w14:textId="77777777" w:rsidR="00046885" w:rsidRDefault="00046885" w:rsidP="00285112">
      <w:pPr>
        <w:pStyle w:val="ListParagraph"/>
        <w:ind w:left="0" w:firstLine="720"/>
        <w:jc w:val="both"/>
        <w:rPr>
          <w:rFonts w:ascii="Times New Roman" w:hAnsi="Times New Roman" w:cs="Times New Roman"/>
          <w:sz w:val="24"/>
          <w:szCs w:val="24"/>
        </w:rPr>
      </w:pPr>
      <w:r w:rsidRPr="00046885">
        <w:rPr>
          <w:rFonts w:ascii="Times New Roman" w:hAnsi="Times New Roman" w:cs="Times New Roman"/>
          <w:sz w:val="24"/>
          <w:szCs w:val="24"/>
        </w:rPr>
        <w:t>Di sisi lain, penerima jaminan memiliki hak untuk menerima jaminan resi gudang sebagai agunan, mendapat prioritas dalam pelunasan utang, menguasai barang jaminan, melakukan eksekusi jika debitur wanprestasi, dan menjual barang jaminan. Namun, mereka juga berkewajiban membuat akta pembebanan jaminan, memberitahukan perjanjian kepada pihak terkait, dan mengembalikan kelebihan hasil eksekusi.</w:t>
      </w:r>
    </w:p>
    <w:p w14:paraId="1F80922A" w14:textId="77777777" w:rsidR="00046885" w:rsidRDefault="00046885" w:rsidP="00046885">
      <w:pPr>
        <w:pStyle w:val="ListParagraph"/>
        <w:ind w:left="0"/>
        <w:jc w:val="both"/>
        <w:rPr>
          <w:rFonts w:ascii="Times New Roman" w:hAnsi="Times New Roman" w:cs="Times New Roman"/>
          <w:sz w:val="24"/>
          <w:szCs w:val="24"/>
        </w:rPr>
      </w:pPr>
      <w:r w:rsidRPr="00046885">
        <w:rPr>
          <w:rFonts w:ascii="Times New Roman" w:hAnsi="Times New Roman" w:cs="Times New Roman"/>
          <w:sz w:val="24"/>
          <w:szCs w:val="24"/>
        </w:rPr>
        <w:t>Penting untuk diingat bahwa pengelola gudang tidak bertanggung jawab atas kerugian yang timbul akibat kelalaian mereka dalam menyimpan barang. Kerugian tersebut menjadi tanggung jawab penuh dari pengelola gudang. Selain itu, penerima jaminan dilarang untuk menjadi pemilik barang jaminan jika debitur wanprestasi.</w:t>
      </w:r>
    </w:p>
    <w:p w14:paraId="327694B8" w14:textId="6C0D649F" w:rsidR="00C04DEE" w:rsidRDefault="00046885" w:rsidP="00C04DEE">
      <w:pPr>
        <w:pStyle w:val="ListParagraph"/>
        <w:ind w:left="0"/>
        <w:jc w:val="both"/>
        <w:rPr>
          <w:rFonts w:ascii="Times New Roman" w:hAnsi="Times New Roman" w:cs="Times New Roman"/>
          <w:sz w:val="24"/>
          <w:szCs w:val="24"/>
        </w:rPr>
      </w:pPr>
      <w:r w:rsidRPr="00046885">
        <w:rPr>
          <w:rFonts w:ascii="Times New Roman" w:hAnsi="Times New Roman" w:cs="Times New Roman"/>
          <w:sz w:val="24"/>
          <w:szCs w:val="24"/>
        </w:rPr>
        <w:t>Singkatnya, jaminan resi gudang memberikan fleksibilitas bagi pemilik barang untuk mendapatkan pinjaman dengan cepat, namun juga disertai dengan sejumlah kewajiban yang harus dipenuhi. Bagi kreditur, sistem ini memberikan jaminan yang lebih kuat atas piutangnya, namun juga memerlukan kehati-hatian dalam pengelolaan jaminan.</w:t>
      </w:r>
      <w:r w:rsidR="00C04DEE">
        <w:rPr>
          <w:rFonts w:ascii="Times New Roman" w:hAnsi="Times New Roman" w:cs="Times New Roman"/>
          <w:sz w:val="24"/>
          <w:szCs w:val="24"/>
        </w:rPr>
        <w:t xml:space="preserve"> </w:t>
      </w:r>
      <w:r w:rsidR="00675DCE" w:rsidRPr="00C04DEE">
        <w:rPr>
          <w:rFonts w:ascii="Times New Roman" w:hAnsi="Times New Roman" w:cs="Times New Roman"/>
          <w:sz w:val="24"/>
          <w:szCs w:val="24"/>
        </w:rPr>
        <w:t>(Riky Rustam, 2017 : 315-316).</w:t>
      </w:r>
      <w:r w:rsidR="005119A1" w:rsidRPr="00C04DEE">
        <w:rPr>
          <w:rFonts w:ascii="Times New Roman" w:hAnsi="Times New Roman" w:cs="Times New Roman"/>
          <w:sz w:val="24"/>
          <w:szCs w:val="24"/>
        </w:rPr>
        <w:t xml:space="preserve"> </w:t>
      </w:r>
      <w:r w:rsidR="006A7ECD">
        <w:rPr>
          <w:rStyle w:val="FootnoteReference"/>
          <w:rFonts w:ascii="Times New Roman" w:hAnsi="Times New Roman" w:cs="Times New Roman"/>
          <w:sz w:val="24"/>
          <w:szCs w:val="24"/>
        </w:rPr>
        <w:footnoteReference w:id="2"/>
      </w:r>
    </w:p>
    <w:p w14:paraId="0EB48599" w14:textId="77777777" w:rsidR="00665D52" w:rsidRDefault="00ED099B" w:rsidP="00285112">
      <w:pPr>
        <w:pStyle w:val="ListParagraph"/>
        <w:ind w:left="0" w:firstLine="720"/>
        <w:jc w:val="both"/>
        <w:rPr>
          <w:rFonts w:ascii="Times New Roman" w:hAnsi="Times New Roman" w:cs="Times New Roman"/>
          <w:color w:val="000000" w:themeColor="text1"/>
          <w:sz w:val="24"/>
          <w:szCs w:val="24"/>
        </w:rPr>
      </w:pPr>
      <w:r w:rsidRPr="00C04DEE">
        <w:rPr>
          <w:rFonts w:ascii="Times New Roman" w:hAnsi="Times New Roman" w:cs="Times New Roman"/>
          <w:color w:val="000000" w:themeColor="text1"/>
          <w:sz w:val="24"/>
          <w:szCs w:val="24"/>
        </w:rPr>
        <w:t>Kegiatan sistem resi gudang juga sering terjadi masalah masalah yang dapat terjadi. Salah satu permasalan yang kerap menimbulkan keresahan bagi para petani dan pelau usaha yaitu perlindngan yang kurang bagi pengguna sistem resi gudang, ketika pengelola gudang melakukan suatu kesalahan yang mengakibatkan kerugia</w:t>
      </w:r>
      <w:r w:rsidR="00046885" w:rsidRPr="00C04DEE">
        <w:rPr>
          <w:rFonts w:ascii="Times New Roman" w:hAnsi="Times New Roman" w:cs="Times New Roman"/>
          <w:color w:val="000000" w:themeColor="text1"/>
          <w:sz w:val="24"/>
          <w:szCs w:val="24"/>
        </w:rPr>
        <w:t>n</w:t>
      </w:r>
      <w:r w:rsidRPr="00C04DEE">
        <w:rPr>
          <w:rFonts w:ascii="Times New Roman" w:hAnsi="Times New Roman" w:cs="Times New Roman"/>
          <w:color w:val="000000" w:themeColor="text1"/>
          <w:sz w:val="24"/>
          <w:szCs w:val="24"/>
        </w:rPr>
        <w:t xml:space="preserve"> bagi pemegang resi gudang. </w:t>
      </w:r>
      <w:r w:rsidR="00C04DEE" w:rsidRPr="00C04DEE">
        <w:rPr>
          <w:rFonts w:ascii="Times New Roman" w:hAnsi="Times New Roman" w:cs="Times New Roman"/>
          <w:color w:val="000000" w:themeColor="text1"/>
          <w:sz w:val="24"/>
          <w:szCs w:val="24"/>
        </w:rPr>
        <w:t>Kegagalan pengelola gudang dapat terjadi dalam berbagai bentuk. Mulai dari kerusakan fisik barang akibat kebakaran, bencana alam, atau kelalaian pengelola, hingga penyalahgunaan dokumen resi gudang, seperti pemalsuan atau penggunaan untuk transaksi yang berbeda. Selain itu, pengelola gudang juga bisa gagal dalam kewajibannya menyerahkan barang sesuai dengan resi yang diterbitkan, misalnya karena mengalami kesulitan keuangan atau bahkan pailit.</w:t>
      </w:r>
      <w:r w:rsidR="00C04DEE" w:rsidRPr="00C04DEE">
        <w:rPr>
          <w:rFonts w:ascii="Times New Roman" w:hAnsi="Times New Roman" w:cs="Times New Roman"/>
          <w:color w:val="000000" w:themeColor="text1"/>
          <w:sz w:val="24"/>
          <w:szCs w:val="24"/>
        </w:rPr>
        <w:t xml:space="preserve"> </w:t>
      </w:r>
    </w:p>
    <w:p w14:paraId="2CD4B14D" w14:textId="73DDA350" w:rsidR="00C04DEE" w:rsidRDefault="00C04DEE" w:rsidP="00665D52">
      <w:pPr>
        <w:pStyle w:val="ListParagraph"/>
        <w:ind w:left="0"/>
        <w:jc w:val="both"/>
        <w:rPr>
          <w:rFonts w:ascii="Times New Roman" w:hAnsi="Times New Roman" w:cs="Times New Roman"/>
          <w:sz w:val="24"/>
          <w:szCs w:val="24"/>
        </w:rPr>
      </w:pPr>
      <w:r w:rsidRPr="00665D52">
        <w:rPr>
          <w:rFonts w:ascii="Times New Roman" w:hAnsi="Times New Roman" w:cs="Times New Roman"/>
          <w:color w:val="000000" w:themeColor="text1"/>
          <w:sz w:val="24"/>
          <w:szCs w:val="24"/>
        </w:rPr>
        <w:t xml:space="preserve">Melihat potensi dan tantangan yang ada dalam sistem jaminan resi gudang, didirikanlah </w:t>
      </w:r>
      <w:r w:rsidRPr="00665D52">
        <w:rPr>
          <w:rFonts w:ascii="Times New Roman" w:hAnsi="Times New Roman" w:cs="Times New Roman"/>
          <w:color w:val="000000" w:themeColor="text1"/>
          <w:sz w:val="24"/>
          <w:szCs w:val="24"/>
        </w:rPr>
        <w:t>kelembagaan dalam sistem resi gudang</w:t>
      </w:r>
      <w:r w:rsidRPr="00665D52">
        <w:rPr>
          <w:rFonts w:ascii="Times New Roman" w:hAnsi="Times New Roman" w:cs="Times New Roman"/>
          <w:color w:val="000000" w:themeColor="text1"/>
          <w:sz w:val="24"/>
          <w:szCs w:val="24"/>
        </w:rPr>
        <w:t xml:space="preserve"> dengan tujuan</w:t>
      </w:r>
      <w:r w:rsidRPr="00665D52">
        <w:rPr>
          <w:rFonts w:ascii="Times New Roman" w:hAnsi="Times New Roman" w:cs="Times New Roman"/>
          <w:color w:val="000000" w:themeColor="text1"/>
          <w:sz w:val="24"/>
          <w:szCs w:val="24"/>
        </w:rPr>
        <w:t xml:space="preserve"> </w:t>
      </w:r>
      <w:r w:rsidR="00675DCE" w:rsidRPr="00665D52">
        <w:rPr>
          <w:rFonts w:ascii="Times New Roman" w:hAnsi="Times New Roman" w:cs="Times New Roman"/>
          <w:color w:val="000000" w:themeColor="text1"/>
          <w:sz w:val="24"/>
          <w:szCs w:val="24"/>
        </w:rPr>
        <w:t xml:space="preserve">untuk meningkatkan taraf kehidupan </w:t>
      </w:r>
      <w:r w:rsidR="00675DCE" w:rsidRPr="00665D52">
        <w:rPr>
          <w:rFonts w:ascii="Times New Roman" w:hAnsi="Times New Roman" w:cs="Times New Roman"/>
          <w:sz w:val="24"/>
          <w:szCs w:val="24"/>
        </w:rPr>
        <w:t>petani produsen serta menggairahkan dunia usaha di sektor pertanian</w:t>
      </w:r>
      <w:r w:rsidRPr="00665D52">
        <w:rPr>
          <w:rFonts w:ascii="Times New Roman" w:hAnsi="Times New Roman" w:cs="Times New Roman"/>
          <w:sz w:val="24"/>
          <w:szCs w:val="24"/>
        </w:rPr>
        <w:t>.</w:t>
      </w:r>
      <w:r w:rsidR="00675DCE" w:rsidRPr="00665D52">
        <w:rPr>
          <w:rFonts w:ascii="Times New Roman" w:hAnsi="Times New Roman" w:cs="Times New Roman"/>
          <w:sz w:val="24"/>
          <w:szCs w:val="24"/>
        </w:rPr>
        <w:t xml:space="preserve"> </w:t>
      </w:r>
      <w:r w:rsidRPr="00665D52">
        <w:rPr>
          <w:rFonts w:ascii="Times New Roman" w:hAnsi="Times New Roman" w:cs="Times New Roman"/>
          <w:sz w:val="24"/>
          <w:szCs w:val="24"/>
        </w:rPr>
        <w:t>S</w:t>
      </w:r>
      <w:r w:rsidR="00675DCE" w:rsidRPr="00665D52">
        <w:rPr>
          <w:rFonts w:ascii="Times New Roman" w:hAnsi="Times New Roman" w:cs="Times New Roman"/>
          <w:sz w:val="24"/>
          <w:szCs w:val="24"/>
        </w:rPr>
        <w:t xml:space="preserve">istem resi gudang melibatkan sejumlah pihak terkait yakni menteri perdagangan, </w:t>
      </w:r>
      <w:r w:rsidR="00665D52" w:rsidRPr="00665D52">
        <w:rPr>
          <w:rFonts w:ascii="Times New Roman" w:hAnsi="Times New Roman" w:cs="Times New Roman"/>
          <w:sz w:val="24"/>
          <w:szCs w:val="24"/>
        </w:rPr>
        <w:t>Badan Pengawas Perdagangan Berjangka Komoditi</w:t>
      </w:r>
      <w:r w:rsidR="00675DCE" w:rsidRPr="00665D52">
        <w:rPr>
          <w:rFonts w:ascii="Times New Roman" w:hAnsi="Times New Roman" w:cs="Times New Roman"/>
          <w:sz w:val="24"/>
          <w:szCs w:val="24"/>
        </w:rPr>
        <w:t xml:space="preserve">, pengelola gudang, lembaga penilaian kesesuaian, pusat registrasi, bank </w:t>
      </w:r>
      <w:r w:rsidR="00675DCE" w:rsidRPr="00665D52">
        <w:rPr>
          <w:rFonts w:ascii="Times New Roman" w:hAnsi="Times New Roman" w:cs="Times New Roman"/>
          <w:sz w:val="24"/>
          <w:szCs w:val="24"/>
        </w:rPr>
        <w:lastRenderedPageBreak/>
        <w:t>atau lembaga keuangan non-bank, asuransi, serta pemerintah pusat atau daerah. Sejumlah lembaga penting yang terlibat dalam kegiatan Sisrem Resi Gudang yaitu</w:t>
      </w:r>
      <w:r w:rsidR="00ED099B" w:rsidRPr="00665D52">
        <w:rPr>
          <w:rFonts w:ascii="Times New Roman" w:hAnsi="Times New Roman" w:cs="Times New Roman"/>
          <w:sz w:val="24"/>
          <w:szCs w:val="24"/>
        </w:rPr>
        <w:t xml:space="preserve">, </w:t>
      </w:r>
      <w:r w:rsidR="00675DCE" w:rsidRPr="00665D52">
        <w:rPr>
          <w:rFonts w:ascii="Times New Roman" w:hAnsi="Times New Roman" w:cs="Times New Roman"/>
          <w:sz w:val="24"/>
          <w:szCs w:val="24"/>
        </w:rPr>
        <w:t xml:space="preserve">Badan Pengawas </w:t>
      </w:r>
      <w:r w:rsidR="00ED099B" w:rsidRPr="00665D52">
        <w:rPr>
          <w:rFonts w:ascii="Times New Roman" w:hAnsi="Times New Roman" w:cs="Times New Roman"/>
          <w:sz w:val="24"/>
          <w:szCs w:val="24"/>
        </w:rPr>
        <w:t xml:space="preserve">yang dilakukan oleh </w:t>
      </w:r>
      <w:r w:rsidR="00665D52" w:rsidRPr="00665D52">
        <w:rPr>
          <w:rFonts w:ascii="Times New Roman" w:hAnsi="Times New Roman" w:cs="Times New Roman"/>
          <w:sz w:val="24"/>
          <w:szCs w:val="24"/>
        </w:rPr>
        <w:t>Badan Pengawas</w:t>
      </w:r>
      <w:r w:rsidR="00665D52" w:rsidRPr="00665D52">
        <w:rPr>
          <w:rFonts w:ascii="Times New Roman" w:hAnsi="Times New Roman" w:cs="Times New Roman"/>
          <w:sz w:val="24"/>
          <w:szCs w:val="24"/>
        </w:rPr>
        <w:t xml:space="preserve"> </w:t>
      </w:r>
      <w:r w:rsidR="00665D52" w:rsidRPr="00665D52">
        <w:rPr>
          <w:rFonts w:ascii="Times New Roman" w:hAnsi="Times New Roman" w:cs="Times New Roman"/>
          <w:sz w:val="24"/>
          <w:szCs w:val="24"/>
        </w:rPr>
        <w:t>Perdagangan Berjangka</w:t>
      </w:r>
      <w:r w:rsidR="00665D52">
        <w:rPr>
          <w:rFonts w:ascii="Times New Roman" w:hAnsi="Times New Roman" w:cs="Times New Roman"/>
          <w:sz w:val="24"/>
          <w:szCs w:val="24"/>
        </w:rPr>
        <w:t xml:space="preserve"> </w:t>
      </w:r>
      <w:r w:rsidR="00665D52" w:rsidRPr="00665D52">
        <w:rPr>
          <w:rFonts w:ascii="Times New Roman" w:hAnsi="Times New Roman" w:cs="Times New Roman"/>
          <w:sz w:val="24"/>
          <w:szCs w:val="24"/>
        </w:rPr>
        <w:t xml:space="preserve">Komoditi </w:t>
      </w:r>
      <w:r w:rsidR="00665D52">
        <w:rPr>
          <w:rFonts w:ascii="Times New Roman" w:hAnsi="Times New Roman" w:cs="Times New Roman"/>
          <w:sz w:val="24"/>
          <w:szCs w:val="24"/>
        </w:rPr>
        <w:t>(</w:t>
      </w:r>
      <w:r w:rsidR="00675DCE" w:rsidRPr="00C04DEE">
        <w:rPr>
          <w:rFonts w:ascii="Times New Roman" w:hAnsi="Times New Roman" w:cs="Times New Roman"/>
          <w:sz w:val="24"/>
          <w:szCs w:val="24"/>
        </w:rPr>
        <w:t>BAPPEBTI)</w:t>
      </w:r>
      <w:r w:rsidR="00ED099B" w:rsidRPr="00C04DEE">
        <w:rPr>
          <w:rFonts w:ascii="Times New Roman" w:hAnsi="Times New Roman" w:cs="Times New Roman"/>
          <w:sz w:val="24"/>
          <w:szCs w:val="24"/>
        </w:rPr>
        <w:t xml:space="preserve">. </w:t>
      </w:r>
      <w:r w:rsidR="00675DCE" w:rsidRPr="00C04DEE">
        <w:rPr>
          <w:rFonts w:ascii="Times New Roman" w:hAnsi="Times New Roman" w:cs="Times New Roman"/>
          <w:sz w:val="24"/>
          <w:szCs w:val="24"/>
        </w:rPr>
        <w:t>Bertugas melakukan pembinaan, pengaturan dan pengawasan terhadap kegiatan yang berkaitan dengan SRG. Badan ini juga memberi persetujuan kepada Pengelola Gudang, LPK dan Pusat Registrasi. Pengelola Gudang</w:t>
      </w:r>
      <w:r w:rsidR="00ED099B" w:rsidRPr="00C04DEE">
        <w:rPr>
          <w:rFonts w:ascii="Times New Roman" w:hAnsi="Times New Roman" w:cs="Times New Roman"/>
          <w:sz w:val="24"/>
          <w:szCs w:val="24"/>
        </w:rPr>
        <w:t xml:space="preserve">, </w:t>
      </w:r>
      <w:r w:rsidR="00675DCE" w:rsidRPr="00C04DEE">
        <w:rPr>
          <w:rFonts w:ascii="Times New Roman" w:hAnsi="Times New Roman" w:cs="Times New Roman"/>
          <w:sz w:val="24"/>
          <w:szCs w:val="24"/>
        </w:rPr>
        <w:t>Sebagai badan usaha yang menyimpan barang dan menerbitkan Resi Gudang, Pengelola Gudang berbentuk badan usaha berbadan hukum yang bergerak khusus di bidang jasa pengelolaan gudang dan telah mendapatkan</w:t>
      </w:r>
      <w:r>
        <w:rPr>
          <w:rFonts w:ascii="Times New Roman" w:hAnsi="Times New Roman" w:cs="Times New Roman"/>
          <w:sz w:val="24"/>
          <w:szCs w:val="24"/>
        </w:rPr>
        <w:t xml:space="preserve"> </w:t>
      </w:r>
      <w:r w:rsidR="00675DCE" w:rsidRPr="00675DCE">
        <w:rPr>
          <w:rFonts w:ascii="Times New Roman" w:hAnsi="Times New Roman" w:cs="Times New Roman"/>
          <w:sz w:val="24"/>
          <w:szCs w:val="24"/>
        </w:rPr>
        <w:t>persetujuan Badan Pengawas. Lembaga Penilaian Kesesuaian (LPK)</w:t>
      </w:r>
      <w:r w:rsidR="00ED099B">
        <w:rPr>
          <w:rFonts w:ascii="Times New Roman" w:hAnsi="Times New Roman" w:cs="Times New Roman"/>
          <w:sz w:val="24"/>
          <w:szCs w:val="24"/>
        </w:rPr>
        <w:t xml:space="preserve">, </w:t>
      </w:r>
      <w:r w:rsidR="00675DCE" w:rsidRPr="00675DCE">
        <w:rPr>
          <w:rFonts w:ascii="Times New Roman" w:hAnsi="Times New Roman" w:cs="Times New Roman"/>
          <w:sz w:val="24"/>
          <w:szCs w:val="24"/>
        </w:rPr>
        <w:t>Sebagai lembaga yang terakreditasi, Lembaga Penilaian Kesesuaian melakukan kegiatan penilaian untuk</w:t>
      </w:r>
      <w:r>
        <w:rPr>
          <w:rFonts w:ascii="Times New Roman" w:hAnsi="Times New Roman" w:cs="Times New Roman"/>
          <w:sz w:val="24"/>
          <w:szCs w:val="24"/>
        </w:rPr>
        <w:t xml:space="preserve"> </w:t>
      </w:r>
      <w:r w:rsidR="00675DCE" w:rsidRPr="00675DCE">
        <w:rPr>
          <w:rFonts w:ascii="Times New Roman" w:hAnsi="Times New Roman" w:cs="Times New Roman"/>
          <w:sz w:val="24"/>
          <w:szCs w:val="24"/>
        </w:rPr>
        <w:t>membuktikan bahwa persyaratan tertentu mengenai: produk, proses, sistem, dan/atau personel telah terpenuhi.</w:t>
      </w:r>
      <w:r w:rsidR="00ED099B">
        <w:rPr>
          <w:rFonts w:ascii="Times New Roman" w:hAnsi="Times New Roman" w:cs="Times New Roman"/>
          <w:sz w:val="24"/>
          <w:szCs w:val="24"/>
        </w:rPr>
        <w:t xml:space="preserve"> </w:t>
      </w:r>
      <w:r w:rsidR="00675DCE" w:rsidRPr="00675DCE">
        <w:rPr>
          <w:rFonts w:ascii="Times New Roman" w:hAnsi="Times New Roman" w:cs="Times New Roman"/>
          <w:sz w:val="24"/>
          <w:szCs w:val="24"/>
        </w:rPr>
        <w:t>Kegiatan penilaian kesesuaian dalam SRG dilakukan oleh LPK yang telah mendapat persetujuan dari Badan Pengawas. Kegiatan ini mencakup lembaga inspeksi, laboratorium</w:t>
      </w:r>
      <w:r w:rsidR="00ED099B">
        <w:rPr>
          <w:rFonts w:ascii="Times New Roman" w:hAnsi="Times New Roman" w:cs="Times New Roman"/>
          <w:sz w:val="24"/>
          <w:szCs w:val="24"/>
        </w:rPr>
        <w:t xml:space="preserve"> </w:t>
      </w:r>
      <w:r w:rsidR="00675DCE" w:rsidRPr="00675DCE">
        <w:rPr>
          <w:rFonts w:ascii="Times New Roman" w:hAnsi="Times New Roman" w:cs="Times New Roman"/>
          <w:sz w:val="24"/>
          <w:szCs w:val="24"/>
        </w:rPr>
        <w:t>penguji dan lembaga sertifi kasi sistem mutu. Syarat untuk mendapat persetujuan sebagai LPK diantaranya adalah telah diakreditasi oleh KAN atau mendapat surat rekomendasi dari Direktorat Pengembangan Mutu Barang Kementerian Perdagangan RI.</w:t>
      </w:r>
      <w:r w:rsidR="00ED099B">
        <w:rPr>
          <w:rFonts w:ascii="Times New Roman" w:hAnsi="Times New Roman" w:cs="Times New Roman"/>
          <w:sz w:val="24"/>
          <w:szCs w:val="24"/>
        </w:rPr>
        <w:t xml:space="preserve"> </w:t>
      </w:r>
      <w:r w:rsidR="00675DCE" w:rsidRPr="00ED099B">
        <w:rPr>
          <w:rFonts w:ascii="Times New Roman" w:hAnsi="Times New Roman" w:cs="Times New Roman"/>
          <w:sz w:val="24"/>
          <w:szCs w:val="24"/>
        </w:rPr>
        <w:t>Pusat Registrasi</w:t>
      </w:r>
      <w:r w:rsidR="00ED099B">
        <w:rPr>
          <w:rFonts w:ascii="Times New Roman" w:hAnsi="Times New Roman" w:cs="Times New Roman"/>
          <w:sz w:val="24"/>
          <w:szCs w:val="24"/>
        </w:rPr>
        <w:t xml:space="preserve">, </w:t>
      </w:r>
      <w:r w:rsidR="00675DCE" w:rsidRPr="00675DCE">
        <w:rPr>
          <w:rFonts w:ascii="Times New Roman" w:hAnsi="Times New Roman" w:cs="Times New Roman"/>
          <w:sz w:val="24"/>
          <w:szCs w:val="24"/>
        </w:rPr>
        <w:t>Sebuah badan usaha yang melakukan penatausahaan Resi Gudang, tugas pusat registrasi adalah melakukan aktivitas pencatatan, penyimpanan, pengalihan, pembebanan hak</w:t>
      </w:r>
      <w:r w:rsidR="00ED099B">
        <w:rPr>
          <w:rFonts w:ascii="Times New Roman" w:hAnsi="Times New Roman" w:cs="Times New Roman"/>
          <w:sz w:val="24"/>
          <w:szCs w:val="24"/>
        </w:rPr>
        <w:t xml:space="preserve"> </w:t>
      </w:r>
      <w:r w:rsidR="00675DCE" w:rsidRPr="00675DCE">
        <w:rPr>
          <w:rFonts w:ascii="Times New Roman" w:hAnsi="Times New Roman" w:cs="Times New Roman"/>
          <w:sz w:val="24"/>
          <w:szCs w:val="24"/>
        </w:rPr>
        <w:t>jaminan, pelaporan, serta penyediaan sistem dan jaringan</w:t>
      </w:r>
      <w:r w:rsidR="00ED099B">
        <w:rPr>
          <w:rFonts w:ascii="Times New Roman" w:hAnsi="Times New Roman" w:cs="Times New Roman"/>
          <w:sz w:val="24"/>
          <w:szCs w:val="24"/>
        </w:rPr>
        <w:t xml:space="preserve"> </w:t>
      </w:r>
      <w:r w:rsidR="00675DCE" w:rsidRPr="00675DCE">
        <w:rPr>
          <w:rFonts w:ascii="Times New Roman" w:hAnsi="Times New Roman" w:cs="Times New Roman"/>
          <w:sz w:val="24"/>
          <w:szCs w:val="24"/>
        </w:rPr>
        <w:t>informasi. Dokumen Permohonan Persetujuan Sebagai Pusat Registrasi dapat dilihat di Peraturan Kepala Bappebti Nomor</w:t>
      </w:r>
      <w:r w:rsidR="00ED099B">
        <w:rPr>
          <w:rFonts w:ascii="Times New Roman" w:hAnsi="Times New Roman" w:cs="Times New Roman"/>
          <w:sz w:val="24"/>
          <w:szCs w:val="24"/>
        </w:rPr>
        <w:t xml:space="preserve"> </w:t>
      </w:r>
      <w:r w:rsidR="00675DCE" w:rsidRPr="00675DCE">
        <w:rPr>
          <w:rFonts w:ascii="Times New Roman" w:hAnsi="Times New Roman" w:cs="Times New Roman"/>
          <w:sz w:val="24"/>
          <w:szCs w:val="24"/>
        </w:rPr>
        <w:t xml:space="preserve">5/BAPPEBTI/PER-SRG/7/2007. BAPPEBTI saat ini telah menunjuk Pusat Registrasi yang dilakukan oleh PT (Persero) Kliring Berjangka Indonesia. </w:t>
      </w:r>
    </w:p>
    <w:p w14:paraId="58D0C940" w14:textId="77777777" w:rsidR="00C04DEE" w:rsidRPr="00285112" w:rsidRDefault="00675DCE" w:rsidP="00C04DEE">
      <w:pPr>
        <w:pStyle w:val="ListParagraph"/>
        <w:ind w:left="0"/>
        <w:jc w:val="both"/>
        <w:rPr>
          <w:rFonts w:ascii="Times New Roman" w:hAnsi="Times New Roman" w:cs="Times New Roman"/>
          <w:b/>
          <w:bCs/>
          <w:sz w:val="24"/>
          <w:szCs w:val="24"/>
        </w:rPr>
      </w:pPr>
      <w:r w:rsidRPr="00285112">
        <w:rPr>
          <w:rFonts w:ascii="Times New Roman" w:hAnsi="Times New Roman" w:cs="Times New Roman"/>
          <w:b/>
          <w:bCs/>
          <w:sz w:val="24"/>
          <w:szCs w:val="24"/>
        </w:rPr>
        <w:t>Lembaga Jaminan Resi Gudang</w:t>
      </w:r>
    </w:p>
    <w:p w14:paraId="3205A8D0" w14:textId="5D9651AB" w:rsidR="00405E2B" w:rsidRDefault="0016580B" w:rsidP="00285112">
      <w:pPr>
        <w:pStyle w:val="ListParagraph"/>
        <w:ind w:left="0" w:firstLine="720"/>
        <w:jc w:val="both"/>
        <w:rPr>
          <w:rFonts w:ascii="Times New Roman" w:hAnsi="Times New Roman" w:cs="Times New Roman"/>
          <w:sz w:val="24"/>
          <w:szCs w:val="24"/>
        </w:rPr>
      </w:pPr>
      <w:r w:rsidRPr="00C04DEE">
        <w:rPr>
          <w:rFonts w:ascii="Times New Roman" w:hAnsi="Times New Roman" w:cs="Times New Roman"/>
          <w:sz w:val="24"/>
          <w:szCs w:val="24"/>
        </w:rPr>
        <w:t xml:space="preserve">Menurut pasal 1 ayat 14 UU 09/2011, menyebutkan </w:t>
      </w:r>
      <w:r w:rsidR="00675DCE" w:rsidRPr="00C04DEE">
        <w:rPr>
          <w:rFonts w:ascii="Times New Roman" w:hAnsi="Times New Roman" w:cs="Times New Roman"/>
          <w:sz w:val="24"/>
          <w:szCs w:val="24"/>
        </w:rPr>
        <w:t>Lembaga Jaminan Resi Gudang adalah badan hukum Indonesia yang menjamin hak dan kepentingan pemegang resi gudang atau penerima Hak Jaminan terhadap kegagalan, kelalaian atau ketidakmampuan pengelola gudang dalam</w:t>
      </w:r>
      <w:r w:rsidRPr="00C04DEE">
        <w:rPr>
          <w:rFonts w:ascii="Times New Roman" w:hAnsi="Times New Roman" w:cs="Times New Roman"/>
          <w:sz w:val="24"/>
          <w:szCs w:val="24"/>
        </w:rPr>
        <w:t xml:space="preserve"> </w:t>
      </w:r>
      <w:r w:rsidR="00675DCE" w:rsidRPr="00C04DEE">
        <w:rPr>
          <w:rFonts w:ascii="Times New Roman" w:hAnsi="Times New Roman" w:cs="Times New Roman"/>
          <w:sz w:val="24"/>
          <w:szCs w:val="24"/>
        </w:rPr>
        <w:t>melaksanakan kewajibannya menyimpan dan menyerahkan</w:t>
      </w:r>
      <w:r w:rsidRPr="00C04DEE">
        <w:rPr>
          <w:rFonts w:ascii="Times New Roman" w:hAnsi="Times New Roman" w:cs="Times New Roman"/>
          <w:sz w:val="24"/>
          <w:szCs w:val="24"/>
        </w:rPr>
        <w:t xml:space="preserve"> </w:t>
      </w:r>
      <w:r w:rsidR="00675DCE" w:rsidRPr="00C04DEE">
        <w:rPr>
          <w:rFonts w:ascii="Times New Roman" w:hAnsi="Times New Roman" w:cs="Times New Roman"/>
          <w:sz w:val="24"/>
          <w:szCs w:val="24"/>
        </w:rPr>
        <w:t>barang yang tertera dalam Resi Gudang.</w:t>
      </w:r>
      <w:r w:rsidR="00ED099B" w:rsidRPr="00C04DEE">
        <w:rPr>
          <w:rFonts w:ascii="Times New Roman" w:hAnsi="Times New Roman" w:cs="Times New Roman"/>
          <w:sz w:val="24"/>
          <w:szCs w:val="24"/>
        </w:rPr>
        <w:t xml:space="preserve"> </w:t>
      </w:r>
      <w:r w:rsidR="00675DCE" w:rsidRPr="00C04DEE">
        <w:rPr>
          <w:rFonts w:ascii="Times New Roman" w:hAnsi="Times New Roman" w:cs="Times New Roman"/>
          <w:sz w:val="24"/>
          <w:szCs w:val="24"/>
        </w:rPr>
        <w:t>Berdasarkan PP nomor 1 tahun 2016 Perum Jamkrindo telah</w:t>
      </w:r>
      <w:r w:rsidR="00ED099B" w:rsidRPr="00C04DEE">
        <w:rPr>
          <w:rFonts w:ascii="Times New Roman" w:hAnsi="Times New Roman" w:cs="Times New Roman"/>
          <w:sz w:val="24"/>
          <w:szCs w:val="24"/>
        </w:rPr>
        <w:t xml:space="preserve"> </w:t>
      </w:r>
      <w:r w:rsidR="00675DCE" w:rsidRPr="00C04DEE">
        <w:rPr>
          <w:rFonts w:ascii="Times New Roman" w:hAnsi="Times New Roman" w:cs="Times New Roman"/>
          <w:sz w:val="24"/>
          <w:szCs w:val="24"/>
        </w:rPr>
        <w:t xml:space="preserve">ditetapkan sebagai Lembaga Pelaksana Penjaminan Resi Gudang yang fungsinya antara lain </w:t>
      </w:r>
      <w:r w:rsidR="00665D52">
        <w:rPr>
          <w:rFonts w:ascii="Times New Roman" w:hAnsi="Times New Roman" w:cs="Times New Roman"/>
          <w:sz w:val="24"/>
          <w:szCs w:val="24"/>
        </w:rPr>
        <w:t>untuk</w:t>
      </w:r>
      <w:r w:rsidR="00675DCE" w:rsidRPr="00C04DEE">
        <w:rPr>
          <w:rFonts w:ascii="Times New Roman" w:hAnsi="Times New Roman" w:cs="Times New Roman"/>
          <w:sz w:val="24"/>
          <w:szCs w:val="24"/>
        </w:rPr>
        <w:t xml:space="preserve"> melindungi hak pemegang resi gudang dan/ atau penerima hak jaminan</w:t>
      </w:r>
      <w:r w:rsidR="00ED099B" w:rsidRPr="00C04DEE">
        <w:rPr>
          <w:rFonts w:ascii="Times New Roman" w:hAnsi="Times New Roman" w:cs="Times New Roman"/>
          <w:sz w:val="24"/>
          <w:szCs w:val="24"/>
        </w:rPr>
        <w:t xml:space="preserve"> </w:t>
      </w:r>
      <w:r w:rsidR="00675DCE" w:rsidRPr="00C04DEE">
        <w:rPr>
          <w:rFonts w:ascii="Times New Roman" w:hAnsi="Times New Roman" w:cs="Times New Roman"/>
          <w:sz w:val="24"/>
          <w:szCs w:val="24"/>
        </w:rPr>
        <w:t>serta memelihara stabilitas dan integritas SRG.</w:t>
      </w:r>
      <w:r w:rsidR="00ED099B" w:rsidRPr="00C04DEE">
        <w:rPr>
          <w:rFonts w:ascii="Times New Roman" w:hAnsi="Times New Roman" w:cs="Times New Roman"/>
          <w:sz w:val="24"/>
          <w:szCs w:val="24"/>
        </w:rPr>
        <w:t xml:space="preserve"> </w:t>
      </w:r>
      <w:r w:rsidR="00675DCE" w:rsidRPr="00C04DEE">
        <w:rPr>
          <w:rFonts w:ascii="Times New Roman" w:hAnsi="Times New Roman" w:cs="Times New Roman"/>
          <w:sz w:val="24"/>
          <w:szCs w:val="24"/>
        </w:rPr>
        <w:t>(</w:t>
      </w:r>
      <w:hyperlink r:id="rId9" w:history="1">
        <w:r w:rsidR="00CB3D4B" w:rsidRPr="00C04DEE">
          <w:rPr>
            <w:rStyle w:val="Hyperlink"/>
            <w:rFonts w:ascii="Times New Roman" w:hAnsi="Times New Roman" w:cs="Times New Roman"/>
            <w:sz w:val="24"/>
            <w:szCs w:val="24"/>
          </w:rPr>
          <w:t>www.bappebti.go.id</w:t>
        </w:r>
      </w:hyperlink>
      <w:r w:rsidR="00675DCE" w:rsidRPr="00C04DEE">
        <w:rPr>
          <w:rFonts w:ascii="Times New Roman" w:hAnsi="Times New Roman" w:cs="Times New Roman"/>
          <w:sz w:val="24"/>
          <w:szCs w:val="24"/>
        </w:rPr>
        <w:t>)</w:t>
      </w:r>
    </w:p>
    <w:p w14:paraId="4E8F7789" w14:textId="44F28C07" w:rsidR="00405E2B" w:rsidRPr="00405E2B" w:rsidRDefault="00405E2B" w:rsidP="00285112">
      <w:pPr>
        <w:pStyle w:val="ListParagraph"/>
        <w:ind w:left="0" w:firstLine="720"/>
        <w:jc w:val="both"/>
        <w:rPr>
          <w:rFonts w:ascii="Times New Roman" w:hAnsi="Times New Roman" w:cs="Times New Roman"/>
          <w:sz w:val="24"/>
          <w:szCs w:val="24"/>
        </w:rPr>
      </w:pPr>
      <w:r w:rsidRPr="00405E2B">
        <w:rPr>
          <w:rFonts w:ascii="Times New Roman" w:hAnsi="Times New Roman" w:cs="Times New Roman"/>
          <w:sz w:val="24"/>
          <w:szCs w:val="24"/>
        </w:rPr>
        <w:t>Menurut Savitri Putri dalam jurnalnya yang berjudul Tinjauan Resi Gudang Sebagai Lembaga Jaminan</w:t>
      </w:r>
      <w:r>
        <w:rPr>
          <w:rStyle w:val="FootnoteReference"/>
          <w:rFonts w:ascii="Times New Roman" w:hAnsi="Times New Roman" w:cs="Times New Roman"/>
          <w:sz w:val="24"/>
          <w:szCs w:val="24"/>
        </w:rPr>
        <w:footnoteReference w:id="3"/>
      </w:r>
      <w:r w:rsidRPr="00405E2B">
        <w:rPr>
          <w:rFonts w:ascii="Times New Roman" w:hAnsi="Times New Roman" w:cs="Times New Roman"/>
          <w:sz w:val="24"/>
          <w:szCs w:val="24"/>
        </w:rPr>
        <w:t xml:space="preserve"> menjelaskan bahwa </w:t>
      </w:r>
      <w:r w:rsidRPr="00405E2B">
        <w:rPr>
          <w:rFonts w:ascii="Times New Roman" w:hAnsi="Times New Roman" w:cs="Times New Roman"/>
          <w:sz w:val="24"/>
          <w:szCs w:val="24"/>
        </w:rPr>
        <w:t>dalam UU SRG diatur juga mengenai pembentukan Lembaga Jaminan Resi</w:t>
      </w:r>
      <w:r w:rsidRPr="00405E2B">
        <w:rPr>
          <w:rFonts w:ascii="Times New Roman" w:hAnsi="Times New Roman" w:cs="Times New Roman"/>
          <w:sz w:val="24"/>
          <w:szCs w:val="24"/>
        </w:rPr>
        <w:t xml:space="preserve"> </w:t>
      </w:r>
      <w:r w:rsidRPr="00405E2B">
        <w:rPr>
          <w:rFonts w:ascii="Times New Roman" w:hAnsi="Times New Roman" w:cs="Times New Roman"/>
          <w:sz w:val="24"/>
          <w:szCs w:val="24"/>
        </w:rPr>
        <w:t>Gudang (Guarantee Fund). Lembaga Jaminan ini memiliki fungsi: a. melindungi hak Pemegang</w:t>
      </w:r>
      <w:r w:rsidRPr="00405E2B">
        <w:rPr>
          <w:rFonts w:ascii="Times New Roman" w:hAnsi="Times New Roman" w:cs="Times New Roman"/>
          <w:sz w:val="24"/>
          <w:szCs w:val="24"/>
        </w:rPr>
        <w:t xml:space="preserve"> </w:t>
      </w:r>
      <w:r w:rsidRPr="00405E2B">
        <w:rPr>
          <w:rFonts w:ascii="Times New Roman" w:hAnsi="Times New Roman" w:cs="Times New Roman"/>
          <w:sz w:val="24"/>
          <w:szCs w:val="24"/>
        </w:rPr>
        <w:t>Resi Gudang dan/atau Penerima Hak Jaminan apabila terjadi kegagalan, ketidakmampuan,</w:t>
      </w:r>
      <w:r w:rsidRPr="00405E2B">
        <w:rPr>
          <w:rFonts w:ascii="Times New Roman" w:hAnsi="Times New Roman" w:cs="Times New Roman"/>
          <w:sz w:val="24"/>
          <w:szCs w:val="24"/>
        </w:rPr>
        <w:t xml:space="preserve"> </w:t>
      </w:r>
      <w:r w:rsidRPr="00405E2B">
        <w:rPr>
          <w:rFonts w:ascii="Times New Roman" w:hAnsi="Times New Roman" w:cs="Times New Roman"/>
          <w:sz w:val="24"/>
          <w:szCs w:val="24"/>
        </w:rPr>
        <w:t>dan/ atau kebangkrutan Pengelola Gudang dalam menjalankan kewajibannya; dan b.</w:t>
      </w:r>
      <w:r w:rsidRPr="00405E2B">
        <w:rPr>
          <w:rFonts w:ascii="Times New Roman" w:hAnsi="Times New Roman" w:cs="Times New Roman"/>
          <w:sz w:val="24"/>
          <w:szCs w:val="24"/>
        </w:rPr>
        <w:t xml:space="preserve"> </w:t>
      </w:r>
      <w:r w:rsidRPr="00405E2B">
        <w:rPr>
          <w:rFonts w:ascii="Times New Roman" w:hAnsi="Times New Roman" w:cs="Times New Roman"/>
          <w:sz w:val="24"/>
          <w:szCs w:val="24"/>
        </w:rPr>
        <w:t>memelihara stabilitas dan integritas Sistem Resi Gudang sesuai dengan kewenangannya.</w:t>
      </w:r>
      <w:r w:rsidRPr="00405E2B">
        <w:rPr>
          <w:rFonts w:ascii="Times New Roman" w:hAnsi="Times New Roman" w:cs="Times New Roman"/>
          <w:sz w:val="24"/>
          <w:szCs w:val="24"/>
        </w:rPr>
        <w:t xml:space="preserve"> </w:t>
      </w:r>
      <w:r w:rsidRPr="00405E2B">
        <w:rPr>
          <w:rFonts w:ascii="Times New Roman" w:hAnsi="Times New Roman" w:cs="Times New Roman"/>
          <w:sz w:val="24"/>
          <w:szCs w:val="24"/>
        </w:rPr>
        <w:t>Lembaga Jaminan dalam Peraturan Pemerintah Nomor 1 tahun 2016 tentang Lembaga</w:t>
      </w:r>
      <w:r w:rsidRPr="00405E2B">
        <w:rPr>
          <w:rFonts w:ascii="Times New Roman" w:hAnsi="Times New Roman" w:cs="Times New Roman"/>
          <w:sz w:val="24"/>
          <w:szCs w:val="24"/>
        </w:rPr>
        <w:t xml:space="preserve"> </w:t>
      </w:r>
      <w:r w:rsidRPr="00405E2B">
        <w:rPr>
          <w:rFonts w:ascii="Times New Roman" w:hAnsi="Times New Roman" w:cs="Times New Roman"/>
          <w:sz w:val="24"/>
          <w:szCs w:val="24"/>
        </w:rPr>
        <w:t>Pelaksana Penjaminan Sistem Resi Gudang didefinisikan sebagai badan hukum Indonesia</w:t>
      </w:r>
      <w:r w:rsidRPr="00405E2B">
        <w:rPr>
          <w:rFonts w:ascii="Times New Roman" w:hAnsi="Times New Roman" w:cs="Times New Roman"/>
          <w:sz w:val="24"/>
          <w:szCs w:val="24"/>
        </w:rPr>
        <w:t xml:space="preserve"> </w:t>
      </w:r>
      <w:r w:rsidRPr="00405E2B">
        <w:rPr>
          <w:rFonts w:ascii="Times New Roman" w:hAnsi="Times New Roman" w:cs="Times New Roman"/>
          <w:sz w:val="24"/>
          <w:szCs w:val="24"/>
        </w:rPr>
        <w:t>yang menjamin hak dan kepentingan Pemegang Resi Gudang atau Penerima Hak Jaminan</w:t>
      </w:r>
      <w:r w:rsidRPr="00405E2B">
        <w:rPr>
          <w:rFonts w:ascii="Times New Roman" w:hAnsi="Times New Roman" w:cs="Times New Roman"/>
          <w:sz w:val="24"/>
          <w:szCs w:val="24"/>
        </w:rPr>
        <w:t xml:space="preserve"> </w:t>
      </w:r>
      <w:r w:rsidRPr="00405E2B">
        <w:rPr>
          <w:rFonts w:ascii="Times New Roman" w:hAnsi="Times New Roman" w:cs="Times New Roman"/>
          <w:sz w:val="24"/>
          <w:szCs w:val="24"/>
        </w:rPr>
        <w:t>terhadap kegagalan, kelalaian, atau ketidakmampuan Pengelola Gudang dalam melaksanakan</w:t>
      </w:r>
      <w:r w:rsidRPr="00405E2B">
        <w:rPr>
          <w:rFonts w:ascii="Times New Roman" w:hAnsi="Times New Roman" w:cs="Times New Roman"/>
          <w:sz w:val="24"/>
          <w:szCs w:val="24"/>
        </w:rPr>
        <w:t xml:space="preserve"> </w:t>
      </w:r>
      <w:r w:rsidRPr="00405E2B">
        <w:rPr>
          <w:rFonts w:ascii="Times New Roman" w:hAnsi="Times New Roman" w:cs="Times New Roman"/>
          <w:sz w:val="24"/>
          <w:szCs w:val="24"/>
        </w:rPr>
        <w:t>kewajibannya dalam menyimpan dan menyerahkan barang. Sedangkan Lembaga Pelaksana</w:t>
      </w:r>
      <w:r w:rsidRPr="00405E2B">
        <w:rPr>
          <w:rFonts w:ascii="Times New Roman" w:hAnsi="Times New Roman" w:cs="Times New Roman"/>
          <w:sz w:val="24"/>
          <w:szCs w:val="24"/>
        </w:rPr>
        <w:t xml:space="preserve"> </w:t>
      </w:r>
      <w:r w:rsidRPr="00405E2B">
        <w:rPr>
          <w:rFonts w:ascii="Times New Roman" w:hAnsi="Times New Roman" w:cs="Times New Roman"/>
          <w:sz w:val="24"/>
          <w:szCs w:val="24"/>
        </w:rPr>
        <w:t xml:space="preserve">Penjaminan Sistem Resi Gudang (LPP SRG) yang selanjutnya disebut </w:t>
      </w:r>
      <w:r w:rsidRPr="00405E2B">
        <w:rPr>
          <w:rFonts w:ascii="Times New Roman" w:hAnsi="Times New Roman" w:cs="Times New Roman"/>
          <w:sz w:val="24"/>
          <w:szCs w:val="24"/>
        </w:rPr>
        <w:lastRenderedPageBreak/>
        <w:t>Lembaga Pelaksana</w:t>
      </w:r>
      <w:r w:rsidRPr="00405E2B">
        <w:rPr>
          <w:rFonts w:ascii="Times New Roman" w:hAnsi="Times New Roman" w:cs="Times New Roman"/>
          <w:sz w:val="24"/>
          <w:szCs w:val="24"/>
        </w:rPr>
        <w:t xml:space="preserve"> </w:t>
      </w:r>
      <w:r w:rsidRPr="00405E2B">
        <w:rPr>
          <w:rFonts w:ascii="Times New Roman" w:hAnsi="Times New Roman" w:cs="Times New Roman"/>
          <w:sz w:val="24"/>
          <w:szCs w:val="24"/>
        </w:rPr>
        <w:t>adalah lembaga yang melaksanakan fungsi, tugas, kewajiban dan wewenang Lembaga</w:t>
      </w:r>
      <w:r w:rsidRPr="00405E2B">
        <w:rPr>
          <w:rFonts w:ascii="Times New Roman" w:hAnsi="Times New Roman" w:cs="Times New Roman"/>
          <w:sz w:val="24"/>
          <w:szCs w:val="24"/>
        </w:rPr>
        <w:t xml:space="preserve"> </w:t>
      </w:r>
      <w:r w:rsidRPr="00405E2B">
        <w:rPr>
          <w:rFonts w:ascii="Times New Roman" w:hAnsi="Times New Roman" w:cs="Times New Roman"/>
          <w:sz w:val="24"/>
          <w:szCs w:val="24"/>
        </w:rPr>
        <w:t>Jaminan. Berdasarkan Peraturan Pemerintah ini ditetapkan Perusahaan Umum Jaminan</w:t>
      </w:r>
      <w:r w:rsidRPr="00405E2B">
        <w:rPr>
          <w:rFonts w:ascii="Times New Roman" w:hAnsi="Times New Roman" w:cs="Times New Roman"/>
          <w:sz w:val="24"/>
          <w:szCs w:val="24"/>
        </w:rPr>
        <w:t xml:space="preserve"> </w:t>
      </w:r>
      <w:r w:rsidRPr="00405E2B">
        <w:rPr>
          <w:rFonts w:ascii="Times New Roman" w:hAnsi="Times New Roman" w:cs="Times New Roman"/>
          <w:sz w:val="24"/>
          <w:szCs w:val="24"/>
        </w:rPr>
        <w:t>Kredit Indonesia (Perum Jamkrindo) yang didirikan dengan Peraturan Pemerintah Nomor 51</w:t>
      </w:r>
      <w:r w:rsidRPr="00405E2B">
        <w:rPr>
          <w:rFonts w:ascii="Times New Roman" w:hAnsi="Times New Roman" w:cs="Times New Roman"/>
          <w:sz w:val="24"/>
          <w:szCs w:val="24"/>
        </w:rPr>
        <w:t xml:space="preserve"> </w:t>
      </w:r>
      <w:r w:rsidRPr="00405E2B">
        <w:rPr>
          <w:rFonts w:ascii="Times New Roman" w:hAnsi="Times New Roman" w:cs="Times New Roman"/>
          <w:sz w:val="24"/>
          <w:szCs w:val="24"/>
        </w:rPr>
        <w:t>Tahun 1981 tentang Pendirian Perusahaan Umum Pengembangan Keuangan Koperasi dan</w:t>
      </w:r>
      <w:r w:rsidRPr="00405E2B">
        <w:rPr>
          <w:rFonts w:ascii="Times New Roman" w:hAnsi="Times New Roman" w:cs="Times New Roman"/>
          <w:sz w:val="24"/>
          <w:szCs w:val="24"/>
        </w:rPr>
        <w:t xml:space="preserve"> </w:t>
      </w:r>
      <w:r w:rsidRPr="00405E2B">
        <w:rPr>
          <w:rFonts w:ascii="Times New Roman" w:hAnsi="Times New Roman" w:cs="Times New Roman"/>
          <w:sz w:val="24"/>
          <w:szCs w:val="24"/>
        </w:rPr>
        <w:t>diatur kembali terakhir dengan Peraturan Pemerintah Nomor 41 Tahun 2008 tentang</w:t>
      </w:r>
      <w:r w:rsidRPr="00405E2B">
        <w:rPr>
          <w:rFonts w:ascii="Times New Roman" w:hAnsi="Times New Roman" w:cs="Times New Roman"/>
          <w:sz w:val="24"/>
          <w:szCs w:val="24"/>
        </w:rPr>
        <w:t xml:space="preserve"> </w:t>
      </w:r>
      <w:r w:rsidRPr="00405E2B">
        <w:rPr>
          <w:rFonts w:ascii="Times New Roman" w:hAnsi="Times New Roman" w:cs="Times New Roman"/>
          <w:sz w:val="24"/>
          <w:szCs w:val="24"/>
        </w:rPr>
        <w:t>Perusahaan Umum (Perum) Jaminan Kredit Indonesia sebagai Lembaga Pelaksana (Pasal 2).</w:t>
      </w:r>
      <w:r w:rsidRPr="00405E2B">
        <w:rPr>
          <w:rFonts w:ascii="Times New Roman" w:hAnsi="Times New Roman" w:cs="Times New Roman"/>
          <w:sz w:val="24"/>
          <w:szCs w:val="24"/>
        </w:rPr>
        <w:t xml:space="preserve"> </w:t>
      </w:r>
      <w:r w:rsidRPr="00405E2B">
        <w:rPr>
          <w:rFonts w:ascii="Times New Roman" w:hAnsi="Times New Roman" w:cs="Times New Roman"/>
          <w:sz w:val="24"/>
          <w:szCs w:val="24"/>
        </w:rPr>
        <w:t>Dalam UU SRG mewajibkan Pengelola Gudang untuk menjadi anggota Lembaga Jaminan</w:t>
      </w:r>
      <w:r w:rsidRPr="00405E2B">
        <w:rPr>
          <w:rFonts w:ascii="Times New Roman" w:hAnsi="Times New Roman" w:cs="Times New Roman"/>
          <w:sz w:val="24"/>
          <w:szCs w:val="24"/>
        </w:rPr>
        <w:t xml:space="preserve"> </w:t>
      </w:r>
      <w:r w:rsidRPr="00405E2B">
        <w:rPr>
          <w:rFonts w:ascii="Times New Roman" w:hAnsi="Times New Roman" w:cs="Times New Roman"/>
          <w:sz w:val="24"/>
          <w:szCs w:val="24"/>
        </w:rPr>
        <w:t>Resi Gudang dan membayar sejumlah uang (iuran) ke Lembaga Jaminan Resi Gudang.</w:t>
      </w:r>
      <w:r w:rsidRPr="00405E2B">
        <w:rPr>
          <w:rFonts w:ascii="Times New Roman" w:hAnsi="Times New Roman" w:cs="Times New Roman"/>
          <w:sz w:val="24"/>
          <w:szCs w:val="24"/>
        </w:rPr>
        <w:t xml:space="preserve"> </w:t>
      </w:r>
      <w:r w:rsidRPr="00405E2B">
        <w:rPr>
          <w:rFonts w:ascii="Times New Roman" w:hAnsi="Times New Roman" w:cs="Times New Roman"/>
          <w:sz w:val="24"/>
          <w:szCs w:val="24"/>
        </w:rPr>
        <w:t>Lembaga Jaminan Resi Gudang inilah yang akan bertindak sebagai penjamin apabila terdapat</w:t>
      </w:r>
      <w:r w:rsidRPr="00405E2B">
        <w:rPr>
          <w:rFonts w:ascii="Times New Roman" w:hAnsi="Times New Roman" w:cs="Times New Roman"/>
          <w:sz w:val="24"/>
          <w:szCs w:val="24"/>
        </w:rPr>
        <w:t xml:space="preserve"> </w:t>
      </w:r>
      <w:r w:rsidRPr="00405E2B">
        <w:rPr>
          <w:rFonts w:ascii="Times New Roman" w:hAnsi="Times New Roman" w:cs="Times New Roman"/>
          <w:sz w:val="24"/>
          <w:szCs w:val="24"/>
        </w:rPr>
        <w:t>Pengelola Gudang yang mengalami kegagalan (wanprestasi) terhadap pemegang Resi Gudang</w:t>
      </w:r>
      <w:r w:rsidRPr="00405E2B">
        <w:rPr>
          <w:rFonts w:ascii="Times New Roman" w:hAnsi="Times New Roman" w:cs="Times New Roman"/>
          <w:sz w:val="24"/>
          <w:szCs w:val="24"/>
        </w:rPr>
        <w:t xml:space="preserve"> </w:t>
      </w:r>
      <w:r w:rsidRPr="00405E2B">
        <w:rPr>
          <w:rFonts w:ascii="Times New Roman" w:hAnsi="Times New Roman" w:cs="Times New Roman"/>
          <w:sz w:val="24"/>
          <w:szCs w:val="24"/>
        </w:rPr>
        <w:t>dan pemegang Hak Jaminan atas Resi Gudang</w:t>
      </w:r>
      <w:r w:rsidRPr="00405E2B">
        <w:rPr>
          <w:rFonts w:ascii="Times New Roman" w:hAnsi="Times New Roman" w:cs="Times New Roman"/>
          <w:sz w:val="24"/>
          <w:szCs w:val="24"/>
        </w:rPr>
        <w:t>.</w:t>
      </w:r>
      <w:r>
        <w:rPr>
          <w:rStyle w:val="FootnoteReference"/>
          <w:rFonts w:ascii="Times New Roman" w:hAnsi="Times New Roman" w:cs="Times New Roman"/>
          <w:sz w:val="24"/>
          <w:szCs w:val="24"/>
        </w:rPr>
        <w:footnoteReference w:id="4"/>
      </w:r>
    </w:p>
    <w:p w14:paraId="04D91EF4" w14:textId="77777777" w:rsidR="00C04DEE" w:rsidRDefault="00ED099B" w:rsidP="00C04DEE">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Pasal 37D UU 09/2011 menyebutkan bahwa </w:t>
      </w:r>
      <w:r w:rsidRPr="00CB3D4B">
        <w:rPr>
          <w:rFonts w:ascii="Times New Roman" w:hAnsi="Times New Roman" w:cs="Times New Roman"/>
          <w:sz w:val="24"/>
          <w:szCs w:val="24"/>
        </w:rPr>
        <w:t>Lembaga Jaminan memiliki fungsi</w:t>
      </w:r>
      <w:r>
        <w:rPr>
          <w:rFonts w:ascii="Times New Roman" w:hAnsi="Times New Roman" w:cs="Times New Roman"/>
          <w:sz w:val="24"/>
          <w:szCs w:val="24"/>
        </w:rPr>
        <w:t xml:space="preserve"> yang pertama untuk </w:t>
      </w:r>
      <w:r w:rsidRPr="00CB3D4B">
        <w:rPr>
          <w:rFonts w:ascii="Times New Roman" w:hAnsi="Times New Roman" w:cs="Times New Roman"/>
          <w:sz w:val="24"/>
          <w:szCs w:val="24"/>
        </w:rPr>
        <w:t xml:space="preserve">melindungi hak Pemegang Resi Gudang dan/atau Penerima Hak Jaminan apabila terjadi kegagalan, ketidakmampuan, dan/atau kebangkrutan Pengelola Gudang dalam menjalankan kewajibannya; dan </w:t>
      </w:r>
      <w:r>
        <w:rPr>
          <w:rFonts w:ascii="Times New Roman" w:hAnsi="Times New Roman" w:cs="Times New Roman"/>
          <w:sz w:val="24"/>
          <w:szCs w:val="24"/>
        </w:rPr>
        <w:t xml:space="preserve">yang kedua untuk </w:t>
      </w:r>
      <w:r w:rsidRPr="00CB3D4B">
        <w:rPr>
          <w:rFonts w:ascii="Times New Roman" w:hAnsi="Times New Roman" w:cs="Times New Roman"/>
          <w:sz w:val="24"/>
          <w:szCs w:val="24"/>
        </w:rPr>
        <w:t>memelihara stabilitas dan integritas Sistem Resi Gudang sesuai dengan kewenangannya.</w:t>
      </w:r>
    </w:p>
    <w:p w14:paraId="1A47A1F9" w14:textId="0E97A315" w:rsidR="00E02C3C" w:rsidRDefault="00E02C3C" w:rsidP="00285112">
      <w:pPr>
        <w:pStyle w:val="ListParagraph"/>
        <w:ind w:left="0" w:firstLine="720"/>
        <w:jc w:val="both"/>
        <w:rPr>
          <w:rFonts w:ascii="Times New Roman" w:hAnsi="Times New Roman" w:cs="Times New Roman"/>
          <w:sz w:val="24"/>
          <w:szCs w:val="24"/>
        </w:rPr>
      </w:pPr>
      <w:r>
        <w:rPr>
          <w:rFonts w:ascii="Times New Roman" w:hAnsi="Times New Roman" w:cs="Times New Roman"/>
          <w:sz w:val="24"/>
          <w:szCs w:val="24"/>
        </w:rPr>
        <w:t xml:space="preserve">Menurut Didiek Indarta dalam jurnalnya yang berjudul </w:t>
      </w:r>
      <w:r w:rsidRPr="00E02C3C">
        <w:rPr>
          <w:rFonts w:ascii="Times New Roman" w:hAnsi="Times New Roman" w:cs="Times New Roman"/>
          <w:sz w:val="24"/>
          <w:szCs w:val="24"/>
        </w:rPr>
        <w:t>Tinjauan Yuridis Resi Gudang Sebagai Instrumen Jaminan Berdasarkan Undang-Undang Nomor 9 Tahun 2011 Tentang Sistem Resi</w:t>
      </w:r>
      <w:r>
        <w:rPr>
          <w:rFonts w:ascii="Times New Roman" w:hAnsi="Times New Roman" w:cs="Times New Roman"/>
          <w:sz w:val="24"/>
          <w:szCs w:val="24"/>
        </w:rPr>
        <w:t xml:space="preserve"> </w:t>
      </w:r>
      <w:r w:rsidRPr="00E02C3C">
        <w:rPr>
          <w:rFonts w:ascii="Times New Roman" w:hAnsi="Times New Roman" w:cs="Times New Roman"/>
          <w:sz w:val="24"/>
          <w:szCs w:val="24"/>
        </w:rPr>
        <w:t>Gudang</w:t>
      </w:r>
      <w:r>
        <w:rPr>
          <w:rStyle w:val="FootnoteReference"/>
          <w:rFonts w:ascii="Times New Roman" w:hAnsi="Times New Roman" w:cs="Times New Roman"/>
          <w:sz w:val="24"/>
          <w:szCs w:val="24"/>
        </w:rPr>
        <w:footnoteReference w:id="5"/>
      </w:r>
      <w:r>
        <w:rPr>
          <w:rFonts w:ascii="Times New Roman" w:hAnsi="Times New Roman" w:cs="Times New Roman"/>
          <w:sz w:val="24"/>
          <w:szCs w:val="24"/>
        </w:rPr>
        <w:t xml:space="preserve"> menyebutkan, </w:t>
      </w:r>
      <w:r w:rsidRPr="00E02C3C">
        <w:rPr>
          <w:rFonts w:ascii="Times New Roman" w:hAnsi="Times New Roman" w:cs="Times New Roman"/>
          <w:sz w:val="24"/>
          <w:szCs w:val="24"/>
        </w:rPr>
        <w:t>Pengelola Gudang memiliki tanggung jawab penting sesuai denganUndang-Undang  No.  9  Tahun  2011  tentang  Sistem  Resi  Gudang.  Tanggung  jawab  ini mencakup perbaikan kesalahan penulisan pada dokumen Resi Gudang. Jika kesalahan tersebut menyebabkan kerugian bagi penyimpan barang, Pengelola Gudang wajib membayar ganti rugi. Dengan  demikian,  penting  bagi  Pengelola  Gudang  untuk  memastikan  keakuratan  dokumen agar  tidak  merugikanpihaklain. Selanjutnya,Undang-Undang  No.  9  Tahun  2011  tentang Sistem  Resi  Gudang,  Pengelola  Gudang  memiliki  tanggung  jawab  atas  kehilangan  dan/atau kerusakan   barang   yang   disebabkan   oleh   kealpaannya   dalam   proses   penyimpanan   dan penyerahanbarang.</w:t>
      </w:r>
      <w:r>
        <w:rPr>
          <w:rFonts w:ascii="Times New Roman" w:hAnsi="Times New Roman" w:cs="Times New Roman"/>
          <w:sz w:val="24"/>
          <w:szCs w:val="24"/>
        </w:rPr>
        <w:t xml:space="preserve"> </w:t>
      </w:r>
      <w:r w:rsidRPr="00E02C3C">
        <w:rPr>
          <w:rFonts w:ascii="Times New Roman" w:hAnsi="Times New Roman" w:cs="Times New Roman"/>
          <w:sz w:val="24"/>
          <w:szCs w:val="24"/>
        </w:rPr>
        <w:t>Dalam hal ini  jika terjadi kehilangan atau kerugian barang akibat kelalaian Pengelola  Gudang  dalam  menyimpan  atau  menyerahkan  barang,  mereka harus  memberikan kompensasi  kepada  pemegang Resi  Gudang.  Dengan  kata  lain,  jika  Pengelola  Gudang  tidak melakukan  tugasnya  dengan  baik  dan  menyebabkan  kerugian,  mereka  bertanggung  jawab untuk membayar ganti rugi kepada pihak</w:t>
      </w:r>
      <w:r>
        <w:rPr>
          <w:rFonts w:ascii="Times New Roman" w:hAnsi="Times New Roman" w:cs="Times New Roman"/>
          <w:sz w:val="24"/>
          <w:szCs w:val="24"/>
        </w:rPr>
        <w:t xml:space="preserve"> </w:t>
      </w:r>
      <w:r w:rsidRPr="00E02C3C">
        <w:rPr>
          <w:rFonts w:ascii="Times New Roman" w:hAnsi="Times New Roman" w:cs="Times New Roman"/>
          <w:sz w:val="24"/>
          <w:szCs w:val="24"/>
        </w:rPr>
        <w:t>yang</w:t>
      </w:r>
      <w:r>
        <w:rPr>
          <w:rFonts w:ascii="Times New Roman" w:hAnsi="Times New Roman" w:cs="Times New Roman"/>
          <w:sz w:val="24"/>
          <w:szCs w:val="24"/>
        </w:rPr>
        <w:t xml:space="preserve"> </w:t>
      </w:r>
      <w:r w:rsidRPr="00E02C3C">
        <w:rPr>
          <w:rFonts w:ascii="Times New Roman" w:hAnsi="Times New Roman" w:cs="Times New Roman"/>
          <w:sz w:val="24"/>
          <w:szCs w:val="24"/>
        </w:rPr>
        <w:t>dirugikan.</w:t>
      </w:r>
      <w:r>
        <w:rPr>
          <w:rStyle w:val="FootnoteReference"/>
          <w:rFonts w:ascii="Times New Roman" w:hAnsi="Times New Roman" w:cs="Times New Roman"/>
          <w:sz w:val="24"/>
          <w:szCs w:val="24"/>
        </w:rPr>
        <w:footnoteReference w:id="6"/>
      </w:r>
      <w:r>
        <w:rPr>
          <w:rFonts w:ascii="Times New Roman" w:hAnsi="Times New Roman" w:cs="Times New Roman"/>
          <w:sz w:val="24"/>
          <w:szCs w:val="24"/>
        </w:rPr>
        <w:t xml:space="preserve"> </w:t>
      </w:r>
    </w:p>
    <w:p w14:paraId="40751C73" w14:textId="778275AC" w:rsidR="00ED099B" w:rsidRDefault="00E02C3C" w:rsidP="00285112">
      <w:pPr>
        <w:pStyle w:val="ListParagraph"/>
        <w:ind w:left="0" w:firstLine="720"/>
        <w:jc w:val="both"/>
        <w:rPr>
          <w:rFonts w:ascii="Times New Roman" w:hAnsi="Times New Roman" w:cs="Times New Roman"/>
          <w:sz w:val="24"/>
          <w:szCs w:val="24"/>
        </w:rPr>
      </w:pPr>
      <w:r w:rsidRPr="00E02C3C">
        <w:rPr>
          <w:rFonts w:ascii="Times New Roman" w:hAnsi="Times New Roman" w:cs="Times New Roman"/>
          <w:sz w:val="24"/>
          <w:szCs w:val="24"/>
        </w:rPr>
        <w:t>Dalam menjalankan tugasnya sebagaimana diatur dalam Pasal 37D huruf b, Lembaga Jaminan memiliki tanggung jawab untuk: (a) merancang dan menetapkan kebijakan yang bertujuan menjaga stabilitas dan integritas sistem resi gudang; (b) merumuskan, menetapkan, dan melaksanakan kebijakan penanganan terhadap kegagalan pengelola gudang yang bersifat individual atau tidak sistemik; serta (c) mengambil langkah-langkah penanganan terhadap kegagalan pengelola gudang yang berdampak luas atau bersifat sistemik</w:t>
      </w:r>
      <w:r>
        <w:rPr>
          <w:rFonts w:ascii="Times New Roman" w:hAnsi="Times New Roman" w:cs="Times New Roman"/>
          <w:sz w:val="24"/>
          <w:szCs w:val="24"/>
        </w:rPr>
        <w:t xml:space="preserve">. Dalam </w:t>
      </w:r>
      <w:r w:rsidR="00ED099B" w:rsidRPr="00C04DEE">
        <w:rPr>
          <w:rFonts w:ascii="Times New Roman" w:hAnsi="Times New Roman" w:cs="Times New Roman"/>
          <w:sz w:val="24"/>
          <w:szCs w:val="24"/>
        </w:rPr>
        <w:t>Pasal 37F ayat 2 dan 3</w:t>
      </w:r>
      <w:r>
        <w:rPr>
          <w:rFonts w:ascii="Times New Roman" w:hAnsi="Times New Roman" w:cs="Times New Roman"/>
          <w:sz w:val="24"/>
          <w:szCs w:val="24"/>
        </w:rPr>
        <w:t xml:space="preserve"> UU SRG juga menjelaskan bahwa </w:t>
      </w:r>
      <w:r w:rsidR="00ED099B" w:rsidRPr="00C04DEE">
        <w:rPr>
          <w:rFonts w:ascii="Times New Roman" w:hAnsi="Times New Roman" w:cs="Times New Roman"/>
          <w:sz w:val="24"/>
          <w:szCs w:val="24"/>
        </w:rPr>
        <w:t>Lembaga Jaminan dapat melakukan penyelesaian dan penanganan Pengelola Gudang gagal.</w:t>
      </w:r>
      <w:r>
        <w:rPr>
          <w:rFonts w:ascii="Times New Roman" w:hAnsi="Times New Roman" w:cs="Times New Roman"/>
          <w:sz w:val="24"/>
          <w:szCs w:val="24"/>
        </w:rPr>
        <w:t xml:space="preserve"> </w:t>
      </w:r>
      <w:r w:rsidR="00ED099B" w:rsidRPr="00C04DEE">
        <w:rPr>
          <w:rFonts w:ascii="Times New Roman" w:hAnsi="Times New Roman" w:cs="Times New Roman"/>
          <w:sz w:val="24"/>
          <w:szCs w:val="24"/>
        </w:rPr>
        <w:t xml:space="preserve">Dalam melakukan penyelesaian dan penanganan Pengelola Gudang gagal sebagaimana dimaksud pada ayat (2), Lembaga Jaminan dapat bertindak sebagai kreditur terhadap Pengelola Gudang berdasarkan hak subrogasi dari </w:t>
      </w:r>
      <w:r w:rsidR="00ED099B" w:rsidRPr="00C04DEE">
        <w:rPr>
          <w:rFonts w:ascii="Times New Roman" w:hAnsi="Times New Roman" w:cs="Times New Roman"/>
          <w:sz w:val="24"/>
          <w:szCs w:val="24"/>
        </w:rPr>
        <w:lastRenderedPageBreak/>
        <w:t>pemegang Resi Gudang dan/atau pemegang Hak Jaminan yang dapat mengajukan permohonan pailit kepada Pengadilan Niaga.</w:t>
      </w:r>
    </w:p>
    <w:p w14:paraId="6AAE90ED" w14:textId="7AC1C48B" w:rsidR="00527F89" w:rsidRDefault="00E02C3C" w:rsidP="00665D52">
      <w:pPr>
        <w:pStyle w:val="ListParagraph"/>
        <w:ind w:left="0"/>
        <w:jc w:val="both"/>
        <w:rPr>
          <w:rFonts w:ascii="Times New Roman" w:hAnsi="Times New Roman" w:cs="Times New Roman"/>
          <w:sz w:val="24"/>
          <w:szCs w:val="24"/>
        </w:rPr>
      </w:pPr>
      <w:r w:rsidRPr="00E02C3C">
        <w:rPr>
          <w:rFonts w:ascii="Times New Roman" w:hAnsi="Times New Roman" w:cs="Times New Roman"/>
          <w:sz w:val="24"/>
          <w:szCs w:val="24"/>
        </w:rPr>
        <w:t>Undang-Undang Nomor 9 Tahun 2011 telah mengatur secara jelas mengenai tanggung jawab pengelola gudang dan peran lembaga jaminan. Dengan adanya regulasi yang kuat, diharapkan sistem resi gudang di Indonesia dapat berjalan dengan baik dan memberikan manfaat bagi seluruh pihak yang terlibat.</w:t>
      </w:r>
    </w:p>
    <w:p w14:paraId="268FDA7C" w14:textId="77777777" w:rsidR="00665D52" w:rsidRDefault="00665D52" w:rsidP="00665D52">
      <w:pPr>
        <w:pStyle w:val="ListParagraph"/>
        <w:ind w:left="0"/>
        <w:jc w:val="both"/>
        <w:rPr>
          <w:rFonts w:ascii="Times New Roman" w:hAnsi="Times New Roman" w:cs="Times New Roman"/>
          <w:sz w:val="24"/>
          <w:szCs w:val="24"/>
        </w:rPr>
      </w:pPr>
    </w:p>
    <w:p w14:paraId="11D646A7" w14:textId="414477F1" w:rsidR="00665D52" w:rsidRPr="006F4F70" w:rsidRDefault="00665D52" w:rsidP="00665D52">
      <w:pPr>
        <w:pStyle w:val="ListParagraph"/>
        <w:ind w:left="0"/>
        <w:jc w:val="both"/>
        <w:rPr>
          <w:rFonts w:ascii="Times New Roman" w:hAnsi="Times New Roman" w:cs="Times New Roman"/>
          <w:b/>
          <w:bCs/>
          <w:sz w:val="24"/>
          <w:szCs w:val="24"/>
        </w:rPr>
      </w:pPr>
      <w:r w:rsidRPr="00B36B22">
        <w:rPr>
          <w:rFonts w:ascii="Times New Roman" w:hAnsi="Times New Roman" w:cs="Times New Roman"/>
          <w:b/>
          <w:bCs/>
          <w:sz w:val="24"/>
          <w:szCs w:val="24"/>
        </w:rPr>
        <w:t>KESIMPULAN</w:t>
      </w:r>
    </w:p>
    <w:p w14:paraId="007E6BE6" w14:textId="59531554" w:rsidR="00665D52" w:rsidRDefault="006A7ECD" w:rsidP="00665D52">
      <w:pPr>
        <w:pStyle w:val="ListParagraph"/>
        <w:ind w:left="0"/>
        <w:jc w:val="both"/>
        <w:rPr>
          <w:rFonts w:ascii="Times New Roman" w:hAnsi="Times New Roman" w:cs="Times New Roman"/>
          <w:sz w:val="24"/>
          <w:szCs w:val="24"/>
        </w:rPr>
      </w:pPr>
      <w:r>
        <w:rPr>
          <w:rFonts w:ascii="Times New Roman" w:hAnsi="Times New Roman" w:cs="Times New Roman"/>
          <w:sz w:val="24"/>
          <w:szCs w:val="24"/>
        </w:rPr>
        <w:t>Lembaga jaminan resi gudang memberikan suatu perlindungan dan kepastian hukum kepada pemegang resi gudang dan penerima hak jaminan dari k</w:t>
      </w:r>
      <w:r w:rsidRPr="006A7ECD">
        <w:rPr>
          <w:rFonts w:ascii="Times New Roman" w:hAnsi="Times New Roman" w:cs="Times New Roman"/>
          <w:sz w:val="24"/>
          <w:szCs w:val="24"/>
        </w:rPr>
        <w:t>egagalan pengelola gudang dalam menjalankan tugasnya dapat mengakibatkan kerusakan fisik barang akibat faktor eksternal seperti bencana alam atau faktor internal seperti kelalaian. Selain itu, integritas dokumen resi gudang juga rentan terhadap pelanggaran, seperti pemalsuan atau penggunaan ganda.</w:t>
      </w:r>
      <w:r>
        <w:rPr>
          <w:rFonts w:ascii="Times New Roman" w:hAnsi="Times New Roman" w:cs="Times New Roman"/>
          <w:sz w:val="24"/>
          <w:szCs w:val="24"/>
        </w:rPr>
        <w:t xml:space="preserve"> Maka itu p</w:t>
      </w:r>
      <w:r w:rsidRPr="006A7ECD">
        <w:rPr>
          <w:rFonts w:ascii="Times New Roman" w:hAnsi="Times New Roman" w:cs="Times New Roman"/>
          <w:sz w:val="24"/>
          <w:szCs w:val="24"/>
        </w:rPr>
        <w:t>engelola gudang berperan krusial dalam sistem resi gudang. Mereka bertanggung jawab tidak hanya atas penyimpanan barang secara fisik, tetapi juga atas kelengkapan dan keakuratan dokumen terkait. Setiap kesalahan atau kelalaian yang mengakibatkan kerugian pada pemilik barang akan menjadi tanggung jawab penuh pengelola gudang</w:t>
      </w:r>
      <w:r>
        <w:rPr>
          <w:rFonts w:ascii="Times New Roman" w:hAnsi="Times New Roman" w:cs="Times New Roman"/>
          <w:sz w:val="24"/>
          <w:szCs w:val="24"/>
        </w:rPr>
        <w:t xml:space="preserve">. </w:t>
      </w:r>
      <w:r w:rsidRPr="006A7ECD">
        <w:rPr>
          <w:rFonts w:ascii="Times New Roman" w:hAnsi="Times New Roman" w:cs="Times New Roman"/>
          <w:sz w:val="24"/>
          <w:szCs w:val="24"/>
        </w:rPr>
        <w:t>Untuk melindungi hak-hak pemegang resi gudang, Undang-Undang Nomor 9 Tahun 2011 memberikan kewenangan kepada Lembaga Jaminan untuk mengambil tindakan jika pengelola gudang gagal menjalankan tugasnya. Lembaga Jaminan berwenang membuat kebijakan, menangani masalah, bahkan mengajukan permohonan pailit jika diperlukan.</w:t>
      </w:r>
    </w:p>
    <w:p w14:paraId="305C6C63" w14:textId="77777777" w:rsidR="006A7ECD" w:rsidRDefault="006A7ECD" w:rsidP="00665D52">
      <w:pPr>
        <w:pStyle w:val="ListParagraph"/>
        <w:ind w:left="0"/>
        <w:jc w:val="both"/>
        <w:rPr>
          <w:rFonts w:ascii="Times New Roman" w:hAnsi="Times New Roman" w:cs="Times New Roman"/>
          <w:sz w:val="24"/>
          <w:szCs w:val="24"/>
        </w:rPr>
      </w:pPr>
    </w:p>
    <w:p w14:paraId="51A2C6FC" w14:textId="77777777" w:rsidR="009F4DE2" w:rsidRDefault="009F4DE2" w:rsidP="00665D52">
      <w:pPr>
        <w:pStyle w:val="ListParagraph"/>
        <w:ind w:left="0"/>
        <w:jc w:val="both"/>
        <w:rPr>
          <w:rFonts w:ascii="Times New Roman" w:hAnsi="Times New Roman" w:cs="Times New Roman"/>
          <w:sz w:val="24"/>
          <w:szCs w:val="24"/>
        </w:rPr>
      </w:pPr>
    </w:p>
    <w:p w14:paraId="7E74CA62" w14:textId="77777777" w:rsidR="009F4DE2" w:rsidRDefault="009F4DE2" w:rsidP="00665D52">
      <w:pPr>
        <w:pStyle w:val="ListParagraph"/>
        <w:ind w:left="0"/>
        <w:jc w:val="both"/>
        <w:rPr>
          <w:rFonts w:ascii="Times New Roman" w:hAnsi="Times New Roman" w:cs="Times New Roman"/>
          <w:sz w:val="24"/>
          <w:szCs w:val="24"/>
        </w:rPr>
      </w:pPr>
    </w:p>
    <w:p w14:paraId="49A41699" w14:textId="77777777" w:rsidR="009F4DE2" w:rsidRDefault="009F4DE2" w:rsidP="00665D52">
      <w:pPr>
        <w:pStyle w:val="ListParagraph"/>
        <w:ind w:left="0"/>
        <w:jc w:val="both"/>
        <w:rPr>
          <w:rFonts w:ascii="Times New Roman" w:hAnsi="Times New Roman" w:cs="Times New Roman"/>
          <w:sz w:val="24"/>
          <w:szCs w:val="24"/>
        </w:rPr>
      </w:pPr>
    </w:p>
    <w:p w14:paraId="28D8D977" w14:textId="77777777" w:rsidR="009F4DE2" w:rsidRDefault="009F4DE2" w:rsidP="00665D52">
      <w:pPr>
        <w:pStyle w:val="ListParagraph"/>
        <w:ind w:left="0"/>
        <w:jc w:val="both"/>
        <w:rPr>
          <w:rFonts w:ascii="Times New Roman" w:hAnsi="Times New Roman" w:cs="Times New Roman"/>
          <w:sz w:val="24"/>
          <w:szCs w:val="24"/>
        </w:rPr>
      </w:pPr>
    </w:p>
    <w:p w14:paraId="12D7AD09" w14:textId="77777777" w:rsidR="009F4DE2" w:rsidRDefault="009F4DE2" w:rsidP="00665D52">
      <w:pPr>
        <w:pStyle w:val="ListParagraph"/>
        <w:ind w:left="0"/>
        <w:jc w:val="both"/>
        <w:rPr>
          <w:rFonts w:ascii="Times New Roman" w:hAnsi="Times New Roman" w:cs="Times New Roman"/>
          <w:sz w:val="24"/>
          <w:szCs w:val="24"/>
        </w:rPr>
      </w:pPr>
    </w:p>
    <w:p w14:paraId="1FBC6F4F" w14:textId="77777777" w:rsidR="009F4DE2" w:rsidRDefault="009F4DE2" w:rsidP="00665D52">
      <w:pPr>
        <w:pStyle w:val="ListParagraph"/>
        <w:ind w:left="0"/>
        <w:jc w:val="both"/>
        <w:rPr>
          <w:rFonts w:ascii="Times New Roman" w:hAnsi="Times New Roman" w:cs="Times New Roman"/>
          <w:sz w:val="24"/>
          <w:szCs w:val="24"/>
        </w:rPr>
      </w:pPr>
    </w:p>
    <w:p w14:paraId="73C13D99" w14:textId="77777777" w:rsidR="009F4DE2" w:rsidRDefault="009F4DE2" w:rsidP="00665D52">
      <w:pPr>
        <w:pStyle w:val="ListParagraph"/>
        <w:ind w:left="0"/>
        <w:jc w:val="both"/>
        <w:rPr>
          <w:rFonts w:ascii="Times New Roman" w:hAnsi="Times New Roman" w:cs="Times New Roman"/>
          <w:sz w:val="24"/>
          <w:szCs w:val="24"/>
        </w:rPr>
      </w:pPr>
    </w:p>
    <w:p w14:paraId="5D64208A" w14:textId="77777777" w:rsidR="009F4DE2" w:rsidRDefault="009F4DE2" w:rsidP="00665D52">
      <w:pPr>
        <w:pStyle w:val="ListParagraph"/>
        <w:ind w:left="0"/>
        <w:jc w:val="both"/>
        <w:rPr>
          <w:rFonts w:ascii="Times New Roman" w:hAnsi="Times New Roman" w:cs="Times New Roman"/>
          <w:sz w:val="24"/>
          <w:szCs w:val="24"/>
        </w:rPr>
      </w:pPr>
    </w:p>
    <w:p w14:paraId="11AF95B9" w14:textId="77777777" w:rsidR="009F4DE2" w:rsidRDefault="009F4DE2" w:rsidP="00665D52">
      <w:pPr>
        <w:pStyle w:val="ListParagraph"/>
        <w:ind w:left="0"/>
        <w:jc w:val="both"/>
        <w:rPr>
          <w:rFonts w:ascii="Times New Roman" w:hAnsi="Times New Roman" w:cs="Times New Roman"/>
          <w:sz w:val="24"/>
          <w:szCs w:val="24"/>
        </w:rPr>
      </w:pPr>
    </w:p>
    <w:p w14:paraId="2ADD402A" w14:textId="77777777" w:rsidR="009F4DE2" w:rsidRDefault="009F4DE2" w:rsidP="00665D52">
      <w:pPr>
        <w:pStyle w:val="ListParagraph"/>
        <w:ind w:left="0"/>
        <w:jc w:val="both"/>
        <w:rPr>
          <w:rFonts w:ascii="Times New Roman" w:hAnsi="Times New Roman" w:cs="Times New Roman"/>
          <w:sz w:val="24"/>
          <w:szCs w:val="24"/>
        </w:rPr>
      </w:pPr>
    </w:p>
    <w:p w14:paraId="08942098" w14:textId="77777777" w:rsidR="009F4DE2" w:rsidRDefault="009F4DE2" w:rsidP="00665D52">
      <w:pPr>
        <w:pStyle w:val="ListParagraph"/>
        <w:ind w:left="0"/>
        <w:jc w:val="both"/>
        <w:rPr>
          <w:rFonts w:ascii="Times New Roman" w:hAnsi="Times New Roman" w:cs="Times New Roman"/>
          <w:sz w:val="24"/>
          <w:szCs w:val="24"/>
        </w:rPr>
      </w:pPr>
    </w:p>
    <w:p w14:paraId="33338EEA" w14:textId="77777777" w:rsidR="009F4DE2" w:rsidRDefault="009F4DE2" w:rsidP="00665D52">
      <w:pPr>
        <w:pStyle w:val="ListParagraph"/>
        <w:ind w:left="0"/>
        <w:jc w:val="both"/>
        <w:rPr>
          <w:rFonts w:ascii="Times New Roman" w:hAnsi="Times New Roman" w:cs="Times New Roman"/>
          <w:sz w:val="24"/>
          <w:szCs w:val="24"/>
        </w:rPr>
      </w:pPr>
    </w:p>
    <w:p w14:paraId="4C85434F" w14:textId="77777777" w:rsidR="009F4DE2" w:rsidRDefault="009F4DE2" w:rsidP="00665D52">
      <w:pPr>
        <w:pStyle w:val="ListParagraph"/>
        <w:ind w:left="0"/>
        <w:jc w:val="both"/>
        <w:rPr>
          <w:rFonts w:ascii="Times New Roman" w:hAnsi="Times New Roman" w:cs="Times New Roman"/>
          <w:sz w:val="24"/>
          <w:szCs w:val="24"/>
        </w:rPr>
      </w:pPr>
    </w:p>
    <w:p w14:paraId="0F2743C5" w14:textId="77777777" w:rsidR="009F4DE2" w:rsidRDefault="009F4DE2" w:rsidP="00665D52">
      <w:pPr>
        <w:pStyle w:val="ListParagraph"/>
        <w:ind w:left="0"/>
        <w:jc w:val="both"/>
        <w:rPr>
          <w:rFonts w:ascii="Times New Roman" w:hAnsi="Times New Roman" w:cs="Times New Roman"/>
          <w:sz w:val="24"/>
          <w:szCs w:val="24"/>
        </w:rPr>
      </w:pPr>
    </w:p>
    <w:p w14:paraId="1B8ABA2A" w14:textId="77777777" w:rsidR="009F4DE2" w:rsidRDefault="009F4DE2" w:rsidP="00665D52">
      <w:pPr>
        <w:pStyle w:val="ListParagraph"/>
        <w:ind w:left="0"/>
        <w:jc w:val="both"/>
        <w:rPr>
          <w:rFonts w:ascii="Times New Roman" w:hAnsi="Times New Roman" w:cs="Times New Roman"/>
          <w:sz w:val="24"/>
          <w:szCs w:val="24"/>
        </w:rPr>
      </w:pPr>
    </w:p>
    <w:p w14:paraId="1606B6B1" w14:textId="77777777" w:rsidR="009F4DE2" w:rsidRDefault="009F4DE2" w:rsidP="00665D52">
      <w:pPr>
        <w:pStyle w:val="ListParagraph"/>
        <w:ind w:left="0"/>
        <w:jc w:val="both"/>
        <w:rPr>
          <w:rFonts w:ascii="Times New Roman" w:hAnsi="Times New Roman" w:cs="Times New Roman"/>
          <w:sz w:val="24"/>
          <w:szCs w:val="24"/>
        </w:rPr>
      </w:pPr>
    </w:p>
    <w:p w14:paraId="584353C5" w14:textId="77777777" w:rsidR="009F4DE2" w:rsidRDefault="009F4DE2" w:rsidP="00665D52">
      <w:pPr>
        <w:pStyle w:val="ListParagraph"/>
        <w:ind w:left="0"/>
        <w:jc w:val="both"/>
        <w:rPr>
          <w:rFonts w:ascii="Times New Roman" w:hAnsi="Times New Roman" w:cs="Times New Roman"/>
          <w:sz w:val="24"/>
          <w:szCs w:val="24"/>
        </w:rPr>
      </w:pPr>
    </w:p>
    <w:p w14:paraId="325F0E36" w14:textId="77777777" w:rsidR="009F4DE2" w:rsidRDefault="009F4DE2" w:rsidP="00665D52">
      <w:pPr>
        <w:pStyle w:val="ListParagraph"/>
        <w:ind w:left="0"/>
        <w:jc w:val="both"/>
        <w:rPr>
          <w:rFonts w:ascii="Times New Roman" w:hAnsi="Times New Roman" w:cs="Times New Roman"/>
          <w:sz w:val="24"/>
          <w:szCs w:val="24"/>
        </w:rPr>
      </w:pPr>
    </w:p>
    <w:p w14:paraId="394FA6FD" w14:textId="77777777" w:rsidR="009F4DE2" w:rsidRDefault="009F4DE2" w:rsidP="00665D52">
      <w:pPr>
        <w:pStyle w:val="ListParagraph"/>
        <w:ind w:left="0"/>
        <w:jc w:val="both"/>
        <w:rPr>
          <w:rFonts w:ascii="Times New Roman" w:hAnsi="Times New Roman" w:cs="Times New Roman"/>
          <w:sz w:val="24"/>
          <w:szCs w:val="24"/>
        </w:rPr>
      </w:pPr>
    </w:p>
    <w:p w14:paraId="29B8660C" w14:textId="77777777" w:rsidR="009F4DE2" w:rsidRDefault="009F4DE2" w:rsidP="00665D52">
      <w:pPr>
        <w:pStyle w:val="ListParagraph"/>
        <w:ind w:left="0"/>
        <w:jc w:val="both"/>
        <w:rPr>
          <w:rFonts w:ascii="Times New Roman" w:hAnsi="Times New Roman" w:cs="Times New Roman"/>
          <w:sz w:val="24"/>
          <w:szCs w:val="24"/>
        </w:rPr>
      </w:pPr>
    </w:p>
    <w:p w14:paraId="521DEFAA" w14:textId="77777777" w:rsidR="006F4F70" w:rsidRDefault="006F4F70" w:rsidP="00665D52">
      <w:pPr>
        <w:pStyle w:val="ListParagraph"/>
        <w:ind w:left="0"/>
        <w:jc w:val="both"/>
        <w:rPr>
          <w:rFonts w:ascii="Times New Roman" w:hAnsi="Times New Roman" w:cs="Times New Roman"/>
          <w:sz w:val="24"/>
          <w:szCs w:val="24"/>
        </w:rPr>
      </w:pPr>
    </w:p>
    <w:p w14:paraId="1AA81FA2" w14:textId="36EB9A82" w:rsidR="009F4DE2" w:rsidRPr="009F4DE2" w:rsidRDefault="009F4DE2" w:rsidP="006F4F70">
      <w:pPr>
        <w:pStyle w:val="ListParagraph"/>
        <w:ind w:left="0"/>
        <w:jc w:val="both"/>
        <w:rPr>
          <w:rFonts w:ascii="Times New Roman" w:hAnsi="Times New Roman" w:cs="Times New Roman"/>
          <w:b/>
          <w:bCs/>
          <w:sz w:val="24"/>
          <w:szCs w:val="24"/>
        </w:rPr>
      </w:pPr>
      <w:r w:rsidRPr="009F4DE2">
        <w:rPr>
          <w:rFonts w:ascii="Times New Roman" w:hAnsi="Times New Roman" w:cs="Times New Roman"/>
          <w:b/>
          <w:bCs/>
          <w:sz w:val="24"/>
          <w:szCs w:val="24"/>
        </w:rPr>
        <w:t>DAFTAR BACAAN</w:t>
      </w:r>
    </w:p>
    <w:p w14:paraId="225784E4" w14:textId="4308DF37" w:rsidR="006A7ECD" w:rsidRPr="006A7ECD" w:rsidRDefault="006A7ECD" w:rsidP="006F4F70">
      <w:pPr>
        <w:widowControl w:val="0"/>
        <w:autoSpaceDE w:val="0"/>
        <w:autoSpaceDN w:val="0"/>
        <w:adjustRightInd w:val="0"/>
        <w:spacing w:line="240" w:lineRule="auto"/>
        <w:ind w:left="480" w:hanging="480"/>
        <w:jc w:val="both"/>
        <w:rPr>
          <w:rFonts w:ascii="Times New Roman" w:hAnsi="Times New Roman" w:cs="Times New Roman"/>
          <w:noProof/>
          <w:kern w:val="0"/>
          <w:sz w:val="24"/>
        </w:rPr>
      </w:pPr>
      <w:r>
        <w:rPr>
          <w:rFonts w:ascii="Times New Roman" w:hAnsi="Times New Roman" w:cs="Times New Roman"/>
          <w:sz w:val="24"/>
          <w:szCs w:val="24"/>
        </w:rPr>
        <w:fldChar w:fldCharType="begin" w:fldLock="1"/>
      </w:r>
      <w:r>
        <w:rPr>
          <w:rFonts w:ascii="Times New Roman" w:hAnsi="Times New Roman" w:cs="Times New Roman"/>
          <w:sz w:val="24"/>
          <w:szCs w:val="24"/>
        </w:rPr>
        <w:instrText xml:space="preserve">ADDIN Mendeley Bibliography CSL_BIBLIOGRAPHY </w:instrText>
      </w:r>
      <w:r>
        <w:rPr>
          <w:rFonts w:ascii="Times New Roman" w:hAnsi="Times New Roman" w:cs="Times New Roman"/>
          <w:sz w:val="24"/>
          <w:szCs w:val="24"/>
        </w:rPr>
        <w:fldChar w:fldCharType="separate"/>
      </w:r>
      <w:r w:rsidRPr="006A7ECD">
        <w:rPr>
          <w:rFonts w:ascii="Times New Roman" w:hAnsi="Times New Roman" w:cs="Times New Roman"/>
          <w:noProof/>
          <w:kern w:val="0"/>
          <w:sz w:val="24"/>
        </w:rPr>
        <w:t xml:space="preserve">Ashibly. </w:t>
      </w:r>
      <w:r w:rsidRPr="006A7ECD">
        <w:rPr>
          <w:rFonts w:ascii="Times New Roman" w:hAnsi="Times New Roman" w:cs="Times New Roman"/>
          <w:i/>
          <w:iCs/>
          <w:noProof/>
          <w:kern w:val="0"/>
          <w:sz w:val="24"/>
        </w:rPr>
        <w:t>Buku Ajar Hukum Jaminan</w:t>
      </w:r>
      <w:r w:rsidRPr="006A7ECD">
        <w:rPr>
          <w:rFonts w:ascii="Times New Roman" w:hAnsi="Times New Roman" w:cs="Times New Roman"/>
          <w:noProof/>
          <w:kern w:val="0"/>
          <w:sz w:val="24"/>
        </w:rPr>
        <w:t>, 2021.</w:t>
      </w:r>
    </w:p>
    <w:p w14:paraId="1291E0D8" w14:textId="77777777" w:rsidR="006A7ECD" w:rsidRPr="006A7ECD" w:rsidRDefault="006A7ECD" w:rsidP="006F4F70">
      <w:pPr>
        <w:widowControl w:val="0"/>
        <w:autoSpaceDE w:val="0"/>
        <w:autoSpaceDN w:val="0"/>
        <w:adjustRightInd w:val="0"/>
        <w:spacing w:line="240" w:lineRule="auto"/>
        <w:ind w:left="480" w:hanging="480"/>
        <w:jc w:val="both"/>
        <w:rPr>
          <w:rFonts w:ascii="Times New Roman" w:hAnsi="Times New Roman" w:cs="Times New Roman"/>
          <w:noProof/>
          <w:kern w:val="0"/>
          <w:sz w:val="24"/>
        </w:rPr>
      </w:pPr>
      <w:r w:rsidRPr="006A7ECD">
        <w:rPr>
          <w:rFonts w:ascii="Times New Roman" w:hAnsi="Times New Roman" w:cs="Times New Roman"/>
          <w:noProof/>
          <w:kern w:val="0"/>
          <w:sz w:val="24"/>
        </w:rPr>
        <w:lastRenderedPageBreak/>
        <w:t xml:space="preserve">———. </w:t>
      </w:r>
      <w:r w:rsidRPr="006A7ECD">
        <w:rPr>
          <w:rFonts w:ascii="Times New Roman" w:hAnsi="Times New Roman" w:cs="Times New Roman"/>
          <w:i/>
          <w:iCs/>
          <w:noProof/>
          <w:kern w:val="0"/>
          <w:sz w:val="24"/>
        </w:rPr>
        <w:t>Hukum Jaminan</w:t>
      </w:r>
      <w:r w:rsidRPr="006A7ECD">
        <w:rPr>
          <w:rFonts w:ascii="Times New Roman" w:hAnsi="Times New Roman" w:cs="Times New Roman"/>
          <w:noProof/>
          <w:kern w:val="0"/>
          <w:sz w:val="24"/>
        </w:rPr>
        <w:t>. Edited by Noprizal. 1st ed. Bengkulu: MIH Unihaz, 2018.</w:t>
      </w:r>
    </w:p>
    <w:p w14:paraId="016B72EC" w14:textId="77777777" w:rsidR="006A7ECD" w:rsidRPr="006A7ECD" w:rsidRDefault="006A7ECD" w:rsidP="006F4F70">
      <w:pPr>
        <w:widowControl w:val="0"/>
        <w:autoSpaceDE w:val="0"/>
        <w:autoSpaceDN w:val="0"/>
        <w:adjustRightInd w:val="0"/>
        <w:spacing w:line="240" w:lineRule="auto"/>
        <w:ind w:left="480" w:hanging="480"/>
        <w:jc w:val="both"/>
        <w:rPr>
          <w:rFonts w:ascii="Times New Roman" w:hAnsi="Times New Roman" w:cs="Times New Roman"/>
          <w:noProof/>
          <w:kern w:val="0"/>
          <w:sz w:val="24"/>
        </w:rPr>
      </w:pPr>
      <w:r w:rsidRPr="006A7ECD">
        <w:rPr>
          <w:rFonts w:ascii="Times New Roman" w:hAnsi="Times New Roman" w:cs="Times New Roman"/>
          <w:noProof/>
          <w:kern w:val="0"/>
          <w:sz w:val="24"/>
        </w:rPr>
        <w:t xml:space="preserve">Dharmasisya, ", Jurnal Fakultas, and Sharon Clarins. “Tinjauan Resi Gudang Sebagai Lembaga Jaminan.” </w:t>
      </w:r>
      <w:r w:rsidRPr="006A7ECD">
        <w:rPr>
          <w:rFonts w:ascii="Times New Roman" w:hAnsi="Times New Roman" w:cs="Times New Roman"/>
          <w:i/>
          <w:iCs/>
          <w:noProof/>
          <w:kern w:val="0"/>
          <w:sz w:val="24"/>
        </w:rPr>
        <w:t>“Dharmasisya”Jurnal Program Magister Hukum FHUI</w:t>
      </w:r>
      <w:r w:rsidRPr="006A7ECD">
        <w:rPr>
          <w:rFonts w:ascii="Times New Roman" w:hAnsi="Times New Roman" w:cs="Times New Roman"/>
          <w:noProof/>
          <w:kern w:val="0"/>
          <w:sz w:val="24"/>
        </w:rPr>
        <w:t xml:space="preserve"> 1, no. January (2022): 36. https://scholarhub.ui.ac.id/dharmasisyaAvailableat:https://scholarhub.ui.ac.id/dharmasisya/vol1/iss4/36.</w:t>
      </w:r>
    </w:p>
    <w:p w14:paraId="122480E8" w14:textId="77777777" w:rsidR="006A7ECD" w:rsidRPr="006A7ECD" w:rsidRDefault="006A7ECD" w:rsidP="006F4F70">
      <w:pPr>
        <w:widowControl w:val="0"/>
        <w:autoSpaceDE w:val="0"/>
        <w:autoSpaceDN w:val="0"/>
        <w:adjustRightInd w:val="0"/>
        <w:spacing w:line="240" w:lineRule="auto"/>
        <w:ind w:left="480" w:hanging="480"/>
        <w:jc w:val="both"/>
        <w:rPr>
          <w:rFonts w:ascii="Times New Roman" w:hAnsi="Times New Roman" w:cs="Times New Roman"/>
          <w:noProof/>
          <w:sz w:val="24"/>
        </w:rPr>
      </w:pPr>
      <w:r w:rsidRPr="006A7ECD">
        <w:rPr>
          <w:rFonts w:ascii="Times New Roman" w:hAnsi="Times New Roman" w:cs="Times New Roman"/>
          <w:noProof/>
          <w:kern w:val="0"/>
          <w:sz w:val="24"/>
        </w:rPr>
        <w:t>Indarta, Didiek Wahju, and Lailatul Mutmainah. “Tinjauan Yuridis Resi Gudang Sebagai Instrumen Jaminan Berdasarkan Undang-Undang Nomor 9 Tahun 2011 Tentang Sistem Resi Gudang” 7, no. 2 (2025): 1147–54.</w:t>
      </w:r>
    </w:p>
    <w:p w14:paraId="540902FB" w14:textId="21EC2604" w:rsidR="006A7ECD" w:rsidRPr="00665D52" w:rsidRDefault="006A7ECD" w:rsidP="006F4F70">
      <w:pPr>
        <w:pStyle w:val="ListParagraph"/>
        <w:ind w:left="0"/>
        <w:jc w:val="both"/>
        <w:rPr>
          <w:rFonts w:ascii="Times New Roman" w:hAnsi="Times New Roman" w:cs="Times New Roman"/>
          <w:sz w:val="24"/>
          <w:szCs w:val="24"/>
        </w:rPr>
      </w:pPr>
      <w:r>
        <w:rPr>
          <w:rFonts w:ascii="Times New Roman" w:hAnsi="Times New Roman" w:cs="Times New Roman"/>
          <w:sz w:val="24"/>
          <w:szCs w:val="24"/>
        </w:rPr>
        <w:fldChar w:fldCharType="end"/>
      </w:r>
    </w:p>
    <w:sectPr w:rsidR="006A7ECD" w:rsidRPr="00665D5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F57868" w14:textId="77777777" w:rsidR="002815E0" w:rsidRDefault="002815E0" w:rsidP="00E02C3C">
      <w:pPr>
        <w:spacing w:after="0" w:line="240" w:lineRule="auto"/>
      </w:pPr>
      <w:r>
        <w:separator/>
      </w:r>
    </w:p>
  </w:endnote>
  <w:endnote w:type="continuationSeparator" w:id="0">
    <w:p w14:paraId="22D84763" w14:textId="77777777" w:rsidR="002815E0" w:rsidRDefault="002815E0" w:rsidP="00E02C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28813F" w14:textId="77777777" w:rsidR="002815E0" w:rsidRDefault="002815E0" w:rsidP="00E02C3C">
      <w:pPr>
        <w:spacing w:after="0" w:line="240" w:lineRule="auto"/>
      </w:pPr>
      <w:r>
        <w:separator/>
      </w:r>
    </w:p>
  </w:footnote>
  <w:footnote w:type="continuationSeparator" w:id="0">
    <w:p w14:paraId="470D8547" w14:textId="77777777" w:rsidR="002815E0" w:rsidRDefault="002815E0" w:rsidP="00E02C3C">
      <w:pPr>
        <w:spacing w:after="0" w:line="240" w:lineRule="auto"/>
      </w:pPr>
      <w:r>
        <w:continuationSeparator/>
      </w:r>
    </w:p>
  </w:footnote>
  <w:footnote w:id="1">
    <w:p w14:paraId="3993DE41" w14:textId="79EAC55F" w:rsidR="006A7ECD" w:rsidRPr="006A7ECD" w:rsidRDefault="006A7ECD">
      <w:pPr>
        <w:pStyle w:val="FootnoteText"/>
        <w:rPr>
          <w:lang w:val="en-US"/>
        </w:rPr>
      </w:pPr>
      <w:r>
        <w:rPr>
          <w:rStyle w:val="FootnoteReference"/>
        </w:rPr>
        <w:footnoteRef/>
      </w:r>
      <w:r>
        <w:t xml:space="preserve"> </w:t>
      </w:r>
      <w:r>
        <w:fldChar w:fldCharType="begin" w:fldLock="1"/>
      </w:r>
      <w:r>
        <w:instrText>ADDIN CSL_CITATION {"citationItems":[{"id":"ITEM-1","itemData":{"ISBN":"9786025027222","author":[{"dropping-particle":"","family":"Ashibly","given":"","non-dropping-particle":"","parse-names":false,"suffix":""}],"edition":"1","editor":[{"dropping-particle":"","family":"Noprizal","given":"","non-dropping-particle":"","parse-names":false,"suffix":""}],"id":"ITEM-1","issued":{"date-parts":[["2018"]]},"publisher":"MIH Unihaz","publisher-place":"Bengkulu","title":"Hukum Jaminan","type":"book"},"uris":["http://www.mendeley.com/documents/?uuid=37ad0ef3-d428-4307-beba-27f90cb24371"]}],"mendeley":{"formattedCitation":"Ashibly, &lt;i&gt;Hukum Jaminan&lt;/i&gt;, ed. Noprizal, 1st ed. (Bengkulu: MIH Unihaz, 2018).","plainTextFormattedCitation":"Ashibly, Hukum Jaminan, ed. Noprizal, 1st ed. (Bengkulu: MIH Unihaz, 2018)."},"properties":{"noteIndex":1},"schema":"https://github.com/citation-style-language/schema/raw/master/csl-citation.json"}</w:instrText>
      </w:r>
      <w:r>
        <w:fldChar w:fldCharType="separate"/>
      </w:r>
      <w:r w:rsidRPr="006A7ECD">
        <w:rPr>
          <w:noProof/>
        </w:rPr>
        <w:t xml:space="preserve">Ashibly, </w:t>
      </w:r>
      <w:r w:rsidRPr="006A7ECD">
        <w:rPr>
          <w:i/>
          <w:noProof/>
        </w:rPr>
        <w:t>Hukum Jaminan</w:t>
      </w:r>
      <w:r w:rsidRPr="006A7ECD">
        <w:rPr>
          <w:noProof/>
        </w:rPr>
        <w:t>, ed. Noprizal, 1st ed. (Bengkulu: MIH Unihaz, 2018).</w:t>
      </w:r>
      <w:r>
        <w:fldChar w:fldCharType="end"/>
      </w:r>
    </w:p>
  </w:footnote>
  <w:footnote w:id="2">
    <w:p w14:paraId="58DA142F" w14:textId="4730D057" w:rsidR="006A7ECD" w:rsidRPr="006A7ECD" w:rsidRDefault="006A7ECD">
      <w:pPr>
        <w:pStyle w:val="FootnoteText"/>
        <w:rPr>
          <w:lang w:val="en-US"/>
        </w:rPr>
      </w:pPr>
      <w:r>
        <w:rPr>
          <w:rStyle w:val="FootnoteReference"/>
        </w:rPr>
        <w:footnoteRef/>
      </w:r>
      <w:r>
        <w:t xml:space="preserve"> </w:t>
      </w:r>
      <w:r>
        <w:fldChar w:fldCharType="begin" w:fldLock="1"/>
      </w:r>
      <w:r>
        <w:instrText>ADDIN CSL_CITATION {"citationItems":[{"id":"ITEM-1","itemData":{"ISBN":"9786025027222","PMID":"2581813","abstract":"Buku Hukum Perdata ditulis untuk mempermudah mahasiswa/i maupun Sarjana Hukum dan Praktisi Hukum dalam memahami serta menelaah kajian Hukum Perdata Materiil, yang berkembang di Indonesia secara implisit maupun eksplisit.","author":[{"dropping-particle":"","family":"Ashibly","given":"","non-dropping-particle":"","parse-names":false,"suffix":""}],"id":"ITEM-1","issue":"February","issued":{"date-parts":[["2021"]]},"number-of-pages":"25-27","title":"Buku Ajar Hukum Jaminan","type":"book"},"uris":["http://www.mendeley.com/documents/?uuid=877a1dfb-669d-4293-b22f-9a4a28d9b386"]}],"mendeley":{"formattedCitation":"Ashibly, &lt;i&gt;Buku Ajar Hukum Jaminan&lt;/i&gt;, 2021.","plainTextFormattedCitation":"Ashibly, Buku Ajar Hukum Jaminan, 2021.","previouslyFormattedCitation":"Ashibly, &lt;i&gt;Buku Ajar Hukum Jaminan&lt;/i&gt;, 2021."},"properties":{"noteIndex":2},"schema":"https://github.com/citation-style-language/schema/raw/master/csl-citation.json"}</w:instrText>
      </w:r>
      <w:r>
        <w:fldChar w:fldCharType="separate"/>
      </w:r>
      <w:r w:rsidRPr="006A7ECD">
        <w:rPr>
          <w:noProof/>
        </w:rPr>
        <w:t xml:space="preserve">Ashibly, </w:t>
      </w:r>
      <w:r w:rsidRPr="006A7ECD">
        <w:rPr>
          <w:i/>
          <w:noProof/>
        </w:rPr>
        <w:t>Buku Ajar Hukum Jaminan</w:t>
      </w:r>
      <w:r w:rsidRPr="006A7ECD">
        <w:rPr>
          <w:noProof/>
        </w:rPr>
        <w:t>, 2021.</w:t>
      </w:r>
      <w:r>
        <w:fldChar w:fldCharType="end"/>
      </w:r>
    </w:p>
  </w:footnote>
  <w:footnote w:id="3">
    <w:p w14:paraId="2D42E322" w14:textId="6093B55D" w:rsidR="00405E2B" w:rsidRPr="00405E2B" w:rsidRDefault="00405E2B">
      <w:pPr>
        <w:pStyle w:val="FootnoteText"/>
        <w:rPr>
          <w:lang w:val="en-US"/>
        </w:rPr>
      </w:pPr>
      <w:r>
        <w:rPr>
          <w:rStyle w:val="FootnoteReference"/>
        </w:rPr>
        <w:footnoteRef/>
      </w:r>
      <w:r>
        <w:t xml:space="preserve"> </w:t>
      </w:r>
      <w:r>
        <w:fldChar w:fldCharType="begin" w:fldLock="1"/>
      </w:r>
      <w:r w:rsidR="006A7ECD">
        <w:instrText>ADDIN CSL_CITATION {"citationItems":[{"id":"ITEM-1","itemData":{"abstract":"… surat berharga yang merupakan bagian dari surat berharga … resi gudang termasuk sebagai surat berharga karena mudah … sebagai bagian dari surat berharga komersial. Meskipun resi …","author":[{"dropping-particle":"","family":"Dharmasisya","given":"\"","non-dropping-particle":"","parse-names":false,"suffix":""},{"dropping-particle":"","family":"Fakultas","given":"Jurnal","non-dropping-particle":"","parse-names":false,"suffix":""},{"dropping-particle":"","family":"Clarins","given":"Sharon","non-dropping-particle":"","parse-names":false,"suffix":""}],"container-title":"\"Dharmasisya\"Jurnal Program Magister Hukum FHUI","id":"ITEM-1","issue":"January","issued":{"date-parts":[["2022"]]},"page":"36","title":"Tinjauan Resi Gudang Sebagai Lembaga Jaminan","type":"article-journal","volume":"1"},"uris":["http://www.mendeley.com/documents/?uuid=bfdc32be-1390-4e59-aae9-9389f7d4c9ee"]}],"mendeley":{"formattedCitation":"\" Dharmasisya, Jurnal Fakultas, and Sharon Clarins, “Tinjauan Resi Gudang Sebagai Lembaga Jaminan,” &lt;i&gt;“Dharmasisya”Jurnal Program Magister Hukum FHUI&lt;/i&gt; 1, no. January (2022): 36, https://scholarhub.ui.ac.id/dharmasisyaAvailableat:https://scholarhub.ui.ac.id/dharmasisya/vol1/iss4/36.","plainTextFormattedCitation":"\" Dharmasisya, Jurnal Fakultas, and Sharon Clarins, “Tinjauan Resi Gudang Sebagai Lembaga Jaminan,” “Dharmasisya”Jurnal Program Magister Hukum FHUI 1, no. January (2022): 36, https://scholarhub.ui.ac.id/dharmasisyaAvailableat:https://scholarhub.ui.ac.id/dharmasisya/vol1/iss4/36.","previouslyFormattedCitation":"\" Dharmasisya, Jurnal Fakultas, and Sharon Clarins, “Tinjauan Resi Gudang Sebagai Lembaga Jaminan,” &lt;i&gt;“Dharmasisya”Jurnal Program Magister Hukum FHUI&lt;/i&gt; 1, no. January (2022): 36, https://scholarhub.ui.ac.id/dharmasisyaAvailableat:https://scholarhub.ui.ac.id/dharmasisya/vol1/iss4/36."},"properties":{"noteIndex":3},"schema":"https://github.com/citation-style-language/schema/raw/master/csl-citation.json"}</w:instrText>
      </w:r>
      <w:r>
        <w:fldChar w:fldCharType="separate"/>
      </w:r>
      <w:r w:rsidRPr="00405E2B">
        <w:rPr>
          <w:noProof/>
        </w:rPr>
        <w:t xml:space="preserve">" Dharmasisya, Jurnal Fakultas, and Sharon Clarins, “Tinjauan Resi Gudang Sebagai Lembaga Jaminan,” </w:t>
      </w:r>
      <w:r w:rsidRPr="00405E2B">
        <w:rPr>
          <w:i/>
          <w:noProof/>
        </w:rPr>
        <w:t>“Dharmasisya”Jurnal Program Magister Hukum FHUI</w:t>
      </w:r>
      <w:r w:rsidRPr="00405E2B">
        <w:rPr>
          <w:noProof/>
        </w:rPr>
        <w:t xml:space="preserve"> 1, no. January (2022): 36, https://scholarhub.ui.ac.id/dharmasisyaAvailableat:https://scholarhub.ui.ac.id/dharmasisya/vol1/iss4/36.</w:t>
      </w:r>
      <w:r>
        <w:fldChar w:fldCharType="end"/>
      </w:r>
    </w:p>
  </w:footnote>
  <w:footnote w:id="4">
    <w:p w14:paraId="2080CB4F" w14:textId="089F387D" w:rsidR="00405E2B" w:rsidRPr="00405E2B" w:rsidRDefault="00405E2B">
      <w:pPr>
        <w:pStyle w:val="FootnoteText"/>
        <w:rPr>
          <w:lang w:val="en-US"/>
        </w:rPr>
      </w:pPr>
      <w:r>
        <w:rPr>
          <w:rStyle w:val="FootnoteReference"/>
        </w:rPr>
        <w:footnoteRef/>
      </w:r>
      <w:r>
        <w:t xml:space="preserve"> </w:t>
      </w:r>
      <w:r>
        <w:fldChar w:fldCharType="begin" w:fldLock="1"/>
      </w:r>
      <w:r w:rsidR="006A7ECD">
        <w:instrText>ADDIN CSL_CITATION {"citationItems":[{"id":"ITEM-1","itemData":{"abstract":"… surat berharga yang merupakan bagian dari surat berharga … resi gudang termasuk sebagai surat berharga karena mudah … sebagai bagian dari surat berharga komersial. Meskipun resi …","author":[{"dropping-particle":"","family":"Dharmasisya","given":"\"","non-dropping-particle":"","parse-names":false,"suffix":""},{"dropping-particle":"","family":"Fakultas","given":"Jurnal","non-dropping-particle":"","parse-names":false,"suffix":""},{"dropping-particle":"","family":"Clarins","given":"Sharon","non-dropping-particle":"","parse-names":false,"suffix":""}],"container-title":"\"Dharmasisya\"Jurnal Program Magister Hukum FHUI","id":"ITEM-1","issue":"January","issued":{"date-parts":[["2022"]]},"page":"36","title":"Tinjauan Resi Gudang Sebagai Lembaga Jaminan","type":"article-journal","volume":"1"},"uris":["http://www.mendeley.com/documents/?uuid=bfdc32be-1390-4e59-aae9-9389f7d4c9ee"]}],"mendeley":{"formattedCitation":"Dharmasisya, Fakultas, and Clarins.","plainTextFormattedCitation":"Dharmasisya, Fakultas, and Clarins.","previouslyFormattedCitation":"Dharmasisya, Fakultas, and Clarins."},"properties":{"noteIndex":4},"schema":"https://github.com/citation-style-language/schema/raw/master/csl-citation.json"}</w:instrText>
      </w:r>
      <w:r>
        <w:fldChar w:fldCharType="separate"/>
      </w:r>
      <w:r w:rsidRPr="00405E2B">
        <w:rPr>
          <w:noProof/>
        </w:rPr>
        <w:t>Dharmasisya, Fakultas, and Clarins.</w:t>
      </w:r>
      <w:r>
        <w:fldChar w:fldCharType="end"/>
      </w:r>
    </w:p>
  </w:footnote>
  <w:footnote w:id="5">
    <w:p w14:paraId="5163B21D" w14:textId="0C20EDAF" w:rsidR="00E02C3C" w:rsidRPr="00E02C3C" w:rsidRDefault="00E02C3C">
      <w:pPr>
        <w:pStyle w:val="FootnoteText"/>
        <w:rPr>
          <w:lang w:val="en-US"/>
        </w:rPr>
      </w:pPr>
      <w:r>
        <w:rPr>
          <w:rStyle w:val="FootnoteReference"/>
        </w:rPr>
        <w:footnoteRef/>
      </w:r>
      <w:r>
        <w:t xml:space="preserve"> </w:t>
      </w:r>
      <w:r>
        <w:fldChar w:fldCharType="begin" w:fldLock="1"/>
      </w:r>
      <w:r w:rsidR="006A7ECD">
        <w:instrText>ADDIN CSL_CITATION {"citationItems":[{"id":"ITEM-1","itemData":{"author":[{"dropping-particle":"","family":"Indarta","given":"Didiek Wahju","non-dropping-particle":"","parse-names":false,"suffix":""},{"dropping-particle":"","family":"Mutmainah","given":"Lailatul","non-dropping-particle":"","parse-names":false,"suffix":""}],"id":"ITEM-1","issue":"2","issued":{"date-parts":[["2025"]]},"page":"1147-1154","title":"Tinjauan Yuridis Resi Gudang Sebagai Instrumen Jaminan Berdasarkan Undang-Undang Nomor 9 Tahun 2011 Tentang Sistem Resi Gudang","type":"article-journal","volume":"7"},"uris":["http://www.mendeley.com/documents/?uuid=244252e5-80df-481c-971b-58447b3bf6c5"]}],"mendeley":{"formattedCitation":"Didiek Wahju Indarta and Lailatul Mutmainah, “Tinjauan Yuridis Resi Gudang Sebagai Instrumen Jaminan Berdasarkan Undang-Undang Nomor 9 Tahun 2011 Tentang Sistem Resi Gudang” 7, no. 2 (2025): 1147–54.","plainTextFormattedCitation":"Didiek Wahju Indarta and Lailatul Mutmainah, “Tinjauan Yuridis Resi Gudang Sebagai Instrumen Jaminan Berdasarkan Undang-Undang Nomor 9 Tahun 2011 Tentang Sistem Resi Gudang” 7, no. 2 (2025): 1147–54.","previouslyFormattedCitation":"Didiek Wahju Indarta and Lailatul Mutmainah, “Tinjauan Yuridis Resi Gudang Sebagai Instrumen Jaminan Berdasarkan Undang-Undang Nomor 9 Tahun 2011 Tentang Sistem Resi Gudang” 7, no. 2 (2025): 1147–54."},"properties":{"noteIndex":5},"schema":"https://github.com/citation-style-language/schema/raw/master/csl-citation.json"}</w:instrText>
      </w:r>
      <w:r>
        <w:fldChar w:fldCharType="separate"/>
      </w:r>
      <w:r w:rsidRPr="00E02C3C">
        <w:rPr>
          <w:noProof/>
        </w:rPr>
        <w:t>Didiek Wahju Indarta and Lailatul Mutmainah, “Tinjauan Yuridis Resi Gudang Sebagai Instrumen Jaminan Berdasarkan Undang-Undang Nomor 9 Tahun 2011 Tentang Sistem Resi Gudang” 7, no. 2 (2025): 1147–54.</w:t>
      </w:r>
      <w:r>
        <w:fldChar w:fldCharType="end"/>
      </w:r>
    </w:p>
  </w:footnote>
  <w:footnote w:id="6">
    <w:p w14:paraId="57B393BE" w14:textId="18CE4A33" w:rsidR="00E02C3C" w:rsidRPr="00E02C3C" w:rsidRDefault="00E02C3C">
      <w:pPr>
        <w:pStyle w:val="FootnoteText"/>
        <w:rPr>
          <w:lang w:val="en-US"/>
        </w:rPr>
      </w:pPr>
      <w:r>
        <w:rPr>
          <w:rStyle w:val="FootnoteReference"/>
        </w:rPr>
        <w:footnoteRef/>
      </w:r>
      <w:r>
        <w:t xml:space="preserve"> </w:t>
      </w:r>
      <w:r>
        <w:fldChar w:fldCharType="begin" w:fldLock="1"/>
      </w:r>
      <w:r w:rsidR="006A7ECD">
        <w:instrText>ADDIN CSL_CITATION {"citationItems":[{"id":"ITEM-1","itemData":{"author":[{"dropping-particle":"","family":"Indarta","given":"Didiek Wahju","non-dropping-particle":"","parse-names":false,"suffix":""},{"dropping-particle":"","family":"Mutmainah","given":"Lailatul","non-dropping-particle":"","parse-names":false,"suffix":""}],"id":"ITEM-1","issue":"2","issued":{"date-parts":[["2025"]]},"page":"1147-1154","title":"Tinjauan Yuridis Resi Gudang Sebagai Instrumen Jaminan Berdasarkan Undang-Undang Nomor 9 Tahun 2011 Tentang Sistem Resi Gudang","type":"article-journal","volume":"7"},"uris":["http://www.mendeley.com/documents/?uuid=244252e5-80df-481c-971b-58447b3bf6c5"]}],"mendeley":{"formattedCitation":"Indarta and Mutmainah.","plainTextFormattedCitation":"Indarta and Mutmainah.","previouslyFormattedCitation":"Indarta and Mutmainah."},"properties":{"noteIndex":6},"schema":"https://github.com/citation-style-language/schema/raw/master/csl-citation.json"}</w:instrText>
      </w:r>
      <w:r>
        <w:fldChar w:fldCharType="separate"/>
      </w:r>
      <w:r w:rsidRPr="00E02C3C">
        <w:rPr>
          <w:noProof/>
        </w:rPr>
        <w:t>Indarta and Mutmainah.</w:t>
      </w:r>
      <w:r>
        <w:fldChar w:fldCharType="end"/>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851676"/>
    <w:multiLevelType w:val="hybridMultilevel"/>
    <w:tmpl w:val="AEF2EA2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18898057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DF3"/>
    <w:rsid w:val="00046885"/>
    <w:rsid w:val="0016580B"/>
    <w:rsid w:val="00235F67"/>
    <w:rsid w:val="002815E0"/>
    <w:rsid w:val="00285112"/>
    <w:rsid w:val="00405E2B"/>
    <w:rsid w:val="005119A1"/>
    <w:rsid w:val="00527F89"/>
    <w:rsid w:val="005A58A3"/>
    <w:rsid w:val="00665D52"/>
    <w:rsid w:val="00675DCE"/>
    <w:rsid w:val="006A7ECD"/>
    <w:rsid w:val="006F4F70"/>
    <w:rsid w:val="00822B28"/>
    <w:rsid w:val="008B6AFA"/>
    <w:rsid w:val="009055E4"/>
    <w:rsid w:val="00993CF7"/>
    <w:rsid w:val="009C1DA8"/>
    <w:rsid w:val="009F4DE2"/>
    <w:rsid w:val="00A53C68"/>
    <w:rsid w:val="00A72CD8"/>
    <w:rsid w:val="00A912F5"/>
    <w:rsid w:val="00B36B22"/>
    <w:rsid w:val="00B458EE"/>
    <w:rsid w:val="00B85EAA"/>
    <w:rsid w:val="00C04DEE"/>
    <w:rsid w:val="00CB3D4B"/>
    <w:rsid w:val="00E02C3C"/>
    <w:rsid w:val="00ED099B"/>
    <w:rsid w:val="00F05DF3"/>
    <w:rsid w:val="00FF1C40"/>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EE02DD"/>
  <w15:chartTrackingRefBased/>
  <w15:docId w15:val="{D1190654-84AB-4D33-BCC0-C4A92F31A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5DF3"/>
  </w:style>
  <w:style w:type="paragraph" w:styleId="Heading1">
    <w:name w:val="heading 1"/>
    <w:basedOn w:val="Normal"/>
    <w:next w:val="Normal"/>
    <w:link w:val="Heading1Char"/>
    <w:uiPriority w:val="9"/>
    <w:qFormat/>
    <w:rsid w:val="00F05DF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05DF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05DF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05DF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05DF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05DF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05DF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05DF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05DF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5DF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05DF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05DF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05DF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05DF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05DF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05DF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05DF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05DF3"/>
    <w:rPr>
      <w:rFonts w:eastAsiaTheme="majorEastAsia" w:cstheme="majorBidi"/>
      <w:color w:val="272727" w:themeColor="text1" w:themeTint="D8"/>
    </w:rPr>
  </w:style>
  <w:style w:type="paragraph" w:styleId="Title">
    <w:name w:val="Title"/>
    <w:basedOn w:val="Normal"/>
    <w:next w:val="Normal"/>
    <w:link w:val="TitleChar"/>
    <w:uiPriority w:val="10"/>
    <w:qFormat/>
    <w:rsid w:val="00F05DF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05DF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05DF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05DF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05DF3"/>
    <w:pPr>
      <w:spacing w:before="160"/>
      <w:jc w:val="center"/>
    </w:pPr>
    <w:rPr>
      <w:i/>
      <w:iCs/>
      <w:color w:val="404040" w:themeColor="text1" w:themeTint="BF"/>
    </w:rPr>
  </w:style>
  <w:style w:type="character" w:customStyle="1" w:styleId="QuoteChar">
    <w:name w:val="Quote Char"/>
    <w:basedOn w:val="DefaultParagraphFont"/>
    <w:link w:val="Quote"/>
    <w:uiPriority w:val="29"/>
    <w:rsid w:val="00F05DF3"/>
    <w:rPr>
      <w:i/>
      <w:iCs/>
      <w:color w:val="404040" w:themeColor="text1" w:themeTint="BF"/>
    </w:rPr>
  </w:style>
  <w:style w:type="paragraph" w:styleId="ListParagraph">
    <w:name w:val="List Paragraph"/>
    <w:basedOn w:val="Normal"/>
    <w:uiPriority w:val="34"/>
    <w:qFormat/>
    <w:rsid w:val="00F05DF3"/>
    <w:pPr>
      <w:ind w:left="720"/>
      <w:contextualSpacing/>
    </w:pPr>
  </w:style>
  <w:style w:type="character" w:styleId="IntenseEmphasis">
    <w:name w:val="Intense Emphasis"/>
    <w:basedOn w:val="DefaultParagraphFont"/>
    <w:uiPriority w:val="21"/>
    <w:qFormat/>
    <w:rsid w:val="00F05DF3"/>
    <w:rPr>
      <w:i/>
      <w:iCs/>
      <w:color w:val="2F5496" w:themeColor="accent1" w:themeShade="BF"/>
    </w:rPr>
  </w:style>
  <w:style w:type="paragraph" w:styleId="IntenseQuote">
    <w:name w:val="Intense Quote"/>
    <w:basedOn w:val="Normal"/>
    <w:next w:val="Normal"/>
    <w:link w:val="IntenseQuoteChar"/>
    <w:uiPriority w:val="30"/>
    <w:qFormat/>
    <w:rsid w:val="00F05DF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05DF3"/>
    <w:rPr>
      <w:i/>
      <w:iCs/>
      <w:color w:val="2F5496" w:themeColor="accent1" w:themeShade="BF"/>
    </w:rPr>
  </w:style>
  <w:style w:type="character" w:styleId="IntenseReference">
    <w:name w:val="Intense Reference"/>
    <w:basedOn w:val="DefaultParagraphFont"/>
    <w:uiPriority w:val="32"/>
    <w:qFormat/>
    <w:rsid w:val="00F05DF3"/>
    <w:rPr>
      <w:b/>
      <w:bCs/>
      <w:smallCaps/>
      <w:color w:val="2F5496" w:themeColor="accent1" w:themeShade="BF"/>
      <w:spacing w:val="5"/>
    </w:rPr>
  </w:style>
  <w:style w:type="character" w:styleId="Hyperlink">
    <w:name w:val="Hyperlink"/>
    <w:basedOn w:val="DefaultParagraphFont"/>
    <w:uiPriority w:val="99"/>
    <w:unhideWhenUsed/>
    <w:rsid w:val="00CB3D4B"/>
    <w:rPr>
      <w:color w:val="0563C1" w:themeColor="hyperlink"/>
      <w:u w:val="single"/>
    </w:rPr>
  </w:style>
  <w:style w:type="character" w:styleId="UnresolvedMention">
    <w:name w:val="Unresolved Mention"/>
    <w:basedOn w:val="DefaultParagraphFont"/>
    <w:uiPriority w:val="99"/>
    <w:semiHidden/>
    <w:unhideWhenUsed/>
    <w:rsid w:val="00CB3D4B"/>
    <w:rPr>
      <w:color w:val="605E5C"/>
      <w:shd w:val="clear" w:color="auto" w:fill="E1DFDD"/>
    </w:rPr>
  </w:style>
  <w:style w:type="paragraph" w:styleId="FootnoteText">
    <w:name w:val="footnote text"/>
    <w:basedOn w:val="Normal"/>
    <w:link w:val="FootnoteTextChar"/>
    <w:uiPriority w:val="99"/>
    <w:semiHidden/>
    <w:unhideWhenUsed/>
    <w:rsid w:val="00E02C3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02C3C"/>
    <w:rPr>
      <w:sz w:val="20"/>
      <w:szCs w:val="20"/>
    </w:rPr>
  </w:style>
  <w:style w:type="character" w:styleId="FootnoteReference">
    <w:name w:val="footnote reference"/>
    <w:basedOn w:val="DefaultParagraphFont"/>
    <w:uiPriority w:val="99"/>
    <w:semiHidden/>
    <w:unhideWhenUsed/>
    <w:rsid w:val="00E02C3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8177457">
      <w:bodyDiv w:val="1"/>
      <w:marLeft w:val="0"/>
      <w:marRight w:val="0"/>
      <w:marTop w:val="0"/>
      <w:marBottom w:val="0"/>
      <w:divBdr>
        <w:top w:val="none" w:sz="0" w:space="0" w:color="auto"/>
        <w:left w:val="none" w:sz="0" w:space="0" w:color="auto"/>
        <w:bottom w:val="none" w:sz="0" w:space="0" w:color="auto"/>
        <w:right w:val="none" w:sz="0" w:space="0" w:color="auto"/>
      </w:divBdr>
    </w:div>
    <w:div w:id="891617869">
      <w:bodyDiv w:val="1"/>
      <w:marLeft w:val="0"/>
      <w:marRight w:val="0"/>
      <w:marTop w:val="0"/>
      <w:marBottom w:val="0"/>
      <w:divBdr>
        <w:top w:val="none" w:sz="0" w:space="0" w:color="auto"/>
        <w:left w:val="none" w:sz="0" w:space="0" w:color="auto"/>
        <w:bottom w:val="none" w:sz="0" w:space="0" w:color="auto"/>
        <w:right w:val="none" w:sz="0" w:space="0" w:color="auto"/>
      </w:divBdr>
    </w:div>
    <w:div w:id="988048832">
      <w:bodyDiv w:val="1"/>
      <w:marLeft w:val="0"/>
      <w:marRight w:val="0"/>
      <w:marTop w:val="0"/>
      <w:marBottom w:val="0"/>
      <w:divBdr>
        <w:top w:val="none" w:sz="0" w:space="0" w:color="auto"/>
        <w:left w:val="none" w:sz="0" w:space="0" w:color="auto"/>
        <w:bottom w:val="none" w:sz="0" w:space="0" w:color="auto"/>
        <w:right w:val="none" w:sz="0" w:space="0" w:color="auto"/>
      </w:divBdr>
    </w:div>
    <w:div w:id="1028995488">
      <w:bodyDiv w:val="1"/>
      <w:marLeft w:val="0"/>
      <w:marRight w:val="0"/>
      <w:marTop w:val="0"/>
      <w:marBottom w:val="0"/>
      <w:divBdr>
        <w:top w:val="none" w:sz="0" w:space="0" w:color="auto"/>
        <w:left w:val="none" w:sz="0" w:space="0" w:color="auto"/>
        <w:bottom w:val="none" w:sz="0" w:space="0" w:color="auto"/>
        <w:right w:val="none" w:sz="0" w:space="0" w:color="auto"/>
      </w:divBdr>
    </w:div>
    <w:div w:id="1141847846">
      <w:bodyDiv w:val="1"/>
      <w:marLeft w:val="0"/>
      <w:marRight w:val="0"/>
      <w:marTop w:val="0"/>
      <w:marBottom w:val="0"/>
      <w:divBdr>
        <w:top w:val="none" w:sz="0" w:space="0" w:color="auto"/>
        <w:left w:val="none" w:sz="0" w:space="0" w:color="auto"/>
        <w:bottom w:val="none" w:sz="0" w:space="0" w:color="auto"/>
        <w:right w:val="none" w:sz="0" w:space="0" w:color="auto"/>
      </w:divBdr>
    </w:div>
    <w:div w:id="1248687127">
      <w:bodyDiv w:val="1"/>
      <w:marLeft w:val="0"/>
      <w:marRight w:val="0"/>
      <w:marTop w:val="0"/>
      <w:marBottom w:val="0"/>
      <w:divBdr>
        <w:top w:val="none" w:sz="0" w:space="0" w:color="auto"/>
        <w:left w:val="none" w:sz="0" w:space="0" w:color="auto"/>
        <w:bottom w:val="none" w:sz="0" w:space="0" w:color="auto"/>
        <w:right w:val="none" w:sz="0" w:space="0" w:color="auto"/>
      </w:divBdr>
    </w:div>
    <w:div w:id="1340280092">
      <w:bodyDiv w:val="1"/>
      <w:marLeft w:val="0"/>
      <w:marRight w:val="0"/>
      <w:marTop w:val="0"/>
      <w:marBottom w:val="0"/>
      <w:divBdr>
        <w:top w:val="none" w:sz="0" w:space="0" w:color="auto"/>
        <w:left w:val="none" w:sz="0" w:space="0" w:color="auto"/>
        <w:bottom w:val="none" w:sz="0" w:space="0" w:color="auto"/>
        <w:right w:val="none" w:sz="0" w:space="0" w:color="auto"/>
      </w:divBdr>
    </w:div>
    <w:div w:id="1340623637">
      <w:bodyDiv w:val="1"/>
      <w:marLeft w:val="0"/>
      <w:marRight w:val="0"/>
      <w:marTop w:val="0"/>
      <w:marBottom w:val="0"/>
      <w:divBdr>
        <w:top w:val="none" w:sz="0" w:space="0" w:color="auto"/>
        <w:left w:val="none" w:sz="0" w:space="0" w:color="auto"/>
        <w:bottom w:val="none" w:sz="0" w:space="0" w:color="auto"/>
        <w:right w:val="none" w:sz="0" w:space="0" w:color="auto"/>
      </w:divBdr>
    </w:div>
    <w:div w:id="1447264166">
      <w:bodyDiv w:val="1"/>
      <w:marLeft w:val="0"/>
      <w:marRight w:val="0"/>
      <w:marTop w:val="0"/>
      <w:marBottom w:val="0"/>
      <w:divBdr>
        <w:top w:val="none" w:sz="0" w:space="0" w:color="auto"/>
        <w:left w:val="none" w:sz="0" w:space="0" w:color="auto"/>
        <w:bottom w:val="none" w:sz="0" w:space="0" w:color="auto"/>
        <w:right w:val="none" w:sz="0" w:space="0" w:color="auto"/>
      </w:divBdr>
    </w:div>
    <w:div w:id="1588998416">
      <w:bodyDiv w:val="1"/>
      <w:marLeft w:val="0"/>
      <w:marRight w:val="0"/>
      <w:marTop w:val="0"/>
      <w:marBottom w:val="0"/>
      <w:divBdr>
        <w:top w:val="none" w:sz="0" w:space="0" w:color="auto"/>
        <w:left w:val="none" w:sz="0" w:space="0" w:color="auto"/>
        <w:bottom w:val="none" w:sz="0" w:space="0" w:color="auto"/>
        <w:right w:val="none" w:sz="0" w:space="0" w:color="auto"/>
      </w:divBdr>
    </w:div>
    <w:div w:id="1709642211">
      <w:bodyDiv w:val="1"/>
      <w:marLeft w:val="0"/>
      <w:marRight w:val="0"/>
      <w:marTop w:val="0"/>
      <w:marBottom w:val="0"/>
      <w:divBdr>
        <w:top w:val="none" w:sz="0" w:space="0" w:color="auto"/>
        <w:left w:val="none" w:sz="0" w:space="0" w:color="auto"/>
        <w:bottom w:val="none" w:sz="0" w:space="0" w:color="auto"/>
        <w:right w:val="none" w:sz="0" w:space="0" w:color="auto"/>
      </w:divBdr>
    </w:div>
    <w:div w:id="2037655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yadzwinahn@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appebti.go.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0733D2-17E8-417B-A5A2-0FAC4AC434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1637</TotalTime>
  <Pages>10</Pages>
  <Words>4200</Words>
  <Characters>23944</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Syadzwina hindun</dc:creator>
  <cp:keywords/>
  <dc:description/>
  <cp:lastModifiedBy>Syadzwina hindun</cp:lastModifiedBy>
  <cp:revision>5</cp:revision>
  <dcterms:created xsi:type="dcterms:W3CDTF">2025-01-19T17:04:00Z</dcterms:created>
  <dcterms:modified xsi:type="dcterms:W3CDTF">2025-01-20T20:25:00Z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http://www.zotero.org/styles/chicago-fullnote-bibliography</vt:lpwstr>
  </property>
  <property fmtid="{D5CDD505-2E9C-101B-9397-08002B2CF9AE}" pid="13" name="Mendeley Recent Style Name 5_1">
    <vt:lpwstr>Chicago Manual of Style 17th edition (full note)</vt:lpwstr>
  </property>
  <property fmtid="{D5CDD505-2E9C-101B-9397-08002B2CF9AE}" pid="14" name="Mendeley Recent Style Id 6_1">
    <vt:lpwstr>http://www.zotero.org/styles/harvard-cite-them-right</vt:lpwstr>
  </property>
  <property fmtid="{D5CDD505-2E9C-101B-9397-08002B2CF9AE}" pid="15" name="Mendeley Recent Style Name 6_1">
    <vt:lpwstr>Cite Them Right 10th edition - Harvard</vt:lpwstr>
  </property>
  <property fmtid="{D5CDD505-2E9C-101B-9397-08002B2CF9AE}" pid="16" name="Mendeley Recent Style Id 7_1">
    <vt:lpwstr>http://www.zotero.org/styles/ieee</vt:lpwstr>
  </property>
  <property fmtid="{D5CDD505-2E9C-101B-9397-08002B2CF9AE}" pid="17" name="Mendeley Recent Style Name 7_1">
    <vt:lpwstr>IEEE</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13d5db5e-0dba-318e-afc8-18f6ebd56524</vt:lpwstr>
  </property>
  <property fmtid="{D5CDD505-2E9C-101B-9397-08002B2CF9AE}" pid="24" name="Mendeley Citation Style_1">
    <vt:lpwstr>http://www.zotero.org/styles/chicago-fullnote-bibliography</vt:lpwstr>
  </property>
</Properties>
</file>